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9814" w14:textId="77777777" w:rsidR="00000000" w:rsidRDefault="001A570A">
      <w:pPr>
        <w:divId w:val="992879288"/>
        <w:rPr>
          <w:rFonts w:eastAsia="Times New Roman"/>
          <w:vanish/>
        </w:rPr>
      </w:pPr>
      <w:r>
        <w:rPr>
          <w:rFonts w:eastAsia="Times New Roman"/>
          <w:vanish/>
        </w:rPr>
        <w:t>0000202058false2020FYP1YP1YP1YP1YP1Y.001us-gaap:FairValueMeasurementsFairValueHierarchyDomainus-gaap:FairValueMeasurementsFairValueHierarchyDomainus-gaap:FairValueMeasurementsFairValueHierarchyDomain</w:t>
      </w:r>
      <w:r>
        <w:rPr>
          <w:rFonts w:eastAsia="Times New Roman"/>
          <w:vanish/>
        </w:rPr>
        <w:t>us-gaap:FairValueMeasurementsFairValueHierarchyDomainus-gaap:FairValueMeasurementsFairValueHierarchyDomainus-gaap:FairValueMeasurementsFairValueHierarchyDomainus-gaap:FairValueMeasurementsFairValueHierarchyDomainus-gaap:FairValueMeasurementsFairValueHierar</w:t>
      </w:r>
      <w:r>
        <w:rPr>
          <w:rFonts w:eastAsia="Times New Roman"/>
          <w:vanish/>
        </w:rPr>
        <w:t>chyDomainus-gaap:FairValueMeasurementsFairValueHierarchyDomainus-gaap:FairValueMeasurementsFairValueHierarchyDomain311200002020582020-01-042021-01-01iso4217:USD00002020582020-07-03xbrli:shares00002020582021-02-260000202058hrs:AirportSecurityandAutomationBu</w:t>
      </w:r>
      <w:r>
        <w:rPr>
          <w:rFonts w:eastAsia="Times New Roman"/>
          <w:vanish/>
        </w:rPr>
        <w:t>sinessMemberus-gaap:DisposalGroupDisposedOfBySaleNotDiscontinuedOperationsMember2020-01-030000202058us-gaap:CorporateNonSegmentMemberus-gaap:DisposalGroupHeldforsaleNotDiscontinuedOperationsMember2020-01-042021-01-010000202058us-gaap:ProductMember2020-01-0</w:t>
      </w:r>
      <w:r>
        <w:rPr>
          <w:rFonts w:eastAsia="Times New Roman"/>
          <w:vanish/>
        </w:rPr>
        <w:t>42021-01-010000202058us-gaap:ProductMember2019-06-292020-01-030000202058us-gaap:ProductMember2018-06-302019-06-280000202058us-gaap:ProductMember2017-07-012018-06-290000202058us-gaap:ServiceMember2020-01-042021-01-010000202058us-gaap:ServiceMember2019-06-29</w:t>
      </w:r>
      <w:r>
        <w:rPr>
          <w:rFonts w:eastAsia="Times New Roman"/>
          <w:vanish/>
        </w:rPr>
        <w:t>2020-01-030000202058us-gaap:ServiceMember2018-06-302019-06-280000202058us-gaap:ServiceMember2017-07-012018-06-2900002020582019-06-292020-01-0300002020582018-06-302019-06-2800002020582017-07-012018-06-29iso4217:USDxbrli:shares00002020582021-01-0100002020582</w:t>
      </w:r>
      <w:r>
        <w:rPr>
          <w:rFonts w:eastAsia="Times New Roman"/>
          <w:vanish/>
        </w:rPr>
        <w:t>020-01-0300002020582017-07-012017-12-2900002020582019-06-2800002020582018-06-2900002020582017-06-300000202058us-gaap:CommonStockMember2017-06-300000202058us-gaap:OtherAdditionalCapitalMember2017-06-300000202058us-gaap:RetainedEarningsMember2017-06-30000020</w:t>
      </w:r>
      <w:r>
        <w:rPr>
          <w:rFonts w:eastAsia="Times New Roman"/>
          <w:vanish/>
        </w:rPr>
        <w:t>2058us-gaap:AccumulatedOtherComprehensiveIncomeMember2017-06-300000202058us-gaap:NoncontrollingInterestMember2017-06-300000202058srt:CumulativeEffectPeriodOfAdoptionAdjustmentMemberus-gaap:RetainedEarningsMember2017-06-300000202058srt:CumulativeEffectPerio</w:t>
      </w:r>
      <w:r>
        <w:rPr>
          <w:rFonts w:eastAsia="Times New Roman"/>
          <w:vanish/>
        </w:rPr>
        <w:t>dOfAdoptionAdjustmentMemberus-gaap:AccumulatedOtherComprehensiveIncomeMember2017-06-300000202058srt:CumulativeEffectPeriodOfAdoptionAdjustmentMember2017-06-300000202058us-gaap:RetainedEarningsMember2017-07-012018-06-290000202058us-gaap:AccumulatedOtherComp</w:t>
      </w:r>
      <w:r>
        <w:rPr>
          <w:rFonts w:eastAsia="Times New Roman"/>
          <w:vanish/>
        </w:rPr>
        <w:t>rehensiveIncomeMember2017-07-012018-06-290000202058us-gaap:OtherAdditionalCapitalMember2017-07-012018-06-290000202058us-gaap:CommonStockMember2017-07-012018-06-290000202058us-gaap:CommonStockMember2018-06-290000202058us-gaap:OtherAdditionalCapitalMember201</w:t>
      </w:r>
      <w:r>
        <w:rPr>
          <w:rFonts w:eastAsia="Times New Roman"/>
          <w:vanish/>
        </w:rPr>
        <w:t>8-06-290000202058us-gaap:RetainedEarningsMember2018-06-290000202058us-gaap:AccumulatedOtherComprehensiveIncomeMember2018-06-290000202058us-gaap:NoncontrollingInterestMember2018-06-290000202058us-gaap:RetainedEarningsMember2018-06-302019-06-280000202058us-g</w:t>
      </w:r>
      <w:r>
        <w:rPr>
          <w:rFonts w:eastAsia="Times New Roman"/>
          <w:vanish/>
        </w:rPr>
        <w:t>aap:AccumulatedOtherComprehensiveIncomeMember2018-06-302019-06-280000202058us-gaap:CommonStockMember2018-06-302019-06-280000202058us-gaap:OtherAdditionalCapitalMember2018-06-302019-06-280000202058us-gaap:CommonStockMember2019-06-280000202058us-gaap:OtherAd</w:t>
      </w:r>
      <w:r>
        <w:rPr>
          <w:rFonts w:eastAsia="Times New Roman"/>
          <w:vanish/>
        </w:rPr>
        <w:t>ditionalCapitalMember2019-06-280000202058us-gaap:RetainedEarningsMember2019-06-280000202058us-gaap:AccumulatedOtherComprehensiveIncomeMember2019-06-280000202058us-gaap:NoncontrollingInterestMember2019-06-280000202058us-gaap:RetainedEarningsMember2019-06-29</w:t>
      </w:r>
      <w:r>
        <w:rPr>
          <w:rFonts w:eastAsia="Times New Roman"/>
          <w:vanish/>
        </w:rPr>
        <w:t>2020-01-030000202058us-gaap:NoncontrollingInterestMember2019-06-292020-01-030000202058us-gaap:AccumulatedOtherComprehensiveIncomeMember2019-06-292020-01-030000202058us-gaap:CommonStockMember2019-06-292020-01-030000202058us-gaap:OtherAdditionalCapitalMember</w:t>
      </w:r>
      <w:r>
        <w:rPr>
          <w:rFonts w:eastAsia="Times New Roman"/>
          <w:vanish/>
        </w:rPr>
        <w:t>2019-06-292020-01-030000202058us-gaap:CommonStockMember2020-01-030000202058us-gaap:OtherAdditionalCapitalMember2020-01-030000202058us-gaap:RetainedEarningsMember2020-01-030000202058us-gaap:AccumulatedOtherComprehensiveIncomeMember2020-01-030000202058us-gaa</w:t>
      </w:r>
      <w:r>
        <w:rPr>
          <w:rFonts w:eastAsia="Times New Roman"/>
          <w:vanish/>
        </w:rPr>
        <w:t>p:NoncontrollingInterestMember2020-01-030000202058us-gaap:RetainedEarningsMember2020-01-042021-01-010000202058us-gaap:NoncontrollingInterestMember2020-01-042021-01-010000202058us-gaap:AccumulatedOtherComprehensiveIncomeMember2020-01-042021-01-010000202058u</w:t>
      </w:r>
      <w:r>
        <w:rPr>
          <w:rFonts w:eastAsia="Times New Roman"/>
          <w:vanish/>
        </w:rPr>
        <w:t>s-gaap:CommonStockMember2020-01-042021-01-010000202058us-gaap:OtherAdditionalCapitalMember2020-01-042021-01-010000202058us-gaap:CommonStockMember2021-01-010000202058us-gaap:OtherAdditionalCapitalMember2021-01-010000202058us-gaap:RetainedEarningsMember2021-</w:t>
      </w:r>
      <w:r>
        <w:rPr>
          <w:rFonts w:eastAsia="Times New Roman"/>
          <w:vanish/>
        </w:rPr>
        <w:t>01-010000202058us-gaap:AccumulatedOtherComprehensiveIncomeMember2021-01-010000202058us-gaap:NoncontrollingInterestMember2021-01-01hrs:countryhrs:employee0000202058hrs:EngineersAndScientistsMember2021-01-01hrs:business00002020582020-01-042020-04-03000020205</w:t>
      </w:r>
      <w:r>
        <w:rPr>
          <w:rFonts w:eastAsia="Times New Roman"/>
          <w:vanish/>
        </w:rPr>
        <w:t>8us-gaap:OtherCurrentAssetsMember2021-01-010000202058us-gaap:OtherNoncurrentAssetsMember2021-01-010000202058us-gaap:OtherCurrentAssetsMember2020-01-030000202058us-gaap:OtherNoncurrentAssetsMember2020-01-030000202058srt:MinimumMemberus-gaap:BuildingMember20</w:t>
      </w:r>
      <w:r>
        <w:rPr>
          <w:rFonts w:eastAsia="Times New Roman"/>
          <w:vanish/>
        </w:rPr>
        <w:t>19-06-292020-01-030000202058srt:MaximumMemberus-gaap:BuildingMember2019-06-292020-01-030000202058srt:MinimumMemberus-gaap:MachineryAndEquipmentMember2019-06-292020-01-030000202058srt:MaximumMemberus-gaap:MachineryAndEquipmentMember2019-06-292020-01-03xbrli</w:t>
      </w:r>
      <w:r>
        <w:rPr>
          <w:rFonts w:eastAsia="Times New Roman"/>
          <w:vanish/>
        </w:rPr>
        <w:t>:pure0000202058srt:MinimumMemberhrs:IntegratedMissionSystemsMember2019-06-292020-01-030000202058srt:MaximumMemberhrs:IntegratedMissionSystemsMember2019-06-292020-01-030000202058srt:MinimumMemberhrs:SpaceandAirborneSystemsMember2019-06-292020-01-03000020205</w:t>
      </w:r>
      <w:r>
        <w:rPr>
          <w:rFonts w:eastAsia="Times New Roman"/>
          <w:vanish/>
        </w:rPr>
        <w:t>8srt:MaximumMemberhrs:SpaceandAirborneSystemsMember2019-06-292020-01-030000202058srt:MinimumMemberhrs:CommunicationSystemsMember2019-06-292020-01-030000202058srt:MaximumMemberhrs:CommunicationSystemsMember2019-06-292020-01-030000202058srt:MinimumMemberhrs:</w:t>
      </w:r>
      <w:r>
        <w:rPr>
          <w:rFonts w:eastAsia="Times New Roman"/>
          <w:vanish/>
        </w:rPr>
        <w:t>AviationSystemsMember2019-06-292020-01-030000202058srt:MaximumMemberhrs:AviationSystemsMember2019-06-292020-01-030000202058us-gaap:ContractsAccountedForUnderPercentageOfCompletionMember2020-01-042021-01-010000202058us-gaap:ContractsAccountedForUnderPercent</w:t>
      </w:r>
      <w:r>
        <w:rPr>
          <w:rFonts w:eastAsia="Times New Roman"/>
          <w:vanish/>
        </w:rPr>
        <w:t>ageOfCompletionMember2019-06-292020-01-030000202058us-gaap:ContractsAccountedForUnderPercentageOfCompletionMember2018-06-302019-06-280000202058us-gaap:ContractsAccountedForUnderPercentageOfCompletionMember2017-07-012018-06-29hrs:site0000202058hrs:EOTechBus</w:t>
      </w:r>
      <w:r>
        <w:rPr>
          <w:rFonts w:eastAsia="Times New Roman"/>
          <w:vanish/>
        </w:rPr>
        <w:t>inessMemberus-gaap:DisposalGroupDisposedOfBySaleNotDiscontinuedOperationsMember2020-07-310000202058hrs:EOTechBusinessMemberus-gaap:DisposalGroupDisposedOfBySaleNotDiscontinuedOperationsMember2020-07-312020-07-310000202058hrs:EOTechBusinessMemberhrs:Communi</w:t>
      </w:r>
      <w:r>
        <w:rPr>
          <w:rFonts w:eastAsia="Times New Roman"/>
          <w:vanish/>
        </w:rPr>
        <w:t>cationSystemsMemberus-gaap:DisposalGroupDisposedOfBySaleNotDiscontinuedOperationsMember2020-01-042020-04-030000202058hrs:AppliedKilovoltsandAnalyticalInstrumentationBusinessMemberhrs:SpaceandAirborneSystemsMemberus-gaap:DisposalGroupDisposedOfBySaleNotDisc</w:t>
      </w:r>
      <w:r>
        <w:rPr>
          <w:rFonts w:eastAsia="Times New Roman"/>
          <w:vanish/>
        </w:rPr>
        <w:t>ontinuedOperationsMember2020-05-152020-05-150000202058hrs:SpaceandAirborneSystemsMemberhrs:AppliedKilovoltsandAnalyticalInstrumentationBusinessMemberus-gaap:DisposalGroupDisposedOfBySaleNotDiscontinuedOperationsMember2020-01-042020-04-030000202058hrs:Airpo</w:t>
      </w:r>
      <w:r>
        <w:rPr>
          <w:rFonts w:eastAsia="Times New Roman"/>
          <w:vanish/>
        </w:rPr>
        <w:t>rtSecurityandAutomationBusinessMemberhrs:AviationSystemsMemberus-gaap:DisposalGroupDisposedOfBySaleNotDiscontinuedOperationsMember2020-05-040000202058hrs:AirportSecurityandAutomationBusinessMemberhrs:AviationSystemsMemberus-gaap:DisposalGroupDisposedOfBySa</w:t>
      </w:r>
      <w:r>
        <w:rPr>
          <w:rFonts w:eastAsia="Times New Roman"/>
          <w:vanish/>
        </w:rPr>
        <w:t>leNotDiscontinuedOperationsMember2020-05-042020-05-040000202058hrs:AirportSecurityandAutomationBusinessMemberhrs:AviationSystemsMemberus-gaap:DisposalGroupDisposedOfBySaleNotDiscontinuedOperationsMember2020-01-042021-01-010000202058hrs:AirportSecurityandAu</w:t>
      </w:r>
      <w:r>
        <w:rPr>
          <w:rFonts w:eastAsia="Times New Roman"/>
          <w:vanish/>
        </w:rPr>
        <w:t>tomationBusinessMemberhrs:AviationSystemsMemberus-gaap:DisposalGroupDisposedOfBySaleNotDiscontinuedOperationsMember2019-06-292020-01-030000202058hrs:AirportSecurityandAutomationBusinessMemberhrs:AviationSystemsMemberus-gaap:DisposalGroupDisposedOfBySaleNot</w:t>
      </w:r>
      <w:r>
        <w:rPr>
          <w:rFonts w:eastAsia="Times New Roman"/>
          <w:vanish/>
        </w:rPr>
        <w:t>DiscontinuedOperationsMember2020-04-030000202058hrs:AirportSecurityandAutomationBusinessMemberhrs:AviationSystemsMemberus-gaap:DisposalGroupDisposedOfBySaleNotDiscontinuedOperationsMember2020-01-042020-04-030000202058hrs:VoiceSwitchEnterpriseMemberus-gaap:</w:t>
      </w:r>
      <w:r>
        <w:rPr>
          <w:rFonts w:eastAsia="Times New Roman"/>
          <w:vanish/>
        </w:rPr>
        <w:t>DisposalGroupHeldforsaleNotDiscontinuedOperationsMemberhrs:AviationSystemsMember2020-07-030000202058hrs:VoiceSwitchEnterpriseMemberhrs:AviationSystemsMemberus-gaap:DisposalGroupHeldforsaleNotDiscontinuedOperationsMember2020-01-042021-01-010000202058hrs:Voi</w:t>
      </w:r>
      <w:r>
        <w:rPr>
          <w:rFonts w:eastAsia="Times New Roman"/>
          <w:vanish/>
        </w:rPr>
        <w:t>ceSwitchEnterpriseMemberhrs:AviationSystemsMemberus-gaap:DisposalGroupHeldforsaleNotDiscontinuedOperationsMember2020-04-042020-07-030000202058hrs:VoiceSwitchEnterpriseMemberus-gaap:DisposalGroupHeldforsaleNotDiscontinuedOperationsMemberhrs:AviationSystemsM</w:t>
      </w:r>
      <w:r>
        <w:rPr>
          <w:rFonts w:eastAsia="Times New Roman"/>
          <w:vanish/>
        </w:rPr>
        <w:t>ember2021-01-010000202058hrs:L3HarrisTechnologiesInc.Memberus-gaap:DisposalGroupDisposedOfBySaleNotDiscontinuedOperationsMemberhrs:HarrisNightVisionMember2019-09-130000202058hrs:L3HarrisTechnologiesInc.Memberus-gaap:DisposalGroupDisposedOfBySaleNotDisconti</w:t>
      </w:r>
      <w:r>
        <w:rPr>
          <w:rFonts w:eastAsia="Times New Roman"/>
          <w:vanish/>
        </w:rPr>
        <w:t>nuedOperationsMemberhrs:HarrisNightVisionMember2019-09-132019-09-130000202058hrs:L3HarrisTechnologiesInc.Memberus-gaap:DisposalGroupDisposedOfBySaleNotDiscontinuedOperationsMemberhrs:HarrisNightVisionMember2019-06-292020-01-030000202058hrs:L3HarrisTechnolo</w:t>
      </w:r>
      <w:r>
        <w:rPr>
          <w:rFonts w:eastAsia="Times New Roman"/>
          <w:vanish/>
        </w:rPr>
        <w:t>giesInc.Memberus-gaap:DisposalGroupDisposedOfBySaleNotDiscontinuedOperationsMemberhrs:HarrisNightVisionMember2020-01-042021-01-010000202058us-gaap:DisposalGroupDisposedOfBySaleNotDiscontinuedOperationsMemberhrs:HarrisNightVisionMember2018-06-302019-06-2800</w:t>
      </w:r>
      <w:r>
        <w:rPr>
          <w:rFonts w:eastAsia="Times New Roman"/>
          <w:vanish/>
        </w:rPr>
        <w:t>00202058us-gaap:DisposalGroupDisposedOfBySaleNotDiscontinuedOperationsMemberhrs:HarrisNightVisionMember2017-07-012018-06-290000202058hrs:L3HarrisTechnologiesInc.Memberhrs:StormscopeMemberus-gaap:DisposalGroupDisposedOfBySaleNotDiscontinuedOperationsMember2</w:t>
      </w:r>
      <w:r>
        <w:rPr>
          <w:rFonts w:eastAsia="Times New Roman"/>
          <w:vanish/>
        </w:rPr>
        <w:t>019-08-302019-08-300000202058hrs:StormscopeMemberus-gaap:DisposalGroupDisposedOfBySaleNotDiscontinuedOperationsMember2019-06-292020-01-030000202058hrs:L3HarrisTechnologiesInc.Memberus-gaap:EmployeeSeveranceMember2020-01-042021-01-010000202058hrs:L3HarrisTe</w:t>
      </w:r>
      <w:r>
        <w:rPr>
          <w:rFonts w:eastAsia="Times New Roman"/>
          <w:vanish/>
        </w:rPr>
        <w:t>chnologiesInc.Memberus-gaap:EmployeeSeveranceMember2019-06-292020-01-030000202058hrs:L3HarrisTechnologiesInc.Memberus-gaap:EmployeeSeveranceMember2021-01-010000202058hrs:L3HarrisTechnologiesInc.Memberus-gaap:EmployeeSeveranceMember2020-01-03hrs:floor000020</w:t>
      </w:r>
      <w:r>
        <w:rPr>
          <w:rFonts w:eastAsia="Times New Roman"/>
          <w:vanish/>
        </w:rPr>
        <w:t>2058us-gaap:ContractTerminationMember2019-12-030000202058us-gaap:ContractTerminationMember2020-10-010000202058us-gaap:ContractTerminationMember2019-06-292020-01-030000202058us-gaap:ContractTerminationMember2021-01-010000202058hrs:COVID19PandemicMemberus-ga</w:t>
      </w:r>
      <w:r>
        <w:rPr>
          <w:rFonts w:eastAsia="Times New Roman"/>
          <w:vanish/>
        </w:rPr>
        <w:t>ap:EmployeeSeveranceMemberhrs:AviationSystemsMember2020-01-042021-01-010000202058hrs:COVID19PandemicMemberus-gaap:EmployeeSeveranceMemberhrs:CommunicationSystemsMember2020-01-042021-01-010000202058hrs:COVID19PandemicMemberus-gaap:EmployeeSeveranceMember202</w:t>
      </w:r>
      <w:r>
        <w:rPr>
          <w:rFonts w:eastAsia="Times New Roman"/>
          <w:vanish/>
        </w:rPr>
        <w:t>1-01-010000202058hrs:ExelisMember2017-07-012018-06-290000202058hrs:FacilityClosingandContractTerminationMember2021-01-010000202058us-gaap:OperatingExpenseMemberhrs:FacilityClosingandContractTerminationMember2017-07-012018-06-290000202058us-gaap:EmployeeSev</w:t>
      </w:r>
      <w:r>
        <w:rPr>
          <w:rFonts w:eastAsia="Times New Roman"/>
          <w:vanish/>
        </w:rPr>
        <w:t>eranceMember2019-06-280000202058hrs:FacilityClosingandContractTerminationMember2019-06-280000202058us-gaap:EmployeeSeveranceMember2019-06-292020-01-030000202058hrs:FacilityClosingandContractTerminationMember2019-06-292020-01-030000202058us-gaap:EmployeeSev</w:t>
      </w:r>
      <w:r>
        <w:rPr>
          <w:rFonts w:eastAsia="Times New Roman"/>
          <w:vanish/>
        </w:rPr>
        <w:t>eranceMember2020-01-030000202058hrs:FacilityClosingandContractTerminationMember2020-01-030000202058us-gaap:EmployeeSeveranceMember2020-01-042021-01-010000202058hrs:FacilityClosingandContractTerminationMember2020-01-042021-01-010000202058us-gaap:EmployeeSev</w:t>
      </w:r>
      <w:r>
        <w:rPr>
          <w:rFonts w:eastAsia="Times New Roman"/>
          <w:vanish/>
        </w:rPr>
        <w:t>eranceMember2021-01-010000202058hrs:L3HarrisTechnologiesInc.Member2019-06-292019-06-290000202058hrs:FormerHarrisShareholdersMemberhrs:L3HarrisTechnologiesInc.Member2019-06-290000202058hrs:L3HarrisTechnologiesInc.Memberhrs:FormerL3ShareholdersMember2019-06-</w:t>
      </w:r>
      <w:r>
        <w:rPr>
          <w:rFonts w:eastAsia="Times New Roman"/>
          <w:vanish/>
        </w:rPr>
        <w:t>290000202058hrs:L3TechnologiesInc.Memberhrs:L3HarrisTechnologiesInc.Member2019-06-290000202058hrs:L3TechnologiesInc.Memberhrs:L3HarrisTechnologiesInc.Member2018-01-012018-12-310000202058hrs:L3HarrisTechnologiesInc.Member2019-06-290000202058hrs:L3Technologi</w:t>
      </w:r>
      <w:r>
        <w:rPr>
          <w:rFonts w:eastAsia="Times New Roman"/>
          <w:vanish/>
        </w:rPr>
        <w:t>esInc.Memberhrs:L3HarrisTechnologiesInc.Member2019-06-280000202058hrs:L3TechnologiesInc.Memberhrs:L3HarrisTechnologiesInc.Memberus-gaap:RestrictedStockUnitsRSUMember2019-06-292019-06-290000202058hrs:L3TechnologiesInc.Memberhrs:L3HarrisTechnologiesInc.Membe</w:t>
      </w:r>
      <w:r>
        <w:rPr>
          <w:rFonts w:eastAsia="Times New Roman"/>
          <w:vanish/>
        </w:rPr>
        <w:t>rhrs:PerformanceStockUnitsMember2019-06-292019-06-290000202058hrs:L3TechnologiesInc.Memberhrs:L3HarrisTechnologiesInc.Member2019-06-292019-06-290000202058hrs:L3HarrisTechnologiesInc.Memberus-gaap:RestrictedStockUnitsRSUMember2019-06-292019-06-290000202058u</w:t>
      </w:r>
      <w:r>
        <w:rPr>
          <w:rFonts w:eastAsia="Times New Roman"/>
          <w:vanish/>
        </w:rPr>
        <w:t>s-gaap:EmployeeStockMemberhrs:L3HarrisTechnologiesInc.Member2019-06-292019-06-290000202058hrs:L3HarrisTechnologiesInc.Membersrt:ScenarioPreviouslyReportedMember2019-06-290000202058hrs:L3HarrisTechnologiesInc.Member2019-06-292020-01-030000202058hrs:L3Harris</w:t>
      </w:r>
      <w:r>
        <w:rPr>
          <w:rFonts w:eastAsia="Times New Roman"/>
          <w:vanish/>
        </w:rPr>
        <w:t>TechnologiesInc.Member2020-01-030000202058hrs:L3HarrisTechnologiesInc.Member2020-01-042021-01-010000202058hrs:L3HarrisTechnologiesInc.Member2021-01-010000202058us-gaap:GovernmentContractMemberhrs:L3HarrisTechnologiesInc.Memberus-gaap:CustomerRelationshipsM</w:t>
      </w:r>
      <w:r>
        <w:rPr>
          <w:rFonts w:eastAsia="Times New Roman"/>
          <w:vanish/>
        </w:rPr>
        <w:t>ember2019-06-292019-06-290000202058hrs:L3HarrisTechnologiesInc.Memberus-gaap:CustomerRelationshipsMemberhrs:CommercialContractMember2019-06-292019-06-290000202058us-gaap:OrderOrProductionBacklogMemberhrs:L3HarrisTechnologiesInc.Member2019-06-292019-06-2900</w:t>
      </w:r>
      <w:r>
        <w:rPr>
          <w:rFonts w:eastAsia="Times New Roman"/>
          <w:vanish/>
        </w:rPr>
        <w:t>00202058hrs:L3HarrisTechnologiesInc.Memberus-gaap:TradeNamesMember2019-06-292019-06-290000202058us-gaap:TechnologyBasedIntangibleAssetsMemberhrs:L3HarrisTechnologiesInc.Member2019-06-292019-06-290000202058hrs:L3HarrisTechnologiesInc.Memberus-gaap:TradeName</w:t>
      </w:r>
      <w:r>
        <w:rPr>
          <w:rFonts w:eastAsia="Times New Roman"/>
          <w:vanish/>
        </w:rPr>
        <w:t>sMember2019-06-292019-06-290000202058hrs:L3HarrisTechnologiesInc.Memberus-gaap:InProcessResearchAndDevelopmentMember2019-06-292019-06-290000202058hrs:L3HarrisTechnologiesInc.Member2018-06-302019-06-280000202058hrs:L3HarrisTechnologiesInc.Member2018-06-3020</w:t>
      </w:r>
      <w:r>
        <w:rPr>
          <w:rFonts w:eastAsia="Times New Roman"/>
          <w:vanish/>
        </w:rPr>
        <w:t>18-12-280000202058hrs:ReceivableSaleAgreementMember2020-01-030000202058hrs:COVID19PandemicMemberhrs:CommercialAviationSolutionsMember2020-01-042021-01-010000202058hrs:CommercialAviationSolutionsMember2020-01-042021-01-0100002020582019-06-292019-06-29000020</w:t>
      </w:r>
      <w:r>
        <w:rPr>
          <w:rFonts w:eastAsia="Times New Roman"/>
          <w:vanish/>
        </w:rPr>
        <w:t>2058hrs:IntegratedMissionSystemsMember2019-06-280000202058hrs:SpaceandAirborneSystemsMember2019-06-280000202058hrs:CommunicationSystemsMember2019-06-280000202058hrs:AviationSystemsMember2019-06-280000202058hrs:IntegratedMissionSystemsMember2019-06-292020-0</w:t>
      </w:r>
      <w:r>
        <w:rPr>
          <w:rFonts w:eastAsia="Times New Roman"/>
          <w:vanish/>
        </w:rPr>
        <w:t>1-030000202058hrs:SpaceandAirborneSystemsMember2019-06-292020-01-030000202058hrs:CommunicationSystemsMember2019-06-292020-01-030000202058hrs:AviationSystemsMember2019-06-292020-01-030000202058hrs:IntegratedMissionSystemsMember2020-01-030000202058hrs:Spacea</w:t>
      </w:r>
      <w:r>
        <w:rPr>
          <w:rFonts w:eastAsia="Times New Roman"/>
          <w:vanish/>
        </w:rPr>
        <w:t>ndAirborneSystemsMember2020-01-030000202058hrs:CommunicationSystemsMember2020-01-030000202058hrs:AviationSystemsMember2020-01-030000202058hrs:IntegratedMissionSystemsMember2020-01-042020-10-020000202058hrs:SpaceandAirborneSystemsMember2020-01-042020-10-020</w:t>
      </w:r>
      <w:r>
        <w:rPr>
          <w:rFonts w:eastAsia="Times New Roman"/>
          <w:vanish/>
        </w:rPr>
        <w:t>000202058hrs:CommunicationSystemsMember2020-01-042020-10-020000202058hrs:AviationSystemsMember2020-01-042020-10-0200002020582020-01-042020-10-020000202058hrs:IntegratedMissionSystemsMember2021-01-010000202058hrs:SpaceandAirborneSystemsMember2021-01-0100002</w:t>
      </w:r>
      <w:r>
        <w:rPr>
          <w:rFonts w:eastAsia="Times New Roman"/>
          <w:vanish/>
        </w:rPr>
        <w:t>02058hrs:CommunicationSystemsMember2021-01-010000202058hrs:AviationSystemsMember2021-01-01hrs:divestiture0000202058us-gaap:DisposalGroupDisposedOfBySaleNotDiscontinuedOperationsMemberhrs:AppliedKilovoltsAndAnalyticalInstrumentationAirportSecurityAndAutomat</w:t>
      </w:r>
      <w:r>
        <w:rPr>
          <w:rFonts w:eastAsia="Times New Roman"/>
          <w:vanish/>
        </w:rPr>
        <w:t>ionAndEOTechBusinessesMember2020-01-042020-10-020000202058us-gaap:DisposalGroupDisposedOfBySaleNotDiscontinuedOperationsMemberhrs:AppliedKilovoltsAndAnalyticalInstrumentationAirportSecurityAndAutomationAndEOTechBusinessesMember2020-01-042021-01-01000020205</w:t>
      </w:r>
      <w:r>
        <w:rPr>
          <w:rFonts w:eastAsia="Times New Roman"/>
          <w:vanish/>
        </w:rPr>
        <w:t>8hrs:COVID19PandemicMemberhrs:CommercialAviationSolutionsMember2020-10-032021-01-010000202058hrs:CommercialAviationSolutionsMember2020-10-032021-01-010000202058us-gaap:CustomerRelationshipsMember2021-01-010000202058us-gaap:CustomerRelationshipsMember2020-0</w:t>
      </w:r>
      <w:r>
        <w:rPr>
          <w:rFonts w:eastAsia="Times New Roman"/>
          <w:vanish/>
        </w:rPr>
        <w:t>1-030000202058us-gaap:DevelopedTechnologyRightsMember2021-01-010000202058us-gaap:DevelopedTechnologyRightsMember2020-01-030000202058us-gaap:OrderOrProductionBacklogMember2021-01-010000202058us-gaap:OrderOrProductionBacklogMember2020-01-030000202058us-gaap:</w:t>
      </w:r>
      <w:r>
        <w:rPr>
          <w:rFonts w:eastAsia="Times New Roman"/>
          <w:vanish/>
        </w:rPr>
        <w:t>TradeNamesMember2021-01-010000202058us-gaap:TradeNamesMember2020-01-030000202058hrs:OtherFiniteLiveIntangibleMember2021-01-010000202058hrs:OtherFiniteLiveIntangibleMember2020-01-030000202058us-gaap:InProcessResearchAndDevelopmentMember2021-01-010000202058u</w:t>
      </w:r>
      <w:r>
        <w:rPr>
          <w:rFonts w:eastAsia="Times New Roman"/>
          <w:vanish/>
        </w:rPr>
        <w:t>s-gaap:InProcessResearchAndDevelopmentMember2020-01-030000202058us-gaap:TradeNamesMember2021-01-010000202058us-gaap:TradeNamesMember2020-01-030000202058us-gaap:DisposalGroupDisposedOfBySaleNotDiscontinuedOperationsMember2020-01-042021-01-010000202058us-gaa</w:t>
      </w:r>
      <w:r>
        <w:rPr>
          <w:rFonts w:eastAsia="Times New Roman"/>
          <w:vanish/>
        </w:rPr>
        <w:t>p:DisposalGroupHeldforsaleNotDiscontinuedOperationsMember2021-01-0100002020582019-06-292020-07-030000202058hrs:CreditFacility2019Memberus-gaap:UnsecuredDebtMemberus-gaap:RevolvingCreditFacilityMember2019-06-280000202058hrs:CreditFacility2019Memberus-gaap:U</w:t>
      </w:r>
      <w:r>
        <w:rPr>
          <w:rFonts w:eastAsia="Times New Roman"/>
          <w:vanish/>
        </w:rPr>
        <w:t>nsecuredDebtMemberus-gaap:RevolvingCreditFacilityMember2019-06-282019-06-280000202058hrs:CreditFacility2018Memberus-gaap:UnsecuredDebtMemberus-gaap:RevolvingCreditFacilityMember2018-06-260000202058hrs:CreditFacility2018Memberus-gaap:UnsecuredDebtMemberus-g</w:t>
      </w:r>
      <w:r>
        <w:rPr>
          <w:rFonts w:eastAsia="Times New Roman"/>
          <w:vanish/>
        </w:rPr>
        <w:t>aap:RevolvingCreditFacilityMember2018-06-262018-06-260000202058us-gaap:LondonInterbankOfferedRateLIBORMemberhrs:CreditFacility2019Memberus-gaap:UnsecuredDebtMemberus-gaap:RevolvingCreditFacilityMember2019-06-280000202058us-gaap:EurodollarMemberhrs:CreditFa</w:t>
      </w:r>
      <w:r>
        <w:rPr>
          <w:rFonts w:eastAsia="Times New Roman"/>
          <w:vanish/>
        </w:rPr>
        <w:t>cility2019Memberus-gaap:UnsecuredDebtMemberus-gaap:RevolvingCreditFacilityMember2020-01-042021-01-010000202058srt:MaximumMemberus-gaap:EurodollarMemberhrs:CreditFacility2019Memberus-gaap:UnsecuredDebtMemberus-gaap:RevolvingCreditFacilityMember2019-06-28201</w:t>
      </w:r>
      <w:r>
        <w:rPr>
          <w:rFonts w:eastAsia="Times New Roman"/>
          <w:vanish/>
        </w:rPr>
        <w:t>9-06-280000202058us-gaap:EurodollarMembersrt:MinimumMemberhrs:CreditFacility2019Memberus-gaap:UnsecuredDebtMemberus-gaap:RevolvingCreditFacilityMember2019-06-282019-06-280000202058hrs:FederalReserveBankofNewYorkNYFRBMemberhrs:CreditFacility2019Memberus-gaa</w:t>
      </w:r>
      <w:r>
        <w:rPr>
          <w:rFonts w:eastAsia="Times New Roman"/>
          <w:vanish/>
        </w:rPr>
        <w:t>p:UnsecuredDebtMemberus-gaap:RevolvingCreditFacilityMember2019-06-282019-06-280000202058us-gaap:EurodollarMemberhrs:CreditFacility2019Memberus-gaap:UnsecuredDebtMemberus-gaap:RevolvingCreditFacilityMember2019-06-282019-06-280000202058hrs:CreditFacility2019</w:t>
      </w:r>
      <w:r>
        <w:rPr>
          <w:rFonts w:eastAsia="Times New Roman"/>
          <w:vanish/>
        </w:rPr>
        <w:t>Memberus-gaap:UnsecuredDebtMemberus-gaap:RevolvingCreditFacilityMember2020-01-042021-01-010000202058srt:MaximumMemberhrs:CreditFacility2019Memberus-gaap:UnsecuredDebtMemberus-gaap:RevolvingCreditFacilityMember2019-06-282019-06-280000202058srt:MinimumMember</w:t>
      </w:r>
      <w:r>
        <w:rPr>
          <w:rFonts w:eastAsia="Times New Roman"/>
          <w:vanish/>
        </w:rPr>
        <w:t>hrs:CreditFacility2019Memberus-gaap:UnsecuredDebtMemberus-gaap:RevolvingCreditFacilityMember2019-06-282019-06-280000202058hrs:CreditFacility2019Memberus-gaap:UnsecuredDebtMemberus-gaap:RevolvingCreditFacilityMember2021-01-01hrs:extension0000202058hrs:Float</w:t>
      </w:r>
      <w:r>
        <w:rPr>
          <w:rFonts w:eastAsia="Times New Roman"/>
          <w:vanish/>
        </w:rPr>
        <w:t>ingratesnotes2020Memberus-gaap:UnsecuredDebtMember2021-01-010000202058hrs:Floatingratesnotes2020Memberus-gaap:UnsecuredDebtMember2020-01-030000202058us-gaap:UnsecuredDebtMemberhrs:Floatingratesnotes2023Member2021-01-010000202058us-gaap:UnsecuredDebtMemberh</w:t>
      </w:r>
      <w:r>
        <w:rPr>
          <w:rFonts w:eastAsia="Times New Roman"/>
          <w:vanish/>
        </w:rPr>
        <w:t>rs:Floatingratesnotes2023Member2020-01-030000202058us-gaap:UnsecuredDebtMember2021-01-010000202058us-gaap:UnsecuredDebtMember2020-01-030000202058us-gaap:LoansPayableMemberhrs:A4.950SeniorNotesdueFebruary152021Member2021-01-010000202058us-gaap:LoansPayableM</w:t>
      </w:r>
      <w:r>
        <w:rPr>
          <w:rFonts w:eastAsia="Times New Roman"/>
          <w:vanish/>
        </w:rPr>
        <w:t>emberhrs:A4.950SeniorNotesdueFebruary152021Member2020-01-030000202058hrs:A3.850SeniorNotesdueJune152023Memberus-gaap:LoansPayableMember2021-01-010000202058hrs:A3.850SeniorNotesdueJune152023Memberus-gaap:LoansPayableMember2020-01-030000202058us-gaap:LoansPa</w:t>
      </w:r>
      <w:r>
        <w:rPr>
          <w:rFonts w:eastAsia="Times New Roman"/>
          <w:vanish/>
        </w:rPr>
        <w:t>yableMemberhrs:A3.950SeniorNotesdueMay282024Member2021-01-010000202058us-gaap:LoansPayableMemberhrs:A3.950SeniorNotesdueMay282024Member2020-01-030000202058hrs:A3.832notesdueApril272025Memberus-gaap:LoansPayableMember2021-01-010000202058hrs:A3.832notesdueAp</w:t>
      </w:r>
      <w:r>
        <w:rPr>
          <w:rFonts w:eastAsia="Times New Roman"/>
          <w:vanish/>
        </w:rPr>
        <w:t>ril272025Memberus-gaap:LoansPayableMember2020-01-030000202058hrs:DebentureTwoMemberus-gaap:LoansPayableMember2021-01-010000202058hrs:DebentureTwoMemberus-gaap:LoansPayableMember2020-01-030000202058us-gaap:LoansPayableMemberhrs:A3.850SeniorNotesdueDecember1</w:t>
      </w:r>
      <w:r>
        <w:rPr>
          <w:rFonts w:eastAsia="Times New Roman"/>
          <w:vanish/>
        </w:rPr>
        <w:t>52026Member2021-01-010000202058us-gaap:LoansPayableMemberhrs:A3.850SeniorNotesdueDecember152026Member2020-01-030000202058hrs:DebentureOneMemberus-gaap:LoansPayableMember1998-02-280000202058hrs:DebentureOneMemberus-gaap:LoansPayableMember2021-01-01000020205</w:t>
      </w:r>
      <w:r>
        <w:rPr>
          <w:rFonts w:eastAsia="Times New Roman"/>
          <w:vanish/>
        </w:rPr>
        <w:t>8hrs:DebentureOneMemberus-gaap:LoansPayableMember2020-01-030000202058hrs:A4.400SeniorNotesdueJune152028Memberus-gaap:LoansPayableMember2021-01-010000202058hrs:A4.400SeniorNotesdueJune152028Memberus-gaap:LoansPayableMember2020-01-030000202058hrs:A2.900Notes</w:t>
      </w:r>
      <w:r>
        <w:rPr>
          <w:rFonts w:eastAsia="Times New Roman"/>
          <w:vanish/>
        </w:rPr>
        <w:t>duedec152029Memberus-gaap:LoansPayableMember2021-01-010000202058hrs:A2.900Notesduedec152029Memberus-gaap:LoansPayableMember2020-01-030000202058hrs:A180NotesDueJanuary152031Memberus-gaap:LoansPayableMember2021-01-010000202058hrs:A180NotesDueJanuary152031Mem</w:t>
      </w:r>
      <w:r>
        <w:rPr>
          <w:rFonts w:eastAsia="Times New Roman"/>
          <w:vanish/>
        </w:rPr>
        <w:t>berus-gaap:LoansPayableMember2020-01-030000202058us-gaap:LoansPayableMemberhrs:A4.854notesdueApril272035Member2021-01-010000202058us-gaap:LoansPayableMemberhrs:A4.854notesdueApril272035Member2020-01-030000202058hrs:A6.15notesdueDecember152040Memberus-gaap:</w:t>
      </w:r>
      <w:r>
        <w:rPr>
          <w:rFonts w:eastAsia="Times New Roman"/>
          <w:vanish/>
        </w:rPr>
        <w:t>LoansPayableMember2021-01-010000202058hrs:A6.15notesdueDecember152040Memberus-gaap:LoansPayableMember2020-01-030000202058hrs:A5.054notesdueApril272045Memberus-gaap:LoansPayableMember2021-01-010000202058hrs:A5.054notesdueApril272045Memberus-gaap:LoansPayabl</w:t>
      </w:r>
      <w:r>
        <w:rPr>
          <w:rFonts w:eastAsia="Times New Roman"/>
          <w:vanish/>
        </w:rPr>
        <w:t>eMember2020-01-030000202058us-gaap:LoansPayableMember2021-01-010000202058us-gaap:LoansPayableMember2020-01-030000202058us-gaap:LoansPayableMemberhrs:A4.950SeniorNotesdueFebruary152021Member2020-12-142020-12-140000202058hrs:A180NotesDueJanuary152031Memberus</w:t>
      </w:r>
      <w:r>
        <w:rPr>
          <w:rFonts w:eastAsia="Times New Roman"/>
          <w:vanish/>
        </w:rPr>
        <w:t>-gaap:LoansPayableMember2020-11-250000202058hrs:A180NotesDueJanuary152031Memberus-gaap:LoansPayableMember2020-11-252020-11-250000202058hrs:TreasuryRateMemberhrs:A180NotesDueJanuary152031Memberus-gaap:LoansPayableMember2019-11-272019-11-270000202058us-gaap:</w:t>
      </w:r>
      <w:r>
        <w:rPr>
          <w:rFonts w:eastAsia="Times New Roman"/>
          <w:vanish/>
        </w:rPr>
        <w:t>UnsecuredDebtMemberhrs:Floatingratesnotes2023Member2020-04-030000202058us-gaap:LondonInterbankOfferedRateLIBORMemberus-gaap:UnsecuredDebtMemberhrs:Floatingratesnotes2023Member2020-01-042020-04-030000202058hrs:L3HarrisTechnologiesInc.Memberus-gaap:Unsecured</w:t>
      </w:r>
      <w:r>
        <w:rPr>
          <w:rFonts w:eastAsia="Times New Roman"/>
          <w:vanish/>
        </w:rPr>
        <w:t>DebtMember2019-07-022019-07-020000202058hrs:L3HarrisTechnologiesInc.Memberus-gaap:UnsecuredDebtMemberhrs:A4.950SeniorNotesdueFebruary152021Member2019-07-012019-07-010000202058hrs:L3HarrisTechnologiesInc.Memberus-gaap:UnsecuredDebtMemberhrs:A4.950SeniorNote</w:t>
      </w:r>
      <w:r>
        <w:rPr>
          <w:rFonts w:eastAsia="Times New Roman"/>
          <w:vanish/>
        </w:rPr>
        <w:t>sdueFebruary152021Member2019-07-022019-07-020000202058hrs:L3TechnologiesInc.Memberus-gaap:UnsecuredDebtMemberhrs:A4.950SeniorNotesdueFebruary152021Member2019-07-012019-07-010000202058hrs:L3TechnologiesInc.Memberus-gaap:UnsecuredDebtMemberhrs:A4.950SeniorNo</w:t>
      </w:r>
      <w:r>
        <w:rPr>
          <w:rFonts w:eastAsia="Times New Roman"/>
          <w:vanish/>
        </w:rPr>
        <w:t>tesdueFebruary152021Member2019-07-020000202058hrs:A3.850SeniorNotesdueJune152023Memberhrs:L3HarrisTechnologiesInc.Memberus-gaap:UnsecuredDebtMember2019-07-012019-07-010000202058hrs:A3.850SeniorNotesdueJune152023Memberhrs:L3HarrisTechnologiesInc.Memberus-ga</w:t>
      </w:r>
      <w:r>
        <w:rPr>
          <w:rFonts w:eastAsia="Times New Roman"/>
          <w:vanish/>
        </w:rPr>
        <w:t>ap:UnsecuredDebtMember2019-07-022019-07-020000202058hrs:L3TechnologiesInc.Memberhrs:A3.850SeniorNotesdueJune152023Memberus-gaap:UnsecuredDebtMember2019-07-012019-07-010000202058hrs:L3TechnologiesInc.Memberhrs:A3.850SeniorNotesdueJune152023Memberus-gaap:Uns</w:t>
      </w:r>
      <w:r>
        <w:rPr>
          <w:rFonts w:eastAsia="Times New Roman"/>
          <w:vanish/>
        </w:rPr>
        <w:t>ecuredDebtMember2019-07-020000202058hrs:L3HarrisTechnologiesInc.Memberus-gaap:UnsecuredDebtMemberhrs:A3.950SeniorNotesdueMay282024Member2019-07-022019-07-020000202058hrs:L3HarrisTechnologiesInc.Memberus-gaap:UnsecuredDebtMemberhrs:A3.950SeniorNotesdueMay28</w:t>
      </w:r>
      <w:r>
        <w:rPr>
          <w:rFonts w:eastAsia="Times New Roman"/>
          <w:vanish/>
        </w:rPr>
        <w:t>2024Member2019-07-012019-07-010000202058hrs:L3TechnologiesInc.Memberus-gaap:UnsecuredDebtMemberhrs:A3.950SeniorNotesdueMay282024Member2019-07-012019-07-010000202058hrs:L3TechnologiesInc.Memberus-gaap:UnsecuredDebtMemberhrs:A3.950SeniorNotesdueMay282024Memb</w:t>
      </w:r>
      <w:r>
        <w:rPr>
          <w:rFonts w:eastAsia="Times New Roman"/>
          <w:vanish/>
        </w:rPr>
        <w:t>er2019-07-020000202058hrs:L3HarrisTechnologiesInc.Memberhrs:A3.850SeniorNotesdueDecember152026Memberus-gaap:UnsecuredDebtMember2019-07-022019-07-020000202058hrs:L3HarrisTechnologiesInc.Memberhrs:A3.850SeniorNotesdueDecember152026Memberus-gaap:UnsecuredDebt</w:t>
      </w:r>
      <w:r>
        <w:rPr>
          <w:rFonts w:eastAsia="Times New Roman"/>
          <w:vanish/>
        </w:rPr>
        <w:t>Member2019-07-012019-07-010000202058hrs:L3TechnologiesInc.Memberhrs:A3.850SeniorNotesdueDecember152026Memberus-gaap:UnsecuredDebtMember2019-07-012019-07-010000202058hrs:L3TechnologiesInc.Memberhrs:A3.850SeniorNotesdueDecember152026Memberus-gaap:UnsecuredDe</w:t>
      </w:r>
      <w:r>
        <w:rPr>
          <w:rFonts w:eastAsia="Times New Roman"/>
          <w:vanish/>
        </w:rPr>
        <w:t>btMember2019-07-020000202058hrs:A4.400SeniorNotesdueJune152028Memberhrs:L3HarrisTechnologiesInc.Memberus-gaap:UnsecuredDebtMember2019-07-012019-07-010000202058hrs:A4.400SeniorNotesdueJune152028Memberhrs:L3HarrisTechnologiesInc.Memberus-gaap:UnsecuredDebtMe</w:t>
      </w:r>
      <w:r>
        <w:rPr>
          <w:rFonts w:eastAsia="Times New Roman"/>
          <w:vanish/>
        </w:rPr>
        <w:t>mber2019-07-022019-07-020000202058hrs:A4.400SeniorNotesdueJune152028Memberhrs:L3TechnologiesInc.Memberus-gaap:UnsecuredDebtMember2019-07-012019-07-010000202058hrs:A4.400SeniorNotesdueJune152028Memberhrs:L3TechnologiesInc.Memberus-gaap:UnsecuredDebtMember20</w:t>
      </w:r>
      <w:r>
        <w:rPr>
          <w:rFonts w:eastAsia="Times New Roman"/>
          <w:vanish/>
        </w:rPr>
        <w:t>19-07-020000202058hrs:L3TechnologiesInc.Memberus-gaap:UnsecuredDebtMember2019-07-012019-07-010000202058hrs:L3TechnologiesInc.Memberus-gaap:UnsecuredDebtMember2019-07-020000202058hrs:L3TechnologiesInc.Memberhrs:L3HarrisTechnologiesInc.Memberus-gaap:Unsecure</w:t>
      </w:r>
      <w:r>
        <w:rPr>
          <w:rFonts w:eastAsia="Times New Roman"/>
          <w:vanish/>
        </w:rPr>
        <w:t>dDebtMember2019-07-020000202058hrs:L3TechnologiesInc.Memberus-gaap:UnsecuredDebtMemberhrs:A4.950SeniorNotesdueFebruary152021Member2020-12-140000202058hrs:A3.850SeniorNotesdueJune152023Memberhrs:L3HarrisTechnologiesInc.Memberus-gaap:UnsecuredDebtMember2019-</w:t>
      </w:r>
      <w:r>
        <w:rPr>
          <w:rFonts w:eastAsia="Times New Roman"/>
          <w:vanish/>
        </w:rPr>
        <w:t>07-020000202058hrs:L3HarrisTechnologiesInc.Memberhrs:A3.850SeniorNotesdueDecember152026Memberus-gaap:UnsecuredDebtMember2019-07-020000202058hrs:A4.400SeniorNotesdueJune152028Memberhrs:L3HarrisTechnologiesInc.Memberus-gaap:UnsecuredDebtMember2019-07-0200002</w:t>
      </w:r>
      <w:r>
        <w:rPr>
          <w:rFonts w:eastAsia="Times New Roman"/>
          <w:vanish/>
        </w:rPr>
        <w:t>02058hrs:L3HarrisTechnologiesInc.Memberus-gaap:UnsecuredDebtMemberhrs:A3.950SeniorNotesdueMay282024Member2019-07-020000202058hrs:A3.850SeniorNotesdueJune152023Memberus-gaap:UnsecuredDebtMember2020-05-050000202058us-gaap:UnsecuredDebtMemberhrs:A4.950SeniorN</w:t>
      </w:r>
      <w:r>
        <w:rPr>
          <w:rFonts w:eastAsia="Times New Roman"/>
          <w:vanish/>
        </w:rPr>
        <w:t>otesdueFebruary152021Member2020-05-050000202058hrs:A3.850SeniorNotesdueDecember152026Memberus-gaap:UnsecuredDebtMember2020-05-050000202058us-gaap:UnsecuredDebtMemberhrs:A3.950SeniorNotesdueMay282024Member2020-05-050000202058us-gaap:UnsecuredDebtMemberhrs:A</w:t>
      </w:r>
      <w:r>
        <w:rPr>
          <w:rFonts w:eastAsia="Times New Roman"/>
          <w:vanish/>
        </w:rPr>
        <w:t>4.950SeniorNotesdueFebruary152021Member2020-05-052020-05-050000202058hrs:A3.850SeniorNotesdueJune152023Memberus-gaap:UnsecuredDebtMember2020-05-052020-05-050000202058us-gaap:UnsecuredDebtMemberhrs:A3.950SeniorNotesdueMay282024Member2020-05-052020-05-050000</w:t>
      </w:r>
      <w:r>
        <w:rPr>
          <w:rFonts w:eastAsia="Times New Roman"/>
          <w:vanish/>
        </w:rPr>
        <w:t>202058hrs:A3.850SeniorNotesdueDecember152026Memberus-gaap:UnsecuredDebtMember2020-05-052020-05-050000202058hrs:A4.400SeniorNotesdueJune152028Memberus-gaap:UnsecuredDebtMember2020-05-050000202058hrs:A4.400SeniorNotesdueJune152028Memberus-gaap:UnsecuredDebtM</w:t>
      </w:r>
      <w:r>
        <w:rPr>
          <w:rFonts w:eastAsia="Times New Roman"/>
          <w:vanish/>
        </w:rPr>
        <w:t>ember2020-05-052020-05-050000202058hrs:NotePayableNineMemberus-gaap:LoansPayableMember2020-12-160000202058hrs:NotePayableNineMemberus-gaap:LoansPayableMember2019-12-162019-12-160000202058hrs:NotePayableNineMemberus-gaap:LoansPayableMember2019-06-292020-01-</w:t>
      </w:r>
      <w:r>
        <w:rPr>
          <w:rFonts w:eastAsia="Times New Roman"/>
          <w:vanish/>
        </w:rPr>
        <w:t>030000202058hrs:A2.900SeniorNotesdueDecember152029Memberus-gaap:LoansPayableMember2019-11-270000202058hrs:A2.900SeniorNotesdueDecember152029Memberus-gaap:LoansPayableMember2019-11-272019-11-270000202058hrs:TreasuryRateMemberhrs:A2.900SeniorNotesdueDecember</w:t>
      </w:r>
      <w:r>
        <w:rPr>
          <w:rFonts w:eastAsia="Times New Roman"/>
          <w:vanish/>
        </w:rPr>
        <w:t>152029Memberus-gaap:LoansPayableMember2019-11-272019-11-270000202058us-gaap:UnsecuredDebtMemberhrs:NotePayableSixteenMember2018-12-292019-03-290000202058us-gaap:LoansPayableMemberhrs:NotePayableFourMember2018-06-220000202058hrs:NotePayableSevenMemberus-gaa</w:t>
      </w:r>
      <w:r>
        <w:rPr>
          <w:rFonts w:eastAsia="Times New Roman"/>
          <w:vanish/>
        </w:rPr>
        <w:t>p:LoansPayableMember2018-06-220000202058us-gaap:LoansPayableMember2018-06-220000202058us-gaap:LoansPayableMember2018-03-312018-06-290000202058hrs:NotePayableEightMemberus-gaap:LoansPayableMember2018-03-312018-06-290000202058hrs:NotePayableEightMemberus-gaa</w:t>
      </w:r>
      <w:r>
        <w:rPr>
          <w:rFonts w:eastAsia="Times New Roman"/>
          <w:vanish/>
        </w:rPr>
        <w:t>p:LoansPayableMember2018-06-290000202058hrs:NotePayableFourteenMemberus-gaap:UnsecuredDebtMember2017-09-302017-12-290000202058hrs:NotePayableFourteenMemberus-gaap:UnsecuredDebtMember2017-12-290000202058hrs:NotePayableThirteenMemberus-gaap:UnsecuredDebtMemb</w:t>
      </w:r>
      <w:r>
        <w:rPr>
          <w:rFonts w:eastAsia="Times New Roman"/>
          <w:vanish/>
        </w:rPr>
        <w:t>er2018-03-312018-06-290000202058hrs:NotePayableThirteenMemberus-gaap:UnsecuredDebtMember2017-07-012018-06-290000202058hrs:NotePayableSeventeenMemberus-gaap:LoansPayableMember2018-06-040000202058hrs:NotePayableSeventeenMemberus-gaap:LoansPayableMember2018-0</w:t>
      </w:r>
      <w:r>
        <w:rPr>
          <w:rFonts w:eastAsia="Times New Roman"/>
          <w:vanish/>
        </w:rPr>
        <w:t>6-042018-06-040000202058hrs:NewNotesMemberus-gaap:LoansPayableMember2015-04-270000202058hrs:NewNotesMemberus-gaap:LoansPayableMember2015-04-272015-04-270000202058hrs:A3.832notesdueApril272025Memberhrs:TreasuryRateMemberus-gaap:LoansPayableMember2015-04-272</w:t>
      </w:r>
      <w:r>
        <w:rPr>
          <w:rFonts w:eastAsia="Times New Roman"/>
          <w:vanish/>
        </w:rPr>
        <w:t>015-04-270000202058hrs:TreasuryRateMemberus-gaap:LoansPayableMemberhrs:A4.854notesdueApril272035Member2015-04-272015-04-270000202058hrs:TreasuryRateMemberhrs:A5.054notesdueApril272045Memberus-gaap:LoansPayableMember2015-04-272015-04-270000202058hrs:A6.15no</w:t>
      </w:r>
      <w:r>
        <w:rPr>
          <w:rFonts w:eastAsia="Times New Roman"/>
          <w:vanish/>
        </w:rPr>
        <w:t>tesdueDecember152040Memberus-gaap:LoansPayableMember2010-12-030000202058hrs:A6.15notesdueDecember152040Memberus-gaap:LoansPayableMember2010-12-032010-12-030000202058hrs:DebentureTwoMemberus-gaap:LoansPayableMember1996-01-310000202058hrs:DebentureOneMemberu</w:t>
      </w:r>
      <w:r>
        <w:rPr>
          <w:rFonts w:eastAsia="Times New Roman"/>
          <w:vanish/>
        </w:rPr>
        <w:t>s-gaap:LoansPayableMember2007-12-050000202058hrs:DebentureOneMemberus-gaap:LoansPayableMember2008-02-010000202058us-gaap:CarryingReportedAmountFairValueDisclosureMember2021-01-010000202058us-gaap:MarketApproachValuationTechniqueMemberus-gaap:FairValueInput</w:t>
      </w:r>
      <w:r>
        <w:rPr>
          <w:rFonts w:eastAsia="Times New Roman"/>
          <w:vanish/>
        </w:rPr>
        <w:t>sLevel2Memberus-gaap:EstimateOfFairValueFairValueDisclosureMember2021-01-010000202058us-gaap:CarryingReportedAmountFairValueDisclosureMember2020-01-030000202058us-gaap:MarketApproachValuationTechniqueMemberus-gaap:FairValueInputsLevel2Memberus-gaap:Estimat</w:t>
      </w:r>
      <w:r>
        <w:rPr>
          <w:rFonts w:eastAsia="Times New Roman"/>
          <w:vanish/>
        </w:rPr>
        <w:t>eOfFairValueFairValueDisclosureMember2020-01-030000202058hrs:L3HarrisTechnologiesInc.Memberus-gaap:UnsecuredDebtMember2019-07-020000202058srt:MinimumMember2020-01-042021-01-010000202058srt:MaximumMember2020-01-042021-01-010000202058us-gaap:EquitySecurities</w:t>
      </w:r>
      <w:r>
        <w:rPr>
          <w:rFonts w:eastAsia="Times New Roman"/>
          <w:vanish/>
        </w:rPr>
        <w:t>Memberus-gaap:EstimateOfFairValueFairValueDisclosureMember2021-01-010000202058us-gaap:FairValueInputsLevel1Memberus-gaap:EquitySecuritiesMemberus-gaap:EstimateOfFairValueFairValueDisclosureMember2021-01-010000202058us-gaap:EquitySecuritiesMemberus-gaap:Est</w:t>
      </w:r>
      <w:r>
        <w:rPr>
          <w:rFonts w:eastAsia="Times New Roman"/>
          <w:vanish/>
        </w:rPr>
        <w:t>imateOfFairValueFairValueDisclosureMember2020-01-030000202058us-gaap:FairValueInputsLevel1Memberus-gaap:EquitySecuritiesMemberus-gaap:EstimateOfFairValueFairValueDisclosureMember2020-01-030000202058us-gaap:FairValueMeasuredAtNetAssetValuePerShareMemberhrs:</w:t>
      </w:r>
      <w:r>
        <w:rPr>
          <w:rFonts w:eastAsia="Times New Roman"/>
          <w:vanish/>
        </w:rPr>
        <w:t>CorporateownedlifeinsuranceMemberus-gaap:EstimateOfFairValueFairValueDisclosureMember2021-01-010000202058us-gaap:FairValueMeasuredAtNetAssetValuePerShareMemberhrs:CorporateownedlifeinsuranceMemberus-gaap:EstimateOfFairValueFairValueDisclosureMember2020-01-</w:t>
      </w:r>
      <w:r>
        <w:rPr>
          <w:rFonts w:eastAsia="Times New Roman"/>
          <w:vanish/>
        </w:rPr>
        <w:t>030000202058us-gaap:EstimateOfFairValueFairValueDisclosureMember2021-01-010000202058us-gaap:EstimateOfFairValueFairValueDisclosureMember2020-01-030000202058us-gaap:MutualFundMemberus-gaap:EstimateOfFairValueFairValueDisclosureMember2021-01-010000202058us-g</w:t>
      </w:r>
      <w:r>
        <w:rPr>
          <w:rFonts w:eastAsia="Times New Roman"/>
          <w:vanish/>
        </w:rPr>
        <w:t>aap:MutualFundMemberus-gaap:FairValueInputsLevel1Memberus-gaap:EstimateOfFairValueFairValueDisclosureMember2021-01-010000202058us-gaap:MutualFundMemberus-gaap:EstimateOfFairValueFairValueDisclosureMember2020-01-030000202058us-gaap:MutualFundMemberus-gaap:F</w:t>
      </w:r>
      <w:r>
        <w:rPr>
          <w:rFonts w:eastAsia="Times New Roman"/>
          <w:vanish/>
        </w:rPr>
        <w:t>airValueInputsLevel1Memberus-gaap:EstimateOfFairValueFairValueDisclosureMember2020-01-030000202058us-gaap:FairValueMeasuredAtNetAssetValuePerShareMemberhrs:CommonCollectiveTrustsandGuaranteedInvestmentProgramMemberus-gaap:EstimateOfFairValueFairValueDisclo</w:t>
      </w:r>
      <w:r>
        <w:rPr>
          <w:rFonts w:eastAsia="Times New Roman"/>
          <w:vanish/>
        </w:rPr>
        <w:t>sureMember2021-01-010000202058us-gaap:FairValueMeasuredAtNetAssetValuePerShareMemberhrs:CommonCollectiveTrustsandGuaranteedInvestmentProgramMemberus-gaap:EstimateOfFairValueFairValueDisclosureMember2020-01-030000202058country:US2021-01-010000202058us-gaap:</w:t>
      </w:r>
      <w:r>
        <w:rPr>
          <w:rFonts w:eastAsia="Times New Roman"/>
          <w:vanish/>
        </w:rPr>
        <w:t>PensionPlansDefinedBenefitMember2021-01-010000202058us-gaap:OtherPostretirementBenefitPlansDefinedBenefitMember2021-01-010000202058us-gaap:PensionPlansDefinedBenefitMember2020-01-030000202058us-gaap:OtherPostretirementBenefitPlansDefinedBenefitMember2020-0</w:t>
      </w:r>
      <w:r>
        <w:rPr>
          <w:rFonts w:eastAsia="Times New Roman"/>
          <w:vanish/>
        </w:rPr>
        <w:t>1-030000202058us-gaap:PensionPlansDefinedBenefitMemberus-gaap:OtherNoncurrentAssetsMember2021-01-010000202058us-gaap:OtherNoncurrentAssetsMemberus-gaap:OtherPostretirementBenefitPlansDefinedBenefitMember2021-01-010000202058us-gaap:PensionPlansDefinedBenefi</w:t>
      </w:r>
      <w:r>
        <w:rPr>
          <w:rFonts w:eastAsia="Times New Roman"/>
          <w:vanish/>
        </w:rPr>
        <w:t>tMemberus-gaap:OtherNoncurrentAssetsMember2020-01-030000202058us-gaap:OtherNoncurrentAssetsMemberus-gaap:OtherPostretirementBenefitPlansDefinedBenefitMember2020-01-030000202058hrs:EmployeeRelatedLiabilitiesCurrentMemberus-gaap:PensionPlansDefinedBenefitMem</w:t>
      </w:r>
      <w:r>
        <w:rPr>
          <w:rFonts w:eastAsia="Times New Roman"/>
          <w:vanish/>
        </w:rPr>
        <w:t>ber2021-01-010000202058hrs:EmployeeRelatedLiabilitiesCurrentMemberus-gaap:OtherPostretirementBenefitPlansDefinedBenefitMember2021-01-010000202058hrs:EmployeeRelatedLiabilitiesCurrentMember2021-01-010000202058hrs:EmployeeRelatedLiabilitiesCurrentMemberus-ga</w:t>
      </w:r>
      <w:r>
        <w:rPr>
          <w:rFonts w:eastAsia="Times New Roman"/>
          <w:vanish/>
        </w:rPr>
        <w:t>ap:PensionPlansDefinedBenefitMember2020-01-030000202058hrs:EmployeeRelatedLiabilitiesCurrentMemberus-gaap:OtherPostretirementBenefitPlansDefinedBenefitMember2020-01-030000202058hrs:EmployeeRelatedLiabilitiesCurrentMember2020-01-030000202058hrs:DisposalGrou</w:t>
      </w:r>
      <w:r>
        <w:rPr>
          <w:rFonts w:eastAsia="Times New Roman"/>
          <w:vanish/>
        </w:rPr>
        <w:t>pIncludingDiscontinuedOperationLiabilitiesCurrentMemberus-gaap:PensionPlansDefinedBenefitMember2021-01-010000202058hrs:DisposalGroupIncludingDiscontinuedOperationLiabilitiesCurrentMemberus-gaap:OtherPostretirementBenefitPlansDefinedBenefitMember2021-01-010</w:t>
      </w:r>
      <w:r>
        <w:rPr>
          <w:rFonts w:eastAsia="Times New Roman"/>
          <w:vanish/>
        </w:rPr>
        <w:t>000202058hrs:DisposalGroupIncludingDiscontinuedOperationLiabilitiesCurrentMember2021-01-010000202058hrs:DisposalGroupIncludingDiscontinuedOperationLiabilitiesCurrentMemberus-gaap:PensionPlansDefinedBenefitMember2020-01-030000202058hrs:DisposalGroupIncludin</w:t>
      </w:r>
      <w:r>
        <w:rPr>
          <w:rFonts w:eastAsia="Times New Roman"/>
          <w:vanish/>
        </w:rPr>
        <w:t>gDiscontinuedOperationLiabilitiesCurrentMemberus-gaap:OtherPostretirementBenefitPlansDefinedBenefitMember2020-01-030000202058hrs:DisposalGroupIncludingDiscontinuedOperationLiabilitiesCurrentMember2020-01-030000202058us-gaap:PensionPlansDefinedBenefitMember</w:t>
      </w:r>
      <w:r>
        <w:rPr>
          <w:rFonts w:eastAsia="Times New Roman"/>
          <w:vanish/>
        </w:rPr>
        <w:t>hrs:DefinedBenefitPlanLiabilitiesMember2021-01-010000202058us-gaap:OtherPostretirementBenefitPlansDefinedBenefitMemberhrs:DefinedBenefitPlanLiabilitiesMember2021-01-010000202058hrs:DefinedBenefitPlanLiabilitiesMember2021-01-010000202058us-gaap:PensionPlans</w:t>
      </w:r>
      <w:r>
        <w:rPr>
          <w:rFonts w:eastAsia="Times New Roman"/>
          <w:vanish/>
        </w:rPr>
        <w:t>DefinedBenefitMemberhrs:DefinedBenefitPlanLiabilitiesMember2020-01-030000202058us-gaap:OtherPostretirementBenefitPlansDefinedBenefitMemberhrs:DefinedBenefitPlanLiabilitiesMember2020-01-030000202058hrs:DefinedBenefitPlanLiabilitiesMember2020-01-030000202058</w:t>
      </w:r>
      <w:r>
        <w:rPr>
          <w:rFonts w:eastAsia="Times New Roman"/>
          <w:vanish/>
        </w:rPr>
        <w:t>us-gaap:PensionPlansDefinedBenefitMember2018-06-290000202058us-gaap:OtherPostretirementBenefitPlansDefinedBenefitMember2018-06-290000202058us-gaap:PensionPlansDefinedBenefitMember2020-01-042021-01-010000202058us-gaap:OtherPostretirementBenefitPlansDefinedB</w:t>
      </w:r>
      <w:r>
        <w:rPr>
          <w:rFonts w:eastAsia="Times New Roman"/>
          <w:vanish/>
        </w:rPr>
        <w:t>enefitMember2020-01-042021-01-010000202058us-gaap:PensionPlansDefinedBenefitMember2019-06-292020-01-030000202058us-gaap:OtherPostretirementBenefitPlansDefinedBenefitMember2019-06-292020-01-030000202058us-gaap:PensionPlansDefinedBenefitMember2018-06-302019-</w:t>
      </w:r>
      <w:r>
        <w:rPr>
          <w:rFonts w:eastAsia="Times New Roman"/>
          <w:vanish/>
        </w:rPr>
        <w:t>06-280000202058us-gaap:PensionPlansDefinedBenefitMember2017-07-012018-06-290000202058country:USus-gaap:PensionPlansDefinedBenefitMemberhrs:L3TechnologiesInc.Member2021-01-010000202058country:USus-gaap:PensionPlansDefinedBenefitMemberhrs:L3TechnologiesInc.M</w:t>
      </w:r>
      <w:r>
        <w:rPr>
          <w:rFonts w:eastAsia="Times New Roman"/>
          <w:vanish/>
        </w:rPr>
        <w:t>ember2019-06-292020-01-030000202058us-gaap:OtherPostretirementBenefitPlansDefinedBenefitMember2018-06-302019-06-280000202058us-gaap:OtherPostretirementBenefitPlansDefinedBenefitMember2017-07-012018-06-290000202058us-gaap:OtherPostretirementBenefitPlansDefi</w:t>
      </w:r>
      <w:r>
        <w:rPr>
          <w:rFonts w:eastAsia="Times New Roman"/>
          <w:vanish/>
        </w:rPr>
        <w:t>nedBenefitMember2017-09-302017-12-290000202058country:USus-gaap:PensionPlansDefinedBenefitMember2021-01-010000202058country:USus-gaap:PensionPlansDefinedBenefitMember2020-01-042021-01-010000202058country:USus-gaap:PensionPlansDefinedBenefitMembersrt:Scenar</w:t>
      </w:r>
      <w:r>
        <w:rPr>
          <w:rFonts w:eastAsia="Times New Roman"/>
          <w:vanish/>
        </w:rPr>
        <w:t>ioForecastMember2021-01-022021-12-310000202058us-gaap:OtherPensionPlansDefinedBenefitMembercountry:US2021-01-010000202058country:USsrt:ScenarioForecastMember2021-01-022021-12-310000202058us-gaap:PensionPlansDefinedBenefitMembersrt:ScenarioForecastMember202</w:t>
      </w:r>
      <w:r>
        <w:rPr>
          <w:rFonts w:eastAsia="Times New Roman"/>
          <w:vanish/>
        </w:rPr>
        <w:t>1-01-022021-12-310000202058srt:ScenarioForecastMember2021-12-310000202058srt:ScenarioForecastMember2030-12-310000202058srt:MinimumMemberus-gaap:DefinedBenefitPlanEquitySecuritiesMember2021-01-010000202058srt:MaximumMemberus-gaap:DefinedBenefitPlanEquitySec</w:t>
      </w:r>
      <w:r>
        <w:rPr>
          <w:rFonts w:eastAsia="Times New Roman"/>
          <w:vanish/>
        </w:rPr>
        <w:t>uritiesMember2021-01-010000202058us-gaap:FixedIncomeSecuritiesMembersrt:MinimumMember2021-01-010000202058us-gaap:FixedIncomeSecuritiesMembersrt:MaximumMember2021-01-010000202058us-gaap:HedgeFundsMembersrt:MinimumMember2021-01-010000202058srt:MaximumMemberu</w:t>
      </w:r>
      <w:r>
        <w:rPr>
          <w:rFonts w:eastAsia="Times New Roman"/>
          <w:vanish/>
        </w:rPr>
        <w:t>s-gaap:HedgeFundsMember2021-01-010000202058srt:MinimumMemberus-gaap:DefinedBenefitPlanCashAndCashEquivalentsMember2021-01-010000202058srt:MaximumMemberus-gaap:DefinedBenefitPlanCashAndCashEquivalentsMember2021-01-010000202058us-gaap:PrivateEquityFundsMembe</w:t>
      </w:r>
      <w:r>
        <w:rPr>
          <w:rFonts w:eastAsia="Times New Roman"/>
          <w:vanish/>
        </w:rPr>
        <w:t>r2021-01-010000202058us-gaap:PrivateEquityFundsMember2020-01-030000202058us-gaap:HedgeFundsMember2020-01-042021-01-010000202058us-gaap:HedgeFundsMember2020-01-030000202058us-gaap:HedgeFundsMember2021-01-010000202058us-gaap:DefinedBenefitPlanEquitySecuritie</w:t>
      </w:r>
      <w:r>
        <w:rPr>
          <w:rFonts w:eastAsia="Times New Roman"/>
          <w:vanish/>
        </w:rPr>
        <w:t>sUsMember2021-01-010000202058us-gaap:FairValueInputsLevel1Memberus-gaap:DefinedBenefitPlanEquitySecuritiesUsMember2021-01-010000202058us-gaap:DefinedBenefitPlanEquitySecuritiesUsMemberus-gaap:FairValueInputsLevel2Member2021-01-010000202058us-gaap:DefinedBe</w:t>
      </w:r>
      <w:r>
        <w:rPr>
          <w:rFonts w:eastAsia="Times New Roman"/>
          <w:vanish/>
        </w:rPr>
        <w:t>nefitPlanEquitySecuritiesUsMemberus-gaap:FairValueInputsLevel3Member2021-01-010000202058us-gaap:DefinedBenefitPlanEquitySecuritiesNonUsMember2021-01-010000202058us-gaap:FairValueInputsLevel1Memberus-gaap:DefinedBenefitPlanEquitySecuritiesNonUsMember2021-01</w:t>
      </w:r>
      <w:r>
        <w:rPr>
          <w:rFonts w:eastAsia="Times New Roman"/>
          <w:vanish/>
        </w:rPr>
        <w:t>-010000202058us-gaap:DefinedBenefitPlanEquitySecuritiesNonUsMemberus-gaap:FairValueInputsLevel2Member2021-01-010000202058us-gaap:DefinedBenefitPlanEquitySecuritiesNonUsMemberus-gaap:FairValueInputsLevel3Member2021-01-010000202058hrs:DefinedBenefitPlanEquit</w:t>
      </w:r>
      <w:r>
        <w:rPr>
          <w:rFonts w:eastAsia="Times New Roman"/>
          <w:vanish/>
        </w:rPr>
        <w:t>ySecuritiesRealEstateInvestmentTrustsMember2021-01-010000202058us-gaap:FairValueInputsLevel1Memberhrs:DefinedBenefitPlanEquitySecuritiesRealEstateInvestmentTrustsMember2021-01-010000202058hrs:DefinedBenefitPlanEquitySecuritiesRealEstateInvestmentTrustsMemb</w:t>
      </w:r>
      <w:r>
        <w:rPr>
          <w:rFonts w:eastAsia="Times New Roman"/>
          <w:vanish/>
        </w:rPr>
        <w:t>erus-gaap:FairValueInputsLevel2Member2021-01-010000202058hrs:DefinedBenefitPlanEquitySecuritiesRealEstateInvestmentTrustsMemberus-gaap:FairValueInputsLevel3Member2021-01-010000202058us-gaap:CorporateBondSecuritiesMember2021-01-010000202058us-gaap:Corporate</w:t>
      </w:r>
      <w:r>
        <w:rPr>
          <w:rFonts w:eastAsia="Times New Roman"/>
          <w:vanish/>
        </w:rPr>
        <w:t>BondSecuritiesMemberus-gaap:FairValueInputsLevel1Member2021-01-010000202058us-gaap:CorporateBondSecuritiesMemberus-gaap:FairValueInputsLevel2Member2021-01-010000202058us-gaap:CorporateBondSecuritiesMemberus-gaap:FairValueInputsLevel3Member2021-01-010000202</w:t>
      </w:r>
      <w:r>
        <w:rPr>
          <w:rFonts w:eastAsia="Times New Roman"/>
          <w:vanish/>
        </w:rPr>
        <w:t>058us-gaap:USTreasuryAndGovernmentMember2021-01-010000202058us-gaap:FairValueInputsLevel1Memberus-gaap:USTreasuryAndGovernmentMember2021-01-010000202058us-gaap:FairValueInputsLevel2Memberus-gaap:USTreasuryAndGovernmentMember2021-01-010000202058us-gaap:USTr</w:t>
      </w:r>
      <w:r>
        <w:rPr>
          <w:rFonts w:eastAsia="Times New Roman"/>
          <w:vanish/>
        </w:rPr>
        <w:t>easuryAndGovernmentMemberus-gaap:FairValueInputsLevel3Member2021-01-010000202058us-gaap:AssetBackedSecuritiesSecuritizedLoansAndReceivablesMember2021-01-010000202058us-gaap:AssetBackedSecuritiesSecuritizedLoansAndReceivablesMemberus-gaap:FairValueInputsLev</w:t>
      </w:r>
      <w:r>
        <w:rPr>
          <w:rFonts w:eastAsia="Times New Roman"/>
          <w:vanish/>
        </w:rPr>
        <w:t>el1Member2021-01-010000202058us-gaap:AssetBackedSecuritiesSecuritizedLoansAndReceivablesMemberus-gaap:FairValueInputsLevel2Member2021-01-010000202058us-gaap:AssetBackedSecuritiesSecuritizedLoansAndReceivablesMemberus-gaap:FairValueInputsLevel3Member2021-01</w:t>
      </w:r>
      <w:r>
        <w:rPr>
          <w:rFonts w:eastAsia="Times New Roman"/>
          <w:vanish/>
        </w:rPr>
        <w:t>-010000202058hrs:DefinedBenefitPlanFixedIncomeInvestmentsMember2021-01-010000202058hrs:DefinedBenefitPlanFixedIncomeInvestmentsMemberus-gaap:FairValueInputsLevel1Member2021-01-010000202058hrs:DefinedBenefitPlanFixedIncomeInvestmentsMemberus-gaap:FairValueI</w:t>
      </w:r>
      <w:r>
        <w:rPr>
          <w:rFonts w:eastAsia="Times New Roman"/>
          <w:vanish/>
        </w:rPr>
        <w:t>nputsLevel2Member2021-01-010000202058hrs:DefinedBenefitPlanFixedIncomeInvestmentsMemberus-gaap:FairValueInputsLevel3Member2021-01-010000202058us-gaap:OtherInvestmentsMember2021-01-010000202058us-gaap:FairValueInputsLevel1Memberus-gaap:OtherInvestmentsMembe</w:t>
      </w:r>
      <w:r>
        <w:rPr>
          <w:rFonts w:eastAsia="Times New Roman"/>
          <w:vanish/>
        </w:rPr>
        <w:t>r2021-01-010000202058us-gaap:OtherInvestmentsMemberus-gaap:FairValueInputsLevel2Member2021-01-010000202058us-gaap:OtherInvestmentsMemberus-gaap:FairValueInputsLevel3Member2021-01-010000202058us-gaap:DefinedBenefitPlanCashAndCashEquivalentsMember2021-01-010</w:t>
      </w:r>
      <w:r>
        <w:rPr>
          <w:rFonts w:eastAsia="Times New Roman"/>
          <w:vanish/>
        </w:rPr>
        <w:t>000202058us-gaap:DefinedBenefitPlanCashAndCashEquivalentsMemberus-gaap:FairValueInputsLevel1Member2021-01-010000202058us-gaap:DefinedBenefitPlanCashAndCashEquivalentsMemberus-gaap:FairValueInputsLevel2Member2021-01-010000202058us-gaap:DefinedBenefitPlanCas</w:t>
      </w:r>
      <w:r>
        <w:rPr>
          <w:rFonts w:eastAsia="Times New Roman"/>
          <w:vanish/>
        </w:rPr>
        <w:t>hAndCashEquivalentsMemberus-gaap:FairValueInputsLevel3Member2021-01-010000202058hrs:DefinedBenefitPlanAssetsBeforeInvestmentsMeasuredAtNetAssetValuePerShareNAVMemberus-gaap:FairValueInputsLevel12And3Member2021-01-010000202058hrs:DefinedBenefitPlanAssetsBef</w:t>
      </w:r>
      <w:r>
        <w:rPr>
          <w:rFonts w:eastAsia="Times New Roman"/>
          <w:vanish/>
        </w:rPr>
        <w:t>oreInvestmentsMeasuredAtNetAssetValuePerShareNAVMemberus-gaap:FairValueInputsLevel1Member2021-01-010000202058hrs:DefinedBenefitPlanAssetsBeforeInvestmentsMeasuredAtNetAssetValuePerShareNAVMemberus-gaap:FairValueInputsLevel2Member2021-01-010000202058hrs:Def</w:t>
      </w:r>
      <w:r>
        <w:rPr>
          <w:rFonts w:eastAsia="Times New Roman"/>
          <w:vanish/>
        </w:rPr>
        <w:t>inedBenefitPlanAssetsBeforeInvestmentsMeasuredAtNetAssetValuePerShareNAVMemberus-gaap:FairValueInputsLevel3Member2021-01-010000202058us-gaap:PrivateEquityFundsDomesticMember2021-01-010000202058us-gaap:FixedIncomeFundsMember2021-01-010000202058us-gaap:Hedge</w:t>
      </w:r>
      <w:r>
        <w:rPr>
          <w:rFonts w:eastAsia="Times New Roman"/>
          <w:vanish/>
        </w:rPr>
        <w:t>FundsMember2021-01-010000202058us-gaap:PrivateEquityFundsMember2021-01-010000202058hrs:DefinedBenefitPlanOtherFundsMember2021-01-010000202058us-gaap:FairValueMeasuredAtNetAssetValuePerShareMember2021-01-010000202058hrs:DefinedBenefitPlanPayablesReceivables</w:t>
      </w:r>
      <w:r>
        <w:rPr>
          <w:rFonts w:eastAsia="Times New Roman"/>
          <w:vanish/>
        </w:rPr>
        <w:t>NetMember2021-01-010000202058us-gaap:DefinedBenefitPlanEquitySecuritiesUsMember2020-01-030000202058us-gaap:FairValueInputsLevel1Memberus-gaap:DefinedBenefitPlanEquitySecuritiesUsMember2020-01-030000202058us-gaap:DefinedBenefitPlanEquitySecuritiesUsMemberus</w:t>
      </w:r>
      <w:r>
        <w:rPr>
          <w:rFonts w:eastAsia="Times New Roman"/>
          <w:vanish/>
        </w:rPr>
        <w:t>-gaap:FairValueInputsLevel2Member2020-01-030000202058us-gaap:DefinedBenefitPlanEquitySecuritiesUsMemberus-gaap:FairValueInputsLevel3Member2020-01-030000202058us-gaap:DefinedBenefitPlanEquitySecuritiesNonUsMember2020-01-030000202058us-gaap:FairValueInputsLe</w:t>
      </w:r>
      <w:r>
        <w:rPr>
          <w:rFonts w:eastAsia="Times New Roman"/>
          <w:vanish/>
        </w:rPr>
        <w:t>vel1Memberus-gaap:DefinedBenefitPlanEquitySecuritiesNonUsMember2020-01-030000202058us-gaap:DefinedBenefitPlanEquitySecuritiesNonUsMemberus-gaap:FairValueInputsLevel2Member2020-01-030000202058us-gaap:DefinedBenefitPlanEquitySecuritiesNonUsMemberus-gaap:Fair</w:t>
      </w:r>
      <w:r>
        <w:rPr>
          <w:rFonts w:eastAsia="Times New Roman"/>
          <w:vanish/>
        </w:rPr>
        <w:t>ValueInputsLevel3Member2020-01-030000202058hrs:DefinedBenefitPlanEquitySecuritiesRealEstateInvestmentTrustsMember2020-01-030000202058us-gaap:FairValueInputsLevel1Memberhrs:DefinedBenefitPlanEquitySecuritiesRealEstateInvestmentTrustsMember2020-01-0300002020</w:t>
      </w:r>
      <w:r>
        <w:rPr>
          <w:rFonts w:eastAsia="Times New Roman"/>
          <w:vanish/>
        </w:rPr>
        <w:t>58hrs:DefinedBenefitPlanEquitySecuritiesRealEstateInvestmentTrustsMemberus-gaap:FairValueInputsLevel2Member2020-01-030000202058hrs:DefinedBenefitPlanEquitySecuritiesRealEstateInvestmentTrustsMemberus-gaap:FairValueInputsLevel3Member2020-01-030000202058us-g</w:t>
      </w:r>
      <w:r>
        <w:rPr>
          <w:rFonts w:eastAsia="Times New Roman"/>
          <w:vanish/>
        </w:rPr>
        <w:t>aap:CorporateBondSecuritiesMember2020-01-030000202058us-gaap:CorporateBondSecuritiesMemberus-gaap:FairValueInputsLevel1Member2020-01-030000202058us-gaap:CorporateBondSecuritiesMemberus-gaap:FairValueInputsLevel2Member2020-01-030000202058us-gaap:CorporateBo</w:t>
      </w:r>
      <w:r>
        <w:rPr>
          <w:rFonts w:eastAsia="Times New Roman"/>
          <w:vanish/>
        </w:rPr>
        <w:t>ndSecuritiesMemberus-gaap:FairValueInputsLevel3Member2020-01-030000202058us-gaap:USTreasuryAndGovernmentMember2020-01-030000202058us-gaap:FairValueInputsLevel1Memberus-gaap:USTreasuryAndGovernmentMember2020-01-030000202058us-gaap:FairValueInputsLevel2Membe</w:t>
      </w:r>
      <w:r>
        <w:rPr>
          <w:rFonts w:eastAsia="Times New Roman"/>
          <w:vanish/>
        </w:rPr>
        <w:t>rus-gaap:USTreasuryAndGovernmentMember2020-01-030000202058us-gaap:USTreasuryAndGovernmentMemberus-gaap:FairValueInputsLevel3Member2020-01-030000202058us-gaap:AssetBackedSecuritiesSecuritizedLoansAndReceivablesMember2020-01-030000202058us-gaap:AssetBackedSe</w:t>
      </w:r>
      <w:r>
        <w:rPr>
          <w:rFonts w:eastAsia="Times New Roman"/>
          <w:vanish/>
        </w:rPr>
        <w:t>curitiesSecuritizedLoansAndReceivablesMemberus-gaap:FairValueInputsLevel1Member2020-01-030000202058us-gaap:AssetBackedSecuritiesSecuritizedLoansAndReceivablesMemberus-gaap:FairValueInputsLevel2Member2020-01-030000202058us-gaap:AssetBackedSecuritiesSecuriti</w:t>
      </w:r>
      <w:r>
        <w:rPr>
          <w:rFonts w:eastAsia="Times New Roman"/>
          <w:vanish/>
        </w:rPr>
        <w:t>zedLoansAndReceivablesMemberus-gaap:FairValueInputsLevel3Member2020-01-030000202058hrs:DefinedBenefitPlanFixedIncomeInvestmentsMember2020-01-030000202058hrs:DefinedBenefitPlanFixedIncomeInvestmentsMemberus-gaap:FairValueInputsLevel1Member2020-01-0300002020</w:t>
      </w:r>
      <w:r>
        <w:rPr>
          <w:rFonts w:eastAsia="Times New Roman"/>
          <w:vanish/>
        </w:rPr>
        <w:t>58hrs:DefinedBenefitPlanFixedIncomeInvestmentsMemberus-gaap:FairValueInputsLevel2Member2020-01-030000202058hrs:DefinedBenefitPlanFixedIncomeInvestmentsMemberus-gaap:FairValueInputsLevel3Member2020-01-030000202058us-gaap:OtherInvestmentsMember2020-01-030000</w:t>
      </w:r>
      <w:r>
        <w:rPr>
          <w:rFonts w:eastAsia="Times New Roman"/>
          <w:vanish/>
        </w:rPr>
        <w:t>202058us-gaap:FairValueInputsLevel1Memberus-gaap:OtherInvestmentsMember2020-01-030000202058us-gaap:OtherInvestmentsMemberus-gaap:FairValueInputsLevel2Member2020-01-030000202058us-gaap:OtherInvestmentsMemberus-gaap:FairValueInputsLevel3Member2020-01-0300002</w:t>
      </w:r>
      <w:r>
        <w:rPr>
          <w:rFonts w:eastAsia="Times New Roman"/>
          <w:vanish/>
        </w:rPr>
        <w:t>02058us-gaap:DefinedBenefitPlanCashAndCashEquivalentsMember2020-01-030000202058us-gaap:DefinedBenefitPlanCashAndCashEquivalentsMemberus-gaap:FairValueInputsLevel1Member2020-01-030000202058us-gaap:DefinedBenefitPlanCashAndCashEquivalentsMemberus-gaap:FairVa</w:t>
      </w:r>
      <w:r>
        <w:rPr>
          <w:rFonts w:eastAsia="Times New Roman"/>
          <w:vanish/>
        </w:rPr>
        <w:t>lueInputsLevel2Member2020-01-030000202058us-gaap:DefinedBenefitPlanCashAndCashEquivalentsMemberus-gaap:FairValueInputsLevel3Member2020-01-030000202058hrs:DefinedBenefitPlanAssetsBeforeInvestmentsMeasuredAtNetAssetValuePerShareNAVMemberus-gaap:FairValueInpu</w:t>
      </w:r>
      <w:r>
        <w:rPr>
          <w:rFonts w:eastAsia="Times New Roman"/>
          <w:vanish/>
        </w:rPr>
        <w:t>tsLevel12And3Member2020-01-030000202058hrs:DefinedBenefitPlanAssetsBeforeInvestmentsMeasuredAtNetAssetValuePerShareNAVMemberus-gaap:FairValueInputsLevel1Member2020-01-030000202058hrs:DefinedBenefitPlanAssetsBeforeInvestmentsMeasuredAtNetAssetValuePerShareN</w:t>
      </w:r>
      <w:r>
        <w:rPr>
          <w:rFonts w:eastAsia="Times New Roman"/>
          <w:vanish/>
        </w:rPr>
        <w:t>AVMemberus-gaap:FairValueInputsLevel2Member2020-01-030000202058hrs:DefinedBenefitPlanAssetsBeforeInvestmentsMeasuredAtNetAssetValuePerShareNAVMemberus-gaap:FairValueInputsLevel3Member2020-01-030000202058us-gaap:PrivateEquityFundsDomesticMember2020-01-03000</w:t>
      </w:r>
      <w:r>
        <w:rPr>
          <w:rFonts w:eastAsia="Times New Roman"/>
          <w:vanish/>
        </w:rPr>
        <w:t>0202058us-gaap:FixedIncomeFundsMember2020-01-030000202058us-gaap:HedgeFundsMember2020-01-030000202058us-gaap:PrivateEquityFundsMember2020-01-030000202058hrs:DefinedBenefitPlanOtherFundsMember2020-01-030000202058us-gaap:FairValueMeasuredAtNetAssetValuePerSh</w:t>
      </w:r>
      <w:r>
        <w:rPr>
          <w:rFonts w:eastAsia="Times New Roman"/>
          <w:vanish/>
        </w:rPr>
        <w:t>areMember2020-01-030000202058hrs:DefinedBenefitPlanPayablesReceivablesNetMember2020-01-030000202058country:USus-gaap:PensionPlansDefinedBenefitMember2019-06-292020-01-030000202058country:USus-gaap:PensionPlansDefinedBenefitMember2017-07-012018-06-290000202</w:t>
      </w:r>
      <w:r>
        <w:rPr>
          <w:rFonts w:eastAsia="Times New Roman"/>
          <w:vanish/>
        </w:rPr>
        <w:t>058country:USus-gaap:PensionPlansDefinedBenefitMember2016-07-022017-06-30hrs:plan00002020582016-07-022017-06-300000202058us-gaap:CostOfSalesMember2020-01-042021-01-010000202058us-gaap:CostOfSalesMember2018-06-302019-06-280000202058us-gaap:CostOfSalesMember</w:t>
      </w:r>
      <w:r>
        <w:rPr>
          <w:rFonts w:eastAsia="Times New Roman"/>
          <w:vanish/>
        </w:rPr>
        <w:t>2017-07-012018-06-290000202058us-gaap:CostOfSalesMember2016-07-022017-06-300000202058us-gaap:SellingGeneralAndAdministrativeExpensesMember2020-01-042021-01-010000202058us-gaap:SellingGeneralAndAdministrativeExpensesMember2018-06-302019-06-280000202058us-ga</w:t>
      </w:r>
      <w:r>
        <w:rPr>
          <w:rFonts w:eastAsia="Times New Roman"/>
          <w:vanish/>
        </w:rPr>
        <w:t>ap:SellingGeneralAndAdministrativeExpensesMember2017-07-012018-06-290000202058us-gaap:SellingGeneralAndAdministrativeExpensesMember2016-07-022017-06-300000202058hrs:EquityIncentivePlan2015Member2021-01-010000202058us-gaap:EmployeeStockOptionMember2020-01-0</w:t>
      </w:r>
      <w:r>
        <w:rPr>
          <w:rFonts w:eastAsia="Times New Roman"/>
          <w:vanish/>
        </w:rPr>
        <w:t>42021-01-010000202058us-gaap:RestrictedStockMember2021-01-010000202058us-gaap:RestrictedStockUnitsRSUMember2021-01-010000202058hrs:RestrictedStockAndRestrictedStockUnitMember2020-01-030000202058hrs:RestrictedStockAndRestrictedStockUnitMember2020-01-042021-</w:t>
      </w:r>
      <w:r>
        <w:rPr>
          <w:rFonts w:eastAsia="Times New Roman"/>
          <w:vanish/>
        </w:rPr>
        <w:t>01-010000202058hrs:RestrictedStockAndRestrictedStockUnitMember2021-01-010000202058hrs:RestrictedStockAndRestrictedStockUnitMember2019-06-292020-01-030000202058hrs:RestrictedStockAndRestrictedStockUnitMember2018-06-302019-06-280000202058hrs:RestrictedStockA</w:t>
      </w:r>
      <w:r>
        <w:rPr>
          <w:rFonts w:eastAsia="Times New Roman"/>
          <w:vanish/>
        </w:rPr>
        <w:t>ndRestrictedStockUnitMember2017-07-012018-06-290000202058hrs:RestrictedStockAndRestrictedStockUnitMember2019-06-292020-07-030000202058hrs:RestrictedStockAndRestrictedStockUnitMember2018-06-302018-12-280000202058hrs:PerformanceStockUnitsMember2020-01-042021</w:t>
      </w:r>
      <w:r>
        <w:rPr>
          <w:rFonts w:eastAsia="Times New Roman"/>
          <w:vanish/>
        </w:rPr>
        <w:t>-01-010000202058hrs:PerformanceStockUnitsMember2021-01-010000202058hrs:PerformanceStockUnitsMember2020-01-030000202058hrs:PerformanceStockUnitsMember2019-06-292020-01-030000202058hrs:PerformanceStockUnitsMember2018-06-302019-06-280000202058hrs:PerformanceS</w:t>
      </w:r>
      <w:r>
        <w:rPr>
          <w:rFonts w:eastAsia="Times New Roman"/>
          <w:vanish/>
        </w:rPr>
        <w:t>tockUnitsMember2017-07-012018-06-290000202058hrs:PerformanceStockUnitsMember2019-06-292020-07-030000202058hrs:PerformanceStockUnitsMember2018-06-302018-12-280000202058hrs:LandAndManufacturingFacilityMemberstpr:CA2020-11-242020-11-240000202058hrs:LandAndMan</w:t>
      </w:r>
      <w:r>
        <w:rPr>
          <w:rFonts w:eastAsia="Times New Roman"/>
          <w:vanish/>
        </w:rPr>
        <w:t>ufacturingFacilityMemberstpr:CA2020-11-24hrs:engineer0000202058hrs:LandAndManufacturingFacilityMemberstpr:CA2020-01-042021-01-010000202058hrs:COVID19PandemicMemberus-gaap:ContractTerminationMemberhrs:CommercialAviationSolutionsMember2020-01-042021-01-01000</w:t>
      </w:r>
      <w:r>
        <w:rPr>
          <w:rFonts w:eastAsia="Times New Roman"/>
          <w:vanish/>
        </w:rPr>
        <w:t>0202058us-gaap:OtherCurrentLiabilitiesMember2021-01-010000202058us-gaap:OtherCurrentLiabilitiesMember2020-01-030000202058hrs:OperatingLiabilitiesMember2021-01-010000202058hrs:OperatingLiabilitiesMember2020-01-030000202058srt:MinimumMember2021-01-0100002020</w:t>
      </w:r>
      <w:r>
        <w:rPr>
          <w:rFonts w:eastAsia="Times New Roman"/>
          <w:vanish/>
        </w:rPr>
        <w:t>58srt:MaximumMember2021-01-010000202058us-gaap:ForeignExchangeForwardMemberus-gaap:FairValueHedgingMember2021-01-010000202058us-gaap:CashFlowHedgingMemberus-gaap:ForeignExchangeForwardMember2021-01-010000202058us-gaap:CashFlowHedgingMemberus-gaap:ForeignEx</w:t>
      </w:r>
      <w:r>
        <w:rPr>
          <w:rFonts w:eastAsia="Times New Roman"/>
          <w:vanish/>
        </w:rPr>
        <w:t>changeForwardMember2020-01-030000202058us-gaap:OtherNoncurrentLiabilitiesMember2021-01-010000202058us-gaap:OtherNoncurrentLiabilitiesMember2020-01-030000202058us-gaap:CashFlowHedgingMemberus-gaap:ForeignExchangeForwardMember2020-01-042021-01-01hrs:contract</w:t>
      </w:r>
      <w:r>
        <w:rPr>
          <w:rFonts w:eastAsia="Times New Roman"/>
          <w:vanish/>
        </w:rPr>
        <w:t>0000202058us-gaap:CashFlowHedgingMemberus-gaap:TreasuryLockMember2021-01-010000202058us-gaap:CashFlowHedgingMemberus-gaap:TreasuryLockMember2020-01-030000202058hrs:TreasuryRateMemberus-gaap:LoansPayableMemberhrs:A4.950SeniorNotesdueFebruary152021Member2020</w:t>
      </w:r>
      <w:r>
        <w:rPr>
          <w:rFonts w:eastAsia="Times New Roman"/>
          <w:vanish/>
        </w:rPr>
        <w:t>-11-250000202058hrs:TreasuryRateMemberhrs:A180NotesDueJanuary152031Memberus-gaap:LoansPayableMember2020-11-250000202058us-gaap:CashFlowHedgingMemberhrs:L3HarrisTechnologiesInc.Memberus-gaap:TreasuryLockMember2019-06-290000202058us-gaap:TreasuryLockMemberus</w:t>
      </w:r>
      <w:r>
        <w:rPr>
          <w:rFonts w:eastAsia="Times New Roman"/>
          <w:vanish/>
        </w:rPr>
        <w:t>-gaap:FairValueHedgingMember2020-01-030000202058hrs:L3HarrisTechnologiesInc.Memberus-gaap:TreasuryLockMember2019-06-290000202058hrs:TreasuryRateMemberhrs:NotePayableNineMemberus-gaap:LoansPayableMember2019-11-270000202058us-gaap:LoansPayableMember2019-11-2</w:t>
      </w:r>
      <w:r>
        <w:rPr>
          <w:rFonts w:eastAsia="Times New Roman"/>
          <w:vanish/>
        </w:rPr>
        <w:t>70000202058us-gaap:CashFlowHedgingMemberus-gaap:TreasuryLockMember2019-06-280000202058hrs:NotePayableNineMemberus-gaap:LoansPayableMember2020-01-030000202058us-gaap:LoansPayableMemberhrs:NotePayableFourMember2018-06-290000202058hrs:NotePayableFourteenMembe</w:t>
      </w:r>
      <w:r>
        <w:rPr>
          <w:rFonts w:eastAsia="Times New Roman"/>
          <w:vanish/>
        </w:rPr>
        <w:t>rus-gaap:UnsecuredDebtMember2017-07-012018-06-290000202058us-gaap:AccumulatedTranslationAdjustmentMember2019-06-280000202058us-gaap:AccumulatedGainLossNetCashFlowHedgeParentMember2019-06-280000202058us-gaap:AccumulatedDefinedBenefitPlansAdjustmentMember201</w:t>
      </w:r>
      <w:r>
        <w:rPr>
          <w:rFonts w:eastAsia="Times New Roman"/>
          <w:vanish/>
        </w:rPr>
        <w:t>9-06-280000202058us-gaap:AccumulatedTranslationAdjustmentMember2019-06-292020-01-030000202058us-gaap:AccumulatedGainLossNetCashFlowHedgeParentMember2019-06-292020-01-030000202058us-gaap:AccumulatedDefinedBenefitPlansAdjustmentMember2019-06-292020-01-030000</w:t>
      </w:r>
      <w:r>
        <w:rPr>
          <w:rFonts w:eastAsia="Times New Roman"/>
          <w:vanish/>
        </w:rPr>
        <w:t>202058us-gaap:AccumulatedTranslationAdjustmentMember2020-01-030000202058us-gaap:AccumulatedGainLossNetCashFlowHedgeParentMember2020-01-030000202058us-gaap:AccumulatedDefinedBenefitPlansAdjustmentMember2020-01-030000202058us-gaap:AccumulatedTranslationAdjus</w:t>
      </w:r>
      <w:r>
        <w:rPr>
          <w:rFonts w:eastAsia="Times New Roman"/>
          <w:vanish/>
        </w:rPr>
        <w:t>tmentMember2020-01-042021-01-010000202058us-gaap:AccumulatedGainLossNetCashFlowHedgeParentMember2020-01-042021-01-010000202058us-gaap:AccumulatedDefinedBenefitPlansAdjustmentMember2020-01-042021-01-010000202058us-gaap:AccumulatedTranslationAdjustmentMember</w:t>
      </w:r>
      <w:r>
        <w:rPr>
          <w:rFonts w:eastAsia="Times New Roman"/>
          <w:vanish/>
        </w:rPr>
        <w:t>2021-01-010000202058us-gaap:AccumulatedGainLossNetCashFlowHedgeParentMember2021-01-010000202058us-gaap:AccumulatedDefinedBenefitPlansAdjustmentMember2021-01-010000202058us-gaap:DomesticCountryMember2021-01-010000202058us-gaap:ForeignCountryMember2021-01-01</w:t>
      </w:r>
      <w:r>
        <w:rPr>
          <w:rFonts w:eastAsia="Times New Roman"/>
          <w:vanish/>
        </w:rPr>
        <w:t>0000202058us-gaap:StateAndLocalJurisdictionMember2021-01-0100002020582021-01-022021-01-0100002020582022-01-022021-01-01hrs:segment0000202058hrs:IntegratedMissionSystemsMemberus-gaap:OperatingSegmentsMember2020-01-042021-01-010000202058hrs:IntegratedMission</w:t>
      </w:r>
      <w:r>
        <w:rPr>
          <w:rFonts w:eastAsia="Times New Roman"/>
          <w:vanish/>
        </w:rPr>
        <w:t>SystemsMemberus-gaap:OperatingSegmentsMember2019-06-292020-01-030000202058hrs:IntegratedMissionSystemsMemberus-gaap:OperatingSegmentsMember2018-06-302019-06-280000202058hrs:IntegratedMissionSystemsMemberus-gaap:OperatingSegmentsMember2017-07-012018-06-2900</w:t>
      </w:r>
      <w:r>
        <w:rPr>
          <w:rFonts w:eastAsia="Times New Roman"/>
          <w:vanish/>
        </w:rPr>
        <w:t>00202058us-gaap:OperatingSegmentsMemberhrs:SpaceandAirborneSystemsMember2020-01-042021-01-010000202058us-gaap:OperatingSegmentsMemberhrs:SpaceandAirborneSystemsMember2019-06-292020-01-030000202058us-gaap:OperatingSegmentsMemberhrs:SpaceandAirborneSystemsMe</w:t>
      </w:r>
      <w:r>
        <w:rPr>
          <w:rFonts w:eastAsia="Times New Roman"/>
          <w:vanish/>
        </w:rPr>
        <w:t>mber2018-06-302019-06-280000202058us-gaap:OperatingSegmentsMemberhrs:SpaceandAirborneSystemsMember2017-07-012018-06-290000202058us-gaap:OperatingSegmentsMemberhrs:CommunicationSystemsMember2020-01-042021-01-010000202058us-gaap:OperatingSegmentsMemberhrs:Co</w:t>
      </w:r>
      <w:r>
        <w:rPr>
          <w:rFonts w:eastAsia="Times New Roman"/>
          <w:vanish/>
        </w:rPr>
        <w:t>mmunicationSystemsMember2019-06-292020-01-030000202058us-gaap:OperatingSegmentsMemberhrs:CommunicationSystemsMember2018-06-302019-06-280000202058us-gaap:OperatingSegmentsMemberhrs:CommunicationSystemsMember2017-07-012018-06-290000202058us-gaap:OperatingSeg</w:t>
      </w:r>
      <w:r>
        <w:rPr>
          <w:rFonts w:eastAsia="Times New Roman"/>
          <w:vanish/>
        </w:rPr>
        <w:t>mentsMemberhrs:AviationSystemsMember2020-01-042021-01-010000202058us-gaap:OperatingSegmentsMemberhrs:AviationSystemsMember2019-06-292020-01-030000202058us-gaap:OperatingSegmentsMemberhrs:AviationSystemsMember2018-06-302019-06-280000202058us-gaap:OperatingS</w:t>
      </w:r>
      <w:r>
        <w:rPr>
          <w:rFonts w:eastAsia="Times New Roman"/>
          <w:vanish/>
        </w:rPr>
        <w:t>egmentsMemberhrs:AviationSystemsMember2017-07-012018-06-290000202058us-gaap:AllOtherSegmentsMemberus-gaap:OperatingSegmentsMember2020-01-042021-01-010000202058us-gaap:AllOtherSegmentsMemberus-gaap:OperatingSegmentsMember2019-06-292020-01-030000202058us-gaa</w:t>
      </w:r>
      <w:r>
        <w:rPr>
          <w:rFonts w:eastAsia="Times New Roman"/>
          <w:vanish/>
        </w:rPr>
        <w:t>p:AllOtherSegmentsMemberus-gaap:OperatingSegmentsMember2018-06-302019-06-280000202058us-gaap:AllOtherSegmentsMemberus-gaap:OperatingSegmentsMember2017-07-012018-06-290000202058us-gaap:IntersegmentEliminationMember2020-01-042021-01-010000202058us-gaap:Inter</w:t>
      </w:r>
      <w:r>
        <w:rPr>
          <w:rFonts w:eastAsia="Times New Roman"/>
          <w:vanish/>
        </w:rPr>
        <w:t>segmentEliminationMember2019-06-292020-01-030000202058us-gaap:IntersegmentEliminationMember2018-06-302019-06-280000202058us-gaap:IntersegmentEliminationMember2017-07-012018-06-290000202058us-gaap:CorporateNonSegmentMember2020-01-042021-01-010000202058us-ga</w:t>
      </w:r>
      <w:r>
        <w:rPr>
          <w:rFonts w:eastAsia="Times New Roman"/>
          <w:vanish/>
        </w:rPr>
        <w:t>ap:CorporateNonSegmentMember2019-06-292020-01-030000202058us-gaap:CorporateNonSegmentMember2018-06-302019-06-280000202058us-gaap:CorporateNonSegmentMember2017-07-012018-06-290000202058hrs:L3HarrisTechnologiesInc.Member2017-07-012018-06-290000202058hrs:L3Ha</w:t>
      </w:r>
      <w:r>
        <w:rPr>
          <w:rFonts w:eastAsia="Times New Roman"/>
          <w:vanish/>
        </w:rPr>
        <w:t>rrisTechnologiesIncAndExelisMember2020-01-042021-01-010000202058hrs:L3HarrisTechnologiesIncAndExelisMember2019-06-292020-01-030000202058hrs:L3HarrisTechnologiesIncAndExelisMember2018-06-302019-06-280000202058hrs:L3HarrisTechnologiesIncAndExelisMember2017-0</w:t>
      </w:r>
      <w:r>
        <w:rPr>
          <w:rFonts w:eastAsia="Times New Roman"/>
          <w:vanish/>
        </w:rPr>
        <w:t>7-012018-06-290000202058us-gaap:CorporateNonSegmentMemberhrs:L3HarrisTechnologiesInc.Member2020-01-042021-01-010000202058us-gaap:CorporateNonSegmentMemberhrs:AppliedKilovoltsandAnalyticalInstrumentationBusinessMemberus-gaap:DisposalGroupDisposedOfBySaleNot</w:t>
      </w:r>
      <w:r>
        <w:rPr>
          <w:rFonts w:eastAsia="Times New Roman"/>
          <w:vanish/>
        </w:rPr>
        <w:t>DiscontinuedOperationsMember2020-01-042021-01-010000202058us-gaap:CorporateNonSegmentMembersrt:RestatementAdjustmentMember2020-01-042021-01-010000202058us-gaap:CorporateNonSegmentMemberhrs:L3HarrisTechnologiesInc.Member2019-06-292020-01-030000202058us-gaap</w:t>
      </w:r>
      <w:r>
        <w:rPr>
          <w:rFonts w:eastAsia="Times New Roman"/>
          <w:vanish/>
        </w:rPr>
        <w:t>:CorporateNonSegmentMembersrt:RestatementAdjustmentMember2019-06-292020-01-030000202058us-gaap:CorporateNonSegmentMemberhrs:NoncoreCommercialBusinessMemberus-gaap:OtherRestructuringMember2017-07-012018-06-290000202058hrs:ExelisMemberus-gaap:CorporateNonSeg</w:t>
      </w:r>
      <w:r>
        <w:rPr>
          <w:rFonts w:eastAsia="Times New Roman"/>
          <w:vanish/>
        </w:rPr>
        <w:t>mentMember2017-07-012018-06-290000202058hrs:ExelisMember2020-01-042021-01-010000202058hrs:ExelisMember2019-06-292020-01-030000202058hrs:ExelisMember2018-06-302019-06-280000202058us-gaap:SalesChannelDirectlyToConsumerMemberhrs:IntegratedMissionSystemsMember</w:t>
      </w:r>
      <w:r>
        <w:rPr>
          <w:rFonts w:eastAsia="Times New Roman"/>
          <w:vanish/>
        </w:rPr>
        <w:t>us-gaap:TransferredOverTimeMember2020-01-042021-01-010000202058us-gaap:SalesChannelDirectlyToConsumerMemberhrs:IntegratedMissionSystemsMemberus-gaap:TransferredOverTimeMember2019-06-292020-01-030000202058us-gaap:SalesChannelDirectlyToConsumerMemberhrs:Inte</w:t>
      </w:r>
      <w:r>
        <w:rPr>
          <w:rFonts w:eastAsia="Times New Roman"/>
          <w:vanish/>
        </w:rPr>
        <w:t>gratedMissionSystemsMemberus-gaap:TransferredOverTimeMember2018-06-302019-06-280000202058us-gaap:SalesChannelDirectlyToConsumerMemberhrs:IntegratedMissionSystemsMemberus-gaap:TransferredOverTimeMember2017-07-012018-06-290000202058us-gaap:SalesChannelThroug</w:t>
      </w:r>
      <w:r>
        <w:rPr>
          <w:rFonts w:eastAsia="Times New Roman"/>
          <w:vanish/>
        </w:rPr>
        <w:t>hIntermediaryMemberhrs:IntegratedMissionSystemsMemberus-gaap:TransferredOverTimeMember2020-01-042021-01-010000202058us-gaap:SalesChannelThroughIntermediaryMemberhrs:IntegratedMissionSystemsMemberus-gaap:TransferredOverTimeMember2019-06-292020-01-0300002020</w:t>
      </w:r>
      <w:r>
        <w:rPr>
          <w:rFonts w:eastAsia="Times New Roman"/>
          <w:vanish/>
        </w:rPr>
        <w:t>58us-gaap:SalesChannelThroughIntermediaryMemberhrs:IntegratedMissionSystemsMemberus-gaap:TransferredOverTimeMember2018-06-302019-06-280000202058us-gaap:SalesChannelThroughIntermediaryMemberhrs:IntegratedMissionSystemsMemberus-gaap:TransferredOverTimeMember</w:t>
      </w:r>
      <w:r>
        <w:rPr>
          <w:rFonts w:eastAsia="Times New Roman"/>
          <w:vanish/>
        </w:rPr>
        <w:t>2017-07-012018-06-290000202058hrs:IntegratedMissionSystemsMemberus-gaap:TransferredOverTimeMember2020-01-042021-01-010000202058hrs:IntegratedMissionSystemsMemberus-gaap:TransferredOverTimeMember2019-06-292020-01-030000202058hrs:IntegratedMissionSystemsMemb</w:t>
      </w:r>
      <w:r>
        <w:rPr>
          <w:rFonts w:eastAsia="Times New Roman"/>
          <w:vanish/>
        </w:rPr>
        <w:t>erus-gaap:TransferredOverTimeMember2018-06-302019-06-280000202058hrs:IntegratedMissionSystemsMemberus-gaap:TransferredOverTimeMember2017-07-012018-06-290000202058hrs:IntegratedMissionSystemsMemberus-gaap:TransferredOverTimeMemberus-gaap:FixedPriceContractM</w:t>
      </w:r>
      <w:r>
        <w:rPr>
          <w:rFonts w:eastAsia="Times New Roman"/>
          <w:vanish/>
        </w:rPr>
        <w:t>ember2020-01-042021-01-010000202058hrs:IntegratedMissionSystemsMemberus-gaap:TransferredOverTimeMemberus-gaap:FixedPriceContractMember2019-06-292020-01-030000202058hrs:IntegratedMissionSystemsMemberus-gaap:TransferredOverTimeMemberus-gaap:FixedPriceContrac</w:t>
      </w:r>
      <w:r>
        <w:rPr>
          <w:rFonts w:eastAsia="Times New Roman"/>
          <w:vanish/>
        </w:rPr>
        <w:t>tMember2018-06-302019-06-280000202058hrs:IntegratedMissionSystemsMemberus-gaap:TransferredOverTimeMemberus-gaap:FixedPriceContractMember2017-07-012018-06-290000202058hrs:IntegratedMissionSystemsMemberus-gaap:TransferredOverTimeMemberhrs:CostreimbursableMem</w:t>
      </w:r>
      <w:r>
        <w:rPr>
          <w:rFonts w:eastAsia="Times New Roman"/>
          <w:vanish/>
        </w:rPr>
        <w:t>ber2020-01-042021-01-010000202058hrs:IntegratedMissionSystemsMemberus-gaap:TransferredOverTimeMemberhrs:CostreimbursableMember2019-06-292020-01-030000202058hrs:IntegratedMissionSystemsMemberus-gaap:TransferredOverTimeMemberhrs:CostreimbursableMember2018-06</w:t>
      </w:r>
      <w:r>
        <w:rPr>
          <w:rFonts w:eastAsia="Times New Roman"/>
          <w:vanish/>
        </w:rPr>
        <w:t>-302019-06-280000202058hrs:IntegratedMissionSystemsMemberus-gaap:TransferredOverTimeMemberhrs:CostreimbursableMember2017-07-012018-06-290000202058hrs:IntegratedMissionSystemsMemberus-gaap:TransferredOverTimeMembercountry:US2020-01-042021-01-010000202058hrs</w:t>
      </w:r>
      <w:r>
        <w:rPr>
          <w:rFonts w:eastAsia="Times New Roman"/>
          <w:vanish/>
        </w:rPr>
        <w:t>:IntegratedMissionSystemsMemberus-gaap:TransferredOverTimeMembercountry:US2019-06-292020-01-030000202058hrs:IntegratedMissionSystemsMemberus-gaap:TransferredOverTimeMembercountry:US2018-06-302019-06-280000202058hrs:IntegratedMissionSystemsMemberus-gaap:Tra</w:t>
      </w:r>
      <w:r>
        <w:rPr>
          <w:rFonts w:eastAsia="Times New Roman"/>
          <w:vanish/>
        </w:rPr>
        <w:t>nsferredOverTimeMembercountry:US2017-07-012018-06-290000202058us-gaap:NonUsMemberhrs:IntegratedMissionSystemsMemberus-gaap:TransferredOverTimeMember2020-01-042021-01-010000202058us-gaap:NonUsMemberhrs:IntegratedMissionSystemsMemberus-gaap:TransferredOverTi</w:t>
      </w:r>
      <w:r>
        <w:rPr>
          <w:rFonts w:eastAsia="Times New Roman"/>
          <w:vanish/>
        </w:rPr>
        <w:t>meMember2019-06-292020-01-030000202058us-gaap:NonUsMemberhrs:IntegratedMissionSystemsMemberus-gaap:TransferredOverTimeMember2018-06-302019-06-280000202058us-gaap:NonUsMemberhrs:IntegratedMissionSystemsMemberus-gaap:TransferredOverTimeMember2017-07-012018-0</w:t>
      </w:r>
      <w:r>
        <w:rPr>
          <w:rFonts w:eastAsia="Times New Roman"/>
          <w:vanish/>
        </w:rPr>
        <w:t>6-290000202058us-gaap:SalesChannelDirectlyToConsumerMemberus-gaap:TransferredOverTimeMemberhrs:SpaceandAirborneSystemsMember2020-01-042021-01-010000202058us-gaap:SalesChannelDirectlyToConsumerMemberus-gaap:TransferredOverTimeMemberhrs:SpaceandAirborneSyste</w:t>
      </w:r>
      <w:r>
        <w:rPr>
          <w:rFonts w:eastAsia="Times New Roman"/>
          <w:vanish/>
        </w:rPr>
        <w:t>msMember2019-06-292020-01-030000202058us-gaap:SalesChannelDirectlyToConsumerMemberus-gaap:TransferredOverTimeMemberhrs:SpaceandAirborneSystemsMember2018-06-302019-06-280000202058us-gaap:SalesChannelDirectlyToConsumerMemberus-gaap:TransferredOverTimeMemberh</w:t>
      </w:r>
      <w:r>
        <w:rPr>
          <w:rFonts w:eastAsia="Times New Roman"/>
          <w:vanish/>
        </w:rPr>
        <w:t>rs:SpaceandAirborneSystemsMember2017-07-012018-06-290000202058us-gaap:SalesChannelThroughIntermediaryMemberus-gaap:TransferredOverTimeMemberhrs:SpaceandAirborneSystemsMember2020-01-042021-01-010000202058us-gaap:SalesChannelThroughIntermediaryMemberus-gaap:</w:t>
      </w:r>
      <w:r>
        <w:rPr>
          <w:rFonts w:eastAsia="Times New Roman"/>
          <w:vanish/>
        </w:rPr>
        <w:t>TransferredOverTimeMemberhrs:SpaceandAirborneSystemsMember2019-06-292020-01-030000202058us-gaap:SalesChannelThroughIntermediaryMemberus-gaap:TransferredOverTimeMemberhrs:SpaceandAirborneSystemsMember2018-06-302019-06-280000202058us-gaap:SalesChannelThrough</w:t>
      </w:r>
      <w:r>
        <w:rPr>
          <w:rFonts w:eastAsia="Times New Roman"/>
          <w:vanish/>
        </w:rPr>
        <w:t>IntermediaryMemberus-gaap:TransferredOverTimeMemberhrs:SpaceandAirborneSystemsMember2017-07-012018-06-290000202058us-gaap:TransferredOverTimeMemberhrs:SpaceandAirborneSystemsMember2020-01-042021-01-010000202058us-gaap:TransferredOverTimeMemberhrs:SpaceandA</w:t>
      </w:r>
      <w:r>
        <w:rPr>
          <w:rFonts w:eastAsia="Times New Roman"/>
          <w:vanish/>
        </w:rPr>
        <w:t>irborneSystemsMember2019-06-292020-01-030000202058us-gaap:TransferredOverTimeMemberhrs:SpaceandAirborneSystemsMember2018-06-302019-06-280000202058us-gaap:TransferredOverTimeMemberhrs:SpaceandAirborneSystemsMember2017-07-012018-06-290000202058us-gaap:Transf</w:t>
      </w:r>
      <w:r>
        <w:rPr>
          <w:rFonts w:eastAsia="Times New Roman"/>
          <w:vanish/>
        </w:rPr>
        <w:t>erredOverTimeMemberus-gaap:FixedPriceContractMemberhrs:SpaceandAirborneSystemsMember2020-01-042021-01-010000202058us-gaap:TransferredOverTimeMemberus-gaap:FixedPriceContractMemberhrs:SpaceandAirborneSystemsMember2019-06-292020-01-030000202058us-gaap:Transf</w:t>
      </w:r>
      <w:r>
        <w:rPr>
          <w:rFonts w:eastAsia="Times New Roman"/>
          <w:vanish/>
        </w:rPr>
        <w:t>erredOverTimeMemberus-gaap:FixedPriceContractMemberhrs:SpaceandAirborneSystemsMember2018-06-302019-06-280000202058us-gaap:TransferredOverTimeMemberus-gaap:FixedPriceContractMemberhrs:SpaceandAirborneSystemsMember2017-07-012018-06-290000202058us-gaap:Transf</w:t>
      </w:r>
      <w:r>
        <w:rPr>
          <w:rFonts w:eastAsia="Times New Roman"/>
          <w:vanish/>
        </w:rPr>
        <w:t>erredOverTimeMemberhrs:SpaceandAirborneSystemsMemberhrs:CostreimbursableMember2020-01-042021-01-010000202058us-gaap:TransferredOverTimeMemberhrs:SpaceandAirborneSystemsMemberhrs:CostreimbursableMember2019-06-292020-01-030000202058us-gaap:TransferredOverTim</w:t>
      </w:r>
      <w:r>
        <w:rPr>
          <w:rFonts w:eastAsia="Times New Roman"/>
          <w:vanish/>
        </w:rPr>
        <w:t>eMemberhrs:SpaceandAirborneSystemsMemberhrs:CostreimbursableMember2018-06-302019-06-280000202058us-gaap:TransferredOverTimeMemberhrs:SpaceandAirborneSystemsMemberhrs:CostreimbursableMember2017-07-012018-06-290000202058us-gaap:TransferredOverTimeMembercount</w:t>
      </w:r>
      <w:r>
        <w:rPr>
          <w:rFonts w:eastAsia="Times New Roman"/>
          <w:vanish/>
        </w:rPr>
        <w:t>ry:UShrs:SpaceandAirborneSystemsMember2020-01-042021-01-010000202058us-gaap:TransferredOverTimeMembercountry:UShrs:SpaceandAirborneSystemsMember2019-06-292020-01-030000202058us-gaap:TransferredOverTimeMembercountry:UShrs:SpaceandAirborneSystemsMember2018-0</w:t>
      </w:r>
      <w:r>
        <w:rPr>
          <w:rFonts w:eastAsia="Times New Roman"/>
          <w:vanish/>
        </w:rPr>
        <w:t>6-302019-06-280000202058us-gaap:TransferredOverTimeMembercountry:UShrs:SpaceandAirborneSystemsMember2017-07-012018-06-290000202058us-gaap:NonUsMemberus-gaap:TransferredOverTimeMemberhrs:SpaceandAirborneSystemsMember2020-01-042021-01-010000202058us-gaap:Non</w:t>
      </w:r>
      <w:r>
        <w:rPr>
          <w:rFonts w:eastAsia="Times New Roman"/>
          <w:vanish/>
        </w:rPr>
        <w:t>UsMemberus-gaap:TransferredOverTimeMemberhrs:SpaceandAirborneSystemsMember2019-06-292020-01-030000202058us-gaap:NonUsMemberus-gaap:TransferredOverTimeMemberhrs:SpaceandAirborneSystemsMember2018-06-302019-06-280000202058us-gaap:NonUsMemberus-gaap:Transferre</w:t>
      </w:r>
      <w:r>
        <w:rPr>
          <w:rFonts w:eastAsia="Times New Roman"/>
          <w:vanish/>
        </w:rPr>
        <w:t>dOverTimeMemberhrs:SpaceandAirborneSystemsMember2017-07-012018-06-290000202058us-gaap:TransferredAtPointInTimeMemberus-gaap:SalesChannelDirectlyToConsumerMemberhrs:CommunicationSystemsMember2020-01-042021-01-010000202058us-gaap:TransferredAtPointInTimeMemb</w:t>
      </w:r>
      <w:r>
        <w:rPr>
          <w:rFonts w:eastAsia="Times New Roman"/>
          <w:vanish/>
        </w:rPr>
        <w:t>erus-gaap:SalesChannelDirectlyToConsumerMemberhrs:CommunicationSystemsMember2019-06-292020-01-030000202058us-gaap:TransferredAtPointInTimeMemberus-gaap:SalesChannelThroughIntermediaryMemberhrs:CommunicationSystemsMember2020-01-042021-01-010000202058us-gaap</w:t>
      </w:r>
      <w:r>
        <w:rPr>
          <w:rFonts w:eastAsia="Times New Roman"/>
          <w:vanish/>
        </w:rPr>
        <w:t>:TransferredAtPointInTimeMemberus-gaap:SalesChannelThroughIntermediaryMemberhrs:CommunicationSystemsMember2019-06-292020-01-030000202058us-gaap:TransferredAtPointInTimeMemberhrs:CommunicationSystemsMember2020-01-042021-01-010000202058us-gaap:TransferredAtP</w:t>
      </w:r>
      <w:r>
        <w:rPr>
          <w:rFonts w:eastAsia="Times New Roman"/>
          <w:vanish/>
        </w:rPr>
        <w:t>ointInTimeMemberhrs:CommunicationSystemsMember2019-06-292020-01-030000202058us-gaap:TransferredAtPointInTimeMemberus-gaap:FixedPriceContractMemberhrs:CommunicationSystemsMember2020-01-042021-01-010000202058us-gaap:TransferredAtPointInTimeMemberus-gaap:Fixe</w:t>
      </w:r>
      <w:r>
        <w:rPr>
          <w:rFonts w:eastAsia="Times New Roman"/>
          <w:vanish/>
        </w:rPr>
        <w:t>dPriceContractMemberhrs:CommunicationSystemsMember2019-06-292020-01-030000202058us-gaap:TransferredAtPointInTimeMemberhrs:CommunicationSystemsMemberhrs:CostreimbursableMember2020-01-042021-01-010000202058us-gaap:TransferredAtPointInTimeMemberhrs:Communicat</w:t>
      </w:r>
      <w:r>
        <w:rPr>
          <w:rFonts w:eastAsia="Times New Roman"/>
          <w:vanish/>
        </w:rPr>
        <w:t>ionSystemsMemberhrs:CostreimbursableMember2019-06-292020-01-030000202058us-gaap:TransferredAtPointInTimeMembercountry:UShrs:CommunicationSystemsMember2020-01-042021-01-010000202058us-gaap:TransferredAtPointInTimeMembercountry:UShrs:CommunicationSystemsMemb</w:t>
      </w:r>
      <w:r>
        <w:rPr>
          <w:rFonts w:eastAsia="Times New Roman"/>
          <w:vanish/>
        </w:rPr>
        <w:t>er2019-06-292020-01-030000202058us-gaap:TransferredAtPointInTimeMembercountry:UShrs:CommunicationSystemsMember2018-06-302019-06-280000202058us-gaap:TransferredAtPointInTimeMembercountry:UShrs:CommunicationSystemsMember2017-07-012018-06-290000202058us-gaap:</w:t>
      </w:r>
      <w:r>
        <w:rPr>
          <w:rFonts w:eastAsia="Times New Roman"/>
          <w:vanish/>
        </w:rPr>
        <w:t>TransferredAtPointInTimeMemberus-gaap:NonUsMemberhrs:CommunicationSystemsMember2020-01-042021-01-010000202058us-gaap:TransferredAtPointInTimeMemberus-gaap:NonUsMemberhrs:CommunicationSystemsMember2019-06-292020-01-030000202058us-gaap:TransferredAtPointInTi</w:t>
      </w:r>
      <w:r>
        <w:rPr>
          <w:rFonts w:eastAsia="Times New Roman"/>
          <w:vanish/>
        </w:rPr>
        <w:t>meMemberus-gaap:NonUsMemberhrs:CommunicationSystemsMember2018-06-302019-06-280000202058us-gaap:TransferredAtPointInTimeMemberus-gaap:NonUsMemberhrs:CommunicationSystemsMember2017-07-012018-06-290000202058us-gaap:TransferredAtPointInTimeMemberhrs:Communicat</w:t>
      </w:r>
      <w:r>
        <w:rPr>
          <w:rFonts w:eastAsia="Times New Roman"/>
          <w:vanish/>
        </w:rPr>
        <w:t>ionSystemsMember2018-06-302019-06-280000202058us-gaap:TransferredAtPointInTimeMemberhrs:CommunicationSystemsMember2017-07-012018-06-290000202058us-gaap:TransferredAtPointInTimeMemberus-gaap:SalesChannelDirectlyToConsumerMemberhrs:AviationSystemsMember2020-</w:t>
      </w:r>
      <w:r>
        <w:rPr>
          <w:rFonts w:eastAsia="Times New Roman"/>
          <w:vanish/>
        </w:rPr>
        <w:t>01-042021-01-010000202058us-gaap:TransferredAtPointInTimeMemberus-gaap:SalesChannelDirectlyToConsumerMemberhrs:AviationSystemsMember2019-06-292020-01-030000202058us-gaap:TransferredAtPointInTimeMemberus-gaap:SalesChannelDirectlyToConsumerMemberhrs:Aviation</w:t>
      </w:r>
      <w:r>
        <w:rPr>
          <w:rFonts w:eastAsia="Times New Roman"/>
          <w:vanish/>
        </w:rPr>
        <w:t>SystemsMember2018-06-302019-06-280000202058us-gaap:TransferredAtPointInTimeMemberus-gaap:SalesChannelDirectlyToConsumerMemberhrs:AviationSystemsMember2017-07-012018-06-290000202058us-gaap:TransferredAtPointInTimeMemberus-gaap:SalesChannelThroughIntermediar</w:t>
      </w:r>
      <w:r>
        <w:rPr>
          <w:rFonts w:eastAsia="Times New Roman"/>
          <w:vanish/>
        </w:rPr>
        <w:t>yMemberhrs:AviationSystemsMember2020-01-042021-01-010000202058us-gaap:TransferredAtPointInTimeMemberus-gaap:SalesChannelThroughIntermediaryMemberhrs:AviationSystemsMember2019-06-292020-01-030000202058us-gaap:TransferredAtPointInTimeMemberus-gaap:SalesChann</w:t>
      </w:r>
      <w:r>
        <w:rPr>
          <w:rFonts w:eastAsia="Times New Roman"/>
          <w:vanish/>
        </w:rPr>
        <w:t>elThroughIntermediaryMemberhrs:AviationSystemsMember2018-06-302019-06-280000202058us-gaap:TransferredAtPointInTimeMemberus-gaap:SalesChannelThroughIntermediaryMemberhrs:AviationSystemsMember2017-07-012018-06-290000202058us-gaap:TransferredAtPointInTimeMemb</w:t>
      </w:r>
      <w:r>
        <w:rPr>
          <w:rFonts w:eastAsia="Times New Roman"/>
          <w:vanish/>
        </w:rPr>
        <w:t>erhrs:AviationSystemsMember2020-01-042021-01-010000202058us-gaap:TransferredAtPointInTimeMemberhrs:AviationSystemsMember2019-06-292020-01-030000202058us-gaap:TransferredAtPointInTimeMemberhrs:AviationSystemsMember2018-06-302019-06-280000202058us-gaap:Trans</w:t>
      </w:r>
      <w:r>
        <w:rPr>
          <w:rFonts w:eastAsia="Times New Roman"/>
          <w:vanish/>
        </w:rPr>
        <w:t>ferredAtPointInTimeMemberhrs:AviationSystemsMember2017-07-012018-06-290000202058us-gaap:TransferredAtPointInTimeMemberus-gaap:FixedPriceContractMemberhrs:AviationSystemsMember2020-01-042021-01-010000202058us-gaap:TransferredAtPointInTimeMemberus-gaap:Fixed</w:t>
      </w:r>
      <w:r>
        <w:rPr>
          <w:rFonts w:eastAsia="Times New Roman"/>
          <w:vanish/>
        </w:rPr>
        <w:t>PriceContractMemberhrs:AviationSystemsMember2019-06-292020-01-030000202058us-gaap:TransferredAtPointInTimeMemberus-gaap:FixedPriceContractMemberhrs:AviationSystemsMember2018-06-302019-06-280000202058us-gaap:TransferredAtPointInTimeMemberus-gaap:FixedPriceC</w:t>
      </w:r>
      <w:r>
        <w:rPr>
          <w:rFonts w:eastAsia="Times New Roman"/>
          <w:vanish/>
        </w:rPr>
        <w:t>ontractMemberhrs:AviationSystemsMember2017-07-012018-06-290000202058us-gaap:TransferredAtPointInTimeMemberhrs:AviationSystemsMemberhrs:CostreimbursableMember2020-01-042021-01-010000202058us-gaap:TransferredAtPointInTimeMemberhrs:AviationSystemsMemberhrs:Co</w:t>
      </w:r>
      <w:r>
        <w:rPr>
          <w:rFonts w:eastAsia="Times New Roman"/>
          <w:vanish/>
        </w:rPr>
        <w:t>streimbursableMember2019-06-292020-01-030000202058us-gaap:TransferredAtPointInTimeMemberhrs:AviationSystemsMemberhrs:CostreimbursableMember2018-06-302019-06-280000202058us-gaap:TransferredAtPointInTimeMemberhrs:AviationSystemsMemberhrs:CostreimbursableMemb</w:t>
      </w:r>
      <w:r>
        <w:rPr>
          <w:rFonts w:eastAsia="Times New Roman"/>
          <w:vanish/>
        </w:rPr>
        <w:t>er2017-07-012018-06-290000202058us-gaap:TransferredAtPointInTimeMembercountry:UShrs:AviationSystemsMember2020-01-042021-01-010000202058us-gaap:TransferredAtPointInTimeMembercountry:UShrs:AviationSystemsMember2019-06-292020-01-030000202058us-gaap:Transferre</w:t>
      </w:r>
      <w:r>
        <w:rPr>
          <w:rFonts w:eastAsia="Times New Roman"/>
          <w:vanish/>
        </w:rPr>
        <w:t>dAtPointInTimeMembercountry:UShrs:AviationSystemsMember2018-06-302019-06-280000202058us-gaap:TransferredAtPointInTimeMembercountry:UShrs:AviationSystemsMember2017-07-012018-06-290000202058us-gaap:TransferredAtPointInTimeMemberus-gaap:NonUsMemberhrs:Aviatio</w:t>
      </w:r>
      <w:r>
        <w:rPr>
          <w:rFonts w:eastAsia="Times New Roman"/>
          <w:vanish/>
        </w:rPr>
        <w:t>nSystemsMember2020-01-042021-01-010000202058us-gaap:TransferredAtPointInTimeMemberus-gaap:NonUsMemberhrs:AviationSystemsMember2019-06-292020-01-030000202058us-gaap:TransferredAtPointInTimeMemberus-gaap:NonUsMemberhrs:AviationSystemsMember2018-06-302019-06-</w:t>
      </w:r>
      <w:r>
        <w:rPr>
          <w:rFonts w:eastAsia="Times New Roman"/>
          <w:vanish/>
        </w:rPr>
        <w:t>280000202058us-gaap:TransferredAtPointInTimeMemberus-gaap:NonUsMemberhrs:AviationSystemsMember2017-07-012018-06-290000202058us-gaap:TransferredAtPointInTimeMemberhrs:AviationSystemsMember2018-06-302018-12-280000202058us-gaap:TransferredAtPointInTimeMemberh</w:t>
      </w:r>
      <w:r>
        <w:rPr>
          <w:rFonts w:eastAsia="Times New Roman"/>
          <w:vanish/>
        </w:rPr>
        <w:t>rs:AviationSystemsMember2017-07-012017-12-290000202058hrs:IntegratedMissionSystemsMemberus-gaap:OperatingSegmentsMember2021-01-010000202058hrs:IntegratedMissionSystemsMemberus-gaap:OperatingSegmentsMember2020-01-030000202058us-gaap:OperatingSegmentsMemberh</w:t>
      </w:r>
      <w:r>
        <w:rPr>
          <w:rFonts w:eastAsia="Times New Roman"/>
          <w:vanish/>
        </w:rPr>
        <w:t>rs:SpaceandAirborneSystemsMember2021-01-010000202058us-gaap:OperatingSegmentsMemberhrs:SpaceandAirborneSystemsMember2020-01-030000202058us-gaap:OperatingSegmentsMemberhrs:CommunicationSystemsMember2021-01-010000202058us-gaap:OperatingSegmentsMemberhrs:Comm</w:t>
      </w:r>
      <w:r>
        <w:rPr>
          <w:rFonts w:eastAsia="Times New Roman"/>
          <w:vanish/>
        </w:rPr>
        <w:t>unicationSystemsMember2020-01-030000202058us-gaap:OperatingSegmentsMemberhrs:AviationSystemsMember2021-01-010000202058us-gaap:OperatingSegmentsMemberhrs:AviationSystemsMember2020-01-030000202058us-gaap:CorporateNonSegmentMember2021-01-010000202058us-gaap:C</w:t>
      </w:r>
      <w:r>
        <w:rPr>
          <w:rFonts w:eastAsia="Times New Roman"/>
          <w:vanish/>
        </w:rPr>
        <w:t>orporateNonSegmentMember2020-01-030000202058hrs:ExelisMemberus-gaap:CorporateNonSegmentMember2021-01-010000202058hrs:ExelisMemberus-gaap:CorporateNonSegmentMember2020-01-030000202058country:US2020-01-042021-01-010000202058country:US2019-06-292020-01-030000</w:t>
      </w:r>
      <w:r>
        <w:rPr>
          <w:rFonts w:eastAsia="Times New Roman"/>
          <w:vanish/>
        </w:rPr>
        <w:t>202058country:US2018-06-302019-06-280000202058country:US2017-07-012018-06-290000202058country:US2021-01-010000202058country:US2020-01-030000202058country:US2019-06-280000202058country:US2018-06-290000202058us-gaap:NonUsMember2020-01-042021-01-010000202058u</w:t>
      </w:r>
      <w:r>
        <w:rPr>
          <w:rFonts w:eastAsia="Times New Roman"/>
          <w:vanish/>
        </w:rPr>
        <w:t>s-gaap:NonUsMember2019-06-292020-01-030000202058us-gaap:NonUsMember2018-06-302019-06-280000202058us-gaap:NonUsMember2017-07-012018-06-290000202058us-gaap:NonUsMember2021-01-010000202058us-gaap:NonUsMember2020-01-030000202058us-gaap:NonUsMember2019-06-28000</w:t>
      </w:r>
      <w:r>
        <w:rPr>
          <w:rFonts w:eastAsia="Times New Roman"/>
          <w:vanish/>
        </w:rPr>
        <w:t>0202058us-gaap:NonUsMember2018-06-290000202058us-gaap:GovernmentContractsConcentrationRiskMemberus-gaap:RevenueFromContractWithCustomerMember2020-01-042021-01-010000202058us-gaap:GovernmentContractsConcentrationRiskMemberus-gaap:RevenueFromContractWithCust</w:t>
      </w:r>
      <w:r>
        <w:rPr>
          <w:rFonts w:eastAsia="Times New Roman"/>
          <w:vanish/>
        </w:rPr>
        <w:t>omerMember2019-06-292020-01-030000202058us-gaap:GovernmentContractsConcentrationRiskMemberus-gaap:RevenueFromContractWithCustomerMember2018-06-302019-06-280000202058us-gaap:GovernmentContractsConcentrationRiskMemberus-gaap:RevenueFromContractWithCustomerMe</w:t>
      </w:r>
      <w:r>
        <w:rPr>
          <w:rFonts w:eastAsia="Times New Roman"/>
          <w:vanish/>
        </w:rPr>
        <w:t>mber2017-07-012018-06-290000202058us-gaap:SalesRevenueSegmentMemberhrs:IntegratedMissionSystemsMemberus-gaap:ProductConcentrationRiskMember2020-01-042021-01-010000202058us-gaap:SalesRevenueSegmentMemberus-gaap:ProductConcentrationRiskMemberhrs:SpaceandAirb</w:t>
      </w:r>
      <w:r>
        <w:rPr>
          <w:rFonts w:eastAsia="Times New Roman"/>
          <w:vanish/>
        </w:rPr>
        <w:t>orneSystemsMember2020-01-042021-01-010000202058us-gaap:SalesRevenueSegmentMemberus-gaap:ProductConcentrationRiskMemberhrs:CommunicationSystemsMember2020-01-042021-01-010000202058us-gaap:SalesRevenueSegmentMemberhrs:AviationSystemsMemberus-gaap:ProductConce</w:t>
      </w:r>
      <w:r>
        <w:rPr>
          <w:rFonts w:eastAsia="Times New Roman"/>
          <w:vanish/>
        </w:rPr>
        <w:t>ntrationRiskMember2020-01-042021-01-010000202058us-gaap:SalesRevenueProductLineMemberus-gaap:NonUsMemberus-gaap:GeographicConcentrationRiskMember2020-01-042021-01-010000202058us-gaap:SalesRevenueProductLineMemberus-gaap:NonUsMemberus-gaap:GeographicConcent</w:t>
      </w:r>
      <w:r>
        <w:rPr>
          <w:rFonts w:eastAsia="Times New Roman"/>
          <w:vanish/>
        </w:rPr>
        <w:t>rationRiskMember2019-06-292020-01-030000202058us-gaap:SalesRevenueProductLineMemberus-gaap:NonUsMemberus-gaap:GeographicConcentrationRiskMember2018-06-302019-06-280000202058us-gaap:SalesRevenueProductLineMemberus-gaap:NonUsMemberus-gaap:GeographicConcentra</w:t>
      </w:r>
      <w:r>
        <w:rPr>
          <w:rFonts w:eastAsia="Times New Roman"/>
          <w:vanish/>
        </w:rPr>
        <w:t>tionRiskMember2017-07-012018-06-290000202058us-gaap:SettledLitigationMemberus-gaap:UnfavorableRegulatoryActionMember2019-09-300000202058us-gaap:SettledLitigationMemberus-gaap:UnfavorableRegulatoryActionMember2019-09-012019-09-30hrs:responsible_party0000202</w:t>
      </w:r>
      <w:r>
        <w:rPr>
          <w:rFonts w:eastAsia="Times New Roman"/>
          <w:vanish/>
        </w:rPr>
        <w:t>058hrs:ExelisMemberhrs:PassaicRiverAlaskaMember2016-03-012016-03-310000202058hrs:ExelisMemberhrs:PassaicRiverAlaskaMember2020-01-042021-01-0100002020582018-12-292020-01-0300002020582018-06-302018-12-280000202058us-gaap:SubsequentEventMemberhrs:ShareRepurch</w:t>
      </w:r>
      <w:r>
        <w:rPr>
          <w:rFonts w:eastAsia="Times New Roman"/>
          <w:vanish/>
        </w:rPr>
        <w:t>aseProgram2021Member2021-01-280000202058us-gaap:SubsequentEventMember2021-03-010000202058us-gaap:SubsequentEventMembersrt:ScenarioForecastMemberhrs:ShareRepurchaseProgram2021Member2021-01-022021-12-310000202058us-gaap:DisposalGroupNotDiscontinuedOperations</w:t>
      </w:r>
      <w:r>
        <w:rPr>
          <w:rFonts w:eastAsia="Times New Roman"/>
          <w:vanish/>
        </w:rPr>
        <w:t>Memberus-gaap:SubsequentEventMember2021-01-022021-03-010000202058us-gaap:DisposalGroupNotDiscontinuedOperationsMemberhrs:MilitaryTrainingBusinessMemberus-gaap:SubsequentEventMemberhrs:AviationSystemsMember2021-02-270000202058us-gaap:DisposalGroupNotDiscont</w:t>
      </w:r>
      <w:r>
        <w:rPr>
          <w:rFonts w:eastAsia="Times New Roman"/>
          <w:vanish/>
        </w:rPr>
        <w:t>inuedOperationsMemberhrs:MilitaryTrainingBusinessMemberhrs:AviationSystemsMember2020-01-042021-01-010000202058us-gaap:DisposalGroupNotDiscontinuedOperationsMemberus-gaap:SubsequentEventMemberhrs:AviationSystemsMemberhrs:CombatPropulsionSystemsMember2021-03</w:t>
      </w:r>
      <w:r>
        <w:rPr>
          <w:rFonts w:eastAsia="Times New Roman"/>
          <w:vanish/>
        </w:rPr>
        <w:t>-010000202058us-gaap:DisposalGroupNotDiscontinuedOperationsMemberhrs:AviationSystemsMemberhrs:CombatPropulsionSystemsMember2020-01-042021-01-01</w:t>
      </w:r>
    </w:p>
    <w:p w14:paraId="2ECE1E85" w14:textId="77777777" w:rsidR="00000000" w:rsidRDefault="001A570A">
      <w:pPr>
        <w:ind w:firstLine="450"/>
        <w:jc w:val="center"/>
        <w:divId w:val="2074697656"/>
        <w:rPr>
          <w:rFonts w:eastAsia="Times New Roman"/>
        </w:rPr>
      </w:pPr>
    </w:p>
    <w:p w14:paraId="34759355" w14:textId="77777777" w:rsidR="00000000" w:rsidRDefault="001A570A">
      <w:pPr>
        <w:ind w:firstLine="450"/>
        <w:jc w:val="center"/>
        <w:divId w:val="57170456"/>
        <w:rPr>
          <w:rFonts w:eastAsia="Times New Roman"/>
        </w:rPr>
      </w:pPr>
    </w:p>
    <w:p w14:paraId="1DA1F481" w14:textId="77777777" w:rsidR="00000000" w:rsidRDefault="001A570A">
      <w:pPr>
        <w:ind w:firstLine="450"/>
        <w:jc w:val="center"/>
        <w:divId w:val="1842425877"/>
        <w:rPr>
          <w:rFonts w:eastAsia="Times New Roman"/>
        </w:rPr>
      </w:pPr>
    </w:p>
    <w:p w14:paraId="692DBD6C" w14:textId="77777777" w:rsidR="00000000" w:rsidRDefault="001A570A">
      <w:pPr>
        <w:ind w:firstLine="450"/>
        <w:jc w:val="center"/>
        <w:divId w:val="924915994"/>
        <w:rPr>
          <w:rFonts w:eastAsia="Times New Roman"/>
        </w:rPr>
      </w:pPr>
    </w:p>
    <w:p w14:paraId="1AC8B9CB" w14:textId="77777777" w:rsidR="00000000" w:rsidRDefault="001A570A">
      <w:pPr>
        <w:ind w:firstLine="450"/>
        <w:jc w:val="center"/>
        <w:divId w:val="184877720"/>
        <w:rPr>
          <w:rFonts w:eastAsia="Times New Roman"/>
        </w:rPr>
      </w:pPr>
    </w:p>
    <w:p w14:paraId="218C6741" w14:textId="77777777" w:rsidR="00000000" w:rsidRDefault="001A570A">
      <w:pPr>
        <w:ind w:firstLine="450"/>
        <w:jc w:val="center"/>
        <w:rPr>
          <w:rFonts w:eastAsia="Times New Roman"/>
        </w:rPr>
      </w:pPr>
      <w:r>
        <w:rPr>
          <w:rFonts w:eastAsia="Times New Roman"/>
          <w:b/>
          <w:bCs/>
          <w:color w:val="000000"/>
          <w:sz w:val="20"/>
          <w:szCs w:val="20"/>
        </w:rPr>
        <w:t>UNITED STATES</w:t>
      </w:r>
    </w:p>
    <w:p w14:paraId="2261FF88" w14:textId="77777777" w:rsidR="00000000" w:rsidRDefault="001A570A">
      <w:pPr>
        <w:ind w:firstLine="450"/>
        <w:jc w:val="center"/>
        <w:rPr>
          <w:rFonts w:eastAsia="Times New Roman"/>
        </w:rPr>
      </w:pPr>
      <w:r>
        <w:rPr>
          <w:rFonts w:eastAsia="Times New Roman"/>
          <w:b/>
          <w:bCs/>
          <w:color w:val="000000"/>
          <w:sz w:val="28"/>
          <w:szCs w:val="28"/>
        </w:rPr>
        <w:t>SECURITIES AND EXCHANGE COMMISSION</w:t>
      </w:r>
    </w:p>
    <w:p w14:paraId="2494D2DC" w14:textId="77777777" w:rsidR="00000000" w:rsidRDefault="001A570A">
      <w:pPr>
        <w:ind w:firstLine="450"/>
        <w:jc w:val="center"/>
        <w:rPr>
          <w:rFonts w:eastAsia="Times New Roman"/>
        </w:rPr>
      </w:pPr>
      <w:r>
        <w:rPr>
          <w:rFonts w:eastAsia="Times New Roman"/>
          <w:b/>
          <w:bCs/>
          <w:color w:val="000000"/>
          <w:sz w:val="20"/>
          <w:szCs w:val="20"/>
        </w:rPr>
        <w:t>WASHINGTON, D.C. 20549</w:t>
      </w:r>
    </w:p>
    <w:p w14:paraId="7C69FC36" w14:textId="77777777" w:rsidR="00000000" w:rsidRDefault="001A570A">
      <w:pPr>
        <w:ind w:firstLine="450"/>
        <w:jc w:val="center"/>
        <w:rPr>
          <w:rFonts w:eastAsia="Times New Roman"/>
        </w:rPr>
      </w:pPr>
      <w:r>
        <w:rPr>
          <w:rFonts w:eastAsia="Times New Roman"/>
          <w:b/>
          <w:bCs/>
          <w:color w:val="000000"/>
          <w:sz w:val="28"/>
          <w:szCs w:val="28"/>
        </w:rPr>
        <w:t xml:space="preserve">FORM 10-K </w:t>
      </w:r>
    </w:p>
    <w:p w14:paraId="08FDAFF6" w14:textId="77777777" w:rsidR="00000000" w:rsidRDefault="001A570A">
      <w:pPr>
        <w:ind w:firstLine="450"/>
        <w:divId w:val="974793850"/>
        <w:rPr>
          <w:rFonts w:eastAsia="Times New Roman"/>
        </w:rPr>
      </w:pPr>
      <w:r>
        <w:rPr>
          <w:rFonts w:eastAsia="Times New Roman"/>
          <w:b/>
          <w:bCs/>
          <w:color w:val="000000"/>
          <w:sz w:val="16"/>
          <w:szCs w:val="16"/>
        </w:rPr>
        <w:t>(Mark One)</w:t>
      </w:r>
    </w:p>
    <w:tbl>
      <w:tblPr>
        <w:tblW w:w="4913" w:type="pct"/>
        <w:tblCellMar>
          <w:top w:w="15" w:type="dxa"/>
          <w:left w:w="15" w:type="dxa"/>
          <w:bottom w:w="15" w:type="dxa"/>
          <w:right w:w="15" w:type="dxa"/>
        </w:tblCellMar>
        <w:tblLook w:val="04A0" w:firstRow="1" w:lastRow="0" w:firstColumn="1" w:lastColumn="0" w:noHBand="0" w:noVBand="1"/>
      </w:tblPr>
      <w:tblGrid>
        <w:gridCol w:w="67"/>
        <w:gridCol w:w="290"/>
        <w:gridCol w:w="36"/>
        <w:gridCol w:w="68"/>
        <w:gridCol w:w="7664"/>
        <w:gridCol w:w="36"/>
      </w:tblGrid>
      <w:tr w:rsidR="00000000" w14:paraId="624C9954" w14:textId="77777777">
        <w:trPr>
          <w:divId w:val="426652967"/>
        </w:trPr>
        <w:tc>
          <w:tcPr>
            <w:tcW w:w="50" w:type="pct"/>
            <w:vAlign w:val="center"/>
            <w:hideMark/>
          </w:tcPr>
          <w:p w14:paraId="07542C17" w14:textId="77777777" w:rsidR="00000000" w:rsidRDefault="001A570A">
            <w:pPr>
              <w:ind w:firstLine="450"/>
              <w:rPr>
                <w:rFonts w:eastAsia="Times New Roman"/>
              </w:rPr>
            </w:pPr>
          </w:p>
        </w:tc>
        <w:tc>
          <w:tcPr>
            <w:tcW w:w="186" w:type="pct"/>
            <w:vAlign w:val="center"/>
            <w:hideMark/>
          </w:tcPr>
          <w:p w14:paraId="432C18EA" w14:textId="77777777" w:rsidR="00000000" w:rsidRDefault="001A570A">
            <w:pPr>
              <w:rPr>
                <w:rFonts w:eastAsia="Times New Roman"/>
                <w:sz w:val="20"/>
                <w:szCs w:val="20"/>
              </w:rPr>
            </w:pPr>
          </w:p>
        </w:tc>
        <w:tc>
          <w:tcPr>
            <w:tcW w:w="5" w:type="pct"/>
            <w:vAlign w:val="center"/>
            <w:hideMark/>
          </w:tcPr>
          <w:p w14:paraId="0DC4A972" w14:textId="77777777" w:rsidR="00000000" w:rsidRDefault="001A570A">
            <w:pPr>
              <w:rPr>
                <w:rFonts w:eastAsia="Times New Roman"/>
                <w:sz w:val="20"/>
                <w:szCs w:val="20"/>
              </w:rPr>
            </w:pPr>
          </w:p>
        </w:tc>
        <w:tc>
          <w:tcPr>
            <w:tcW w:w="50" w:type="pct"/>
            <w:vAlign w:val="center"/>
            <w:hideMark/>
          </w:tcPr>
          <w:p w14:paraId="4CA5251F" w14:textId="77777777" w:rsidR="00000000" w:rsidRDefault="001A570A">
            <w:pPr>
              <w:rPr>
                <w:rFonts w:eastAsia="Times New Roman"/>
                <w:sz w:val="20"/>
                <w:szCs w:val="20"/>
              </w:rPr>
            </w:pPr>
          </w:p>
        </w:tc>
        <w:tc>
          <w:tcPr>
            <w:tcW w:w="4703" w:type="pct"/>
            <w:vAlign w:val="center"/>
            <w:hideMark/>
          </w:tcPr>
          <w:p w14:paraId="768E04A1" w14:textId="77777777" w:rsidR="00000000" w:rsidRDefault="001A570A">
            <w:pPr>
              <w:rPr>
                <w:rFonts w:eastAsia="Times New Roman"/>
                <w:sz w:val="20"/>
                <w:szCs w:val="20"/>
              </w:rPr>
            </w:pPr>
          </w:p>
        </w:tc>
        <w:tc>
          <w:tcPr>
            <w:tcW w:w="5" w:type="pct"/>
            <w:vAlign w:val="center"/>
            <w:hideMark/>
          </w:tcPr>
          <w:p w14:paraId="415483AF" w14:textId="77777777" w:rsidR="00000000" w:rsidRDefault="001A570A">
            <w:pPr>
              <w:rPr>
                <w:rFonts w:eastAsia="Times New Roman"/>
                <w:sz w:val="20"/>
                <w:szCs w:val="20"/>
              </w:rPr>
            </w:pPr>
          </w:p>
        </w:tc>
      </w:tr>
      <w:tr w:rsidR="00000000" w14:paraId="2435F171" w14:textId="77777777">
        <w:trPr>
          <w:divId w:val="426652967"/>
        </w:trPr>
        <w:tc>
          <w:tcPr>
            <w:tcW w:w="0" w:type="auto"/>
            <w:gridSpan w:val="3"/>
            <w:tcMar>
              <w:top w:w="30" w:type="dxa"/>
              <w:left w:w="20" w:type="dxa"/>
              <w:bottom w:w="30" w:type="dxa"/>
              <w:right w:w="20" w:type="dxa"/>
            </w:tcMar>
            <w:hideMark/>
          </w:tcPr>
          <w:p w14:paraId="2FA313AB" w14:textId="77777777" w:rsidR="00000000" w:rsidRDefault="001A570A">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1E364D08" w14:textId="77777777" w:rsidR="00000000" w:rsidRDefault="001A570A">
            <w:pPr>
              <w:rPr>
                <w:rFonts w:eastAsia="Times New Roman"/>
              </w:rPr>
            </w:pPr>
            <w:r>
              <w:rPr>
                <w:rFonts w:eastAsia="Times New Roman"/>
                <w:color w:val="000000"/>
                <w:sz w:val="20"/>
                <w:szCs w:val="20"/>
              </w:rPr>
              <w:t>ANNUAL REPORT PURSUANT TO SECTION 13 OR 15(d) OF THE SECURITIES EXCHANGE ACT OF 1934</w:t>
            </w:r>
          </w:p>
        </w:tc>
      </w:tr>
    </w:tbl>
    <w:p w14:paraId="447C451B" w14:textId="77777777" w:rsidR="00000000" w:rsidRDefault="001A570A">
      <w:pPr>
        <w:ind w:firstLine="450"/>
        <w:jc w:val="center"/>
        <w:divId w:val="820653222"/>
        <w:rPr>
          <w:rFonts w:eastAsia="Times New Roman"/>
        </w:rPr>
      </w:pPr>
      <w:r>
        <w:rPr>
          <w:rFonts w:eastAsia="Times New Roman"/>
          <w:b/>
          <w:bCs/>
          <w:color w:val="000000"/>
          <w:sz w:val="20"/>
          <w:szCs w:val="20"/>
        </w:rPr>
        <w:t xml:space="preserve">For the fiscal year ended January 1, 2021 </w:t>
      </w:r>
    </w:p>
    <w:p w14:paraId="6E73FA77" w14:textId="77777777" w:rsidR="00000000" w:rsidRDefault="001A570A">
      <w:pPr>
        <w:ind w:firstLine="450"/>
        <w:jc w:val="center"/>
        <w:rPr>
          <w:rFonts w:eastAsia="Times New Roman"/>
        </w:rPr>
      </w:pPr>
      <w:r>
        <w:rPr>
          <w:rFonts w:eastAsia="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14:paraId="5EBA1052" w14:textId="77777777">
        <w:trPr>
          <w:divId w:val="914977003"/>
        </w:trPr>
        <w:tc>
          <w:tcPr>
            <w:tcW w:w="50" w:type="pct"/>
            <w:vAlign w:val="center"/>
            <w:hideMark/>
          </w:tcPr>
          <w:p w14:paraId="725CA961" w14:textId="77777777" w:rsidR="00000000" w:rsidRDefault="001A570A">
            <w:pPr>
              <w:ind w:firstLine="450"/>
              <w:jc w:val="center"/>
              <w:rPr>
                <w:rFonts w:eastAsia="Times New Roman"/>
              </w:rPr>
            </w:pPr>
          </w:p>
        </w:tc>
        <w:tc>
          <w:tcPr>
            <w:tcW w:w="182" w:type="pct"/>
            <w:vAlign w:val="center"/>
            <w:hideMark/>
          </w:tcPr>
          <w:p w14:paraId="67DADBB5" w14:textId="77777777" w:rsidR="00000000" w:rsidRDefault="001A570A">
            <w:pPr>
              <w:rPr>
                <w:rFonts w:eastAsia="Times New Roman"/>
                <w:sz w:val="20"/>
                <w:szCs w:val="20"/>
              </w:rPr>
            </w:pPr>
          </w:p>
        </w:tc>
        <w:tc>
          <w:tcPr>
            <w:tcW w:w="5" w:type="pct"/>
            <w:vAlign w:val="center"/>
            <w:hideMark/>
          </w:tcPr>
          <w:p w14:paraId="522B9721" w14:textId="77777777" w:rsidR="00000000" w:rsidRDefault="001A570A">
            <w:pPr>
              <w:rPr>
                <w:rFonts w:eastAsia="Times New Roman"/>
                <w:sz w:val="20"/>
                <w:szCs w:val="20"/>
              </w:rPr>
            </w:pPr>
          </w:p>
        </w:tc>
        <w:tc>
          <w:tcPr>
            <w:tcW w:w="50" w:type="pct"/>
            <w:vAlign w:val="center"/>
            <w:hideMark/>
          </w:tcPr>
          <w:p w14:paraId="6D51A7CD" w14:textId="77777777" w:rsidR="00000000" w:rsidRDefault="001A570A">
            <w:pPr>
              <w:rPr>
                <w:rFonts w:eastAsia="Times New Roman"/>
                <w:sz w:val="20"/>
                <w:szCs w:val="20"/>
              </w:rPr>
            </w:pPr>
          </w:p>
        </w:tc>
        <w:tc>
          <w:tcPr>
            <w:tcW w:w="4707" w:type="pct"/>
            <w:vAlign w:val="center"/>
            <w:hideMark/>
          </w:tcPr>
          <w:p w14:paraId="709F4301" w14:textId="77777777" w:rsidR="00000000" w:rsidRDefault="001A570A">
            <w:pPr>
              <w:rPr>
                <w:rFonts w:eastAsia="Times New Roman"/>
                <w:sz w:val="20"/>
                <w:szCs w:val="20"/>
              </w:rPr>
            </w:pPr>
          </w:p>
        </w:tc>
        <w:tc>
          <w:tcPr>
            <w:tcW w:w="5" w:type="pct"/>
            <w:vAlign w:val="center"/>
            <w:hideMark/>
          </w:tcPr>
          <w:p w14:paraId="28DA6DFB" w14:textId="77777777" w:rsidR="00000000" w:rsidRDefault="001A570A">
            <w:pPr>
              <w:rPr>
                <w:rFonts w:eastAsia="Times New Roman"/>
                <w:sz w:val="20"/>
                <w:szCs w:val="20"/>
              </w:rPr>
            </w:pPr>
          </w:p>
        </w:tc>
      </w:tr>
      <w:tr w:rsidR="00000000" w14:paraId="16777C88" w14:textId="77777777">
        <w:trPr>
          <w:divId w:val="914977003"/>
        </w:trPr>
        <w:tc>
          <w:tcPr>
            <w:tcW w:w="0" w:type="auto"/>
            <w:gridSpan w:val="3"/>
            <w:tcMar>
              <w:top w:w="30" w:type="dxa"/>
              <w:left w:w="20" w:type="dxa"/>
              <w:bottom w:w="30" w:type="dxa"/>
              <w:right w:w="20" w:type="dxa"/>
            </w:tcMar>
            <w:vAlign w:val="bottom"/>
            <w:hideMark/>
          </w:tcPr>
          <w:p w14:paraId="23110756" w14:textId="77777777" w:rsidR="00000000" w:rsidRDefault="001A570A">
            <w:pPr>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14:paraId="5F533725" w14:textId="77777777" w:rsidR="00000000" w:rsidRDefault="001A570A">
            <w:pPr>
              <w:rPr>
                <w:rFonts w:eastAsia="Times New Roman"/>
              </w:rPr>
            </w:pPr>
            <w:r>
              <w:rPr>
                <w:rFonts w:eastAsia="Times New Roman"/>
                <w:color w:val="000000"/>
                <w:sz w:val="20"/>
                <w:szCs w:val="20"/>
              </w:rPr>
              <w:t>TRANSITION REPORT PURSUANT TO SECTION </w:t>
            </w:r>
            <w:r>
              <w:rPr>
                <w:rFonts w:eastAsia="Times New Roman"/>
                <w:color w:val="000000"/>
                <w:sz w:val="20"/>
                <w:szCs w:val="20"/>
              </w:rPr>
              <w:t>13 OR 15(d) OF THE SECURITIES EXCHANGE ACT OF 1934</w:t>
            </w:r>
          </w:p>
        </w:tc>
      </w:tr>
      <w:tr w:rsidR="00000000" w14:paraId="20747974" w14:textId="77777777">
        <w:trPr>
          <w:divId w:val="914977003"/>
        </w:trPr>
        <w:tc>
          <w:tcPr>
            <w:tcW w:w="0" w:type="auto"/>
            <w:gridSpan w:val="3"/>
            <w:tcMar>
              <w:top w:w="0" w:type="dxa"/>
              <w:left w:w="20" w:type="dxa"/>
              <w:bottom w:w="0" w:type="dxa"/>
              <w:right w:w="20" w:type="dxa"/>
            </w:tcMar>
            <w:vAlign w:val="center"/>
            <w:hideMark/>
          </w:tcPr>
          <w:p w14:paraId="00F12B14"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3F0E3E2F" w14:textId="77777777" w:rsidR="00000000" w:rsidRDefault="001A570A">
            <w:pPr>
              <w:jc w:val="center"/>
              <w:rPr>
                <w:rFonts w:eastAsia="Times New Roman"/>
              </w:rPr>
            </w:pPr>
            <w:r>
              <w:rPr>
                <w:rFonts w:eastAsia="Times New Roman"/>
                <w:b/>
                <w:bCs/>
                <w:color w:val="000000"/>
                <w:sz w:val="20"/>
                <w:szCs w:val="20"/>
              </w:rPr>
              <w:t>For the transition period from _______________ to ______________</w:t>
            </w:r>
          </w:p>
        </w:tc>
      </w:tr>
    </w:tbl>
    <w:p w14:paraId="2F64170E" w14:textId="77777777" w:rsidR="00000000" w:rsidRDefault="001A570A">
      <w:pPr>
        <w:ind w:firstLine="450"/>
        <w:jc w:val="center"/>
        <w:divId w:val="63722081"/>
        <w:rPr>
          <w:rFonts w:eastAsia="Times New Roman"/>
        </w:rPr>
      </w:pPr>
      <w:r>
        <w:rPr>
          <w:rFonts w:eastAsia="Times New Roman"/>
          <w:color w:val="000000"/>
          <w:sz w:val="20"/>
          <w:szCs w:val="20"/>
        </w:rPr>
        <w:t xml:space="preserve">Commission File Number 1-3863 </w:t>
      </w:r>
    </w:p>
    <w:p w14:paraId="2DD54B9B" w14:textId="77777777" w:rsidR="00000000" w:rsidRDefault="001A570A">
      <w:pPr>
        <w:ind w:firstLine="450"/>
        <w:jc w:val="center"/>
        <w:rPr>
          <w:rFonts w:eastAsia="Times New Roman"/>
        </w:rPr>
      </w:pPr>
      <w:r>
        <w:rPr>
          <w:rFonts w:eastAsia="Times New Roman"/>
          <w:noProof/>
        </w:rPr>
        <w:drawing>
          <wp:inline distT="0" distB="0" distL="0" distR="0" wp14:anchorId="2CCF3346" wp14:editId="23EEC6E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C232C7" w14:textId="77777777" w:rsidR="00000000" w:rsidRDefault="001A570A">
      <w:pPr>
        <w:ind w:firstLine="450"/>
        <w:jc w:val="center"/>
        <w:rPr>
          <w:rFonts w:eastAsia="Times New Roman"/>
        </w:rPr>
      </w:pPr>
      <w:r>
        <w:rPr>
          <w:rFonts w:eastAsia="Times New Roman"/>
          <w:b/>
          <w:bCs/>
          <w:color w:val="000000"/>
          <w:sz w:val="40"/>
          <w:szCs w:val="40"/>
        </w:rPr>
        <w:t xml:space="preserve">L3HARRIS TECHNOLOGIES, INC. </w:t>
      </w:r>
    </w:p>
    <w:p w14:paraId="3722E259" w14:textId="77777777" w:rsidR="00000000" w:rsidRDefault="001A570A">
      <w:pPr>
        <w:ind w:firstLine="450"/>
        <w:jc w:val="center"/>
        <w:rPr>
          <w:rFonts w:eastAsia="Times New Roman"/>
        </w:rPr>
      </w:pPr>
      <w:r>
        <w:rPr>
          <w:rFonts w:eastAsia="Times New Roman"/>
          <w:color w:val="000000"/>
          <w:sz w:val="16"/>
          <w:szCs w:val="16"/>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09"/>
        <w:gridCol w:w="38"/>
        <w:gridCol w:w="67"/>
        <w:gridCol w:w="647"/>
        <w:gridCol w:w="36"/>
        <w:gridCol w:w="68"/>
        <w:gridCol w:w="1148"/>
        <w:gridCol w:w="36"/>
        <w:gridCol w:w="68"/>
        <w:gridCol w:w="2940"/>
        <w:gridCol w:w="37"/>
      </w:tblGrid>
      <w:tr w:rsidR="00000000" w14:paraId="7B15F018" w14:textId="77777777">
        <w:trPr>
          <w:divId w:val="1600021111"/>
          <w:jc w:val="center"/>
        </w:trPr>
        <w:tc>
          <w:tcPr>
            <w:tcW w:w="50" w:type="pct"/>
            <w:vAlign w:val="center"/>
            <w:hideMark/>
          </w:tcPr>
          <w:p w14:paraId="505232F1" w14:textId="77777777" w:rsidR="00000000" w:rsidRDefault="001A570A">
            <w:pPr>
              <w:ind w:firstLine="450"/>
              <w:jc w:val="center"/>
              <w:rPr>
                <w:rFonts w:eastAsia="Times New Roman"/>
              </w:rPr>
            </w:pPr>
          </w:p>
        </w:tc>
        <w:tc>
          <w:tcPr>
            <w:tcW w:w="1852" w:type="pct"/>
            <w:vAlign w:val="center"/>
            <w:hideMark/>
          </w:tcPr>
          <w:p w14:paraId="7C7933BE" w14:textId="77777777" w:rsidR="00000000" w:rsidRDefault="001A570A">
            <w:pPr>
              <w:rPr>
                <w:rFonts w:eastAsia="Times New Roman"/>
                <w:sz w:val="20"/>
                <w:szCs w:val="20"/>
              </w:rPr>
            </w:pPr>
          </w:p>
        </w:tc>
        <w:tc>
          <w:tcPr>
            <w:tcW w:w="5" w:type="pct"/>
            <w:vAlign w:val="center"/>
            <w:hideMark/>
          </w:tcPr>
          <w:p w14:paraId="50C30B50" w14:textId="77777777" w:rsidR="00000000" w:rsidRDefault="001A570A">
            <w:pPr>
              <w:rPr>
                <w:rFonts w:eastAsia="Times New Roman"/>
                <w:sz w:val="20"/>
                <w:szCs w:val="20"/>
              </w:rPr>
            </w:pPr>
          </w:p>
        </w:tc>
        <w:tc>
          <w:tcPr>
            <w:tcW w:w="50" w:type="pct"/>
            <w:vAlign w:val="center"/>
            <w:hideMark/>
          </w:tcPr>
          <w:p w14:paraId="6595EFAD" w14:textId="77777777" w:rsidR="00000000" w:rsidRDefault="001A570A">
            <w:pPr>
              <w:rPr>
                <w:rFonts w:eastAsia="Times New Roman"/>
                <w:sz w:val="20"/>
                <w:szCs w:val="20"/>
              </w:rPr>
            </w:pPr>
          </w:p>
        </w:tc>
        <w:tc>
          <w:tcPr>
            <w:tcW w:w="405" w:type="pct"/>
            <w:vAlign w:val="center"/>
            <w:hideMark/>
          </w:tcPr>
          <w:p w14:paraId="4418A41A" w14:textId="77777777" w:rsidR="00000000" w:rsidRDefault="001A570A">
            <w:pPr>
              <w:rPr>
                <w:rFonts w:eastAsia="Times New Roman"/>
                <w:sz w:val="20"/>
                <w:szCs w:val="20"/>
              </w:rPr>
            </w:pPr>
          </w:p>
        </w:tc>
        <w:tc>
          <w:tcPr>
            <w:tcW w:w="5" w:type="pct"/>
            <w:vAlign w:val="center"/>
            <w:hideMark/>
          </w:tcPr>
          <w:p w14:paraId="005C54A3" w14:textId="77777777" w:rsidR="00000000" w:rsidRDefault="001A570A">
            <w:pPr>
              <w:rPr>
                <w:rFonts w:eastAsia="Times New Roman"/>
                <w:sz w:val="20"/>
                <w:szCs w:val="20"/>
              </w:rPr>
            </w:pPr>
          </w:p>
        </w:tc>
        <w:tc>
          <w:tcPr>
            <w:tcW w:w="50" w:type="pct"/>
            <w:vAlign w:val="center"/>
            <w:hideMark/>
          </w:tcPr>
          <w:p w14:paraId="7127A6DC" w14:textId="77777777" w:rsidR="00000000" w:rsidRDefault="001A570A">
            <w:pPr>
              <w:rPr>
                <w:rFonts w:eastAsia="Times New Roman"/>
                <w:sz w:val="20"/>
                <w:szCs w:val="20"/>
              </w:rPr>
            </w:pPr>
          </w:p>
        </w:tc>
        <w:tc>
          <w:tcPr>
            <w:tcW w:w="712" w:type="pct"/>
            <w:vAlign w:val="center"/>
            <w:hideMark/>
          </w:tcPr>
          <w:p w14:paraId="1939483A" w14:textId="77777777" w:rsidR="00000000" w:rsidRDefault="001A570A">
            <w:pPr>
              <w:rPr>
                <w:rFonts w:eastAsia="Times New Roman"/>
                <w:sz w:val="20"/>
                <w:szCs w:val="20"/>
              </w:rPr>
            </w:pPr>
          </w:p>
        </w:tc>
        <w:tc>
          <w:tcPr>
            <w:tcW w:w="5" w:type="pct"/>
            <w:vAlign w:val="center"/>
            <w:hideMark/>
          </w:tcPr>
          <w:p w14:paraId="45949623" w14:textId="77777777" w:rsidR="00000000" w:rsidRDefault="001A570A">
            <w:pPr>
              <w:rPr>
                <w:rFonts w:eastAsia="Times New Roman"/>
                <w:sz w:val="20"/>
                <w:szCs w:val="20"/>
              </w:rPr>
            </w:pPr>
          </w:p>
        </w:tc>
        <w:tc>
          <w:tcPr>
            <w:tcW w:w="50" w:type="pct"/>
            <w:vAlign w:val="center"/>
            <w:hideMark/>
          </w:tcPr>
          <w:p w14:paraId="705097FA" w14:textId="77777777" w:rsidR="00000000" w:rsidRDefault="001A570A">
            <w:pPr>
              <w:rPr>
                <w:rFonts w:eastAsia="Times New Roman"/>
                <w:sz w:val="20"/>
                <w:szCs w:val="20"/>
              </w:rPr>
            </w:pPr>
          </w:p>
        </w:tc>
        <w:tc>
          <w:tcPr>
            <w:tcW w:w="1809" w:type="pct"/>
            <w:vAlign w:val="center"/>
            <w:hideMark/>
          </w:tcPr>
          <w:p w14:paraId="5EE334CD" w14:textId="77777777" w:rsidR="00000000" w:rsidRDefault="001A570A">
            <w:pPr>
              <w:rPr>
                <w:rFonts w:eastAsia="Times New Roman"/>
                <w:sz w:val="20"/>
                <w:szCs w:val="20"/>
              </w:rPr>
            </w:pPr>
          </w:p>
        </w:tc>
        <w:tc>
          <w:tcPr>
            <w:tcW w:w="5" w:type="pct"/>
            <w:vAlign w:val="center"/>
            <w:hideMark/>
          </w:tcPr>
          <w:p w14:paraId="4D6D745D" w14:textId="77777777" w:rsidR="00000000" w:rsidRDefault="001A570A">
            <w:pPr>
              <w:rPr>
                <w:rFonts w:eastAsia="Times New Roman"/>
                <w:sz w:val="20"/>
                <w:szCs w:val="20"/>
              </w:rPr>
            </w:pPr>
          </w:p>
        </w:tc>
      </w:tr>
      <w:tr w:rsidR="00000000" w14:paraId="3CD8DB64" w14:textId="77777777">
        <w:trPr>
          <w:divId w:val="1600021111"/>
          <w:jc w:val="center"/>
        </w:trPr>
        <w:tc>
          <w:tcPr>
            <w:tcW w:w="0" w:type="auto"/>
            <w:gridSpan w:val="6"/>
            <w:tcMar>
              <w:top w:w="30" w:type="dxa"/>
              <w:left w:w="20" w:type="dxa"/>
              <w:bottom w:w="30" w:type="dxa"/>
              <w:right w:w="20" w:type="dxa"/>
            </w:tcMar>
            <w:hideMark/>
          </w:tcPr>
          <w:p w14:paraId="13A8C088" w14:textId="77777777" w:rsidR="00000000" w:rsidRDefault="001A570A">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4BEEE5F7"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6F9164A" w14:textId="77777777" w:rsidR="00000000" w:rsidRDefault="001A570A">
            <w:pPr>
              <w:jc w:val="center"/>
              <w:rPr>
                <w:rFonts w:eastAsia="Times New Roman"/>
              </w:rPr>
            </w:pPr>
            <w:r>
              <w:rPr>
                <w:rFonts w:eastAsia="Times New Roman"/>
                <w:b/>
                <w:bCs/>
                <w:color w:val="000000"/>
                <w:sz w:val="18"/>
                <w:szCs w:val="18"/>
              </w:rPr>
              <w:t>34-0276860</w:t>
            </w:r>
          </w:p>
        </w:tc>
      </w:tr>
      <w:tr w:rsidR="00000000" w14:paraId="73029588" w14:textId="77777777">
        <w:trPr>
          <w:divId w:val="1600021111"/>
          <w:jc w:val="center"/>
        </w:trPr>
        <w:tc>
          <w:tcPr>
            <w:tcW w:w="0" w:type="auto"/>
            <w:gridSpan w:val="6"/>
            <w:tcMar>
              <w:top w:w="30" w:type="dxa"/>
              <w:left w:w="20" w:type="dxa"/>
              <w:bottom w:w="30" w:type="dxa"/>
              <w:right w:w="20" w:type="dxa"/>
            </w:tcMar>
            <w:hideMark/>
          </w:tcPr>
          <w:p w14:paraId="6665623E" w14:textId="77777777" w:rsidR="00000000" w:rsidRDefault="001A570A">
            <w:pPr>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5A76D956"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1C7C98E7" w14:textId="77777777" w:rsidR="00000000" w:rsidRDefault="001A570A">
            <w:pPr>
              <w:jc w:val="center"/>
              <w:rPr>
                <w:rFonts w:eastAsia="Times New Roman"/>
              </w:rPr>
            </w:pPr>
            <w:r>
              <w:rPr>
                <w:rFonts w:eastAsia="Times New Roman"/>
                <w:color w:val="000000"/>
                <w:sz w:val="16"/>
                <w:szCs w:val="16"/>
              </w:rPr>
              <w:t>(I.R.S. Employer Identification No.)</w:t>
            </w:r>
          </w:p>
        </w:tc>
      </w:tr>
    </w:tbl>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14:paraId="4566C352" w14:textId="77777777">
        <w:tc>
          <w:tcPr>
            <w:tcW w:w="50" w:type="pct"/>
            <w:vAlign w:val="center"/>
            <w:hideMark/>
          </w:tcPr>
          <w:p w14:paraId="452F646A" w14:textId="77777777" w:rsidR="00000000" w:rsidRDefault="001A570A">
            <w:pPr>
              <w:jc w:val="center"/>
              <w:rPr>
                <w:rFonts w:eastAsia="Times New Roman"/>
              </w:rPr>
            </w:pPr>
          </w:p>
        </w:tc>
        <w:tc>
          <w:tcPr>
            <w:tcW w:w="1065" w:type="pct"/>
            <w:vAlign w:val="center"/>
            <w:hideMark/>
          </w:tcPr>
          <w:p w14:paraId="462C0076" w14:textId="77777777" w:rsidR="00000000" w:rsidRDefault="001A570A">
            <w:pPr>
              <w:rPr>
                <w:rFonts w:eastAsia="Times New Roman"/>
                <w:sz w:val="20"/>
                <w:szCs w:val="20"/>
              </w:rPr>
            </w:pPr>
          </w:p>
        </w:tc>
        <w:tc>
          <w:tcPr>
            <w:tcW w:w="5" w:type="pct"/>
            <w:vAlign w:val="center"/>
            <w:hideMark/>
          </w:tcPr>
          <w:p w14:paraId="211A936C" w14:textId="77777777" w:rsidR="00000000" w:rsidRDefault="001A570A">
            <w:pPr>
              <w:rPr>
                <w:rFonts w:eastAsia="Times New Roman"/>
                <w:sz w:val="20"/>
                <w:szCs w:val="20"/>
              </w:rPr>
            </w:pPr>
          </w:p>
        </w:tc>
        <w:tc>
          <w:tcPr>
            <w:tcW w:w="50" w:type="pct"/>
            <w:vAlign w:val="center"/>
            <w:hideMark/>
          </w:tcPr>
          <w:p w14:paraId="139666EF" w14:textId="77777777" w:rsidR="00000000" w:rsidRDefault="001A570A">
            <w:pPr>
              <w:rPr>
                <w:rFonts w:eastAsia="Times New Roman"/>
                <w:sz w:val="20"/>
                <w:szCs w:val="20"/>
              </w:rPr>
            </w:pPr>
          </w:p>
        </w:tc>
        <w:tc>
          <w:tcPr>
            <w:tcW w:w="303" w:type="pct"/>
            <w:vAlign w:val="center"/>
            <w:hideMark/>
          </w:tcPr>
          <w:p w14:paraId="0BF7AA5B" w14:textId="77777777" w:rsidR="00000000" w:rsidRDefault="001A570A">
            <w:pPr>
              <w:rPr>
                <w:rFonts w:eastAsia="Times New Roman"/>
                <w:sz w:val="20"/>
                <w:szCs w:val="20"/>
              </w:rPr>
            </w:pPr>
          </w:p>
        </w:tc>
        <w:tc>
          <w:tcPr>
            <w:tcW w:w="5" w:type="pct"/>
            <w:vAlign w:val="center"/>
            <w:hideMark/>
          </w:tcPr>
          <w:p w14:paraId="374F1C22" w14:textId="77777777" w:rsidR="00000000" w:rsidRDefault="001A570A">
            <w:pPr>
              <w:rPr>
                <w:rFonts w:eastAsia="Times New Roman"/>
                <w:sz w:val="20"/>
                <w:szCs w:val="20"/>
              </w:rPr>
            </w:pPr>
          </w:p>
        </w:tc>
        <w:tc>
          <w:tcPr>
            <w:tcW w:w="50" w:type="pct"/>
            <w:vAlign w:val="center"/>
            <w:hideMark/>
          </w:tcPr>
          <w:p w14:paraId="70F70B3B" w14:textId="77777777" w:rsidR="00000000" w:rsidRDefault="001A570A">
            <w:pPr>
              <w:rPr>
                <w:rFonts w:eastAsia="Times New Roman"/>
                <w:sz w:val="20"/>
                <w:szCs w:val="20"/>
              </w:rPr>
            </w:pPr>
          </w:p>
        </w:tc>
        <w:tc>
          <w:tcPr>
            <w:tcW w:w="684" w:type="pct"/>
            <w:vAlign w:val="center"/>
            <w:hideMark/>
          </w:tcPr>
          <w:p w14:paraId="5076D031" w14:textId="77777777" w:rsidR="00000000" w:rsidRDefault="001A570A">
            <w:pPr>
              <w:rPr>
                <w:rFonts w:eastAsia="Times New Roman"/>
                <w:sz w:val="20"/>
                <w:szCs w:val="20"/>
              </w:rPr>
            </w:pPr>
          </w:p>
        </w:tc>
        <w:tc>
          <w:tcPr>
            <w:tcW w:w="5" w:type="pct"/>
            <w:vAlign w:val="center"/>
            <w:hideMark/>
          </w:tcPr>
          <w:p w14:paraId="791DC815" w14:textId="77777777" w:rsidR="00000000" w:rsidRDefault="001A570A">
            <w:pPr>
              <w:rPr>
                <w:rFonts w:eastAsia="Times New Roman"/>
                <w:sz w:val="20"/>
                <w:szCs w:val="20"/>
              </w:rPr>
            </w:pPr>
          </w:p>
        </w:tc>
        <w:tc>
          <w:tcPr>
            <w:tcW w:w="50" w:type="pct"/>
            <w:vAlign w:val="center"/>
            <w:hideMark/>
          </w:tcPr>
          <w:p w14:paraId="0691B722" w14:textId="77777777" w:rsidR="00000000" w:rsidRDefault="001A570A">
            <w:pPr>
              <w:rPr>
                <w:rFonts w:eastAsia="Times New Roman"/>
                <w:sz w:val="20"/>
                <w:szCs w:val="20"/>
              </w:rPr>
            </w:pPr>
          </w:p>
        </w:tc>
        <w:tc>
          <w:tcPr>
            <w:tcW w:w="860" w:type="pct"/>
            <w:vAlign w:val="center"/>
            <w:hideMark/>
          </w:tcPr>
          <w:p w14:paraId="1F2B3D3D" w14:textId="77777777" w:rsidR="00000000" w:rsidRDefault="001A570A">
            <w:pPr>
              <w:rPr>
                <w:rFonts w:eastAsia="Times New Roman"/>
                <w:sz w:val="20"/>
                <w:szCs w:val="20"/>
              </w:rPr>
            </w:pPr>
          </w:p>
        </w:tc>
        <w:tc>
          <w:tcPr>
            <w:tcW w:w="5" w:type="pct"/>
            <w:vAlign w:val="center"/>
            <w:hideMark/>
          </w:tcPr>
          <w:p w14:paraId="58D9153D" w14:textId="77777777" w:rsidR="00000000" w:rsidRDefault="001A570A">
            <w:pPr>
              <w:rPr>
                <w:rFonts w:eastAsia="Times New Roman"/>
                <w:sz w:val="20"/>
                <w:szCs w:val="20"/>
              </w:rPr>
            </w:pPr>
          </w:p>
        </w:tc>
        <w:tc>
          <w:tcPr>
            <w:tcW w:w="50" w:type="pct"/>
            <w:vAlign w:val="center"/>
            <w:hideMark/>
          </w:tcPr>
          <w:p w14:paraId="1B10BB53" w14:textId="77777777" w:rsidR="00000000" w:rsidRDefault="001A570A">
            <w:pPr>
              <w:rPr>
                <w:rFonts w:eastAsia="Times New Roman"/>
                <w:sz w:val="20"/>
                <w:szCs w:val="20"/>
              </w:rPr>
            </w:pPr>
          </w:p>
        </w:tc>
        <w:tc>
          <w:tcPr>
            <w:tcW w:w="1811" w:type="pct"/>
            <w:vAlign w:val="center"/>
            <w:hideMark/>
          </w:tcPr>
          <w:p w14:paraId="6BEF23C9" w14:textId="77777777" w:rsidR="00000000" w:rsidRDefault="001A570A">
            <w:pPr>
              <w:rPr>
                <w:rFonts w:eastAsia="Times New Roman"/>
                <w:sz w:val="20"/>
                <w:szCs w:val="20"/>
              </w:rPr>
            </w:pPr>
          </w:p>
        </w:tc>
        <w:tc>
          <w:tcPr>
            <w:tcW w:w="5" w:type="pct"/>
            <w:vAlign w:val="center"/>
            <w:hideMark/>
          </w:tcPr>
          <w:p w14:paraId="503CBE8B" w14:textId="77777777" w:rsidR="00000000" w:rsidRDefault="001A570A">
            <w:pPr>
              <w:rPr>
                <w:rFonts w:eastAsia="Times New Roman"/>
                <w:sz w:val="20"/>
                <w:szCs w:val="20"/>
              </w:rPr>
            </w:pPr>
          </w:p>
        </w:tc>
      </w:tr>
      <w:tr w:rsidR="00000000" w14:paraId="0F2464B6" w14:textId="77777777">
        <w:tc>
          <w:tcPr>
            <w:tcW w:w="0" w:type="auto"/>
            <w:gridSpan w:val="9"/>
            <w:tcMar>
              <w:top w:w="30" w:type="dxa"/>
              <w:left w:w="20" w:type="dxa"/>
              <w:bottom w:w="30" w:type="dxa"/>
              <w:right w:w="20" w:type="dxa"/>
            </w:tcMar>
            <w:vAlign w:val="bottom"/>
            <w:hideMark/>
          </w:tcPr>
          <w:p w14:paraId="125FFF0D" w14:textId="77777777" w:rsidR="00000000" w:rsidRDefault="001A570A">
            <w:pPr>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14:paraId="07C85C89" w14:textId="77777777" w:rsidR="00000000" w:rsidRDefault="001A570A">
            <w:pPr>
              <w:jc w:val="center"/>
              <w:rPr>
                <w:rFonts w:eastAsia="Times New Roman"/>
              </w:rPr>
            </w:pPr>
          </w:p>
        </w:tc>
        <w:tc>
          <w:tcPr>
            <w:tcW w:w="0" w:type="auto"/>
            <w:gridSpan w:val="3"/>
            <w:tcMar>
              <w:top w:w="0" w:type="dxa"/>
              <w:left w:w="20" w:type="dxa"/>
              <w:bottom w:w="0" w:type="dxa"/>
              <w:right w:w="20" w:type="dxa"/>
            </w:tcMar>
            <w:vAlign w:val="center"/>
            <w:hideMark/>
          </w:tcPr>
          <w:p w14:paraId="2C9299D6" w14:textId="77777777" w:rsidR="00000000" w:rsidRDefault="001A570A">
            <w:pPr>
              <w:rPr>
                <w:rFonts w:eastAsia="Times New Roman"/>
                <w:sz w:val="20"/>
                <w:szCs w:val="20"/>
              </w:rPr>
            </w:pPr>
          </w:p>
        </w:tc>
      </w:tr>
      <w:tr w:rsidR="00000000" w14:paraId="3C8F69C6" w14:textId="77777777">
        <w:tc>
          <w:tcPr>
            <w:tcW w:w="0" w:type="auto"/>
            <w:gridSpan w:val="3"/>
            <w:tcMar>
              <w:top w:w="30" w:type="dxa"/>
              <w:left w:w="20" w:type="dxa"/>
              <w:bottom w:w="30" w:type="dxa"/>
              <w:right w:w="20" w:type="dxa"/>
            </w:tcMar>
            <w:vAlign w:val="bottom"/>
            <w:hideMark/>
          </w:tcPr>
          <w:p w14:paraId="023855EA" w14:textId="77777777" w:rsidR="00000000" w:rsidRDefault="001A570A">
            <w:pPr>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14:paraId="4644A389" w14:textId="77777777" w:rsidR="00000000" w:rsidRDefault="001A570A">
            <w:pPr>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14:paraId="52429B15"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0445D14"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39B3AA0C" w14:textId="77777777" w:rsidR="00000000" w:rsidRDefault="001A570A">
            <w:pPr>
              <w:jc w:val="center"/>
              <w:rPr>
                <w:rFonts w:eastAsia="Times New Roman"/>
              </w:rPr>
            </w:pPr>
            <w:r>
              <w:rPr>
                <w:rFonts w:eastAsia="Times New Roman"/>
                <w:b/>
                <w:bCs/>
                <w:color w:val="000000"/>
                <w:sz w:val="18"/>
                <w:szCs w:val="18"/>
              </w:rPr>
              <w:t>32919</w:t>
            </w:r>
          </w:p>
        </w:tc>
      </w:tr>
      <w:tr w:rsidR="00000000" w14:paraId="37669016" w14:textId="77777777">
        <w:tc>
          <w:tcPr>
            <w:tcW w:w="0" w:type="auto"/>
            <w:gridSpan w:val="9"/>
            <w:tcMar>
              <w:top w:w="30" w:type="dxa"/>
              <w:left w:w="20" w:type="dxa"/>
              <w:bottom w:w="30" w:type="dxa"/>
              <w:right w:w="20" w:type="dxa"/>
            </w:tcMar>
            <w:hideMark/>
          </w:tcPr>
          <w:p w14:paraId="64D99B7B" w14:textId="77777777" w:rsidR="00000000" w:rsidRDefault="001A570A">
            <w:pPr>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14:paraId="0B2EB3A0" w14:textId="77777777" w:rsidR="00000000" w:rsidRDefault="001A570A">
            <w:pPr>
              <w:jc w:val="center"/>
              <w:rPr>
                <w:rFonts w:eastAsia="Times New Roman"/>
              </w:rPr>
            </w:pPr>
          </w:p>
        </w:tc>
        <w:tc>
          <w:tcPr>
            <w:tcW w:w="0" w:type="auto"/>
            <w:gridSpan w:val="3"/>
            <w:tcMar>
              <w:top w:w="30" w:type="dxa"/>
              <w:left w:w="20" w:type="dxa"/>
              <w:bottom w:w="30" w:type="dxa"/>
              <w:right w:w="20" w:type="dxa"/>
            </w:tcMar>
            <w:hideMark/>
          </w:tcPr>
          <w:p w14:paraId="19ADB0DB" w14:textId="77777777" w:rsidR="00000000" w:rsidRDefault="001A570A">
            <w:pPr>
              <w:jc w:val="center"/>
              <w:rPr>
                <w:rFonts w:eastAsia="Times New Roman"/>
              </w:rPr>
            </w:pPr>
            <w:r>
              <w:rPr>
                <w:rFonts w:eastAsia="Times New Roman"/>
                <w:color w:val="000000"/>
                <w:sz w:val="16"/>
                <w:szCs w:val="16"/>
              </w:rPr>
              <w:t>(Zip Code)</w:t>
            </w:r>
          </w:p>
        </w:tc>
      </w:tr>
    </w:tbl>
    <w:p w14:paraId="74B25D40" w14:textId="77777777" w:rsidR="00000000" w:rsidRDefault="001A570A">
      <w:pPr>
        <w:ind w:firstLine="450"/>
        <w:jc w:val="center"/>
        <w:rPr>
          <w:rFonts w:eastAsia="Times New Roman"/>
        </w:rPr>
      </w:pPr>
      <w:r>
        <w:rPr>
          <w:rFonts w:eastAsia="Times New Roman"/>
          <w:b/>
          <w:bCs/>
          <w:color w:val="000000"/>
          <w:sz w:val="18"/>
          <w:szCs w:val="18"/>
        </w:rPr>
        <w:t xml:space="preserve">Registrant’s telephone number, including area code: (321) 727-9100 </w:t>
      </w:r>
    </w:p>
    <w:tbl>
      <w:tblPr>
        <w:tblW w:w="4892" w:type="pct"/>
        <w:jc w:val="center"/>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14:paraId="4F366C48" w14:textId="77777777">
        <w:trPr>
          <w:divId w:val="999694737"/>
          <w:jc w:val="center"/>
        </w:trPr>
        <w:tc>
          <w:tcPr>
            <w:tcW w:w="50" w:type="pct"/>
            <w:vAlign w:val="center"/>
            <w:hideMark/>
          </w:tcPr>
          <w:p w14:paraId="79B06877" w14:textId="77777777" w:rsidR="00000000" w:rsidRDefault="001A570A">
            <w:pPr>
              <w:ind w:firstLine="450"/>
              <w:jc w:val="center"/>
              <w:rPr>
                <w:rFonts w:eastAsia="Times New Roman"/>
              </w:rPr>
            </w:pPr>
          </w:p>
        </w:tc>
        <w:tc>
          <w:tcPr>
            <w:tcW w:w="1758" w:type="pct"/>
            <w:vAlign w:val="center"/>
            <w:hideMark/>
          </w:tcPr>
          <w:p w14:paraId="7FA4A61F" w14:textId="77777777" w:rsidR="00000000" w:rsidRDefault="001A570A">
            <w:pPr>
              <w:rPr>
                <w:rFonts w:eastAsia="Times New Roman"/>
                <w:sz w:val="20"/>
                <w:szCs w:val="20"/>
              </w:rPr>
            </w:pPr>
          </w:p>
        </w:tc>
        <w:tc>
          <w:tcPr>
            <w:tcW w:w="5" w:type="pct"/>
            <w:vAlign w:val="center"/>
            <w:hideMark/>
          </w:tcPr>
          <w:p w14:paraId="6A85EE11" w14:textId="77777777" w:rsidR="00000000" w:rsidRDefault="001A570A">
            <w:pPr>
              <w:rPr>
                <w:rFonts w:eastAsia="Times New Roman"/>
                <w:sz w:val="20"/>
                <w:szCs w:val="20"/>
              </w:rPr>
            </w:pPr>
          </w:p>
        </w:tc>
        <w:tc>
          <w:tcPr>
            <w:tcW w:w="50" w:type="pct"/>
            <w:vAlign w:val="center"/>
            <w:hideMark/>
          </w:tcPr>
          <w:p w14:paraId="2F0AF74A" w14:textId="77777777" w:rsidR="00000000" w:rsidRDefault="001A570A">
            <w:pPr>
              <w:rPr>
                <w:rFonts w:eastAsia="Times New Roman"/>
                <w:sz w:val="20"/>
                <w:szCs w:val="20"/>
              </w:rPr>
            </w:pPr>
          </w:p>
        </w:tc>
        <w:tc>
          <w:tcPr>
            <w:tcW w:w="143" w:type="pct"/>
            <w:vAlign w:val="center"/>
            <w:hideMark/>
          </w:tcPr>
          <w:p w14:paraId="52BDA80D" w14:textId="77777777" w:rsidR="00000000" w:rsidRDefault="001A570A">
            <w:pPr>
              <w:rPr>
                <w:rFonts w:eastAsia="Times New Roman"/>
                <w:sz w:val="20"/>
                <w:szCs w:val="20"/>
              </w:rPr>
            </w:pPr>
          </w:p>
        </w:tc>
        <w:tc>
          <w:tcPr>
            <w:tcW w:w="5" w:type="pct"/>
            <w:vAlign w:val="center"/>
            <w:hideMark/>
          </w:tcPr>
          <w:p w14:paraId="50E4D037" w14:textId="77777777" w:rsidR="00000000" w:rsidRDefault="001A570A">
            <w:pPr>
              <w:rPr>
                <w:rFonts w:eastAsia="Times New Roman"/>
                <w:sz w:val="20"/>
                <w:szCs w:val="20"/>
              </w:rPr>
            </w:pPr>
          </w:p>
        </w:tc>
        <w:tc>
          <w:tcPr>
            <w:tcW w:w="50" w:type="pct"/>
            <w:vAlign w:val="center"/>
            <w:hideMark/>
          </w:tcPr>
          <w:p w14:paraId="7514B17B" w14:textId="77777777" w:rsidR="00000000" w:rsidRDefault="001A570A">
            <w:pPr>
              <w:rPr>
                <w:rFonts w:eastAsia="Times New Roman"/>
                <w:sz w:val="20"/>
                <w:szCs w:val="20"/>
              </w:rPr>
            </w:pPr>
          </w:p>
        </w:tc>
        <w:tc>
          <w:tcPr>
            <w:tcW w:w="921" w:type="pct"/>
            <w:vAlign w:val="center"/>
            <w:hideMark/>
          </w:tcPr>
          <w:p w14:paraId="35E9C447" w14:textId="77777777" w:rsidR="00000000" w:rsidRDefault="001A570A">
            <w:pPr>
              <w:rPr>
                <w:rFonts w:eastAsia="Times New Roman"/>
                <w:sz w:val="20"/>
                <w:szCs w:val="20"/>
              </w:rPr>
            </w:pPr>
          </w:p>
        </w:tc>
        <w:tc>
          <w:tcPr>
            <w:tcW w:w="5" w:type="pct"/>
            <w:vAlign w:val="center"/>
            <w:hideMark/>
          </w:tcPr>
          <w:p w14:paraId="641BB6BA" w14:textId="77777777" w:rsidR="00000000" w:rsidRDefault="001A570A">
            <w:pPr>
              <w:rPr>
                <w:rFonts w:eastAsia="Times New Roman"/>
                <w:sz w:val="20"/>
                <w:szCs w:val="20"/>
              </w:rPr>
            </w:pPr>
          </w:p>
        </w:tc>
        <w:tc>
          <w:tcPr>
            <w:tcW w:w="50" w:type="pct"/>
            <w:vAlign w:val="center"/>
            <w:hideMark/>
          </w:tcPr>
          <w:p w14:paraId="163DDCBB" w14:textId="77777777" w:rsidR="00000000" w:rsidRDefault="001A570A">
            <w:pPr>
              <w:rPr>
                <w:rFonts w:eastAsia="Times New Roman"/>
                <w:sz w:val="20"/>
                <w:szCs w:val="20"/>
              </w:rPr>
            </w:pPr>
          </w:p>
        </w:tc>
        <w:tc>
          <w:tcPr>
            <w:tcW w:w="143" w:type="pct"/>
            <w:vAlign w:val="center"/>
            <w:hideMark/>
          </w:tcPr>
          <w:p w14:paraId="5E49BFA2" w14:textId="77777777" w:rsidR="00000000" w:rsidRDefault="001A570A">
            <w:pPr>
              <w:rPr>
                <w:rFonts w:eastAsia="Times New Roman"/>
                <w:sz w:val="20"/>
                <w:szCs w:val="20"/>
              </w:rPr>
            </w:pPr>
          </w:p>
        </w:tc>
        <w:tc>
          <w:tcPr>
            <w:tcW w:w="5" w:type="pct"/>
            <w:vAlign w:val="center"/>
            <w:hideMark/>
          </w:tcPr>
          <w:p w14:paraId="4E49918D" w14:textId="77777777" w:rsidR="00000000" w:rsidRDefault="001A570A">
            <w:pPr>
              <w:rPr>
                <w:rFonts w:eastAsia="Times New Roman"/>
                <w:sz w:val="20"/>
                <w:szCs w:val="20"/>
              </w:rPr>
            </w:pPr>
          </w:p>
        </w:tc>
        <w:tc>
          <w:tcPr>
            <w:tcW w:w="50" w:type="pct"/>
            <w:vAlign w:val="center"/>
            <w:hideMark/>
          </w:tcPr>
          <w:p w14:paraId="7761B70B" w14:textId="77777777" w:rsidR="00000000" w:rsidRDefault="001A570A">
            <w:pPr>
              <w:rPr>
                <w:rFonts w:eastAsia="Times New Roman"/>
                <w:sz w:val="20"/>
                <w:szCs w:val="20"/>
              </w:rPr>
            </w:pPr>
          </w:p>
        </w:tc>
        <w:tc>
          <w:tcPr>
            <w:tcW w:w="1758" w:type="pct"/>
            <w:vAlign w:val="center"/>
            <w:hideMark/>
          </w:tcPr>
          <w:p w14:paraId="7AB8259E" w14:textId="77777777" w:rsidR="00000000" w:rsidRDefault="001A570A">
            <w:pPr>
              <w:rPr>
                <w:rFonts w:eastAsia="Times New Roman"/>
                <w:sz w:val="20"/>
                <w:szCs w:val="20"/>
              </w:rPr>
            </w:pPr>
          </w:p>
        </w:tc>
        <w:tc>
          <w:tcPr>
            <w:tcW w:w="5" w:type="pct"/>
            <w:vAlign w:val="center"/>
            <w:hideMark/>
          </w:tcPr>
          <w:p w14:paraId="05880BB9" w14:textId="77777777" w:rsidR="00000000" w:rsidRDefault="001A570A">
            <w:pPr>
              <w:rPr>
                <w:rFonts w:eastAsia="Times New Roman"/>
                <w:sz w:val="20"/>
                <w:szCs w:val="20"/>
              </w:rPr>
            </w:pPr>
          </w:p>
        </w:tc>
      </w:tr>
      <w:tr w:rsidR="00000000" w14:paraId="69D39B66" w14:textId="77777777">
        <w:trPr>
          <w:divId w:val="999694737"/>
          <w:jc w:val="center"/>
        </w:trPr>
        <w:tc>
          <w:tcPr>
            <w:tcW w:w="0" w:type="auto"/>
            <w:gridSpan w:val="15"/>
            <w:tcMar>
              <w:top w:w="30" w:type="dxa"/>
              <w:left w:w="20" w:type="dxa"/>
              <w:bottom w:w="30" w:type="dxa"/>
              <w:right w:w="20" w:type="dxa"/>
            </w:tcMar>
            <w:vAlign w:val="bottom"/>
            <w:hideMark/>
          </w:tcPr>
          <w:p w14:paraId="75E4E935" w14:textId="77777777" w:rsidR="00000000" w:rsidRDefault="001A570A">
            <w:pPr>
              <w:jc w:val="center"/>
              <w:rPr>
                <w:rFonts w:eastAsia="Times New Roman"/>
              </w:rPr>
            </w:pPr>
            <w:r>
              <w:rPr>
                <w:rFonts w:eastAsia="Times New Roman"/>
                <w:b/>
                <w:bCs/>
                <w:color w:val="000000"/>
                <w:sz w:val="16"/>
                <w:szCs w:val="16"/>
              </w:rPr>
              <w:t>Securities registered pursuant to Section 12(b) of the Act:</w:t>
            </w:r>
          </w:p>
        </w:tc>
      </w:tr>
      <w:tr w:rsidR="00000000" w14:paraId="564A5683" w14:textId="77777777">
        <w:trPr>
          <w:divId w:val="999694737"/>
          <w:jc w:val="center"/>
        </w:trPr>
        <w:tc>
          <w:tcPr>
            <w:tcW w:w="0" w:type="auto"/>
            <w:gridSpan w:val="3"/>
            <w:tcMar>
              <w:top w:w="30" w:type="dxa"/>
              <w:left w:w="20" w:type="dxa"/>
              <w:bottom w:w="30" w:type="dxa"/>
              <w:right w:w="20" w:type="dxa"/>
            </w:tcMar>
            <w:vAlign w:val="bottom"/>
            <w:hideMark/>
          </w:tcPr>
          <w:p w14:paraId="75FD8FB6" w14:textId="77777777" w:rsidR="00000000" w:rsidRDefault="001A570A">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14:paraId="1B7F3C65"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B3CAB28" w14:textId="77777777" w:rsidR="00000000" w:rsidRDefault="001A570A">
            <w:pPr>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14:paraId="617F0DC6"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24042AA" w14:textId="77777777" w:rsidR="00000000" w:rsidRDefault="001A570A">
            <w:pPr>
              <w:jc w:val="center"/>
              <w:rPr>
                <w:rFonts w:eastAsia="Times New Roman"/>
              </w:rPr>
            </w:pPr>
            <w:r>
              <w:rPr>
                <w:rFonts w:eastAsia="Times New Roman"/>
                <w:b/>
                <w:bCs/>
                <w:color w:val="000000"/>
                <w:sz w:val="16"/>
                <w:szCs w:val="16"/>
              </w:rPr>
              <w:t>Name of each exchange on which registered</w:t>
            </w:r>
          </w:p>
        </w:tc>
      </w:tr>
      <w:tr w:rsidR="00000000" w14:paraId="6B433E91" w14:textId="77777777">
        <w:trPr>
          <w:divId w:val="999694737"/>
          <w:jc w:val="center"/>
        </w:trPr>
        <w:tc>
          <w:tcPr>
            <w:tcW w:w="0" w:type="auto"/>
            <w:gridSpan w:val="3"/>
            <w:tcBorders>
              <w:top w:val="single" w:sz="8" w:space="0" w:color="000000"/>
            </w:tcBorders>
            <w:tcMar>
              <w:top w:w="30" w:type="dxa"/>
              <w:left w:w="20" w:type="dxa"/>
              <w:bottom w:w="30" w:type="dxa"/>
              <w:right w:w="20" w:type="dxa"/>
            </w:tcMar>
            <w:vAlign w:val="bottom"/>
            <w:hideMark/>
          </w:tcPr>
          <w:p w14:paraId="7CE5C8DC" w14:textId="77777777" w:rsidR="00000000" w:rsidRDefault="001A570A">
            <w:pPr>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14:paraId="1657A7F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D48FB8" w14:textId="77777777" w:rsidR="00000000" w:rsidRDefault="001A570A">
            <w:pPr>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14:paraId="649A548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A94185" w14:textId="77777777" w:rsidR="00000000" w:rsidRDefault="001A570A">
            <w:pPr>
              <w:jc w:val="center"/>
              <w:rPr>
                <w:rFonts w:eastAsia="Times New Roman"/>
              </w:rPr>
            </w:pPr>
            <w:r>
              <w:rPr>
                <w:rFonts w:eastAsia="Times New Roman"/>
                <w:color w:val="000000"/>
                <w:sz w:val="16"/>
                <w:szCs w:val="16"/>
              </w:rPr>
              <w:t>New York Stock Exchange</w:t>
            </w:r>
          </w:p>
        </w:tc>
      </w:tr>
    </w:tbl>
    <w:p w14:paraId="0DC423CF" w14:textId="77777777" w:rsidR="00000000" w:rsidRDefault="001A570A">
      <w:pPr>
        <w:ind w:firstLine="450"/>
        <w:jc w:val="center"/>
        <w:divId w:val="1483228198"/>
        <w:rPr>
          <w:rFonts w:eastAsia="Times New Roman"/>
        </w:rPr>
      </w:pPr>
      <w:r>
        <w:rPr>
          <w:rFonts w:eastAsia="Times New Roman"/>
          <w:b/>
          <w:bCs/>
          <w:color w:val="000000"/>
          <w:sz w:val="18"/>
          <w:szCs w:val="18"/>
        </w:rPr>
        <w:t>Securities Registered Pursuant to Section 12(g) of the Act:</w:t>
      </w:r>
      <w:r>
        <w:rPr>
          <w:rFonts w:eastAsia="Times New Roman"/>
          <w:color w:val="000000"/>
          <w:sz w:val="18"/>
          <w:szCs w:val="18"/>
        </w:rPr>
        <w:t xml:space="preserve"> None </w:t>
      </w:r>
    </w:p>
    <w:p w14:paraId="389E7BAA" w14:textId="77777777" w:rsidR="00000000" w:rsidRDefault="001A570A">
      <w:pPr>
        <w:ind w:firstLine="450"/>
        <w:divId w:val="2104951970"/>
        <w:rPr>
          <w:rFonts w:eastAsia="Times New Roman"/>
        </w:rPr>
      </w:pPr>
      <w:r>
        <w:rPr>
          <w:rFonts w:eastAsia="Times New Roman"/>
          <w:color w:val="000000"/>
          <w:sz w:val="18"/>
          <w:szCs w:val="18"/>
        </w:rPr>
        <w:t>Indicate by check mark if the registrant is a well-known seasoned issuer, as defined in Rule 405 of the Securities Act.   Yes  </w:t>
      </w:r>
      <w:r>
        <w:rPr>
          <w:rFonts w:ascii="Wingdings" w:eastAsia="Times New Roman" w:hAnsi="Wingdings"/>
          <w:color w:val="000000"/>
          <w:sz w:val="18"/>
          <w:szCs w:val="18"/>
        </w:rPr>
        <w:t>þ</w:t>
      </w:r>
      <w:r>
        <w:rPr>
          <w:rFonts w:eastAsia="Times New Roman"/>
          <w:color w:val="000000"/>
          <w:sz w:val="18"/>
          <w:szCs w:val="18"/>
        </w:rPr>
        <w:t>   No  </w:t>
      </w:r>
      <w:r>
        <w:rPr>
          <w:rFonts w:ascii="Wingdings" w:eastAsia="Times New Roman" w:hAnsi="Wingdings"/>
          <w:color w:val="000000"/>
          <w:sz w:val="18"/>
          <w:szCs w:val="18"/>
        </w:rPr>
        <w:t>¨</w:t>
      </w:r>
    </w:p>
    <w:p w14:paraId="32FAFCD4" w14:textId="77777777" w:rsidR="00000000" w:rsidRDefault="001A570A">
      <w:pPr>
        <w:ind w:firstLine="450"/>
        <w:divId w:val="1248999955"/>
        <w:rPr>
          <w:rFonts w:eastAsia="Times New Roman"/>
        </w:rPr>
      </w:pPr>
      <w:r>
        <w:rPr>
          <w:rFonts w:eastAsia="Times New Roman"/>
          <w:color w:val="000000"/>
          <w:sz w:val="18"/>
          <w:szCs w:val="18"/>
        </w:rPr>
        <w:t>Indicate by check mark if the registrant is not required to file reports pursuant to Section 13 or Section 15(d) of the</w:t>
      </w:r>
      <w:r>
        <w:rPr>
          <w:rFonts w:eastAsia="Times New Roman"/>
          <w:color w:val="000000"/>
          <w:sz w:val="18"/>
          <w:szCs w:val="18"/>
        </w:rPr>
        <w:t xml:space="preserve"> Act.   Yes  </w:t>
      </w:r>
      <w:r>
        <w:rPr>
          <w:rFonts w:ascii="Wingdings" w:eastAsia="Times New Roman" w:hAnsi="Wingdings"/>
          <w:color w:val="000000"/>
          <w:sz w:val="18"/>
          <w:szCs w:val="18"/>
        </w:rPr>
        <w:t>¨</w:t>
      </w:r>
      <w:r>
        <w:rPr>
          <w:rFonts w:eastAsia="Times New Roman"/>
          <w:color w:val="000000"/>
          <w:sz w:val="18"/>
          <w:szCs w:val="18"/>
        </w:rPr>
        <w:t>   No  </w:t>
      </w:r>
      <w:r>
        <w:rPr>
          <w:rFonts w:ascii="Wingdings" w:eastAsia="Times New Roman" w:hAnsi="Wingdings"/>
          <w:color w:val="000000"/>
          <w:sz w:val="18"/>
          <w:szCs w:val="18"/>
        </w:rPr>
        <w:t>þ</w:t>
      </w:r>
    </w:p>
    <w:p w14:paraId="61C22336" w14:textId="77777777" w:rsidR="00000000" w:rsidRDefault="001A570A">
      <w:pPr>
        <w:ind w:firstLine="450"/>
        <w:divId w:val="2038195852"/>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w:t>
      </w:r>
      <w:r>
        <w:rPr>
          <w:rFonts w:eastAsia="Times New Roman"/>
          <w:color w:val="000000"/>
          <w:sz w:val="18"/>
          <w:szCs w:val="18"/>
        </w:rPr>
        <w:t xml:space="preserve"> was required to file such reports), and (2) has been subject to such filing requirements for the past 90 days.   Yes  </w:t>
      </w:r>
      <w:r>
        <w:rPr>
          <w:rFonts w:ascii="Wingdings" w:eastAsia="Times New Roman" w:hAnsi="Wingdings"/>
          <w:color w:val="000000"/>
          <w:sz w:val="18"/>
          <w:szCs w:val="18"/>
        </w:rPr>
        <w:t>þ</w:t>
      </w:r>
      <w:r>
        <w:rPr>
          <w:rFonts w:eastAsia="Times New Roman"/>
          <w:color w:val="000000"/>
          <w:sz w:val="18"/>
          <w:szCs w:val="18"/>
        </w:rPr>
        <w:t>   No  </w:t>
      </w:r>
      <w:r>
        <w:rPr>
          <w:rFonts w:ascii="Wingdings" w:eastAsia="Times New Roman" w:hAnsi="Wingdings"/>
          <w:color w:val="000000"/>
          <w:sz w:val="18"/>
          <w:szCs w:val="18"/>
        </w:rPr>
        <w:t>¨</w:t>
      </w:r>
    </w:p>
    <w:p w14:paraId="6FCDB26B" w14:textId="77777777" w:rsidR="00000000" w:rsidRDefault="001A570A">
      <w:pPr>
        <w:ind w:firstLine="450"/>
        <w:divId w:val="792481638"/>
        <w:rPr>
          <w:rFonts w:eastAsia="Times New Roman"/>
        </w:rPr>
      </w:pPr>
      <w:r>
        <w:rPr>
          <w:rFonts w:eastAsia="Times New Roman"/>
          <w:color w:val="000000"/>
          <w:sz w:val="18"/>
          <w:szCs w:val="18"/>
        </w:rPr>
        <w:t>Indicate by check mark whether the registrant has submitted electronically every Interactive Data File required to be submitted</w:t>
      </w:r>
      <w:r>
        <w:rPr>
          <w:rFonts w:eastAsia="Times New Roman"/>
          <w:color w:val="000000"/>
          <w:sz w:val="18"/>
          <w:szCs w:val="18"/>
        </w:rPr>
        <w:t xml:space="preserve"> pursuant to Rule 405 of Regulation S-T during the preceding 12 months (or for such shorter period that the registrant was required to submit such files).   Yes  </w:t>
      </w:r>
      <w:r>
        <w:rPr>
          <w:rFonts w:ascii="Wingdings" w:eastAsia="Times New Roman" w:hAnsi="Wingdings"/>
          <w:color w:val="000000"/>
          <w:sz w:val="18"/>
          <w:szCs w:val="18"/>
        </w:rPr>
        <w:t>þ</w:t>
      </w:r>
      <w:r>
        <w:rPr>
          <w:rFonts w:eastAsia="Times New Roman"/>
          <w:color w:val="000000"/>
          <w:sz w:val="18"/>
          <w:szCs w:val="18"/>
        </w:rPr>
        <w:t xml:space="preserve">   No  </w:t>
      </w:r>
      <w:r>
        <w:rPr>
          <w:rFonts w:ascii="Wingdings" w:eastAsia="Times New Roman" w:hAnsi="Wingdings"/>
          <w:color w:val="000000"/>
          <w:sz w:val="18"/>
          <w:szCs w:val="18"/>
        </w:rPr>
        <w:t>¨</w:t>
      </w:r>
    </w:p>
    <w:p w14:paraId="4142B0FA" w14:textId="77777777" w:rsidR="00000000" w:rsidRDefault="001A570A">
      <w:pPr>
        <w:ind w:firstLine="450"/>
        <w:divId w:val="614823485"/>
        <w:rPr>
          <w:rFonts w:eastAsia="Times New Roman"/>
        </w:rPr>
      </w:pPr>
      <w:r>
        <w:rPr>
          <w:rFonts w:eastAsia="Times New Roman"/>
          <w:color w:val="000000"/>
          <w:sz w:val="18"/>
          <w:szCs w:val="18"/>
        </w:rPr>
        <w:t>Indicate by check mark whether the registrant is a large accelerated filer, an accel</w:t>
      </w:r>
      <w:r>
        <w:rPr>
          <w:rFonts w:eastAsia="Times New Roman"/>
          <w:color w:val="000000"/>
          <w:sz w:val="18"/>
          <w:szCs w:val="18"/>
        </w:rPr>
        <w:t>erated filer, a non-accelerated filer, a smaller reporting company or an emerging growth company. See the definitions of “large accelerated filer,” “accelerated filer,” “smaller reporting company” and “emerging growth company” in Rule 12b-2 of the Exchange</w:t>
      </w:r>
      <w:r>
        <w:rPr>
          <w:rFonts w:eastAsia="Times New Roman"/>
          <w:color w:val="000000"/>
          <w:sz w:val="18"/>
          <w:szCs w:val="18"/>
        </w:rPr>
        <w:t xml:space="preserve"> Act.</w:t>
      </w:r>
    </w:p>
    <w:tbl>
      <w:tblPr>
        <w:tblW w:w="4920" w:type="pct"/>
        <w:tblCellMar>
          <w:top w:w="15" w:type="dxa"/>
          <w:left w:w="15" w:type="dxa"/>
          <w:bottom w:w="15" w:type="dxa"/>
          <w:right w:w="15" w:type="dxa"/>
        </w:tblCellMar>
        <w:tblLook w:val="04A0" w:firstRow="1" w:lastRow="0" w:firstColumn="1" w:lastColumn="0" w:noHBand="0" w:noVBand="1"/>
      </w:tblPr>
      <w:tblGrid>
        <w:gridCol w:w="41"/>
        <w:gridCol w:w="1581"/>
        <w:gridCol w:w="36"/>
        <w:gridCol w:w="36"/>
        <w:gridCol w:w="36"/>
        <w:gridCol w:w="36"/>
        <w:gridCol w:w="38"/>
        <w:gridCol w:w="3683"/>
        <w:gridCol w:w="36"/>
        <w:gridCol w:w="39"/>
        <w:gridCol w:w="136"/>
        <w:gridCol w:w="36"/>
        <w:gridCol w:w="87"/>
        <w:gridCol w:w="1915"/>
        <w:gridCol w:w="36"/>
        <w:gridCol w:w="36"/>
        <w:gridCol w:w="70"/>
        <w:gridCol w:w="36"/>
        <w:gridCol w:w="37"/>
        <w:gridCol w:w="186"/>
        <w:gridCol w:w="36"/>
      </w:tblGrid>
      <w:tr w:rsidR="00000000" w14:paraId="2B41A687" w14:textId="77777777">
        <w:trPr>
          <w:divId w:val="234366825"/>
        </w:trPr>
        <w:tc>
          <w:tcPr>
            <w:tcW w:w="50" w:type="pct"/>
            <w:vAlign w:val="center"/>
            <w:hideMark/>
          </w:tcPr>
          <w:p w14:paraId="368C3545" w14:textId="77777777" w:rsidR="00000000" w:rsidRDefault="001A570A">
            <w:pPr>
              <w:ind w:firstLine="450"/>
              <w:rPr>
                <w:rFonts w:eastAsia="Times New Roman"/>
              </w:rPr>
            </w:pPr>
          </w:p>
        </w:tc>
        <w:tc>
          <w:tcPr>
            <w:tcW w:w="996" w:type="pct"/>
            <w:vAlign w:val="center"/>
            <w:hideMark/>
          </w:tcPr>
          <w:p w14:paraId="3BE478B9" w14:textId="77777777" w:rsidR="00000000" w:rsidRDefault="001A570A">
            <w:pPr>
              <w:rPr>
                <w:rFonts w:eastAsia="Times New Roman"/>
                <w:sz w:val="20"/>
                <w:szCs w:val="20"/>
              </w:rPr>
            </w:pPr>
          </w:p>
        </w:tc>
        <w:tc>
          <w:tcPr>
            <w:tcW w:w="5" w:type="pct"/>
            <w:vAlign w:val="center"/>
            <w:hideMark/>
          </w:tcPr>
          <w:p w14:paraId="46F8372F" w14:textId="77777777" w:rsidR="00000000" w:rsidRDefault="001A570A">
            <w:pPr>
              <w:rPr>
                <w:rFonts w:eastAsia="Times New Roman"/>
                <w:sz w:val="20"/>
                <w:szCs w:val="20"/>
              </w:rPr>
            </w:pPr>
          </w:p>
        </w:tc>
        <w:tc>
          <w:tcPr>
            <w:tcW w:w="5" w:type="pct"/>
            <w:vAlign w:val="center"/>
            <w:hideMark/>
          </w:tcPr>
          <w:p w14:paraId="3B69E815" w14:textId="77777777" w:rsidR="00000000" w:rsidRDefault="001A570A">
            <w:pPr>
              <w:rPr>
                <w:rFonts w:eastAsia="Times New Roman"/>
                <w:sz w:val="20"/>
                <w:szCs w:val="20"/>
              </w:rPr>
            </w:pPr>
          </w:p>
        </w:tc>
        <w:tc>
          <w:tcPr>
            <w:tcW w:w="48" w:type="pct"/>
            <w:vAlign w:val="center"/>
            <w:hideMark/>
          </w:tcPr>
          <w:p w14:paraId="68F93795" w14:textId="77777777" w:rsidR="00000000" w:rsidRDefault="001A570A">
            <w:pPr>
              <w:rPr>
                <w:rFonts w:eastAsia="Times New Roman"/>
                <w:sz w:val="20"/>
                <w:szCs w:val="20"/>
              </w:rPr>
            </w:pPr>
          </w:p>
        </w:tc>
        <w:tc>
          <w:tcPr>
            <w:tcW w:w="5" w:type="pct"/>
            <w:vAlign w:val="center"/>
            <w:hideMark/>
          </w:tcPr>
          <w:p w14:paraId="3BD633AF" w14:textId="77777777" w:rsidR="00000000" w:rsidRDefault="001A570A">
            <w:pPr>
              <w:rPr>
                <w:rFonts w:eastAsia="Times New Roman"/>
                <w:sz w:val="20"/>
                <w:szCs w:val="20"/>
              </w:rPr>
            </w:pPr>
          </w:p>
        </w:tc>
        <w:tc>
          <w:tcPr>
            <w:tcW w:w="50" w:type="pct"/>
            <w:vAlign w:val="center"/>
            <w:hideMark/>
          </w:tcPr>
          <w:p w14:paraId="23899146" w14:textId="77777777" w:rsidR="00000000" w:rsidRDefault="001A570A">
            <w:pPr>
              <w:rPr>
                <w:rFonts w:eastAsia="Times New Roman"/>
                <w:sz w:val="20"/>
                <w:szCs w:val="20"/>
              </w:rPr>
            </w:pPr>
          </w:p>
        </w:tc>
        <w:tc>
          <w:tcPr>
            <w:tcW w:w="2280" w:type="pct"/>
            <w:vAlign w:val="center"/>
            <w:hideMark/>
          </w:tcPr>
          <w:p w14:paraId="6F96F5F4" w14:textId="77777777" w:rsidR="00000000" w:rsidRDefault="001A570A">
            <w:pPr>
              <w:rPr>
                <w:rFonts w:eastAsia="Times New Roman"/>
                <w:sz w:val="20"/>
                <w:szCs w:val="20"/>
              </w:rPr>
            </w:pPr>
          </w:p>
        </w:tc>
        <w:tc>
          <w:tcPr>
            <w:tcW w:w="5" w:type="pct"/>
            <w:vAlign w:val="center"/>
            <w:hideMark/>
          </w:tcPr>
          <w:p w14:paraId="0D669571" w14:textId="77777777" w:rsidR="00000000" w:rsidRDefault="001A570A">
            <w:pPr>
              <w:rPr>
                <w:rFonts w:eastAsia="Times New Roman"/>
                <w:sz w:val="20"/>
                <w:szCs w:val="20"/>
              </w:rPr>
            </w:pPr>
          </w:p>
        </w:tc>
        <w:tc>
          <w:tcPr>
            <w:tcW w:w="50" w:type="pct"/>
            <w:vAlign w:val="center"/>
            <w:hideMark/>
          </w:tcPr>
          <w:p w14:paraId="337FD702" w14:textId="77777777" w:rsidR="00000000" w:rsidRDefault="001A570A">
            <w:pPr>
              <w:rPr>
                <w:rFonts w:eastAsia="Times New Roman"/>
                <w:sz w:val="20"/>
                <w:szCs w:val="20"/>
              </w:rPr>
            </w:pPr>
          </w:p>
        </w:tc>
        <w:tc>
          <w:tcPr>
            <w:tcW w:w="112" w:type="pct"/>
            <w:vAlign w:val="center"/>
            <w:hideMark/>
          </w:tcPr>
          <w:p w14:paraId="4A684217" w14:textId="77777777" w:rsidR="00000000" w:rsidRDefault="001A570A">
            <w:pPr>
              <w:rPr>
                <w:rFonts w:eastAsia="Times New Roman"/>
                <w:sz w:val="20"/>
                <w:szCs w:val="20"/>
              </w:rPr>
            </w:pPr>
          </w:p>
        </w:tc>
        <w:tc>
          <w:tcPr>
            <w:tcW w:w="5" w:type="pct"/>
            <w:vAlign w:val="center"/>
            <w:hideMark/>
          </w:tcPr>
          <w:p w14:paraId="1CBC4872" w14:textId="77777777" w:rsidR="00000000" w:rsidRDefault="001A570A">
            <w:pPr>
              <w:rPr>
                <w:rFonts w:eastAsia="Times New Roman"/>
                <w:sz w:val="20"/>
                <w:szCs w:val="20"/>
              </w:rPr>
            </w:pPr>
          </w:p>
        </w:tc>
        <w:tc>
          <w:tcPr>
            <w:tcW w:w="50" w:type="pct"/>
            <w:vAlign w:val="center"/>
            <w:hideMark/>
          </w:tcPr>
          <w:p w14:paraId="7E33F9F4" w14:textId="77777777" w:rsidR="00000000" w:rsidRDefault="001A570A">
            <w:pPr>
              <w:rPr>
                <w:rFonts w:eastAsia="Times New Roman"/>
                <w:sz w:val="20"/>
                <w:szCs w:val="20"/>
              </w:rPr>
            </w:pPr>
          </w:p>
        </w:tc>
        <w:tc>
          <w:tcPr>
            <w:tcW w:w="1112" w:type="pct"/>
            <w:vAlign w:val="center"/>
            <w:hideMark/>
          </w:tcPr>
          <w:p w14:paraId="2B08FCDA" w14:textId="77777777" w:rsidR="00000000" w:rsidRDefault="001A570A">
            <w:pPr>
              <w:rPr>
                <w:rFonts w:eastAsia="Times New Roman"/>
                <w:sz w:val="20"/>
                <w:szCs w:val="20"/>
              </w:rPr>
            </w:pPr>
          </w:p>
        </w:tc>
        <w:tc>
          <w:tcPr>
            <w:tcW w:w="5" w:type="pct"/>
            <w:vAlign w:val="center"/>
            <w:hideMark/>
          </w:tcPr>
          <w:p w14:paraId="12D910BD" w14:textId="77777777" w:rsidR="00000000" w:rsidRDefault="001A570A">
            <w:pPr>
              <w:rPr>
                <w:rFonts w:eastAsia="Times New Roman"/>
                <w:sz w:val="20"/>
                <w:szCs w:val="20"/>
              </w:rPr>
            </w:pPr>
          </w:p>
        </w:tc>
        <w:tc>
          <w:tcPr>
            <w:tcW w:w="5" w:type="pct"/>
            <w:vAlign w:val="center"/>
            <w:hideMark/>
          </w:tcPr>
          <w:p w14:paraId="2C63D876" w14:textId="77777777" w:rsidR="00000000" w:rsidRDefault="001A570A">
            <w:pPr>
              <w:rPr>
                <w:rFonts w:eastAsia="Times New Roman"/>
                <w:sz w:val="20"/>
                <w:szCs w:val="20"/>
              </w:rPr>
            </w:pPr>
          </w:p>
        </w:tc>
        <w:tc>
          <w:tcPr>
            <w:tcW w:w="70" w:type="pct"/>
            <w:vAlign w:val="center"/>
            <w:hideMark/>
          </w:tcPr>
          <w:p w14:paraId="0D73EA62" w14:textId="77777777" w:rsidR="00000000" w:rsidRDefault="001A570A">
            <w:pPr>
              <w:rPr>
                <w:rFonts w:eastAsia="Times New Roman"/>
                <w:sz w:val="20"/>
                <w:szCs w:val="20"/>
              </w:rPr>
            </w:pPr>
          </w:p>
        </w:tc>
        <w:tc>
          <w:tcPr>
            <w:tcW w:w="5" w:type="pct"/>
            <w:vAlign w:val="center"/>
            <w:hideMark/>
          </w:tcPr>
          <w:p w14:paraId="32F357F7" w14:textId="77777777" w:rsidR="00000000" w:rsidRDefault="001A570A">
            <w:pPr>
              <w:rPr>
                <w:rFonts w:eastAsia="Times New Roman"/>
                <w:sz w:val="20"/>
                <w:szCs w:val="20"/>
              </w:rPr>
            </w:pPr>
          </w:p>
        </w:tc>
        <w:tc>
          <w:tcPr>
            <w:tcW w:w="5" w:type="pct"/>
            <w:vAlign w:val="center"/>
            <w:hideMark/>
          </w:tcPr>
          <w:p w14:paraId="3C827892" w14:textId="77777777" w:rsidR="00000000" w:rsidRDefault="001A570A">
            <w:pPr>
              <w:rPr>
                <w:rFonts w:eastAsia="Times New Roman"/>
                <w:sz w:val="20"/>
                <w:szCs w:val="20"/>
              </w:rPr>
            </w:pPr>
          </w:p>
        </w:tc>
        <w:tc>
          <w:tcPr>
            <w:tcW w:w="128" w:type="pct"/>
            <w:vAlign w:val="center"/>
            <w:hideMark/>
          </w:tcPr>
          <w:p w14:paraId="74584AB5" w14:textId="77777777" w:rsidR="00000000" w:rsidRDefault="001A570A">
            <w:pPr>
              <w:rPr>
                <w:rFonts w:eastAsia="Times New Roman"/>
                <w:sz w:val="20"/>
                <w:szCs w:val="20"/>
              </w:rPr>
            </w:pPr>
          </w:p>
        </w:tc>
        <w:tc>
          <w:tcPr>
            <w:tcW w:w="5" w:type="pct"/>
            <w:vAlign w:val="center"/>
            <w:hideMark/>
          </w:tcPr>
          <w:p w14:paraId="7A370181" w14:textId="77777777" w:rsidR="00000000" w:rsidRDefault="001A570A">
            <w:pPr>
              <w:rPr>
                <w:rFonts w:eastAsia="Times New Roman"/>
                <w:sz w:val="20"/>
                <w:szCs w:val="20"/>
              </w:rPr>
            </w:pPr>
          </w:p>
        </w:tc>
      </w:tr>
      <w:tr w:rsidR="00000000" w14:paraId="2AB0892D" w14:textId="77777777">
        <w:trPr>
          <w:divId w:val="234366825"/>
        </w:trPr>
        <w:tc>
          <w:tcPr>
            <w:tcW w:w="0" w:type="auto"/>
            <w:gridSpan w:val="3"/>
            <w:tcMar>
              <w:top w:w="30" w:type="dxa"/>
              <w:left w:w="20" w:type="dxa"/>
              <w:bottom w:w="30" w:type="dxa"/>
              <w:right w:w="20" w:type="dxa"/>
            </w:tcMar>
            <w:vAlign w:val="bottom"/>
            <w:hideMark/>
          </w:tcPr>
          <w:p w14:paraId="109E5BD8" w14:textId="77777777" w:rsidR="00000000" w:rsidRDefault="001A570A">
            <w:pP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263615EF" w14:textId="77777777" w:rsidR="00000000" w:rsidRDefault="001A570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3F4289A" w14:textId="77777777" w:rsidR="00000000" w:rsidRDefault="001A570A">
            <w:pPr>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14:paraId="48C646F4" w14:textId="77777777" w:rsidR="00000000" w:rsidRDefault="001A570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799CE284" w14:textId="77777777" w:rsidR="00000000" w:rsidRDefault="001A570A">
            <w:pP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12AAE707" w14:textId="77777777" w:rsidR="00000000" w:rsidRDefault="001A570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416DC1CC" w14:textId="77777777" w:rsidR="00000000" w:rsidRDefault="001A570A">
            <w:pPr>
              <w:rPr>
                <w:rFonts w:eastAsia="Times New Roman"/>
              </w:rPr>
            </w:pPr>
            <w:r>
              <w:rPr>
                <w:rFonts w:ascii="Wingdings" w:eastAsia="Times New Roman" w:hAnsi="Wingdings"/>
                <w:color w:val="000000"/>
                <w:sz w:val="18"/>
                <w:szCs w:val="18"/>
              </w:rPr>
              <w:t>¨</w:t>
            </w:r>
          </w:p>
        </w:tc>
      </w:tr>
      <w:tr w:rsidR="00000000" w14:paraId="7B760888" w14:textId="77777777">
        <w:trPr>
          <w:divId w:val="234366825"/>
        </w:trPr>
        <w:tc>
          <w:tcPr>
            <w:tcW w:w="0" w:type="auto"/>
            <w:gridSpan w:val="3"/>
            <w:tcMar>
              <w:top w:w="30" w:type="dxa"/>
              <w:left w:w="20" w:type="dxa"/>
              <w:bottom w:w="30" w:type="dxa"/>
              <w:right w:w="20" w:type="dxa"/>
            </w:tcMar>
            <w:vAlign w:val="bottom"/>
            <w:hideMark/>
          </w:tcPr>
          <w:p w14:paraId="518B438F" w14:textId="77777777" w:rsidR="00000000" w:rsidRDefault="001A570A">
            <w:pPr>
              <w:rPr>
                <w:rFonts w:eastAsia="Times New Roman"/>
              </w:rPr>
            </w:pPr>
            <w:r>
              <w:rPr>
                <w:rFonts w:eastAsia="Times New Roman"/>
                <w:color w:val="000000"/>
                <w:sz w:val="18"/>
                <w:szCs w:val="18"/>
              </w:rPr>
              <w:lastRenderedPageBreak/>
              <w:t>Non-accelerated filer</w:t>
            </w:r>
          </w:p>
        </w:tc>
        <w:tc>
          <w:tcPr>
            <w:tcW w:w="0" w:type="auto"/>
            <w:gridSpan w:val="3"/>
            <w:tcMar>
              <w:top w:w="30" w:type="dxa"/>
              <w:left w:w="20" w:type="dxa"/>
              <w:bottom w:w="30" w:type="dxa"/>
              <w:right w:w="20" w:type="dxa"/>
            </w:tcMar>
            <w:vAlign w:val="bottom"/>
            <w:hideMark/>
          </w:tcPr>
          <w:p w14:paraId="66ABB856" w14:textId="77777777" w:rsidR="00000000" w:rsidRDefault="001A570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64CBB0F4" w14:textId="77777777" w:rsidR="00000000" w:rsidRDefault="001A570A">
            <w:pPr>
              <w:divId w:val="790637763"/>
              <w:rPr>
                <w:rFonts w:eastAsia="Times New Roman"/>
              </w:rPr>
            </w:pPr>
            <w:r>
              <w:rPr>
                <w:rFonts w:ascii="Wingdings" w:eastAsia="Times New Roman" w:hAnsi="Wingdings"/>
                <w:color w:val="000000"/>
                <w:sz w:val="18"/>
                <w:szCs w:val="18"/>
              </w:rPr>
              <w:t>¨</w:t>
            </w: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75506830" w14:textId="77777777" w:rsidR="00000000" w:rsidRDefault="001A570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28B9FAB1" w14:textId="77777777" w:rsidR="00000000" w:rsidRDefault="001A570A">
            <w:pP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01D31885" w14:textId="77777777" w:rsidR="00000000" w:rsidRDefault="001A570A">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A604CFB" w14:textId="77777777" w:rsidR="00000000" w:rsidRDefault="001A570A">
            <w:pPr>
              <w:rPr>
                <w:rFonts w:eastAsia="Times New Roman"/>
              </w:rPr>
            </w:pPr>
            <w:r>
              <w:rPr>
                <w:rFonts w:ascii="Segoe UI Symbol" w:eastAsia="Times New Roman" w:hAnsi="Segoe UI Symbol" w:cs="Segoe UI Symbol"/>
                <w:color w:val="000000"/>
                <w:sz w:val="18"/>
                <w:szCs w:val="18"/>
              </w:rPr>
              <w:t>☐</w:t>
            </w:r>
          </w:p>
        </w:tc>
      </w:tr>
      <w:tr w:rsidR="00000000" w14:paraId="058A5954" w14:textId="77777777">
        <w:trPr>
          <w:divId w:val="234366825"/>
        </w:trPr>
        <w:tc>
          <w:tcPr>
            <w:tcW w:w="0" w:type="auto"/>
            <w:gridSpan w:val="3"/>
            <w:tcMar>
              <w:top w:w="0" w:type="dxa"/>
              <w:left w:w="20" w:type="dxa"/>
              <w:bottom w:w="0" w:type="dxa"/>
              <w:right w:w="20" w:type="dxa"/>
            </w:tcMar>
            <w:vAlign w:val="center"/>
            <w:hideMark/>
          </w:tcPr>
          <w:p w14:paraId="7A3247F5"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5FF7A4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5024AB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3F8F106"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204342E8" w14:textId="77777777" w:rsidR="00000000" w:rsidRDefault="001A570A">
            <w:pPr>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14:paraId="4F6A7BF2"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4321DF8F" w14:textId="77777777" w:rsidR="00000000" w:rsidRDefault="001A570A">
            <w:pPr>
              <w:rPr>
                <w:rFonts w:eastAsia="Times New Roman"/>
              </w:rPr>
            </w:pPr>
            <w:r>
              <w:rPr>
                <w:rFonts w:ascii="Segoe UI Symbol" w:eastAsia="Times New Roman" w:hAnsi="Segoe UI Symbol" w:cs="Segoe UI Symbol"/>
                <w:color w:val="000000"/>
                <w:sz w:val="18"/>
                <w:szCs w:val="18"/>
              </w:rPr>
              <w:t>☐</w:t>
            </w:r>
          </w:p>
        </w:tc>
      </w:tr>
    </w:tbl>
    <w:p w14:paraId="27919FF8" w14:textId="77777777" w:rsidR="00000000" w:rsidRDefault="001A570A">
      <w:pPr>
        <w:ind w:firstLine="450"/>
        <w:divId w:val="198072288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w:t>
      </w:r>
      <w:r>
        <w:rPr>
          <w:rFonts w:eastAsia="Times New Roman"/>
          <w:color w:val="000000"/>
          <w:sz w:val="18"/>
          <w:szCs w:val="18"/>
        </w:rPr>
        <w:t> </w:t>
      </w:r>
    </w:p>
    <w:p w14:paraId="18B2A644" w14:textId="77777777" w:rsidR="00000000" w:rsidRDefault="001A570A">
      <w:pPr>
        <w:ind w:firstLine="450"/>
        <w:divId w:val="1393196782"/>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has filed a report on and attestation to its management’s assessment of the effectiveness of its internal control over financial reporting under Section 404(b) of the Sarbanes-Oxley Act (15 U.S.C. 7262(b)) by the</w:t>
      </w:r>
      <w:r>
        <w:rPr>
          <w:rFonts w:eastAsia="Times New Roman"/>
          <w:color w:val="000000"/>
          <w:sz w:val="18"/>
          <w:szCs w:val="18"/>
        </w:rPr>
        <w:t xml:space="preserve"> registered public accounting firm that prepared or issued its audit report. </w:t>
      </w:r>
      <w:r>
        <w:rPr>
          <w:rFonts w:ascii="Segoe UI Emoji" w:eastAsia="Times New Roman" w:hAnsi="Segoe UI Emoji" w:cs="Segoe UI Emoji"/>
          <w:color w:val="000000"/>
          <w:sz w:val="18"/>
          <w:szCs w:val="18"/>
        </w:rPr>
        <w:t>☑</w:t>
      </w:r>
    </w:p>
    <w:p w14:paraId="18A148E3" w14:textId="77777777" w:rsidR="00000000" w:rsidRDefault="001A570A">
      <w:pPr>
        <w:ind w:firstLine="450"/>
        <w:divId w:val="670062648"/>
        <w:rPr>
          <w:rFonts w:eastAsia="Times New Roman"/>
        </w:rPr>
      </w:pPr>
      <w:r>
        <w:rPr>
          <w:rFonts w:eastAsia="Times New Roman"/>
          <w:color w:val="000000"/>
          <w:sz w:val="18"/>
          <w:szCs w:val="18"/>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Wingdings" w:eastAsia="Times New Roman" w:hAnsi="Wingdings"/>
          <w:color w:val="000000"/>
          <w:sz w:val="18"/>
          <w:szCs w:val="18"/>
        </w:rPr>
        <w:t>þ</w:t>
      </w:r>
    </w:p>
    <w:p w14:paraId="7E75D932" w14:textId="77777777" w:rsidR="00000000" w:rsidRDefault="001A570A">
      <w:pPr>
        <w:ind w:firstLine="450"/>
        <w:divId w:val="2135638180"/>
        <w:rPr>
          <w:rFonts w:eastAsia="Times New Roman"/>
        </w:rPr>
      </w:pPr>
      <w:r>
        <w:rPr>
          <w:rFonts w:eastAsia="Times New Roman"/>
          <w:color w:val="000000"/>
          <w:sz w:val="18"/>
          <w:szCs w:val="18"/>
        </w:rPr>
        <w:t>The aggregate market value of the voting comm</w:t>
      </w:r>
      <w:r>
        <w:rPr>
          <w:rFonts w:eastAsia="Times New Roman"/>
          <w:color w:val="000000"/>
          <w:sz w:val="18"/>
          <w:szCs w:val="18"/>
        </w:rPr>
        <w:t>on equity held by non-affiliates of the registrant at July 3, 2020 was $36,993,861,277 (based on the quoted closing sale price per share of the stock on the New York Stock Exchange). For purposes of this calculation, the registrant has assumed that its dir</w:t>
      </w:r>
      <w:r>
        <w:rPr>
          <w:rFonts w:eastAsia="Times New Roman"/>
          <w:color w:val="000000"/>
          <w:sz w:val="18"/>
          <w:szCs w:val="18"/>
        </w:rPr>
        <w:t>ectors and executive officers as of July 3, 2020 are affiliates.</w:t>
      </w:r>
    </w:p>
    <w:p w14:paraId="0A1A3DDE" w14:textId="77777777" w:rsidR="00000000" w:rsidRDefault="001A570A">
      <w:pPr>
        <w:ind w:firstLine="450"/>
        <w:divId w:val="1956056816"/>
        <w:rPr>
          <w:rFonts w:eastAsia="Times New Roman"/>
        </w:rPr>
      </w:pPr>
      <w:r>
        <w:rPr>
          <w:rFonts w:eastAsia="Times New Roman"/>
          <w:color w:val="000000"/>
          <w:sz w:val="18"/>
          <w:szCs w:val="18"/>
        </w:rPr>
        <w:t>The number of shares outstanding of the registrant’s common stock as of February 26, 2021 was 205,565,782.</w:t>
      </w:r>
    </w:p>
    <w:p w14:paraId="2BC413F0" w14:textId="77777777" w:rsidR="00000000" w:rsidRDefault="001A570A">
      <w:pPr>
        <w:ind w:firstLine="450"/>
        <w:jc w:val="center"/>
        <w:divId w:val="596597611"/>
        <w:rPr>
          <w:rFonts w:eastAsia="Times New Roman"/>
        </w:rPr>
      </w:pPr>
      <w:r>
        <w:rPr>
          <w:rFonts w:eastAsia="Times New Roman"/>
          <w:b/>
          <w:bCs/>
          <w:color w:val="000000"/>
          <w:sz w:val="18"/>
          <w:szCs w:val="18"/>
        </w:rPr>
        <w:t>Documents Incorporated by Reference:</w:t>
      </w:r>
    </w:p>
    <w:p w14:paraId="1C3DB110" w14:textId="77777777" w:rsidR="00000000" w:rsidRDefault="001A570A">
      <w:pPr>
        <w:ind w:firstLine="450"/>
        <w:divId w:val="932593955"/>
        <w:rPr>
          <w:rFonts w:eastAsia="Times New Roman"/>
        </w:rPr>
      </w:pPr>
      <w:r>
        <w:rPr>
          <w:rFonts w:eastAsia="Times New Roman"/>
          <w:color w:val="000000"/>
          <w:sz w:val="18"/>
          <w:szCs w:val="18"/>
        </w:rPr>
        <w:t>Portions of the registrant’s definitive Proxy S</w:t>
      </w:r>
      <w:r>
        <w:rPr>
          <w:rFonts w:eastAsia="Times New Roman"/>
          <w:color w:val="000000"/>
          <w:sz w:val="18"/>
          <w:szCs w:val="18"/>
        </w:rPr>
        <w:t>tatement for the 2021 Annual Meeting of Shareholders scheduled to be held on April 23, 2021, which will be filed with the Securities and Exchange Commission within 120 days after the end of the registrant’s fiscal year ended January 1, 2021, are incorporat</w:t>
      </w:r>
      <w:r>
        <w:rPr>
          <w:rFonts w:eastAsia="Times New Roman"/>
          <w:color w:val="000000"/>
          <w:sz w:val="18"/>
          <w:szCs w:val="18"/>
        </w:rPr>
        <w:t>ed by reference into Part III of this Annual Report on Form 10-K to the extent described therein.</w:t>
      </w:r>
    </w:p>
    <w:p w14:paraId="05BE623F" w14:textId="77777777" w:rsidR="00000000" w:rsidRDefault="001A570A">
      <w:pPr>
        <w:ind w:firstLine="450"/>
        <w:divId w:val="62653844"/>
        <w:rPr>
          <w:rFonts w:eastAsia="Times New Roman"/>
        </w:rPr>
      </w:pPr>
    </w:p>
    <w:p w14:paraId="73CBBD89" w14:textId="77777777" w:rsidR="00000000" w:rsidRDefault="001A570A">
      <w:pPr>
        <w:rPr>
          <w:rFonts w:eastAsia="Times New Roman"/>
        </w:rPr>
      </w:pPr>
      <w:r>
        <w:rPr>
          <w:rFonts w:eastAsia="Times New Roman"/>
        </w:rPr>
        <w:pict w14:anchorId="1A50F717">
          <v:rect id="_x0000_i1026" style="width:0;height:1.5pt" o:hralign="center" o:hrstd="t" o:hr="t" fillcolor="#a0a0a0" stroked="f"/>
        </w:pict>
      </w:r>
    </w:p>
    <w:p w14:paraId="6A3328E1" w14:textId="77777777" w:rsidR="00000000" w:rsidRDefault="001A570A">
      <w:pPr>
        <w:ind w:firstLine="450"/>
        <w:divId w:val="1582714765"/>
        <w:rPr>
          <w:rFonts w:eastAsia="Times New Roman"/>
        </w:rPr>
      </w:pPr>
    </w:p>
    <w:p w14:paraId="47B4202C" w14:textId="77777777" w:rsidR="00000000" w:rsidRDefault="001A570A">
      <w:pPr>
        <w:ind w:firstLine="450"/>
        <w:jc w:val="center"/>
        <w:divId w:val="14766874"/>
        <w:rPr>
          <w:rFonts w:eastAsia="Times New Roman"/>
        </w:rPr>
      </w:pPr>
      <w:r>
        <w:rPr>
          <w:rFonts w:eastAsia="Times New Roman"/>
          <w:b/>
          <w:bCs/>
          <w:color w:val="000000"/>
          <w:sz w:val="20"/>
          <w:szCs w:val="20"/>
        </w:rPr>
        <w:t>L3HARRIS TECHNOLOGIES, INC.</w:t>
      </w:r>
    </w:p>
    <w:p w14:paraId="6443090E" w14:textId="77777777" w:rsidR="00000000" w:rsidRDefault="001A570A">
      <w:pPr>
        <w:ind w:firstLine="450"/>
        <w:jc w:val="center"/>
        <w:divId w:val="545914895"/>
        <w:rPr>
          <w:rFonts w:eastAsia="Times New Roman"/>
        </w:rPr>
      </w:pPr>
      <w:r>
        <w:rPr>
          <w:rFonts w:eastAsia="Times New Roman"/>
          <w:b/>
          <w:bCs/>
          <w:color w:val="000000"/>
          <w:sz w:val="20"/>
          <w:szCs w:val="20"/>
        </w:rPr>
        <w:t>ANNUAL REPORT ON FORM 10-K FOR THE FISCAL YEAR ENDED JANUARY 1, 2021</w:t>
      </w:r>
    </w:p>
    <w:p w14:paraId="7ABF4C74" w14:textId="77777777" w:rsidR="00000000" w:rsidRDefault="001A570A">
      <w:pPr>
        <w:ind w:firstLine="450"/>
        <w:jc w:val="center"/>
        <w:divId w:val="875510616"/>
        <w:rPr>
          <w:rFonts w:eastAsia="Times New Roman"/>
        </w:rPr>
      </w:pPr>
      <w:r>
        <w:rPr>
          <w:rFonts w:eastAsia="Times New Roman"/>
          <w:b/>
          <w:bCs/>
          <w:color w:val="000000"/>
          <w:sz w:val="20"/>
          <w:szCs w:val="20"/>
        </w:rPr>
        <w:t>TABLE OF CONTENTS</w:t>
      </w:r>
    </w:p>
    <w:tbl>
      <w:tblPr>
        <w:tblW w:w="4899" w:type="pct"/>
        <w:tblCellMar>
          <w:top w:w="15" w:type="dxa"/>
          <w:left w:w="15" w:type="dxa"/>
          <w:bottom w:w="15" w:type="dxa"/>
          <w:right w:w="15" w:type="dxa"/>
        </w:tblCellMar>
        <w:tblLook w:val="04A0" w:firstRow="1" w:lastRow="0" w:firstColumn="1" w:lastColumn="0" w:noHBand="0" w:noVBand="1"/>
      </w:tblPr>
      <w:tblGrid>
        <w:gridCol w:w="93"/>
        <w:gridCol w:w="666"/>
        <w:gridCol w:w="36"/>
        <w:gridCol w:w="39"/>
        <w:gridCol w:w="6592"/>
        <w:gridCol w:w="38"/>
        <w:gridCol w:w="74"/>
        <w:gridCol w:w="564"/>
        <w:gridCol w:w="36"/>
      </w:tblGrid>
      <w:tr w:rsidR="00000000" w14:paraId="4BD475BA" w14:textId="77777777">
        <w:trPr>
          <w:divId w:val="491527121"/>
        </w:trPr>
        <w:tc>
          <w:tcPr>
            <w:tcW w:w="50" w:type="pct"/>
            <w:vAlign w:val="center"/>
            <w:hideMark/>
          </w:tcPr>
          <w:p w14:paraId="17E4ED56" w14:textId="77777777" w:rsidR="00000000" w:rsidRDefault="001A570A">
            <w:pPr>
              <w:ind w:firstLine="450"/>
              <w:jc w:val="center"/>
              <w:rPr>
                <w:rFonts w:eastAsia="Times New Roman"/>
              </w:rPr>
            </w:pPr>
          </w:p>
        </w:tc>
        <w:tc>
          <w:tcPr>
            <w:tcW w:w="362" w:type="pct"/>
            <w:vAlign w:val="center"/>
            <w:hideMark/>
          </w:tcPr>
          <w:p w14:paraId="4471C4FF" w14:textId="77777777" w:rsidR="00000000" w:rsidRDefault="001A570A">
            <w:pPr>
              <w:rPr>
                <w:rFonts w:eastAsia="Times New Roman"/>
                <w:sz w:val="20"/>
                <w:szCs w:val="20"/>
              </w:rPr>
            </w:pPr>
          </w:p>
        </w:tc>
        <w:tc>
          <w:tcPr>
            <w:tcW w:w="5" w:type="pct"/>
            <w:vAlign w:val="center"/>
            <w:hideMark/>
          </w:tcPr>
          <w:p w14:paraId="5B9F52C9" w14:textId="77777777" w:rsidR="00000000" w:rsidRDefault="001A570A">
            <w:pPr>
              <w:rPr>
                <w:rFonts w:eastAsia="Times New Roman"/>
                <w:sz w:val="20"/>
                <w:szCs w:val="20"/>
              </w:rPr>
            </w:pPr>
          </w:p>
        </w:tc>
        <w:tc>
          <w:tcPr>
            <w:tcW w:w="50" w:type="pct"/>
            <w:vAlign w:val="center"/>
            <w:hideMark/>
          </w:tcPr>
          <w:p w14:paraId="0A37D54B" w14:textId="77777777" w:rsidR="00000000" w:rsidRDefault="001A570A">
            <w:pPr>
              <w:rPr>
                <w:rFonts w:eastAsia="Times New Roman"/>
                <w:sz w:val="20"/>
                <w:szCs w:val="20"/>
              </w:rPr>
            </w:pPr>
          </w:p>
        </w:tc>
        <w:tc>
          <w:tcPr>
            <w:tcW w:w="4087" w:type="pct"/>
            <w:vAlign w:val="center"/>
            <w:hideMark/>
          </w:tcPr>
          <w:p w14:paraId="1AFE63C8" w14:textId="77777777" w:rsidR="00000000" w:rsidRDefault="001A570A">
            <w:pPr>
              <w:rPr>
                <w:rFonts w:eastAsia="Times New Roman"/>
                <w:sz w:val="20"/>
                <w:szCs w:val="20"/>
              </w:rPr>
            </w:pPr>
          </w:p>
        </w:tc>
        <w:tc>
          <w:tcPr>
            <w:tcW w:w="5" w:type="pct"/>
            <w:vAlign w:val="center"/>
            <w:hideMark/>
          </w:tcPr>
          <w:p w14:paraId="2C46B8B6" w14:textId="77777777" w:rsidR="00000000" w:rsidRDefault="001A570A">
            <w:pPr>
              <w:rPr>
                <w:rFonts w:eastAsia="Times New Roman"/>
                <w:sz w:val="20"/>
                <w:szCs w:val="20"/>
              </w:rPr>
            </w:pPr>
          </w:p>
        </w:tc>
        <w:tc>
          <w:tcPr>
            <w:tcW w:w="50" w:type="pct"/>
            <w:vAlign w:val="center"/>
            <w:hideMark/>
          </w:tcPr>
          <w:p w14:paraId="3028FBC7" w14:textId="77777777" w:rsidR="00000000" w:rsidRDefault="001A570A">
            <w:pPr>
              <w:rPr>
                <w:rFonts w:eastAsia="Times New Roman"/>
                <w:sz w:val="20"/>
                <w:szCs w:val="20"/>
              </w:rPr>
            </w:pPr>
          </w:p>
        </w:tc>
        <w:tc>
          <w:tcPr>
            <w:tcW w:w="384" w:type="pct"/>
            <w:vAlign w:val="center"/>
            <w:hideMark/>
          </w:tcPr>
          <w:p w14:paraId="2F4FDD15" w14:textId="77777777" w:rsidR="00000000" w:rsidRDefault="001A570A">
            <w:pPr>
              <w:rPr>
                <w:rFonts w:eastAsia="Times New Roman"/>
                <w:sz w:val="20"/>
                <w:szCs w:val="20"/>
              </w:rPr>
            </w:pPr>
          </w:p>
        </w:tc>
        <w:tc>
          <w:tcPr>
            <w:tcW w:w="5" w:type="pct"/>
            <w:vAlign w:val="center"/>
            <w:hideMark/>
          </w:tcPr>
          <w:p w14:paraId="25E135AA" w14:textId="77777777" w:rsidR="00000000" w:rsidRDefault="001A570A">
            <w:pPr>
              <w:rPr>
                <w:rFonts w:eastAsia="Times New Roman"/>
                <w:sz w:val="20"/>
                <w:szCs w:val="20"/>
              </w:rPr>
            </w:pPr>
          </w:p>
        </w:tc>
      </w:tr>
      <w:tr w:rsidR="00000000" w14:paraId="1D709296" w14:textId="77777777">
        <w:trPr>
          <w:divId w:val="491527121"/>
        </w:trPr>
        <w:tc>
          <w:tcPr>
            <w:tcW w:w="0" w:type="auto"/>
            <w:gridSpan w:val="3"/>
            <w:tcMar>
              <w:top w:w="30" w:type="dxa"/>
              <w:left w:w="20" w:type="dxa"/>
              <w:bottom w:w="30" w:type="dxa"/>
              <w:right w:w="20" w:type="dxa"/>
            </w:tcMar>
            <w:vAlign w:val="bottom"/>
            <w:hideMark/>
          </w:tcPr>
          <w:p w14:paraId="30B5388A"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346C30D"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CB5970D" w14:textId="77777777" w:rsidR="00000000" w:rsidRDefault="001A570A">
            <w:pPr>
              <w:jc w:val="center"/>
              <w:rPr>
                <w:rFonts w:eastAsia="Times New Roman"/>
              </w:rPr>
            </w:pPr>
            <w:r>
              <w:rPr>
                <w:rFonts w:eastAsia="Times New Roman"/>
                <w:b/>
                <w:bCs/>
                <w:color w:val="000000"/>
                <w:sz w:val="16"/>
                <w:szCs w:val="16"/>
              </w:rPr>
              <w:t>Page No.</w:t>
            </w:r>
          </w:p>
        </w:tc>
      </w:tr>
      <w:tr w:rsidR="00000000" w14:paraId="76CC92F1" w14:textId="77777777">
        <w:trPr>
          <w:divId w:val="491527121"/>
          <w:trHeight w:val="300"/>
        </w:trPr>
        <w:tc>
          <w:tcPr>
            <w:tcW w:w="0" w:type="auto"/>
            <w:gridSpan w:val="3"/>
            <w:tcMar>
              <w:top w:w="0" w:type="dxa"/>
              <w:left w:w="20" w:type="dxa"/>
              <w:bottom w:w="0" w:type="dxa"/>
              <w:right w:w="20" w:type="dxa"/>
            </w:tcMar>
            <w:vAlign w:val="center"/>
            <w:hideMark/>
          </w:tcPr>
          <w:p w14:paraId="02B43533" w14:textId="77777777" w:rsidR="00000000" w:rsidRDefault="001A570A">
            <w:pPr>
              <w:jc w:val="center"/>
              <w:rPr>
                <w:rFonts w:eastAsia="Times New Roman"/>
              </w:rPr>
            </w:pPr>
          </w:p>
        </w:tc>
        <w:tc>
          <w:tcPr>
            <w:tcW w:w="0" w:type="auto"/>
            <w:gridSpan w:val="3"/>
            <w:tcMar>
              <w:top w:w="0" w:type="dxa"/>
              <w:left w:w="20" w:type="dxa"/>
              <w:bottom w:w="0" w:type="dxa"/>
              <w:right w:w="20" w:type="dxa"/>
            </w:tcMar>
            <w:vAlign w:val="center"/>
            <w:hideMark/>
          </w:tcPr>
          <w:p w14:paraId="56699B8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8148A4" w14:textId="77777777" w:rsidR="00000000" w:rsidRDefault="001A570A">
            <w:pPr>
              <w:rPr>
                <w:rFonts w:eastAsia="Times New Roman"/>
                <w:sz w:val="20"/>
                <w:szCs w:val="20"/>
              </w:rPr>
            </w:pPr>
          </w:p>
        </w:tc>
      </w:tr>
      <w:tr w:rsidR="00000000" w14:paraId="6BE2FEC4" w14:textId="77777777">
        <w:trPr>
          <w:divId w:val="491527121"/>
        </w:trPr>
        <w:tc>
          <w:tcPr>
            <w:tcW w:w="0" w:type="auto"/>
            <w:gridSpan w:val="3"/>
            <w:tcMar>
              <w:top w:w="30" w:type="dxa"/>
              <w:left w:w="20" w:type="dxa"/>
              <w:bottom w:w="30" w:type="dxa"/>
              <w:right w:w="20" w:type="dxa"/>
            </w:tcMar>
            <w:hideMark/>
          </w:tcPr>
          <w:p w14:paraId="212E1FD0" w14:textId="77777777" w:rsidR="00000000" w:rsidRDefault="001A570A">
            <w:pPr>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14:paraId="01873693"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3B4547DF" w14:textId="77777777" w:rsidR="00000000" w:rsidRDefault="001A570A">
            <w:pPr>
              <w:rPr>
                <w:rFonts w:eastAsia="Times New Roman"/>
                <w:sz w:val="20"/>
                <w:szCs w:val="20"/>
              </w:rPr>
            </w:pPr>
          </w:p>
        </w:tc>
      </w:tr>
      <w:tr w:rsidR="00000000" w14:paraId="67FA5E53" w14:textId="77777777">
        <w:trPr>
          <w:divId w:val="491527121"/>
        </w:trPr>
        <w:tc>
          <w:tcPr>
            <w:tcW w:w="0" w:type="auto"/>
            <w:gridSpan w:val="3"/>
            <w:tcMar>
              <w:top w:w="0" w:type="dxa"/>
              <w:left w:w="20" w:type="dxa"/>
              <w:bottom w:w="0" w:type="dxa"/>
              <w:right w:w="20" w:type="dxa"/>
            </w:tcMar>
            <w:vAlign w:val="center"/>
            <w:hideMark/>
          </w:tcPr>
          <w:p w14:paraId="7E5498D0"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hideMark/>
          </w:tcPr>
          <w:p w14:paraId="0E776E42" w14:textId="77777777" w:rsidR="00000000" w:rsidRDefault="001A570A">
            <w:pPr>
              <w:divId w:val="1093432229"/>
              <w:rPr>
                <w:rFonts w:eastAsia="Times New Roman"/>
              </w:rPr>
            </w:pPr>
            <w:hyperlink w:anchor="i4275b480e8e04971b24237f63c242920_16" w:history="1">
              <w:r>
                <w:rPr>
                  <w:rStyle w:val="a3"/>
                  <w:rFonts w:eastAsia="Times New Roman"/>
                  <w:color w:val="000000"/>
                  <w:sz w:val="20"/>
                  <w:szCs w:val="20"/>
                  <w:u w:val="none"/>
                </w:rPr>
                <w:t>ITEM 1.        Business</w:t>
              </w:r>
            </w:hyperlink>
          </w:p>
        </w:tc>
        <w:tc>
          <w:tcPr>
            <w:tcW w:w="0" w:type="auto"/>
            <w:gridSpan w:val="3"/>
            <w:tcMar>
              <w:top w:w="30" w:type="dxa"/>
              <w:left w:w="20" w:type="dxa"/>
              <w:bottom w:w="30" w:type="dxa"/>
              <w:right w:w="20" w:type="dxa"/>
            </w:tcMar>
            <w:vAlign w:val="bottom"/>
            <w:hideMark/>
          </w:tcPr>
          <w:p w14:paraId="16CD95D9" w14:textId="77777777" w:rsidR="00000000" w:rsidRDefault="001A570A">
            <w:pPr>
              <w:jc w:val="right"/>
              <w:rPr>
                <w:rFonts w:eastAsia="Times New Roman"/>
              </w:rPr>
            </w:pPr>
            <w:hyperlink w:anchor="i4275b480e8e04971b24237f63c242920_16" w:history="1">
              <w:r>
                <w:rPr>
                  <w:rStyle w:val="a3"/>
                  <w:rFonts w:eastAsia="Times New Roman"/>
                  <w:color w:val="000000"/>
                  <w:sz w:val="20"/>
                  <w:szCs w:val="20"/>
                  <w:u w:val="none"/>
                </w:rPr>
                <w:t>1</w:t>
              </w:r>
            </w:hyperlink>
          </w:p>
        </w:tc>
      </w:tr>
      <w:tr w:rsidR="00000000" w14:paraId="331E5EEB" w14:textId="77777777">
        <w:trPr>
          <w:divId w:val="491527121"/>
        </w:trPr>
        <w:tc>
          <w:tcPr>
            <w:tcW w:w="0" w:type="auto"/>
            <w:gridSpan w:val="3"/>
            <w:tcMar>
              <w:top w:w="0" w:type="dxa"/>
              <w:left w:w="20" w:type="dxa"/>
              <w:bottom w:w="0" w:type="dxa"/>
              <w:right w:w="20" w:type="dxa"/>
            </w:tcMar>
            <w:vAlign w:val="center"/>
            <w:hideMark/>
          </w:tcPr>
          <w:p w14:paraId="0B0194B6"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56B2B593" w14:textId="77777777" w:rsidR="00000000" w:rsidRDefault="001A570A">
            <w:pPr>
              <w:divId w:val="606893294"/>
              <w:rPr>
                <w:rFonts w:eastAsia="Times New Roman"/>
              </w:rPr>
            </w:pPr>
            <w:hyperlink w:anchor="i4275b480e8e04971b24237f63c242920_19" w:history="1">
              <w:r>
                <w:rPr>
                  <w:rStyle w:val="a3"/>
                  <w:rFonts w:eastAsia="Times New Roman"/>
                  <w:color w:val="000000"/>
                  <w:sz w:val="20"/>
                  <w:szCs w:val="20"/>
                  <w:u w:val="none"/>
                </w:rPr>
                <w:t>ITEM 1A.     Risk Factors</w:t>
              </w:r>
            </w:hyperlink>
          </w:p>
        </w:tc>
        <w:tc>
          <w:tcPr>
            <w:tcW w:w="0" w:type="auto"/>
            <w:gridSpan w:val="3"/>
            <w:tcMar>
              <w:top w:w="30" w:type="dxa"/>
              <w:left w:w="20" w:type="dxa"/>
              <w:bottom w:w="30" w:type="dxa"/>
              <w:right w:w="20" w:type="dxa"/>
            </w:tcMar>
            <w:vAlign w:val="bottom"/>
            <w:hideMark/>
          </w:tcPr>
          <w:p w14:paraId="20ECAFBB" w14:textId="77777777" w:rsidR="00000000" w:rsidRDefault="001A570A">
            <w:pPr>
              <w:jc w:val="right"/>
              <w:rPr>
                <w:rFonts w:eastAsia="Times New Roman"/>
              </w:rPr>
            </w:pPr>
            <w:hyperlink w:anchor="i4275b480e8e04971b24237f63c242920_19" w:history="1">
              <w:r>
                <w:rPr>
                  <w:rStyle w:val="a3"/>
                  <w:rFonts w:eastAsia="Times New Roman"/>
                  <w:color w:val="000000"/>
                  <w:sz w:val="20"/>
                  <w:szCs w:val="20"/>
                  <w:u w:val="none"/>
                </w:rPr>
                <w:t>11</w:t>
              </w:r>
            </w:hyperlink>
          </w:p>
        </w:tc>
      </w:tr>
      <w:tr w:rsidR="00000000" w14:paraId="0B9EBB91" w14:textId="77777777">
        <w:trPr>
          <w:divId w:val="491527121"/>
        </w:trPr>
        <w:tc>
          <w:tcPr>
            <w:tcW w:w="0" w:type="auto"/>
            <w:gridSpan w:val="3"/>
            <w:tcMar>
              <w:top w:w="0" w:type="dxa"/>
              <w:left w:w="20" w:type="dxa"/>
              <w:bottom w:w="0" w:type="dxa"/>
              <w:right w:w="20" w:type="dxa"/>
            </w:tcMar>
            <w:vAlign w:val="center"/>
            <w:hideMark/>
          </w:tcPr>
          <w:p w14:paraId="2F2C29E0"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4C4F3B4F" w14:textId="77777777" w:rsidR="00000000" w:rsidRDefault="001A570A">
            <w:pPr>
              <w:divId w:val="2133133715"/>
              <w:rPr>
                <w:rFonts w:eastAsia="Times New Roman"/>
              </w:rPr>
            </w:pPr>
            <w:hyperlink w:anchor="i4275b480e8e04971b24237f63c242920_22" w:history="1">
              <w:r>
                <w:rPr>
                  <w:rStyle w:val="a3"/>
                  <w:rFonts w:eastAsia="Times New Roman"/>
                  <w:color w:val="000000"/>
                  <w:sz w:val="20"/>
                  <w:szCs w:val="20"/>
                  <w:u w:val="none"/>
                </w:rPr>
                <w:t>ITEM 1B.     Unresolved Staff Comments</w:t>
              </w:r>
            </w:hyperlink>
          </w:p>
        </w:tc>
        <w:tc>
          <w:tcPr>
            <w:tcW w:w="0" w:type="auto"/>
            <w:gridSpan w:val="3"/>
            <w:tcMar>
              <w:top w:w="30" w:type="dxa"/>
              <w:left w:w="20" w:type="dxa"/>
              <w:bottom w:w="30" w:type="dxa"/>
              <w:right w:w="20" w:type="dxa"/>
            </w:tcMar>
            <w:vAlign w:val="bottom"/>
            <w:hideMark/>
          </w:tcPr>
          <w:p w14:paraId="16A323BD" w14:textId="77777777" w:rsidR="00000000" w:rsidRDefault="001A570A">
            <w:pPr>
              <w:jc w:val="right"/>
              <w:rPr>
                <w:rFonts w:eastAsia="Times New Roman"/>
              </w:rPr>
            </w:pPr>
            <w:hyperlink w:anchor="i4275b480e8e04971b24237f63c242920_22" w:history="1">
              <w:r>
                <w:rPr>
                  <w:rStyle w:val="a3"/>
                  <w:rFonts w:eastAsia="Times New Roman"/>
                  <w:color w:val="000000"/>
                  <w:sz w:val="20"/>
                  <w:szCs w:val="20"/>
                  <w:u w:val="none"/>
                </w:rPr>
                <w:t>24</w:t>
              </w:r>
            </w:hyperlink>
          </w:p>
        </w:tc>
      </w:tr>
      <w:tr w:rsidR="00000000" w14:paraId="6DB42285" w14:textId="77777777">
        <w:trPr>
          <w:divId w:val="491527121"/>
        </w:trPr>
        <w:tc>
          <w:tcPr>
            <w:tcW w:w="0" w:type="auto"/>
            <w:gridSpan w:val="3"/>
            <w:tcMar>
              <w:top w:w="0" w:type="dxa"/>
              <w:left w:w="20" w:type="dxa"/>
              <w:bottom w:w="0" w:type="dxa"/>
              <w:right w:w="20" w:type="dxa"/>
            </w:tcMar>
            <w:vAlign w:val="center"/>
            <w:hideMark/>
          </w:tcPr>
          <w:p w14:paraId="638E5C1A"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677034A6" w14:textId="77777777" w:rsidR="00000000" w:rsidRDefault="001A570A">
            <w:pPr>
              <w:divId w:val="1441336092"/>
              <w:rPr>
                <w:rFonts w:eastAsia="Times New Roman"/>
              </w:rPr>
            </w:pPr>
            <w:hyperlink w:anchor="i4275b480e8e04971b24237f63c242920_25" w:history="1">
              <w:r>
                <w:rPr>
                  <w:rStyle w:val="a3"/>
                  <w:rFonts w:eastAsia="Times New Roman"/>
                  <w:color w:val="000000"/>
                  <w:sz w:val="20"/>
                  <w:szCs w:val="20"/>
                  <w:u w:val="none"/>
                </w:rPr>
                <w:t>ITEM 2.        Properties</w:t>
              </w:r>
            </w:hyperlink>
          </w:p>
        </w:tc>
        <w:tc>
          <w:tcPr>
            <w:tcW w:w="0" w:type="auto"/>
            <w:gridSpan w:val="3"/>
            <w:tcMar>
              <w:top w:w="30" w:type="dxa"/>
              <w:left w:w="20" w:type="dxa"/>
              <w:bottom w:w="30" w:type="dxa"/>
              <w:right w:w="20" w:type="dxa"/>
            </w:tcMar>
            <w:vAlign w:val="bottom"/>
            <w:hideMark/>
          </w:tcPr>
          <w:p w14:paraId="56A0B106" w14:textId="77777777" w:rsidR="00000000" w:rsidRDefault="001A570A">
            <w:pPr>
              <w:jc w:val="right"/>
              <w:rPr>
                <w:rFonts w:eastAsia="Times New Roman"/>
              </w:rPr>
            </w:pPr>
            <w:hyperlink w:anchor="i4275b480e8e04971b24237f63c242920_25" w:history="1">
              <w:r>
                <w:rPr>
                  <w:rStyle w:val="a3"/>
                  <w:rFonts w:eastAsia="Times New Roman"/>
                  <w:color w:val="000000"/>
                  <w:sz w:val="20"/>
                  <w:szCs w:val="20"/>
                  <w:u w:val="none"/>
                </w:rPr>
                <w:t>25</w:t>
              </w:r>
            </w:hyperlink>
          </w:p>
        </w:tc>
      </w:tr>
      <w:tr w:rsidR="00000000" w14:paraId="1947CF93" w14:textId="77777777">
        <w:trPr>
          <w:divId w:val="491527121"/>
        </w:trPr>
        <w:tc>
          <w:tcPr>
            <w:tcW w:w="0" w:type="auto"/>
            <w:gridSpan w:val="3"/>
            <w:tcMar>
              <w:top w:w="0" w:type="dxa"/>
              <w:left w:w="20" w:type="dxa"/>
              <w:bottom w:w="0" w:type="dxa"/>
              <w:right w:w="20" w:type="dxa"/>
            </w:tcMar>
            <w:vAlign w:val="center"/>
            <w:hideMark/>
          </w:tcPr>
          <w:p w14:paraId="329D455F"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567B2D7E" w14:textId="77777777" w:rsidR="00000000" w:rsidRDefault="001A570A">
            <w:pPr>
              <w:divId w:val="905258667"/>
              <w:rPr>
                <w:rFonts w:eastAsia="Times New Roman"/>
              </w:rPr>
            </w:pPr>
            <w:hyperlink w:anchor="i4275b480e8e04971b24237f63c242920_28" w:history="1">
              <w:r>
                <w:rPr>
                  <w:rStyle w:val="a3"/>
                  <w:rFonts w:eastAsia="Times New Roman"/>
                  <w:color w:val="000000"/>
                  <w:sz w:val="20"/>
                  <w:szCs w:val="20"/>
                  <w:u w:val="none"/>
                </w:rPr>
                <w:t>ITEM 3.        Legal Proceedings</w:t>
              </w:r>
            </w:hyperlink>
          </w:p>
        </w:tc>
        <w:tc>
          <w:tcPr>
            <w:tcW w:w="0" w:type="auto"/>
            <w:gridSpan w:val="3"/>
            <w:tcMar>
              <w:top w:w="30" w:type="dxa"/>
              <w:left w:w="20" w:type="dxa"/>
              <w:bottom w:w="30" w:type="dxa"/>
              <w:right w:w="20" w:type="dxa"/>
            </w:tcMar>
            <w:vAlign w:val="bottom"/>
            <w:hideMark/>
          </w:tcPr>
          <w:p w14:paraId="4E8D2EC3" w14:textId="77777777" w:rsidR="00000000" w:rsidRDefault="001A570A">
            <w:pPr>
              <w:jc w:val="right"/>
              <w:rPr>
                <w:rFonts w:eastAsia="Times New Roman"/>
              </w:rPr>
            </w:pPr>
            <w:hyperlink w:anchor="i4275b480e8e04971b24237f63c242920_28" w:history="1">
              <w:r>
                <w:rPr>
                  <w:rStyle w:val="a3"/>
                  <w:rFonts w:eastAsia="Times New Roman"/>
                  <w:color w:val="000000"/>
                  <w:sz w:val="20"/>
                  <w:szCs w:val="20"/>
                  <w:u w:val="none"/>
                </w:rPr>
                <w:t>25</w:t>
              </w:r>
            </w:hyperlink>
          </w:p>
        </w:tc>
      </w:tr>
      <w:tr w:rsidR="00000000" w14:paraId="443D6CA5" w14:textId="77777777">
        <w:trPr>
          <w:divId w:val="491527121"/>
        </w:trPr>
        <w:tc>
          <w:tcPr>
            <w:tcW w:w="0" w:type="auto"/>
            <w:gridSpan w:val="3"/>
            <w:tcMar>
              <w:top w:w="0" w:type="dxa"/>
              <w:left w:w="20" w:type="dxa"/>
              <w:bottom w:w="0" w:type="dxa"/>
              <w:right w:w="20" w:type="dxa"/>
            </w:tcMar>
            <w:vAlign w:val="center"/>
            <w:hideMark/>
          </w:tcPr>
          <w:p w14:paraId="72F300FB"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6F79A16E" w14:textId="77777777" w:rsidR="00000000" w:rsidRDefault="001A570A">
            <w:pPr>
              <w:divId w:val="2078474957"/>
              <w:rPr>
                <w:rFonts w:eastAsia="Times New Roman"/>
              </w:rPr>
            </w:pPr>
            <w:hyperlink w:anchor="i4275b480e8e04971b24237f63c242920_31" w:history="1">
              <w:r>
                <w:rPr>
                  <w:rStyle w:val="a3"/>
                  <w:rFonts w:eastAsia="Times New Roman"/>
                  <w:color w:val="000000"/>
                  <w:sz w:val="20"/>
                  <w:szCs w:val="20"/>
                  <w:u w:val="none"/>
                </w:rPr>
                <w:t>ITEM 4.        Mine Safety Disclosures</w:t>
              </w:r>
            </w:hyperlink>
          </w:p>
        </w:tc>
        <w:tc>
          <w:tcPr>
            <w:tcW w:w="0" w:type="auto"/>
            <w:gridSpan w:val="3"/>
            <w:tcMar>
              <w:top w:w="30" w:type="dxa"/>
              <w:left w:w="20" w:type="dxa"/>
              <w:bottom w:w="30" w:type="dxa"/>
              <w:right w:w="20" w:type="dxa"/>
            </w:tcMar>
            <w:vAlign w:val="bottom"/>
            <w:hideMark/>
          </w:tcPr>
          <w:p w14:paraId="2832E9BB" w14:textId="77777777" w:rsidR="00000000" w:rsidRDefault="001A570A">
            <w:pPr>
              <w:jc w:val="right"/>
              <w:rPr>
                <w:rFonts w:eastAsia="Times New Roman"/>
              </w:rPr>
            </w:pPr>
            <w:hyperlink w:anchor="i4275b480e8e04971b24237f63c242920_31" w:history="1">
              <w:r>
                <w:rPr>
                  <w:rStyle w:val="a3"/>
                  <w:rFonts w:eastAsia="Times New Roman"/>
                  <w:color w:val="000000"/>
                  <w:sz w:val="20"/>
                  <w:szCs w:val="20"/>
                  <w:u w:val="none"/>
                </w:rPr>
                <w:t>27</w:t>
              </w:r>
            </w:hyperlink>
          </w:p>
        </w:tc>
      </w:tr>
      <w:tr w:rsidR="00000000" w14:paraId="4C6A7987" w14:textId="77777777">
        <w:trPr>
          <w:divId w:val="491527121"/>
        </w:trPr>
        <w:tc>
          <w:tcPr>
            <w:tcW w:w="0" w:type="auto"/>
            <w:gridSpan w:val="3"/>
            <w:tcMar>
              <w:top w:w="0" w:type="dxa"/>
              <w:left w:w="20" w:type="dxa"/>
              <w:bottom w:w="0" w:type="dxa"/>
              <w:right w:w="20" w:type="dxa"/>
            </w:tcMar>
            <w:vAlign w:val="center"/>
            <w:hideMark/>
          </w:tcPr>
          <w:p w14:paraId="037DDB40" w14:textId="77777777" w:rsidR="00000000" w:rsidRDefault="001A570A">
            <w:pPr>
              <w:jc w:val="right"/>
              <w:rPr>
                <w:rFonts w:eastAsia="Times New Roman"/>
              </w:rPr>
            </w:pPr>
          </w:p>
        </w:tc>
        <w:tc>
          <w:tcPr>
            <w:tcW w:w="0" w:type="auto"/>
            <w:gridSpan w:val="3"/>
            <w:tcMar>
              <w:top w:w="30" w:type="dxa"/>
              <w:left w:w="20" w:type="dxa"/>
              <w:bottom w:w="30" w:type="dxa"/>
              <w:right w:w="20" w:type="dxa"/>
            </w:tcMar>
            <w:vAlign w:val="bottom"/>
            <w:hideMark/>
          </w:tcPr>
          <w:p w14:paraId="0E50C98B" w14:textId="77777777" w:rsidR="00000000" w:rsidRDefault="001A570A">
            <w:pPr>
              <w:divId w:val="143590589"/>
              <w:rPr>
                <w:rFonts w:eastAsia="Times New Roman"/>
              </w:rPr>
            </w:pPr>
            <w:r>
              <w:rPr>
                <w:rFonts w:eastAsia="Times New Roman"/>
                <w:color w:val="000000"/>
                <w:sz w:val="20"/>
                <w:szCs w:val="20"/>
              </w:rPr>
              <w:t xml:space="preserve">Information about our </w:t>
            </w:r>
            <w:hyperlink w:anchor="i4275b480e8e04971b24237f63c242920_34" w:history="1">
              <w:r>
                <w:rPr>
                  <w:rStyle w:val="a3"/>
                  <w:rFonts w:eastAsia="Times New Roman"/>
                  <w:color w:val="000000"/>
                  <w:sz w:val="20"/>
                  <w:szCs w:val="20"/>
                  <w:u w:val="none"/>
                </w:rPr>
                <w:t>Executive Officers</w:t>
              </w:r>
            </w:hyperlink>
          </w:p>
        </w:tc>
        <w:tc>
          <w:tcPr>
            <w:tcW w:w="0" w:type="auto"/>
            <w:gridSpan w:val="3"/>
            <w:tcMar>
              <w:top w:w="30" w:type="dxa"/>
              <w:left w:w="20" w:type="dxa"/>
              <w:bottom w:w="30" w:type="dxa"/>
              <w:right w:w="20" w:type="dxa"/>
            </w:tcMar>
            <w:vAlign w:val="bottom"/>
            <w:hideMark/>
          </w:tcPr>
          <w:p w14:paraId="4C50A22D" w14:textId="77777777" w:rsidR="00000000" w:rsidRDefault="001A570A">
            <w:pPr>
              <w:jc w:val="right"/>
              <w:rPr>
                <w:rFonts w:eastAsia="Times New Roman"/>
              </w:rPr>
            </w:pPr>
            <w:hyperlink w:anchor="i4275b480e8e04971b24237f63c242920_34" w:history="1">
              <w:r>
                <w:rPr>
                  <w:rStyle w:val="a3"/>
                  <w:rFonts w:eastAsia="Times New Roman"/>
                  <w:color w:val="000000"/>
                  <w:sz w:val="20"/>
                  <w:szCs w:val="20"/>
                  <w:u w:val="none"/>
                </w:rPr>
                <w:t>28</w:t>
              </w:r>
            </w:hyperlink>
          </w:p>
        </w:tc>
      </w:tr>
      <w:tr w:rsidR="00000000" w14:paraId="3EBF4A0C" w14:textId="77777777">
        <w:trPr>
          <w:divId w:val="491527121"/>
          <w:trHeight w:val="300"/>
        </w:trPr>
        <w:tc>
          <w:tcPr>
            <w:tcW w:w="0" w:type="auto"/>
            <w:gridSpan w:val="3"/>
            <w:tcMar>
              <w:top w:w="0" w:type="dxa"/>
              <w:left w:w="20" w:type="dxa"/>
              <w:bottom w:w="0" w:type="dxa"/>
              <w:right w:w="20" w:type="dxa"/>
            </w:tcMar>
            <w:vAlign w:val="center"/>
            <w:hideMark/>
          </w:tcPr>
          <w:p w14:paraId="2BC52070"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447A2DD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E3DAA69" w14:textId="77777777" w:rsidR="00000000" w:rsidRDefault="001A570A">
            <w:pPr>
              <w:rPr>
                <w:rFonts w:eastAsia="Times New Roman"/>
                <w:sz w:val="20"/>
                <w:szCs w:val="20"/>
              </w:rPr>
            </w:pPr>
          </w:p>
        </w:tc>
      </w:tr>
      <w:tr w:rsidR="00000000" w14:paraId="23950CCD" w14:textId="77777777">
        <w:trPr>
          <w:divId w:val="491527121"/>
        </w:trPr>
        <w:tc>
          <w:tcPr>
            <w:tcW w:w="0" w:type="auto"/>
            <w:gridSpan w:val="3"/>
            <w:tcMar>
              <w:top w:w="30" w:type="dxa"/>
              <w:left w:w="20" w:type="dxa"/>
              <w:bottom w:w="30" w:type="dxa"/>
              <w:right w:w="20" w:type="dxa"/>
            </w:tcMar>
            <w:hideMark/>
          </w:tcPr>
          <w:p w14:paraId="4B888846" w14:textId="77777777" w:rsidR="00000000" w:rsidRDefault="001A570A">
            <w:pP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14:paraId="4FE0BE12"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BE88DCE" w14:textId="77777777" w:rsidR="00000000" w:rsidRDefault="001A570A">
            <w:pPr>
              <w:rPr>
                <w:rFonts w:eastAsia="Times New Roman"/>
                <w:sz w:val="20"/>
                <w:szCs w:val="20"/>
              </w:rPr>
            </w:pPr>
          </w:p>
        </w:tc>
      </w:tr>
      <w:tr w:rsidR="00000000" w14:paraId="410713B7" w14:textId="77777777">
        <w:trPr>
          <w:divId w:val="491527121"/>
        </w:trPr>
        <w:tc>
          <w:tcPr>
            <w:tcW w:w="0" w:type="auto"/>
            <w:gridSpan w:val="3"/>
            <w:tcMar>
              <w:top w:w="0" w:type="dxa"/>
              <w:left w:w="20" w:type="dxa"/>
              <w:bottom w:w="0" w:type="dxa"/>
              <w:right w:w="20" w:type="dxa"/>
            </w:tcMar>
            <w:vAlign w:val="center"/>
            <w:hideMark/>
          </w:tcPr>
          <w:p w14:paraId="2818DCC8"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hideMark/>
          </w:tcPr>
          <w:p w14:paraId="5CDAA2FF" w14:textId="77777777" w:rsidR="00000000" w:rsidRDefault="001A570A">
            <w:pPr>
              <w:ind w:hanging="1080"/>
              <w:divId w:val="1294941617"/>
              <w:rPr>
                <w:rFonts w:eastAsia="Times New Roman"/>
              </w:rPr>
            </w:pPr>
            <w:hyperlink w:anchor="i4275b480e8e04971b24237f63c242920_40" w:history="1">
              <w:r>
                <w:rPr>
                  <w:rStyle w:val="a3"/>
                  <w:rFonts w:eastAsia="Times New Roman"/>
                  <w:color w:val="000000"/>
                  <w:sz w:val="20"/>
                  <w:szCs w:val="20"/>
                  <w:u w:val="none"/>
                </w:rPr>
                <w:t>ITEM 5.        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4AABEF45" w14:textId="77777777" w:rsidR="00000000" w:rsidRDefault="001A570A">
            <w:pPr>
              <w:jc w:val="right"/>
              <w:rPr>
                <w:rFonts w:eastAsia="Times New Roman"/>
              </w:rPr>
            </w:pPr>
            <w:hyperlink w:anchor="i4275b480e8e04971b24237f63c242920_40" w:history="1">
              <w:r>
                <w:rPr>
                  <w:rStyle w:val="a3"/>
                  <w:rFonts w:eastAsia="Times New Roman"/>
                  <w:color w:val="000000"/>
                  <w:sz w:val="20"/>
                  <w:szCs w:val="20"/>
                  <w:u w:val="none"/>
                </w:rPr>
                <w:t>30</w:t>
              </w:r>
            </w:hyperlink>
          </w:p>
        </w:tc>
      </w:tr>
      <w:tr w:rsidR="00000000" w14:paraId="313259F7" w14:textId="77777777">
        <w:trPr>
          <w:divId w:val="491527121"/>
        </w:trPr>
        <w:tc>
          <w:tcPr>
            <w:tcW w:w="0" w:type="auto"/>
            <w:gridSpan w:val="3"/>
            <w:tcMar>
              <w:top w:w="0" w:type="dxa"/>
              <w:left w:w="20" w:type="dxa"/>
              <w:bottom w:w="0" w:type="dxa"/>
              <w:right w:w="20" w:type="dxa"/>
            </w:tcMar>
            <w:vAlign w:val="center"/>
            <w:hideMark/>
          </w:tcPr>
          <w:p w14:paraId="478C31AA"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685A2CF5" w14:textId="77777777" w:rsidR="00000000" w:rsidRDefault="001A570A">
            <w:pPr>
              <w:divId w:val="1478183760"/>
              <w:rPr>
                <w:rFonts w:eastAsia="Times New Roman"/>
              </w:rPr>
            </w:pPr>
            <w:hyperlink w:anchor="i4275b480e8e04971b24237f63c242920_2250" w:history="1">
              <w:r>
                <w:rPr>
                  <w:rStyle w:val="a3"/>
                  <w:rFonts w:eastAsia="Times New Roman"/>
                  <w:color w:val="000000"/>
                  <w:sz w:val="20"/>
                  <w:szCs w:val="20"/>
                  <w:u w:val="none"/>
                </w:rPr>
                <w:t>ITEM 6.       [Reserved]</w:t>
              </w:r>
            </w:hyperlink>
          </w:p>
        </w:tc>
        <w:tc>
          <w:tcPr>
            <w:tcW w:w="0" w:type="auto"/>
            <w:gridSpan w:val="3"/>
            <w:tcMar>
              <w:top w:w="30" w:type="dxa"/>
              <w:left w:w="20" w:type="dxa"/>
              <w:bottom w:w="30" w:type="dxa"/>
              <w:right w:w="20" w:type="dxa"/>
            </w:tcMar>
            <w:vAlign w:val="bottom"/>
            <w:hideMark/>
          </w:tcPr>
          <w:p w14:paraId="667BA9EA" w14:textId="77777777" w:rsidR="00000000" w:rsidRDefault="001A570A">
            <w:pPr>
              <w:jc w:val="right"/>
              <w:rPr>
                <w:rFonts w:eastAsia="Times New Roman"/>
              </w:rPr>
            </w:pPr>
            <w:hyperlink w:anchor="i4275b480e8e04971b24237f63c242920_2250" w:history="1">
              <w:r>
                <w:rPr>
                  <w:rStyle w:val="a3"/>
                  <w:rFonts w:eastAsia="Times New Roman"/>
                  <w:color w:val="000000"/>
                  <w:sz w:val="20"/>
                  <w:szCs w:val="20"/>
                  <w:u w:val="none"/>
                </w:rPr>
                <w:t>32</w:t>
              </w:r>
            </w:hyperlink>
          </w:p>
        </w:tc>
      </w:tr>
      <w:tr w:rsidR="00000000" w14:paraId="46F960AC" w14:textId="77777777">
        <w:trPr>
          <w:divId w:val="491527121"/>
        </w:trPr>
        <w:tc>
          <w:tcPr>
            <w:tcW w:w="0" w:type="auto"/>
            <w:gridSpan w:val="3"/>
            <w:tcMar>
              <w:top w:w="0" w:type="dxa"/>
              <w:left w:w="20" w:type="dxa"/>
              <w:bottom w:w="0" w:type="dxa"/>
              <w:right w:w="20" w:type="dxa"/>
            </w:tcMar>
            <w:vAlign w:val="center"/>
            <w:hideMark/>
          </w:tcPr>
          <w:p w14:paraId="73B2180B"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12514A7F" w14:textId="77777777" w:rsidR="00000000" w:rsidRDefault="001A570A">
            <w:pPr>
              <w:divId w:val="1225530892"/>
              <w:rPr>
                <w:rFonts w:eastAsia="Times New Roman"/>
              </w:rPr>
            </w:pPr>
            <w:hyperlink w:anchor="i4275b480e8e04971b24237f63c242920_46" w:history="1">
              <w:r>
                <w:rPr>
                  <w:rStyle w:val="a3"/>
                  <w:rFonts w:eastAsia="Times New Roman"/>
                  <w:color w:val="000000"/>
                  <w:sz w:val="20"/>
                  <w:szCs w:val="20"/>
                  <w:u w:val="none"/>
                </w:rPr>
                <w:t>ITEM 7.</w:t>
              </w:r>
            </w:hyperlink>
            <w:r>
              <w:rPr>
                <w:rFonts w:eastAsia="Times New Roman"/>
                <w:color w:val="000000"/>
                <w:sz w:val="20"/>
                <w:szCs w:val="20"/>
              </w:rPr>
              <w:t>  </w:t>
            </w:r>
            <w:hyperlink w:anchor="i4275b480e8e04971b24237f63c242920_247" w:history="1">
              <w:r>
                <w:rPr>
                  <w:rStyle w:val="a3"/>
                  <w:rFonts w:eastAsia="Times New Roman"/>
                  <w:color w:val="000000"/>
                  <w:sz w:val="20"/>
                  <w:szCs w:val="20"/>
                  <w:u w:val="none"/>
                </w:rPr>
                <w:t>  </w:t>
              </w:r>
            </w:hyperlink>
            <w:r>
              <w:rPr>
                <w:rFonts w:eastAsia="Times New Roman"/>
                <w:color w:val="000000"/>
                <w:sz w:val="20"/>
                <w:szCs w:val="20"/>
              </w:rPr>
              <w:t>    M</w:t>
            </w:r>
            <w:hyperlink w:anchor="i4275b480e8e04971b24237f63c242920_46" w:history="1">
              <w:r>
                <w:rPr>
                  <w:rStyle w:val="a3"/>
                  <w:rFonts w:eastAsia="Times New Roman"/>
                  <w:color w:val="000000"/>
                  <w:sz w:val="20"/>
                  <w:szCs w:val="20"/>
                  <w:u w:val="none"/>
                </w:rPr>
                <w:t>anagement’s Discussion and Analysis of Financial Condition and</w:t>
              </w:r>
              <w:r>
                <w:rPr>
                  <w:rStyle w:val="a3"/>
                  <w:rFonts w:eastAsia="Times New Roman"/>
                  <w:color w:val="000000"/>
                  <w:sz w:val="20"/>
                  <w:szCs w:val="20"/>
                  <w:u w:val="none"/>
                </w:rPr>
                <w:t xml:space="preserve"> Results of Operations</w:t>
              </w:r>
            </w:hyperlink>
          </w:p>
        </w:tc>
        <w:tc>
          <w:tcPr>
            <w:tcW w:w="0" w:type="auto"/>
            <w:gridSpan w:val="3"/>
            <w:tcMar>
              <w:top w:w="30" w:type="dxa"/>
              <w:left w:w="20" w:type="dxa"/>
              <w:bottom w:w="30" w:type="dxa"/>
              <w:right w:w="20" w:type="dxa"/>
            </w:tcMar>
            <w:vAlign w:val="bottom"/>
            <w:hideMark/>
          </w:tcPr>
          <w:p w14:paraId="53A39E36" w14:textId="77777777" w:rsidR="00000000" w:rsidRDefault="001A570A">
            <w:pPr>
              <w:jc w:val="right"/>
              <w:rPr>
                <w:rFonts w:eastAsia="Times New Roman"/>
              </w:rPr>
            </w:pPr>
            <w:hyperlink w:anchor="i4275b480e8e04971b24237f63c242920_46" w:history="1">
              <w:r>
                <w:rPr>
                  <w:rStyle w:val="a3"/>
                  <w:rFonts w:eastAsia="Times New Roman"/>
                  <w:color w:val="000000"/>
                  <w:sz w:val="20"/>
                  <w:szCs w:val="20"/>
                  <w:u w:val="none"/>
                </w:rPr>
                <w:t>33</w:t>
              </w:r>
            </w:hyperlink>
          </w:p>
        </w:tc>
      </w:tr>
      <w:tr w:rsidR="00000000" w14:paraId="347C429B" w14:textId="77777777">
        <w:trPr>
          <w:divId w:val="491527121"/>
        </w:trPr>
        <w:tc>
          <w:tcPr>
            <w:tcW w:w="0" w:type="auto"/>
            <w:gridSpan w:val="3"/>
            <w:tcMar>
              <w:top w:w="0" w:type="dxa"/>
              <w:left w:w="20" w:type="dxa"/>
              <w:bottom w:w="0" w:type="dxa"/>
              <w:right w:w="20" w:type="dxa"/>
            </w:tcMar>
            <w:vAlign w:val="center"/>
            <w:hideMark/>
          </w:tcPr>
          <w:p w14:paraId="67FE8544"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2A4B794A" w14:textId="77777777" w:rsidR="00000000" w:rsidRDefault="001A570A">
            <w:pPr>
              <w:divId w:val="1098477363"/>
              <w:rPr>
                <w:rFonts w:eastAsia="Times New Roman"/>
              </w:rPr>
            </w:pPr>
            <w:hyperlink w:anchor="i4275b480e8e04971b24237f63c242920_64" w:history="1">
              <w:r>
                <w:rPr>
                  <w:rStyle w:val="a3"/>
                  <w:rFonts w:eastAsia="Times New Roman"/>
                  <w:color w:val="000000"/>
                  <w:sz w:val="20"/>
                  <w:szCs w:val="20"/>
                  <w:u w:val="none"/>
                </w:rPr>
                <w:t>ITEM 7A.     </w:t>
              </w:r>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14:paraId="2C78E1D4" w14:textId="77777777" w:rsidR="00000000" w:rsidRDefault="001A570A">
            <w:pPr>
              <w:jc w:val="right"/>
              <w:rPr>
                <w:rFonts w:eastAsia="Times New Roman"/>
              </w:rPr>
            </w:pPr>
            <w:hyperlink w:anchor="i4275b480e8e04971b24237f63c242920_64" w:history="1">
              <w:r>
                <w:rPr>
                  <w:rStyle w:val="a3"/>
                  <w:rFonts w:eastAsia="Times New Roman"/>
                  <w:color w:val="000000"/>
                  <w:sz w:val="20"/>
                  <w:szCs w:val="20"/>
                  <w:u w:val="none"/>
                </w:rPr>
                <w:t>69</w:t>
              </w:r>
            </w:hyperlink>
          </w:p>
        </w:tc>
      </w:tr>
      <w:tr w:rsidR="00000000" w14:paraId="39F4E637" w14:textId="77777777">
        <w:trPr>
          <w:divId w:val="491527121"/>
        </w:trPr>
        <w:tc>
          <w:tcPr>
            <w:tcW w:w="0" w:type="auto"/>
            <w:gridSpan w:val="3"/>
            <w:tcMar>
              <w:top w:w="0" w:type="dxa"/>
              <w:left w:w="20" w:type="dxa"/>
              <w:bottom w:w="0" w:type="dxa"/>
              <w:right w:w="20" w:type="dxa"/>
            </w:tcMar>
            <w:vAlign w:val="center"/>
            <w:hideMark/>
          </w:tcPr>
          <w:p w14:paraId="1E13FDD1"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7FFCF5AA" w14:textId="77777777" w:rsidR="00000000" w:rsidRDefault="001A570A">
            <w:pPr>
              <w:divId w:val="344595346"/>
              <w:rPr>
                <w:rFonts w:eastAsia="Times New Roman"/>
              </w:rPr>
            </w:pPr>
            <w:hyperlink w:anchor="i4275b480e8e04971b24237f63c242920_67" w:history="1">
              <w:r>
                <w:rPr>
                  <w:rStyle w:val="a3"/>
                  <w:rFonts w:eastAsia="Times New Roman"/>
                  <w:color w:val="000000"/>
                  <w:sz w:val="20"/>
                  <w:szCs w:val="20"/>
                  <w:u w:val="none"/>
                </w:rPr>
                <w:t>ITEM 8.        </w:t>
              </w:r>
              <w:r>
                <w:rPr>
                  <w:rStyle w:val="a3"/>
                  <w:rFonts w:eastAsia="Times New Roman"/>
                  <w:color w:val="000000"/>
                  <w:sz w:val="20"/>
                  <w:szCs w:val="20"/>
                  <w:u w:val="none"/>
                </w:rPr>
                <w:t>Financial Statements and Supplementary Data</w:t>
              </w:r>
            </w:hyperlink>
          </w:p>
        </w:tc>
        <w:tc>
          <w:tcPr>
            <w:tcW w:w="0" w:type="auto"/>
            <w:gridSpan w:val="3"/>
            <w:tcMar>
              <w:top w:w="30" w:type="dxa"/>
              <w:left w:w="20" w:type="dxa"/>
              <w:bottom w:w="30" w:type="dxa"/>
              <w:right w:w="20" w:type="dxa"/>
            </w:tcMar>
            <w:vAlign w:val="bottom"/>
            <w:hideMark/>
          </w:tcPr>
          <w:p w14:paraId="26698A8C" w14:textId="77777777" w:rsidR="00000000" w:rsidRDefault="001A570A">
            <w:pPr>
              <w:jc w:val="right"/>
              <w:rPr>
                <w:rFonts w:eastAsia="Times New Roman"/>
              </w:rPr>
            </w:pPr>
            <w:hyperlink w:anchor="i4275b480e8e04971b24237f63c242920_67" w:history="1">
              <w:r>
                <w:rPr>
                  <w:rStyle w:val="a3"/>
                  <w:rFonts w:eastAsia="Times New Roman"/>
                  <w:color w:val="000000"/>
                  <w:sz w:val="20"/>
                  <w:szCs w:val="20"/>
                  <w:u w:val="none"/>
                </w:rPr>
                <w:t>70</w:t>
              </w:r>
            </w:hyperlink>
          </w:p>
        </w:tc>
      </w:tr>
      <w:tr w:rsidR="00000000" w14:paraId="463ABDBC" w14:textId="77777777">
        <w:trPr>
          <w:divId w:val="491527121"/>
        </w:trPr>
        <w:tc>
          <w:tcPr>
            <w:tcW w:w="0" w:type="auto"/>
            <w:gridSpan w:val="3"/>
            <w:tcMar>
              <w:top w:w="0" w:type="dxa"/>
              <w:left w:w="20" w:type="dxa"/>
              <w:bottom w:w="0" w:type="dxa"/>
              <w:right w:w="20" w:type="dxa"/>
            </w:tcMar>
            <w:vAlign w:val="center"/>
            <w:hideMark/>
          </w:tcPr>
          <w:p w14:paraId="03309F28"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7B566678" w14:textId="77777777" w:rsidR="00000000" w:rsidRDefault="001A570A">
            <w:pPr>
              <w:divId w:val="1270234295"/>
              <w:rPr>
                <w:rFonts w:eastAsia="Times New Roman"/>
              </w:rPr>
            </w:pPr>
            <w:hyperlink w:anchor="i4275b480e8e04971b24237f63c242920_217" w:history="1">
              <w:r>
                <w:rPr>
                  <w:rStyle w:val="a3"/>
                  <w:rFonts w:eastAsia="Times New Roman"/>
                  <w:color w:val="000000"/>
                  <w:sz w:val="20"/>
                  <w:szCs w:val="20"/>
                  <w:u w:val="none"/>
                </w:rPr>
                <w:t>ITEM 9.        Changes in and Disagreements with Accountants on Accounting and Fin</w:t>
              </w:r>
              <w:r>
                <w:rPr>
                  <w:rStyle w:val="a3"/>
                  <w:rFonts w:eastAsia="Times New Roman"/>
                  <w:color w:val="000000"/>
                  <w:sz w:val="20"/>
                  <w:szCs w:val="20"/>
                  <w:u w:val="none"/>
                </w:rPr>
                <w:t>ancial Disclosure</w:t>
              </w:r>
            </w:hyperlink>
          </w:p>
        </w:tc>
        <w:tc>
          <w:tcPr>
            <w:tcW w:w="0" w:type="auto"/>
            <w:gridSpan w:val="3"/>
            <w:tcMar>
              <w:top w:w="30" w:type="dxa"/>
              <w:left w:w="20" w:type="dxa"/>
              <w:bottom w:w="30" w:type="dxa"/>
              <w:right w:w="20" w:type="dxa"/>
            </w:tcMar>
            <w:vAlign w:val="bottom"/>
            <w:hideMark/>
          </w:tcPr>
          <w:p w14:paraId="3CA5F87E" w14:textId="77777777" w:rsidR="00000000" w:rsidRDefault="001A570A">
            <w:pPr>
              <w:jc w:val="right"/>
              <w:rPr>
                <w:rFonts w:eastAsia="Times New Roman"/>
              </w:rPr>
            </w:pPr>
            <w:hyperlink w:anchor="i4275b480e8e04971b24237f63c242920_217" w:history="1">
              <w:r>
                <w:rPr>
                  <w:rStyle w:val="a3"/>
                  <w:rFonts w:eastAsia="Times New Roman"/>
                  <w:color w:val="000000"/>
                  <w:sz w:val="20"/>
                  <w:szCs w:val="20"/>
                  <w:u w:val="none"/>
                </w:rPr>
                <w:t>132</w:t>
              </w:r>
            </w:hyperlink>
          </w:p>
        </w:tc>
      </w:tr>
      <w:tr w:rsidR="00000000" w14:paraId="0C299521" w14:textId="77777777">
        <w:trPr>
          <w:divId w:val="491527121"/>
        </w:trPr>
        <w:tc>
          <w:tcPr>
            <w:tcW w:w="0" w:type="auto"/>
            <w:gridSpan w:val="3"/>
            <w:tcMar>
              <w:top w:w="0" w:type="dxa"/>
              <w:left w:w="20" w:type="dxa"/>
              <w:bottom w:w="0" w:type="dxa"/>
              <w:right w:w="20" w:type="dxa"/>
            </w:tcMar>
            <w:vAlign w:val="center"/>
            <w:hideMark/>
          </w:tcPr>
          <w:p w14:paraId="568DA578"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1311D413" w14:textId="77777777" w:rsidR="00000000" w:rsidRDefault="001A570A">
            <w:pPr>
              <w:divId w:val="1092698549"/>
              <w:rPr>
                <w:rFonts w:eastAsia="Times New Roman"/>
              </w:rPr>
            </w:pPr>
            <w:hyperlink w:anchor="i4275b480e8e04971b24237f63c242920_220" w:history="1">
              <w:r>
                <w:rPr>
                  <w:rStyle w:val="a3"/>
                  <w:rFonts w:eastAsia="Times New Roman"/>
                  <w:color w:val="000000"/>
                  <w:sz w:val="20"/>
                  <w:szCs w:val="20"/>
                  <w:u w:val="none"/>
                </w:rPr>
                <w:t>ITEM 9A.     Controls and Procedures</w:t>
              </w:r>
            </w:hyperlink>
          </w:p>
        </w:tc>
        <w:tc>
          <w:tcPr>
            <w:tcW w:w="0" w:type="auto"/>
            <w:gridSpan w:val="3"/>
            <w:tcMar>
              <w:top w:w="30" w:type="dxa"/>
              <w:left w:w="20" w:type="dxa"/>
              <w:bottom w:w="30" w:type="dxa"/>
              <w:right w:w="20" w:type="dxa"/>
            </w:tcMar>
            <w:vAlign w:val="bottom"/>
            <w:hideMark/>
          </w:tcPr>
          <w:p w14:paraId="2E018A76" w14:textId="77777777" w:rsidR="00000000" w:rsidRDefault="001A570A">
            <w:pPr>
              <w:jc w:val="right"/>
              <w:rPr>
                <w:rFonts w:eastAsia="Times New Roman"/>
              </w:rPr>
            </w:pPr>
            <w:hyperlink w:anchor="i4275b480e8e04971b24237f63c242920_220" w:history="1">
              <w:r>
                <w:rPr>
                  <w:rStyle w:val="a3"/>
                  <w:rFonts w:eastAsia="Times New Roman"/>
                  <w:color w:val="000000"/>
                  <w:sz w:val="20"/>
                  <w:szCs w:val="20"/>
                  <w:u w:val="none"/>
                </w:rPr>
                <w:t>132</w:t>
              </w:r>
            </w:hyperlink>
          </w:p>
        </w:tc>
      </w:tr>
      <w:tr w:rsidR="00000000" w14:paraId="06353533" w14:textId="77777777">
        <w:trPr>
          <w:divId w:val="491527121"/>
        </w:trPr>
        <w:tc>
          <w:tcPr>
            <w:tcW w:w="0" w:type="auto"/>
            <w:gridSpan w:val="3"/>
            <w:tcMar>
              <w:top w:w="0" w:type="dxa"/>
              <w:left w:w="20" w:type="dxa"/>
              <w:bottom w:w="0" w:type="dxa"/>
              <w:right w:w="20" w:type="dxa"/>
            </w:tcMar>
            <w:vAlign w:val="center"/>
            <w:hideMark/>
          </w:tcPr>
          <w:p w14:paraId="324AD8AC"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7C671579" w14:textId="77777777" w:rsidR="00000000" w:rsidRDefault="001A570A">
            <w:pPr>
              <w:divId w:val="1529025833"/>
              <w:rPr>
                <w:rFonts w:eastAsia="Times New Roman"/>
              </w:rPr>
            </w:pPr>
            <w:hyperlink w:anchor="i4275b480e8e04971b24237f63c242920_223" w:history="1">
              <w:r>
                <w:rPr>
                  <w:rStyle w:val="a3"/>
                  <w:rFonts w:eastAsia="Times New Roman"/>
                  <w:color w:val="000000"/>
                  <w:sz w:val="20"/>
                  <w:szCs w:val="20"/>
                  <w:u w:val="none"/>
                </w:rPr>
                <w:t>ITEM 9B.     Other Information</w:t>
              </w:r>
            </w:hyperlink>
          </w:p>
        </w:tc>
        <w:tc>
          <w:tcPr>
            <w:tcW w:w="0" w:type="auto"/>
            <w:gridSpan w:val="3"/>
            <w:tcMar>
              <w:top w:w="30" w:type="dxa"/>
              <w:left w:w="20" w:type="dxa"/>
              <w:bottom w:w="30" w:type="dxa"/>
              <w:right w:w="20" w:type="dxa"/>
            </w:tcMar>
            <w:vAlign w:val="bottom"/>
            <w:hideMark/>
          </w:tcPr>
          <w:p w14:paraId="19AFBEBE" w14:textId="77777777" w:rsidR="00000000" w:rsidRDefault="001A570A">
            <w:pPr>
              <w:jc w:val="right"/>
              <w:rPr>
                <w:rFonts w:eastAsia="Times New Roman"/>
              </w:rPr>
            </w:pPr>
            <w:hyperlink w:anchor="i4275b480e8e04971b24237f63c242920_223" w:history="1">
              <w:r>
                <w:rPr>
                  <w:rStyle w:val="a3"/>
                  <w:rFonts w:eastAsia="Times New Roman"/>
                  <w:color w:val="000000"/>
                  <w:sz w:val="20"/>
                  <w:szCs w:val="20"/>
                  <w:u w:val="none"/>
                </w:rPr>
                <w:t>133</w:t>
              </w:r>
            </w:hyperlink>
          </w:p>
        </w:tc>
      </w:tr>
      <w:tr w:rsidR="00000000" w14:paraId="17B2527C" w14:textId="77777777">
        <w:trPr>
          <w:divId w:val="491527121"/>
          <w:trHeight w:val="300"/>
        </w:trPr>
        <w:tc>
          <w:tcPr>
            <w:tcW w:w="0" w:type="auto"/>
            <w:gridSpan w:val="3"/>
            <w:tcMar>
              <w:top w:w="0" w:type="dxa"/>
              <w:left w:w="20" w:type="dxa"/>
              <w:bottom w:w="0" w:type="dxa"/>
              <w:right w:w="20" w:type="dxa"/>
            </w:tcMar>
            <w:vAlign w:val="center"/>
            <w:hideMark/>
          </w:tcPr>
          <w:p w14:paraId="4246A584"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2B48977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AE67F67" w14:textId="77777777" w:rsidR="00000000" w:rsidRDefault="001A570A">
            <w:pPr>
              <w:rPr>
                <w:rFonts w:eastAsia="Times New Roman"/>
                <w:sz w:val="20"/>
                <w:szCs w:val="20"/>
              </w:rPr>
            </w:pPr>
          </w:p>
        </w:tc>
      </w:tr>
      <w:tr w:rsidR="00000000" w14:paraId="33ABD7A6" w14:textId="77777777">
        <w:trPr>
          <w:divId w:val="491527121"/>
        </w:trPr>
        <w:tc>
          <w:tcPr>
            <w:tcW w:w="0" w:type="auto"/>
            <w:gridSpan w:val="3"/>
            <w:tcMar>
              <w:top w:w="30" w:type="dxa"/>
              <w:left w:w="20" w:type="dxa"/>
              <w:bottom w:w="30" w:type="dxa"/>
              <w:right w:w="20" w:type="dxa"/>
            </w:tcMar>
            <w:hideMark/>
          </w:tcPr>
          <w:p w14:paraId="2F131E23" w14:textId="77777777" w:rsidR="00000000" w:rsidRDefault="001A570A">
            <w:pPr>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14:paraId="0B77FC4F"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15172324" w14:textId="77777777" w:rsidR="00000000" w:rsidRDefault="001A570A">
            <w:pPr>
              <w:rPr>
                <w:rFonts w:eastAsia="Times New Roman"/>
                <w:sz w:val="20"/>
                <w:szCs w:val="20"/>
              </w:rPr>
            </w:pPr>
          </w:p>
        </w:tc>
      </w:tr>
      <w:tr w:rsidR="00000000" w14:paraId="44B5BF7B" w14:textId="77777777">
        <w:trPr>
          <w:divId w:val="491527121"/>
        </w:trPr>
        <w:tc>
          <w:tcPr>
            <w:tcW w:w="0" w:type="auto"/>
            <w:gridSpan w:val="3"/>
            <w:tcMar>
              <w:top w:w="0" w:type="dxa"/>
              <w:left w:w="20" w:type="dxa"/>
              <w:bottom w:w="0" w:type="dxa"/>
              <w:right w:w="20" w:type="dxa"/>
            </w:tcMar>
            <w:vAlign w:val="center"/>
            <w:hideMark/>
          </w:tcPr>
          <w:p w14:paraId="627CBE4A"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hideMark/>
          </w:tcPr>
          <w:p w14:paraId="669D058E" w14:textId="77777777" w:rsidR="00000000" w:rsidRDefault="001A570A">
            <w:pPr>
              <w:divId w:val="1283147319"/>
              <w:rPr>
                <w:rFonts w:eastAsia="Times New Roman"/>
              </w:rPr>
            </w:pPr>
            <w:hyperlink w:anchor="i4275b480e8e04971b24237f63c242920_229" w:history="1">
              <w:r>
                <w:rPr>
                  <w:rStyle w:val="a3"/>
                  <w:rFonts w:eastAsia="Times New Roman"/>
                  <w:color w:val="000000"/>
                  <w:sz w:val="20"/>
                  <w:szCs w:val="20"/>
                  <w:u w:val="none"/>
                </w:rPr>
                <w:t>ITEM 10.      Directors, Executive Officers and Corporate Governance</w:t>
              </w:r>
            </w:hyperlink>
          </w:p>
        </w:tc>
        <w:tc>
          <w:tcPr>
            <w:tcW w:w="0" w:type="auto"/>
            <w:gridSpan w:val="3"/>
            <w:tcMar>
              <w:top w:w="30" w:type="dxa"/>
              <w:left w:w="20" w:type="dxa"/>
              <w:bottom w:w="30" w:type="dxa"/>
              <w:right w:w="20" w:type="dxa"/>
            </w:tcMar>
            <w:vAlign w:val="bottom"/>
            <w:hideMark/>
          </w:tcPr>
          <w:p w14:paraId="30EB0F46" w14:textId="77777777" w:rsidR="00000000" w:rsidRDefault="001A570A">
            <w:pPr>
              <w:jc w:val="right"/>
              <w:rPr>
                <w:rFonts w:eastAsia="Times New Roman"/>
              </w:rPr>
            </w:pPr>
            <w:hyperlink w:anchor="i4275b480e8e04971b24237f63c242920_229" w:history="1">
              <w:r>
                <w:rPr>
                  <w:rStyle w:val="a3"/>
                  <w:rFonts w:eastAsia="Times New Roman"/>
                  <w:color w:val="000000"/>
                  <w:sz w:val="20"/>
                  <w:szCs w:val="20"/>
                  <w:u w:val="none"/>
                </w:rPr>
                <w:t>133</w:t>
              </w:r>
            </w:hyperlink>
          </w:p>
        </w:tc>
      </w:tr>
      <w:tr w:rsidR="00000000" w14:paraId="05C70EE6" w14:textId="77777777">
        <w:trPr>
          <w:divId w:val="491527121"/>
        </w:trPr>
        <w:tc>
          <w:tcPr>
            <w:tcW w:w="0" w:type="auto"/>
            <w:gridSpan w:val="3"/>
            <w:tcMar>
              <w:top w:w="0" w:type="dxa"/>
              <w:left w:w="20" w:type="dxa"/>
              <w:bottom w:w="0" w:type="dxa"/>
              <w:right w:w="20" w:type="dxa"/>
            </w:tcMar>
            <w:vAlign w:val="center"/>
            <w:hideMark/>
          </w:tcPr>
          <w:p w14:paraId="0B7F9D5D"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39C4BDCB" w14:textId="77777777" w:rsidR="00000000" w:rsidRDefault="001A570A">
            <w:pPr>
              <w:divId w:val="1523740272"/>
              <w:rPr>
                <w:rFonts w:eastAsia="Times New Roman"/>
              </w:rPr>
            </w:pPr>
            <w:hyperlink w:anchor="i4275b480e8e04971b24237f63c242920_232" w:history="1">
              <w:r>
                <w:rPr>
                  <w:rStyle w:val="a3"/>
                  <w:rFonts w:eastAsia="Times New Roman"/>
                  <w:color w:val="000000"/>
                  <w:sz w:val="20"/>
                  <w:szCs w:val="20"/>
                  <w:u w:val="none"/>
                </w:rPr>
                <w:t>ITEM 11.      Executive Compensation</w:t>
              </w:r>
            </w:hyperlink>
          </w:p>
        </w:tc>
        <w:tc>
          <w:tcPr>
            <w:tcW w:w="0" w:type="auto"/>
            <w:gridSpan w:val="3"/>
            <w:tcMar>
              <w:top w:w="30" w:type="dxa"/>
              <w:left w:w="20" w:type="dxa"/>
              <w:bottom w:w="30" w:type="dxa"/>
              <w:right w:w="20" w:type="dxa"/>
            </w:tcMar>
            <w:vAlign w:val="bottom"/>
            <w:hideMark/>
          </w:tcPr>
          <w:p w14:paraId="4BB1F9C0" w14:textId="77777777" w:rsidR="00000000" w:rsidRDefault="001A570A">
            <w:pPr>
              <w:jc w:val="right"/>
              <w:rPr>
                <w:rFonts w:eastAsia="Times New Roman"/>
              </w:rPr>
            </w:pPr>
            <w:hyperlink w:anchor="i4275b480e8e04971b24237f63c242920_232" w:history="1">
              <w:r>
                <w:rPr>
                  <w:rStyle w:val="a3"/>
                  <w:rFonts w:eastAsia="Times New Roman"/>
                  <w:color w:val="000000"/>
                  <w:sz w:val="20"/>
                  <w:szCs w:val="20"/>
                  <w:u w:val="none"/>
                </w:rPr>
                <w:t>134</w:t>
              </w:r>
            </w:hyperlink>
          </w:p>
        </w:tc>
      </w:tr>
      <w:tr w:rsidR="00000000" w14:paraId="7FC4EEEE" w14:textId="77777777">
        <w:trPr>
          <w:divId w:val="491527121"/>
        </w:trPr>
        <w:tc>
          <w:tcPr>
            <w:tcW w:w="0" w:type="auto"/>
            <w:gridSpan w:val="3"/>
            <w:tcMar>
              <w:top w:w="0" w:type="dxa"/>
              <w:left w:w="20" w:type="dxa"/>
              <w:bottom w:w="0" w:type="dxa"/>
              <w:right w:w="20" w:type="dxa"/>
            </w:tcMar>
            <w:vAlign w:val="center"/>
            <w:hideMark/>
          </w:tcPr>
          <w:p w14:paraId="4093405B"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6C18C2BD" w14:textId="77777777" w:rsidR="00000000" w:rsidRDefault="001A570A">
            <w:pPr>
              <w:ind w:hanging="1080"/>
              <w:divId w:val="1825047023"/>
              <w:rPr>
                <w:rFonts w:eastAsia="Times New Roman"/>
              </w:rPr>
            </w:pPr>
            <w:hyperlink w:anchor="i4275b480e8e04971b24237f63c242920_235" w:history="1">
              <w:r>
                <w:rPr>
                  <w:rStyle w:val="a3"/>
                  <w:rFonts w:eastAsia="Times New Roman"/>
                  <w:color w:val="000000"/>
                  <w:sz w:val="20"/>
                  <w:szCs w:val="20"/>
                  <w:u w:val="none"/>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0CF3CB24" w14:textId="77777777" w:rsidR="00000000" w:rsidRDefault="001A570A">
            <w:pPr>
              <w:jc w:val="right"/>
              <w:rPr>
                <w:rFonts w:eastAsia="Times New Roman"/>
              </w:rPr>
            </w:pPr>
            <w:hyperlink w:anchor="i4275b480e8e04971b24237f63c242920_235" w:history="1">
              <w:r>
                <w:rPr>
                  <w:rStyle w:val="a3"/>
                  <w:rFonts w:eastAsia="Times New Roman"/>
                  <w:color w:val="000000"/>
                  <w:sz w:val="20"/>
                  <w:szCs w:val="20"/>
                  <w:u w:val="none"/>
                </w:rPr>
                <w:t>134</w:t>
              </w:r>
            </w:hyperlink>
          </w:p>
        </w:tc>
      </w:tr>
      <w:tr w:rsidR="00000000" w14:paraId="1C15BAB0" w14:textId="77777777">
        <w:trPr>
          <w:divId w:val="491527121"/>
        </w:trPr>
        <w:tc>
          <w:tcPr>
            <w:tcW w:w="0" w:type="auto"/>
            <w:gridSpan w:val="3"/>
            <w:tcMar>
              <w:top w:w="0" w:type="dxa"/>
              <w:left w:w="20" w:type="dxa"/>
              <w:bottom w:w="0" w:type="dxa"/>
              <w:right w:w="20" w:type="dxa"/>
            </w:tcMar>
            <w:vAlign w:val="center"/>
            <w:hideMark/>
          </w:tcPr>
          <w:p w14:paraId="410F0BE9"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7948AF66" w14:textId="77777777" w:rsidR="00000000" w:rsidRDefault="001A570A">
            <w:pPr>
              <w:divId w:val="901451060"/>
              <w:rPr>
                <w:rFonts w:eastAsia="Times New Roman"/>
              </w:rPr>
            </w:pPr>
            <w:hyperlink w:anchor="i4275b480e8e04971b24237f63c242920_238" w:history="1">
              <w:r>
                <w:rPr>
                  <w:rStyle w:val="a3"/>
                  <w:rFonts w:eastAsia="Times New Roman"/>
                  <w:color w:val="000000"/>
                  <w:sz w:val="20"/>
                  <w:szCs w:val="20"/>
                  <w:u w:val="none"/>
                </w:rPr>
                <w:t>ITEM 13</w:t>
              </w:r>
            </w:hyperlink>
            <w:hyperlink w:anchor="i4275b480e8e04971b24237f63c242920_247" w:history="1">
              <w:r>
                <w:rPr>
                  <w:rStyle w:val="a3"/>
                  <w:rFonts w:eastAsia="Times New Roman"/>
                  <w:color w:val="000000"/>
                  <w:sz w:val="20"/>
                  <w:szCs w:val="20"/>
                  <w:u w:val="none"/>
                </w:rPr>
                <w:t>.      </w:t>
              </w:r>
            </w:hyperlink>
            <w:hyperlink w:anchor="i4275b480e8e04971b24237f63c242920_238" w:history="1">
              <w:r>
                <w:rPr>
                  <w:rStyle w:val="a3"/>
                  <w:rFonts w:eastAsia="Times New Roman"/>
                  <w:color w:val="000000"/>
                  <w:sz w:val="20"/>
                  <w:szCs w:val="20"/>
                  <w:u w:val="non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747DE060" w14:textId="77777777" w:rsidR="00000000" w:rsidRDefault="001A570A">
            <w:pPr>
              <w:jc w:val="right"/>
              <w:rPr>
                <w:rFonts w:eastAsia="Times New Roman"/>
              </w:rPr>
            </w:pPr>
            <w:hyperlink w:anchor="i4275b480e8e04971b24237f63c242920_238" w:history="1">
              <w:r>
                <w:rPr>
                  <w:rStyle w:val="a3"/>
                  <w:rFonts w:eastAsia="Times New Roman"/>
                  <w:color w:val="000000"/>
                  <w:sz w:val="20"/>
                  <w:szCs w:val="20"/>
                  <w:u w:val="none"/>
                </w:rPr>
                <w:t>134</w:t>
              </w:r>
            </w:hyperlink>
          </w:p>
        </w:tc>
      </w:tr>
      <w:tr w:rsidR="00000000" w14:paraId="3903B4E7" w14:textId="77777777">
        <w:trPr>
          <w:divId w:val="491527121"/>
        </w:trPr>
        <w:tc>
          <w:tcPr>
            <w:tcW w:w="0" w:type="auto"/>
            <w:gridSpan w:val="3"/>
            <w:tcMar>
              <w:top w:w="0" w:type="dxa"/>
              <w:left w:w="20" w:type="dxa"/>
              <w:bottom w:w="0" w:type="dxa"/>
              <w:right w:w="20" w:type="dxa"/>
            </w:tcMar>
            <w:vAlign w:val="center"/>
            <w:hideMark/>
          </w:tcPr>
          <w:p w14:paraId="08A7B680"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251107B2" w14:textId="77777777" w:rsidR="00000000" w:rsidRDefault="001A570A">
            <w:pPr>
              <w:divId w:val="372073289"/>
              <w:rPr>
                <w:rFonts w:eastAsia="Times New Roman"/>
              </w:rPr>
            </w:pPr>
            <w:hyperlink w:anchor="i4275b480e8e04971b24237f63c242920_241" w:history="1">
              <w:r>
                <w:rPr>
                  <w:rStyle w:val="a3"/>
                  <w:rFonts w:eastAsia="Times New Roman"/>
                  <w:color w:val="000000"/>
                  <w:sz w:val="20"/>
                  <w:szCs w:val="20"/>
                  <w:u w:val="none"/>
                </w:rPr>
                <w:t>ITEM 14.      Principal Accounting Fees and Services</w:t>
              </w:r>
            </w:hyperlink>
          </w:p>
        </w:tc>
        <w:tc>
          <w:tcPr>
            <w:tcW w:w="0" w:type="auto"/>
            <w:gridSpan w:val="3"/>
            <w:tcMar>
              <w:top w:w="30" w:type="dxa"/>
              <w:left w:w="20" w:type="dxa"/>
              <w:bottom w:w="30" w:type="dxa"/>
              <w:right w:w="20" w:type="dxa"/>
            </w:tcMar>
            <w:vAlign w:val="bottom"/>
            <w:hideMark/>
          </w:tcPr>
          <w:p w14:paraId="1960FE2D" w14:textId="77777777" w:rsidR="00000000" w:rsidRDefault="001A570A">
            <w:pPr>
              <w:jc w:val="right"/>
              <w:rPr>
                <w:rFonts w:eastAsia="Times New Roman"/>
              </w:rPr>
            </w:pPr>
            <w:hyperlink w:anchor="i4275b480e8e04971b24237f63c242920_241" w:history="1">
              <w:r>
                <w:rPr>
                  <w:rStyle w:val="a3"/>
                  <w:rFonts w:eastAsia="Times New Roman"/>
                  <w:color w:val="000000"/>
                  <w:sz w:val="20"/>
                  <w:szCs w:val="20"/>
                  <w:u w:val="none"/>
                </w:rPr>
                <w:t>134</w:t>
              </w:r>
            </w:hyperlink>
          </w:p>
        </w:tc>
      </w:tr>
      <w:tr w:rsidR="00000000" w14:paraId="54B27791" w14:textId="77777777">
        <w:trPr>
          <w:divId w:val="491527121"/>
          <w:trHeight w:val="300"/>
        </w:trPr>
        <w:tc>
          <w:tcPr>
            <w:tcW w:w="0" w:type="auto"/>
            <w:gridSpan w:val="3"/>
            <w:tcMar>
              <w:top w:w="0" w:type="dxa"/>
              <w:left w:w="20" w:type="dxa"/>
              <w:bottom w:w="0" w:type="dxa"/>
              <w:right w:w="20" w:type="dxa"/>
            </w:tcMar>
            <w:vAlign w:val="center"/>
            <w:hideMark/>
          </w:tcPr>
          <w:p w14:paraId="5E3FD05E"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512986C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12572D0" w14:textId="77777777" w:rsidR="00000000" w:rsidRDefault="001A570A">
            <w:pPr>
              <w:rPr>
                <w:rFonts w:eastAsia="Times New Roman"/>
                <w:sz w:val="20"/>
                <w:szCs w:val="20"/>
              </w:rPr>
            </w:pPr>
          </w:p>
        </w:tc>
      </w:tr>
      <w:tr w:rsidR="00000000" w14:paraId="2BAF6602" w14:textId="77777777">
        <w:trPr>
          <w:divId w:val="491527121"/>
        </w:trPr>
        <w:tc>
          <w:tcPr>
            <w:tcW w:w="0" w:type="auto"/>
            <w:gridSpan w:val="3"/>
            <w:tcMar>
              <w:top w:w="30" w:type="dxa"/>
              <w:left w:w="20" w:type="dxa"/>
              <w:bottom w:w="30" w:type="dxa"/>
              <w:right w:w="20" w:type="dxa"/>
            </w:tcMar>
            <w:hideMark/>
          </w:tcPr>
          <w:p w14:paraId="5DA1E5FE" w14:textId="77777777" w:rsidR="00000000" w:rsidRDefault="001A570A">
            <w:pPr>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14:paraId="270125D4"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21506B6" w14:textId="77777777" w:rsidR="00000000" w:rsidRDefault="001A570A">
            <w:pPr>
              <w:rPr>
                <w:rFonts w:eastAsia="Times New Roman"/>
                <w:sz w:val="20"/>
                <w:szCs w:val="20"/>
              </w:rPr>
            </w:pPr>
          </w:p>
        </w:tc>
      </w:tr>
      <w:tr w:rsidR="00000000" w14:paraId="539EAB2B" w14:textId="77777777">
        <w:trPr>
          <w:divId w:val="491527121"/>
        </w:trPr>
        <w:tc>
          <w:tcPr>
            <w:tcW w:w="0" w:type="auto"/>
            <w:gridSpan w:val="3"/>
            <w:tcMar>
              <w:top w:w="0" w:type="dxa"/>
              <w:left w:w="20" w:type="dxa"/>
              <w:bottom w:w="0" w:type="dxa"/>
              <w:right w:w="20" w:type="dxa"/>
            </w:tcMar>
            <w:vAlign w:val="center"/>
            <w:hideMark/>
          </w:tcPr>
          <w:p w14:paraId="02E9382B"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hideMark/>
          </w:tcPr>
          <w:p w14:paraId="481C6A24" w14:textId="77777777" w:rsidR="00000000" w:rsidRDefault="001A570A">
            <w:pPr>
              <w:divId w:val="420568738"/>
              <w:rPr>
                <w:rFonts w:eastAsia="Times New Roman"/>
              </w:rPr>
            </w:pPr>
            <w:hyperlink w:anchor="i4275b480e8e04971b24237f63c242920_247" w:history="1">
              <w:r>
                <w:rPr>
                  <w:rStyle w:val="a3"/>
                  <w:rFonts w:eastAsia="Times New Roman"/>
                  <w:color w:val="000000"/>
                  <w:sz w:val="20"/>
                  <w:szCs w:val="20"/>
                  <w:u w:val="none"/>
                </w:rPr>
                <w:t>ITEM 15.      Exhibits, Financial Statement Schedules</w:t>
              </w:r>
            </w:hyperlink>
          </w:p>
        </w:tc>
        <w:tc>
          <w:tcPr>
            <w:tcW w:w="0" w:type="auto"/>
            <w:gridSpan w:val="3"/>
            <w:tcMar>
              <w:top w:w="30" w:type="dxa"/>
              <w:left w:w="20" w:type="dxa"/>
              <w:bottom w:w="30" w:type="dxa"/>
              <w:right w:w="20" w:type="dxa"/>
            </w:tcMar>
            <w:vAlign w:val="bottom"/>
            <w:hideMark/>
          </w:tcPr>
          <w:p w14:paraId="0520BA7B" w14:textId="77777777" w:rsidR="00000000" w:rsidRDefault="001A570A">
            <w:pPr>
              <w:jc w:val="right"/>
              <w:rPr>
                <w:rFonts w:eastAsia="Times New Roman"/>
              </w:rPr>
            </w:pPr>
            <w:hyperlink w:anchor="i4275b480e8e04971b24237f63c242920_247" w:history="1">
              <w:r>
                <w:rPr>
                  <w:rStyle w:val="a3"/>
                  <w:rFonts w:eastAsia="Times New Roman"/>
                  <w:color w:val="000000"/>
                  <w:sz w:val="20"/>
                  <w:szCs w:val="20"/>
                  <w:u w:val="none"/>
                </w:rPr>
                <w:t>135</w:t>
              </w:r>
            </w:hyperlink>
          </w:p>
        </w:tc>
      </w:tr>
      <w:tr w:rsidR="00000000" w14:paraId="159CEEE5" w14:textId="77777777">
        <w:trPr>
          <w:divId w:val="491527121"/>
        </w:trPr>
        <w:tc>
          <w:tcPr>
            <w:tcW w:w="0" w:type="auto"/>
            <w:gridSpan w:val="3"/>
            <w:tcMar>
              <w:top w:w="0" w:type="dxa"/>
              <w:left w:w="20" w:type="dxa"/>
              <w:bottom w:w="0" w:type="dxa"/>
              <w:right w:w="20" w:type="dxa"/>
            </w:tcMar>
            <w:vAlign w:val="center"/>
            <w:hideMark/>
          </w:tcPr>
          <w:p w14:paraId="09196A17" w14:textId="77777777" w:rsidR="00000000" w:rsidRDefault="001A570A">
            <w:pPr>
              <w:jc w:val="right"/>
              <w:rPr>
                <w:rFonts w:eastAsia="Times New Roman"/>
              </w:rPr>
            </w:pPr>
          </w:p>
        </w:tc>
        <w:tc>
          <w:tcPr>
            <w:tcW w:w="0" w:type="auto"/>
            <w:gridSpan w:val="3"/>
            <w:tcMar>
              <w:top w:w="30" w:type="dxa"/>
              <w:left w:w="20" w:type="dxa"/>
              <w:bottom w:w="30" w:type="dxa"/>
              <w:right w:w="20" w:type="dxa"/>
            </w:tcMar>
            <w:hideMark/>
          </w:tcPr>
          <w:p w14:paraId="2F07A330" w14:textId="77777777" w:rsidR="00000000" w:rsidRDefault="001A570A">
            <w:pPr>
              <w:divId w:val="250242988"/>
              <w:rPr>
                <w:rFonts w:eastAsia="Times New Roman"/>
              </w:rPr>
            </w:pPr>
            <w:r>
              <w:rPr>
                <w:rFonts w:eastAsia="Times New Roman"/>
                <w:color w:val="000000"/>
                <w:sz w:val="20"/>
                <w:szCs w:val="20"/>
              </w:rPr>
              <w:t>ITEM 16</w:t>
            </w:r>
            <w:hyperlink w:anchor="i4275b480e8e04971b24237f63c242920_247" w:history="1">
              <w:r>
                <w:rPr>
                  <w:rStyle w:val="a3"/>
                  <w:rFonts w:eastAsia="Times New Roman"/>
                  <w:color w:val="000000"/>
                  <w:sz w:val="20"/>
                  <w:szCs w:val="20"/>
                  <w:u w:val="none"/>
                </w:rPr>
                <w:t>.      </w:t>
              </w:r>
            </w:hyperlink>
            <w:r>
              <w:rPr>
                <w:rFonts w:eastAsia="Times New Roman"/>
                <w:color w:val="000000"/>
                <w:sz w:val="20"/>
                <w:szCs w:val="20"/>
              </w:rPr>
              <w:t>Form 10-K Summary</w:t>
            </w:r>
          </w:p>
        </w:tc>
        <w:tc>
          <w:tcPr>
            <w:tcW w:w="0" w:type="auto"/>
            <w:gridSpan w:val="3"/>
            <w:tcMar>
              <w:top w:w="30" w:type="dxa"/>
              <w:left w:w="20" w:type="dxa"/>
              <w:bottom w:w="30" w:type="dxa"/>
              <w:right w:w="20" w:type="dxa"/>
            </w:tcMar>
            <w:vAlign w:val="bottom"/>
            <w:hideMark/>
          </w:tcPr>
          <w:p w14:paraId="530C3011" w14:textId="77777777" w:rsidR="00000000" w:rsidRDefault="001A570A">
            <w:pPr>
              <w:jc w:val="right"/>
              <w:rPr>
                <w:rFonts w:eastAsia="Times New Roman"/>
              </w:rPr>
            </w:pPr>
            <w:hyperlink w:anchor="i4275b480e8e04971b24237f63c242920_253" w:history="1">
              <w:r>
                <w:rPr>
                  <w:rStyle w:val="a3"/>
                  <w:rFonts w:eastAsia="Times New Roman"/>
                  <w:color w:val="000000"/>
                  <w:sz w:val="20"/>
                  <w:szCs w:val="20"/>
                  <w:u w:val="none"/>
                </w:rPr>
                <w:t>141</w:t>
              </w:r>
            </w:hyperlink>
          </w:p>
        </w:tc>
      </w:tr>
      <w:tr w:rsidR="00000000" w14:paraId="25B48D00" w14:textId="77777777">
        <w:trPr>
          <w:divId w:val="491527121"/>
          <w:trHeight w:val="300"/>
        </w:trPr>
        <w:tc>
          <w:tcPr>
            <w:tcW w:w="0" w:type="auto"/>
            <w:gridSpan w:val="6"/>
            <w:tcMar>
              <w:top w:w="0" w:type="dxa"/>
              <w:left w:w="20" w:type="dxa"/>
              <w:bottom w:w="0" w:type="dxa"/>
              <w:right w:w="20" w:type="dxa"/>
            </w:tcMar>
            <w:vAlign w:val="center"/>
            <w:hideMark/>
          </w:tcPr>
          <w:p w14:paraId="40857E30"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5C46DDB7" w14:textId="77777777" w:rsidR="00000000" w:rsidRDefault="001A570A">
            <w:pPr>
              <w:rPr>
                <w:rFonts w:eastAsia="Times New Roman"/>
                <w:sz w:val="20"/>
                <w:szCs w:val="20"/>
              </w:rPr>
            </w:pPr>
          </w:p>
        </w:tc>
      </w:tr>
      <w:tr w:rsidR="00000000" w14:paraId="350461EB" w14:textId="77777777">
        <w:trPr>
          <w:divId w:val="491527121"/>
        </w:trPr>
        <w:tc>
          <w:tcPr>
            <w:tcW w:w="0" w:type="auto"/>
            <w:gridSpan w:val="6"/>
            <w:tcMar>
              <w:top w:w="30" w:type="dxa"/>
              <w:left w:w="20" w:type="dxa"/>
              <w:bottom w:w="30" w:type="dxa"/>
              <w:right w:w="20" w:type="dxa"/>
            </w:tcMar>
            <w:hideMark/>
          </w:tcPr>
          <w:p w14:paraId="1A91F279" w14:textId="77777777" w:rsidR="00000000" w:rsidRDefault="001A570A">
            <w:pPr>
              <w:rPr>
                <w:rFonts w:eastAsia="Times New Roman"/>
              </w:rPr>
            </w:pPr>
            <w:r>
              <w:rPr>
                <w:rFonts w:eastAsia="Times New Roman"/>
                <w:b/>
                <w:bCs/>
                <w:color w:val="000000"/>
                <w:sz w:val="20"/>
                <w:szCs w:val="20"/>
              </w:rPr>
              <w:t>Signatures</w:t>
            </w:r>
          </w:p>
        </w:tc>
        <w:tc>
          <w:tcPr>
            <w:tcW w:w="0" w:type="auto"/>
            <w:gridSpan w:val="3"/>
            <w:tcMar>
              <w:top w:w="30" w:type="dxa"/>
              <w:left w:w="20" w:type="dxa"/>
              <w:bottom w:w="30" w:type="dxa"/>
              <w:right w:w="20" w:type="dxa"/>
            </w:tcMar>
            <w:vAlign w:val="bottom"/>
            <w:hideMark/>
          </w:tcPr>
          <w:p w14:paraId="6C0FCBA5" w14:textId="77777777" w:rsidR="00000000" w:rsidRDefault="001A570A">
            <w:pPr>
              <w:jc w:val="right"/>
              <w:rPr>
                <w:rFonts w:eastAsia="Times New Roman"/>
              </w:rPr>
            </w:pPr>
            <w:hyperlink w:anchor="i4275b480e8e04971b24237f63c242920_256" w:history="1">
              <w:r>
                <w:rPr>
                  <w:rStyle w:val="a3"/>
                  <w:rFonts w:eastAsia="Times New Roman"/>
                  <w:color w:val="000000"/>
                  <w:sz w:val="20"/>
                  <w:szCs w:val="20"/>
                  <w:u w:val="none"/>
                </w:rPr>
                <w:t>142</w:t>
              </w:r>
            </w:hyperlink>
          </w:p>
        </w:tc>
      </w:tr>
    </w:tbl>
    <w:p w14:paraId="042D3A48" w14:textId="77777777" w:rsidR="00000000" w:rsidRDefault="001A570A">
      <w:pPr>
        <w:divId w:val="889221324"/>
        <w:rPr>
          <w:rFonts w:eastAsia="Times New Roman"/>
        </w:rPr>
      </w:pPr>
      <w:r>
        <w:rPr>
          <w:rFonts w:eastAsia="Times New Roman"/>
          <w:b/>
          <w:bCs/>
          <w:color w:val="000000"/>
          <w:sz w:val="20"/>
          <w:szCs w:val="20"/>
        </w:rPr>
        <w:t>Exhibits</w:t>
      </w:r>
    </w:p>
    <w:p w14:paraId="5621A1B0" w14:textId="77777777" w:rsidR="00000000" w:rsidRDefault="001A570A">
      <w:pPr>
        <w:ind w:firstLine="450"/>
        <w:divId w:val="2001882343"/>
        <w:rPr>
          <w:rFonts w:eastAsia="Times New Roman"/>
        </w:rPr>
      </w:pPr>
      <w:r>
        <w:rPr>
          <w:rFonts w:eastAsia="Times New Roman"/>
          <w:color w:val="000000"/>
          <w:sz w:val="20"/>
          <w:szCs w:val="20"/>
        </w:rPr>
        <w:t>This Annual Report on Form </w:t>
      </w:r>
      <w:r>
        <w:rPr>
          <w:rFonts w:eastAsia="Times New Roman"/>
          <w:color w:val="000000"/>
          <w:sz w:val="20"/>
          <w:szCs w:val="20"/>
        </w:rPr>
        <w:t xml:space="preserve">10-K contains trademarks, service marks and registered marks of L3Harris Technologies, Inc. and its subsidiaries. All other trademarks are the property of their respective owners. </w:t>
      </w:r>
    </w:p>
    <w:p w14:paraId="6344CC5B" w14:textId="77777777" w:rsidR="00000000" w:rsidRDefault="001A570A">
      <w:pPr>
        <w:ind w:firstLine="450"/>
        <w:divId w:val="1245605494"/>
        <w:rPr>
          <w:rFonts w:eastAsia="Times New Roman"/>
        </w:rPr>
      </w:pPr>
    </w:p>
    <w:p w14:paraId="61609CB8" w14:textId="77777777" w:rsidR="00000000" w:rsidRDefault="001A570A">
      <w:pPr>
        <w:rPr>
          <w:rFonts w:eastAsia="Times New Roman"/>
        </w:rPr>
      </w:pPr>
      <w:r>
        <w:rPr>
          <w:rFonts w:eastAsia="Times New Roman"/>
        </w:rPr>
        <w:pict w14:anchorId="2F23F42A">
          <v:rect id="_x0000_i1027" style="width:0;height:1.5pt" o:hralign="center" o:hrstd="t" o:hr="t" fillcolor="#a0a0a0" stroked="f"/>
        </w:pict>
      </w:r>
    </w:p>
    <w:p w14:paraId="52691AA1" w14:textId="77777777" w:rsidR="00000000" w:rsidRDefault="001A570A">
      <w:pPr>
        <w:ind w:firstLine="450"/>
        <w:divId w:val="1326783987"/>
        <w:rPr>
          <w:rFonts w:eastAsia="Times New Roman"/>
        </w:rPr>
      </w:pPr>
    </w:p>
    <w:p w14:paraId="252F7FE3" w14:textId="77777777" w:rsidR="00000000" w:rsidRDefault="001A570A">
      <w:pPr>
        <w:divId w:val="526219096"/>
        <w:rPr>
          <w:rFonts w:eastAsia="Times New Roman"/>
        </w:rPr>
      </w:pPr>
      <w:r>
        <w:rPr>
          <w:rFonts w:eastAsia="Times New Roman"/>
          <w:b/>
          <w:bCs/>
          <w:color w:val="000000"/>
          <w:sz w:val="20"/>
          <w:szCs w:val="20"/>
        </w:rPr>
        <w:t>Cautionary Statement Regarding For</w:t>
      </w:r>
      <w:r>
        <w:rPr>
          <w:rFonts w:eastAsia="Times New Roman"/>
          <w:b/>
          <w:bCs/>
          <w:color w:val="000000"/>
          <w:sz w:val="20"/>
          <w:szCs w:val="20"/>
        </w:rPr>
        <w:t>ward-Looking Statements</w:t>
      </w:r>
    </w:p>
    <w:p w14:paraId="2A49E26F" w14:textId="77777777" w:rsidR="00000000" w:rsidRDefault="001A570A">
      <w:pPr>
        <w:ind w:firstLine="450"/>
        <w:divId w:val="517736962"/>
        <w:rPr>
          <w:rFonts w:eastAsia="Times New Roman"/>
        </w:rPr>
      </w:pPr>
      <w:r>
        <w:rPr>
          <w:rFonts w:eastAsia="Times New Roman"/>
          <w:color w:val="000000"/>
          <w:sz w:val="20"/>
          <w:szCs w:val="20"/>
        </w:rPr>
        <w:t>This Annual Report on Form 10-K (this “Report”), including “Item 7. Management’s Discussion and Analysis of Financial Condition and Results of Operations,” contains forward-looking statements that involve risks and uncertainties, as</w:t>
      </w:r>
      <w:r>
        <w:rPr>
          <w:rFonts w:eastAsia="Times New Roman"/>
          <w:color w:val="000000"/>
          <w:sz w:val="20"/>
          <w:szCs w:val="20"/>
        </w:rPr>
        <w:t xml:space="preserve"> well as assumptions that may not materialize or prove correct, which could cause our results to differ materially from those expressed in or implied by such forward-looking statements. All statements other than statements of historical fact are statements</w:t>
      </w:r>
      <w:r>
        <w:rPr>
          <w:rFonts w:eastAsia="Times New Roman"/>
          <w:color w:val="000000"/>
          <w:sz w:val="20"/>
          <w:szCs w:val="20"/>
        </w:rPr>
        <w:t xml:space="preserve"> that could be deemed forward-looking statements, including, but not limited to, statements concerning: our plans, strategies and objectives for future operations; new products, systems, technologies, services or developments; future economic conditions, p</w:t>
      </w:r>
      <w:r>
        <w:rPr>
          <w:rFonts w:eastAsia="Times New Roman"/>
          <w:color w:val="000000"/>
          <w:sz w:val="20"/>
          <w:szCs w:val="20"/>
        </w:rPr>
        <w:t xml:space="preserve">erformance or outlook; future political conditions; the outcome of contingencies or litigation; environmental remediation cost estimates; the potential level of share repurchases, dividends or pension contributions; potential acquisitions or divestitures; </w:t>
      </w:r>
      <w:r>
        <w:rPr>
          <w:rFonts w:eastAsia="Times New Roman"/>
          <w:color w:val="000000"/>
          <w:sz w:val="20"/>
          <w:szCs w:val="20"/>
        </w:rPr>
        <w:t>the integration of Harris Corporation (“Harris”) and L3 Technologies, Inc. (“L3”) and of our acquisitions; the value of contract awards and programs; expected revenue; expected cash flows or capital expenditures; our beliefs or expectations; activities, ev</w:t>
      </w:r>
      <w:r>
        <w:rPr>
          <w:rFonts w:eastAsia="Times New Roman"/>
          <w:color w:val="000000"/>
          <w:sz w:val="20"/>
          <w:szCs w:val="20"/>
        </w:rPr>
        <w:t xml:space="preserve">ents or developments that we intend, expect, project, believe or anticipate will or may occur in the future; and assumptions underlying any of the foregoing. Forward-looking statements may be identified by their use of forward-looking terminology, such as </w:t>
      </w:r>
      <w:r>
        <w:rPr>
          <w:rFonts w:eastAsia="Times New Roman"/>
          <w:color w:val="000000"/>
          <w:sz w:val="20"/>
          <w:szCs w:val="20"/>
        </w:rPr>
        <w:t>“believes,” “expects,” “may,” “could,” “should,” “would,” “will,” “intends,” “plans,” “estimates,” “anticipates,” “projects” and similar words or expressions. You should not place undue reliance on these forward-looking statements, which reflect our manage</w:t>
      </w:r>
      <w:r>
        <w:rPr>
          <w:rFonts w:eastAsia="Times New Roman"/>
          <w:color w:val="000000"/>
          <w:sz w:val="20"/>
          <w:szCs w:val="20"/>
        </w:rPr>
        <w:t>ment’s opinions only as of the date of filing of this Report and are not guarantees of future performance or actual results. Factors that might cause our results to differ materially from those expressed in or implied by these forward-looking statements, f</w:t>
      </w:r>
      <w:r>
        <w:rPr>
          <w:rFonts w:eastAsia="Times New Roman"/>
          <w:color w:val="000000"/>
          <w:sz w:val="20"/>
          <w:szCs w:val="20"/>
        </w:rPr>
        <w:t xml:space="preserve">rom our current expectations or projections or from our historical results include, but are not limited to, those discussed in “Item 1A. Risk Factors” of this Report. All forward-looking statements are qualified by, and should be read in conjunction with, </w:t>
      </w:r>
      <w:r>
        <w:rPr>
          <w:rFonts w:eastAsia="Times New Roman"/>
          <w:color w:val="000000"/>
          <w:sz w:val="20"/>
          <w:szCs w:val="20"/>
        </w:rPr>
        <w:t>those risk factors. Forward-looking statements are made in reliance on the safe harbor provisions of Section 27A of the Securities Act of 1933, as amended (the “Securities Act”), and Section 21E of the Securities Exchange Act of 1934, as amended (the “Exch</w:t>
      </w:r>
      <w:r>
        <w:rPr>
          <w:rFonts w:eastAsia="Times New Roman"/>
          <w:color w:val="000000"/>
          <w:sz w:val="20"/>
          <w:szCs w:val="20"/>
        </w:rPr>
        <w:t>ange Act”), and are made as of the date of filing of this Report, and we disclaim any intention or obligation, other than imposed by law, to update or revise any forward-looking statements, whether as a result of new information, future events or developme</w:t>
      </w:r>
      <w:r>
        <w:rPr>
          <w:rFonts w:eastAsia="Times New Roman"/>
          <w:color w:val="000000"/>
          <w:sz w:val="20"/>
          <w:szCs w:val="20"/>
        </w:rPr>
        <w:t>nts or otherwise, after the date of filing of this Report or, in the case of any document incorporated by reference, the date of that document.</w:t>
      </w:r>
    </w:p>
    <w:p w14:paraId="6F80944A" w14:textId="77777777" w:rsidR="00000000" w:rsidRDefault="001A570A">
      <w:pPr>
        <w:ind w:firstLine="450"/>
        <w:divId w:val="2145737637"/>
        <w:rPr>
          <w:rFonts w:eastAsia="Times New Roman"/>
        </w:rPr>
      </w:pPr>
      <w:r>
        <w:rPr>
          <w:rFonts w:eastAsia="Times New Roman"/>
          <w:color w:val="000000"/>
          <w:sz w:val="20"/>
          <w:szCs w:val="20"/>
        </w:rPr>
        <w:lastRenderedPageBreak/>
        <w:t xml:space="preserve">Amounts contained in this Report may not always add to totals due to rounding. </w:t>
      </w:r>
    </w:p>
    <w:p w14:paraId="32C5BE2A" w14:textId="77777777" w:rsidR="00000000" w:rsidRDefault="001A570A">
      <w:pPr>
        <w:divId w:val="2043437326"/>
        <w:rPr>
          <w:rFonts w:eastAsia="Times New Roman"/>
        </w:rPr>
      </w:pPr>
      <w:r>
        <w:rPr>
          <w:rFonts w:eastAsia="Times New Roman"/>
          <w:b/>
          <w:bCs/>
          <w:color w:val="000000"/>
          <w:sz w:val="20"/>
          <w:szCs w:val="20"/>
        </w:rPr>
        <w:t>L3Harris Merger</w:t>
      </w:r>
    </w:p>
    <w:p w14:paraId="671D1EA8" w14:textId="77777777" w:rsidR="00000000" w:rsidRDefault="001A570A">
      <w:pPr>
        <w:ind w:firstLine="450"/>
        <w:divId w:val="90007652"/>
        <w:rPr>
          <w:rFonts w:eastAsia="Times New Roman"/>
        </w:rPr>
      </w:pPr>
      <w:r>
        <w:rPr>
          <w:rFonts w:eastAsia="Times New Roman"/>
          <w:color w:val="000000"/>
          <w:sz w:val="20"/>
          <w:szCs w:val="20"/>
        </w:rPr>
        <w:t xml:space="preserve">As described in </w:t>
      </w:r>
      <w:r>
        <w:rPr>
          <w:rFonts w:eastAsia="Times New Roman"/>
          <w:color w:val="000000"/>
          <w:sz w:val="20"/>
          <w:szCs w:val="20"/>
        </w:rPr>
        <w:t xml:space="preserve">more detail in </w:t>
      </w:r>
      <w:r>
        <w:rPr>
          <w:rFonts w:eastAsia="Times New Roman"/>
          <w:i/>
          <w:iCs/>
          <w:color w:val="000000"/>
          <w:sz w:val="20"/>
          <w:szCs w:val="20"/>
        </w:rPr>
        <w:t>Note 1: Significant Accounting Policies</w:t>
      </w:r>
      <w:r>
        <w:rPr>
          <w:rFonts w:eastAsia="Times New Roman"/>
          <w:color w:val="000000"/>
          <w:sz w:val="20"/>
          <w:szCs w:val="20"/>
        </w:rPr>
        <w:t xml:space="preserve"> under “Principles of Consolidation” and </w:t>
      </w:r>
      <w:r>
        <w:rPr>
          <w:rFonts w:eastAsia="Times New Roman"/>
          <w:i/>
          <w:iCs/>
          <w:color w:val="000000"/>
          <w:sz w:val="20"/>
          <w:szCs w:val="20"/>
        </w:rPr>
        <w:t>Note 5: Business Combination</w:t>
      </w:r>
      <w:r>
        <w:rPr>
          <w:rFonts w:eastAsia="Times New Roman"/>
          <w:color w:val="000000"/>
          <w:sz w:val="20"/>
          <w:szCs w:val="20"/>
        </w:rPr>
        <w:t xml:space="preserve"> in the Notes to Consolidated Financial Statements in this Report (the “Notes”), on October 12, 2018, Harris entered into an Agreemen</w:t>
      </w:r>
      <w:r>
        <w:rPr>
          <w:rFonts w:eastAsia="Times New Roman"/>
          <w:color w:val="000000"/>
          <w:sz w:val="20"/>
          <w:szCs w:val="20"/>
        </w:rPr>
        <w:t>t and Plan of Merger (the “Merger Agreement”) with L3 and Leopard Merger Sub Inc., a newly formed, direct wholly-owned subsidiary of Harris (“Merger Sub”), pursuant to which Harris and L3 agreed to combine their respective businesses in an all-stock merger</w:t>
      </w:r>
      <w:r>
        <w:rPr>
          <w:rFonts w:eastAsia="Times New Roman"/>
          <w:color w:val="000000"/>
          <w:sz w:val="20"/>
          <w:szCs w:val="20"/>
        </w:rPr>
        <w:t>, at the closing of which Merger Sub would merge with and into L3, with L3 continuing as the surviving corporation and a direct wholly-owned subsidiary of Harris (the “L3Harris Merger”), and Harris’ name would change to “L3Harris Technologies, Inc.” The cl</w:t>
      </w:r>
      <w:r>
        <w:rPr>
          <w:rFonts w:eastAsia="Times New Roman"/>
          <w:color w:val="000000"/>
          <w:sz w:val="20"/>
          <w:szCs w:val="20"/>
        </w:rPr>
        <w:t>osing of the L3Harris Merger occurred on June 29, 2019, after the end of Harris’ fiscal 2019 on June 28, 2019.</w:t>
      </w:r>
    </w:p>
    <w:p w14:paraId="632E0538" w14:textId="77777777" w:rsidR="00000000" w:rsidRDefault="001A570A">
      <w:pPr>
        <w:ind w:firstLine="450"/>
        <w:jc w:val="center"/>
        <w:divId w:val="1499925474"/>
        <w:rPr>
          <w:rFonts w:eastAsia="Times New Roman"/>
        </w:rPr>
      </w:pPr>
      <w:r>
        <w:rPr>
          <w:rFonts w:eastAsia="Times New Roman"/>
          <w:b/>
          <w:bCs/>
          <w:color w:val="000000"/>
        </w:rPr>
        <w:t>PART I</w:t>
      </w:r>
    </w:p>
    <w:p w14:paraId="778B2EA6" w14:textId="77777777" w:rsidR="00000000" w:rsidRDefault="001A570A">
      <w:pPr>
        <w:ind w:firstLine="450"/>
        <w:divId w:val="1460757790"/>
        <w:rPr>
          <w:rFonts w:eastAsia="Times New Roman"/>
        </w:rPr>
      </w:pPr>
      <w:r>
        <w:rPr>
          <w:rFonts w:eastAsia="Times New Roman"/>
          <w:color w:val="000000"/>
          <w:sz w:val="18"/>
          <w:szCs w:val="18"/>
        </w:rPr>
        <w:t> </w:t>
      </w:r>
    </w:p>
    <w:tbl>
      <w:tblPr>
        <w:tblW w:w="1537"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514"/>
        <w:gridCol w:w="36"/>
      </w:tblGrid>
      <w:tr w:rsidR="00000000" w14:paraId="555290AB" w14:textId="77777777">
        <w:trPr>
          <w:divId w:val="874007736"/>
        </w:trPr>
        <w:tc>
          <w:tcPr>
            <w:tcW w:w="50" w:type="pct"/>
            <w:vAlign w:val="center"/>
            <w:hideMark/>
          </w:tcPr>
          <w:p w14:paraId="3189996E" w14:textId="77777777" w:rsidR="00000000" w:rsidRDefault="001A570A">
            <w:pPr>
              <w:ind w:firstLine="450"/>
              <w:rPr>
                <w:rFonts w:eastAsia="Times New Roman"/>
              </w:rPr>
            </w:pPr>
          </w:p>
        </w:tc>
        <w:tc>
          <w:tcPr>
            <w:tcW w:w="1837" w:type="pct"/>
            <w:vAlign w:val="center"/>
            <w:hideMark/>
          </w:tcPr>
          <w:p w14:paraId="06CFE602" w14:textId="77777777" w:rsidR="00000000" w:rsidRDefault="001A570A">
            <w:pPr>
              <w:rPr>
                <w:rFonts w:eastAsia="Times New Roman"/>
                <w:sz w:val="20"/>
                <w:szCs w:val="20"/>
              </w:rPr>
            </w:pPr>
          </w:p>
        </w:tc>
        <w:tc>
          <w:tcPr>
            <w:tcW w:w="5" w:type="pct"/>
            <w:vAlign w:val="center"/>
            <w:hideMark/>
          </w:tcPr>
          <w:p w14:paraId="70B7946B" w14:textId="77777777" w:rsidR="00000000" w:rsidRDefault="001A570A">
            <w:pPr>
              <w:rPr>
                <w:rFonts w:eastAsia="Times New Roman"/>
                <w:sz w:val="20"/>
                <w:szCs w:val="20"/>
              </w:rPr>
            </w:pPr>
          </w:p>
        </w:tc>
        <w:tc>
          <w:tcPr>
            <w:tcW w:w="50" w:type="pct"/>
            <w:vAlign w:val="center"/>
            <w:hideMark/>
          </w:tcPr>
          <w:p w14:paraId="4DC5C7D4" w14:textId="77777777" w:rsidR="00000000" w:rsidRDefault="001A570A">
            <w:pPr>
              <w:rPr>
                <w:rFonts w:eastAsia="Times New Roman"/>
                <w:sz w:val="20"/>
                <w:szCs w:val="20"/>
              </w:rPr>
            </w:pPr>
          </w:p>
        </w:tc>
        <w:tc>
          <w:tcPr>
            <w:tcW w:w="3052" w:type="pct"/>
            <w:vAlign w:val="center"/>
            <w:hideMark/>
          </w:tcPr>
          <w:p w14:paraId="378FECB4" w14:textId="77777777" w:rsidR="00000000" w:rsidRDefault="001A570A">
            <w:pPr>
              <w:rPr>
                <w:rFonts w:eastAsia="Times New Roman"/>
                <w:sz w:val="20"/>
                <w:szCs w:val="20"/>
              </w:rPr>
            </w:pPr>
          </w:p>
        </w:tc>
        <w:tc>
          <w:tcPr>
            <w:tcW w:w="5" w:type="pct"/>
            <w:vAlign w:val="center"/>
            <w:hideMark/>
          </w:tcPr>
          <w:p w14:paraId="27788351" w14:textId="77777777" w:rsidR="00000000" w:rsidRDefault="001A570A">
            <w:pPr>
              <w:rPr>
                <w:rFonts w:eastAsia="Times New Roman"/>
                <w:sz w:val="20"/>
                <w:szCs w:val="20"/>
              </w:rPr>
            </w:pPr>
          </w:p>
        </w:tc>
      </w:tr>
      <w:tr w:rsidR="00000000" w14:paraId="4A5C3732" w14:textId="77777777">
        <w:trPr>
          <w:divId w:val="874007736"/>
        </w:trPr>
        <w:tc>
          <w:tcPr>
            <w:tcW w:w="0" w:type="auto"/>
            <w:gridSpan w:val="3"/>
            <w:tcMar>
              <w:top w:w="30" w:type="dxa"/>
              <w:left w:w="20" w:type="dxa"/>
              <w:bottom w:w="30" w:type="dxa"/>
              <w:right w:w="20" w:type="dxa"/>
            </w:tcMar>
            <w:hideMark/>
          </w:tcPr>
          <w:p w14:paraId="5B84CC95" w14:textId="77777777" w:rsidR="00000000" w:rsidRDefault="001A570A">
            <w:pPr>
              <w:rPr>
                <w:rFonts w:eastAsia="Times New Roman"/>
              </w:rPr>
            </w:pPr>
            <w:r>
              <w:rPr>
                <w:rFonts w:eastAsia="Times New Roman"/>
                <w:b/>
                <w:bCs/>
                <w:color w:val="000000"/>
                <w:sz w:val="20"/>
                <w:szCs w:val="20"/>
              </w:rPr>
              <w:t> ITEM 1.</w:t>
            </w:r>
          </w:p>
        </w:tc>
        <w:tc>
          <w:tcPr>
            <w:tcW w:w="0" w:type="auto"/>
            <w:gridSpan w:val="3"/>
            <w:tcMar>
              <w:top w:w="30" w:type="dxa"/>
              <w:left w:w="20" w:type="dxa"/>
              <w:bottom w:w="30" w:type="dxa"/>
              <w:right w:w="20" w:type="dxa"/>
            </w:tcMar>
            <w:hideMark/>
          </w:tcPr>
          <w:p w14:paraId="10A94F84" w14:textId="77777777" w:rsidR="00000000" w:rsidRDefault="001A570A">
            <w:pPr>
              <w:rPr>
                <w:rFonts w:eastAsia="Times New Roman"/>
              </w:rPr>
            </w:pPr>
            <w:r>
              <w:rPr>
                <w:rFonts w:eastAsia="Times New Roman"/>
                <w:b/>
                <w:bCs/>
                <w:color w:val="000000"/>
                <w:sz w:val="20"/>
                <w:szCs w:val="20"/>
              </w:rPr>
              <w:t>BUSINESS.</w:t>
            </w:r>
          </w:p>
        </w:tc>
      </w:tr>
    </w:tbl>
    <w:p w14:paraId="4EBE5480" w14:textId="77777777" w:rsidR="00000000" w:rsidRDefault="001A570A">
      <w:pPr>
        <w:ind w:firstLine="450"/>
        <w:jc w:val="center"/>
        <w:divId w:val="1239706703"/>
        <w:rPr>
          <w:rFonts w:eastAsia="Times New Roman"/>
        </w:rPr>
      </w:pPr>
      <w:r>
        <w:rPr>
          <w:rFonts w:eastAsia="Times New Roman"/>
          <w:b/>
          <w:bCs/>
          <w:color w:val="000000"/>
          <w:sz w:val="20"/>
          <w:szCs w:val="20"/>
        </w:rPr>
        <w:t>L3HARRIS</w:t>
      </w:r>
    </w:p>
    <w:p w14:paraId="76BC9C72" w14:textId="77777777" w:rsidR="00000000" w:rsidRDefault="001A570A">
      <w:pPr>
        <w:divId w:val="822089961"/>
        <w:rPr>
          <w:rFonts w:eastAsia="Times New Roman"/>
        </w:rPr>
      </w:pPr>
      <w:r>
        <w:rPr>
          <w:rFonts w:eastAsia="Times New Roman"/>
          <w:b/>
          <w:bCs/>
          <w:color w:val="000000"/>
          <w:sz w:val="20"/>
          <w:szCs w:val="20"/>
        </w:rPr>
        <w:t>General</w:t>
      </w:r>
    </w:p>
    <w:p w14:paraId="3CCABB79" w14:textId="77777777" w:rsidR="00000000" w:rsidRDefault="001A570A">
      <w:pPr>
        <w:ind w:firstLine="450"/>
        <w:divId w:val="640497554"/>
        <w:rPr>
          <w:rFonts w:eastAsia="Times New Roman"/>
        </w:rPr>
      </w:pPr>
      <w:r>
        <w:rPr>
          <w:rFonts w:eastAsia="Times New Roman"/>
          <w:color w:val="000000"/>
          <w:sz w:val="20"/>
          <w:szCs w:val="20"/>
        </w:rPr>
        <w:t xml:space="preserve">L3Harris Technologies, Inc. is an agile global aerospace and defense technology innovator, delivering end-to-end solutions that meet customers’ mission-critical needs. We were incorporated in Delaware in 1926 as the successor to three companies founded in </w:t>
      </w:r>
      <w:r>
        <w:rPr>
          <w:rFonts w:eastAsia="Times New Roman"/>
          <w:color w:val="000000"/>
          <w:sz w:val="20"/>
          <w:szCs w:val="20"/>
        </w:rPr>
        <w:t>the 1890s. Unless the context otherwise requires, the terms “we,” “our,” “us,” “Company” and “L3Harris” as used in this Report mean the combined company L3Harris Technologies, Inc. and its subsidiaries, when referring to periods after the end of fiscal 201</w:t>
      </w:r>
      <w:r>
        <w:rPr>
          <w:rFonts w:eastAsia="Times New Roman"/>
          <w:color w:val="000000"/>
          <w:sz w:val="20"/>
          <w:szCs w:val="20"/>
        </w:rPr>
        <w:t xml:space="preserve">9 (after the L3Harris Merger) and mean Harris and its subsidiaries when referring to periods prior to the end of fiscal 2019 (prior to the L3Harris Merger). </w:t>
      </w:r>
    </w:p>
    <w:p w14:paraId="4886E6C0" w14:textId="77777777" w:rsidR="00000000" w:rsidRDefault="001A570A">
      <w:pPr>
        <w:ind w:firstLine="450"/>
        <w:divId w:val="2144694361"/>
        <w:rPr>
          <w:rFonts w:eastAsia="Times New Roman"/>
        </w:rPr>
      </w:pPr>
      <w:r>
        <w:rPr>
          <w:rFonts w:eastAsia="Times New Roman"/>
          <w:color w:val="000000"/>
          <w:sz w:val="20"/>
          <w:szCs w:val="20"/>
        </w:rPr>
        <w:t>We provide advanced defense and commercial technologies across air, land, sea, space and cyber dom</w:t>
      </w:r>
      <w:r>
        <w:rPr>
          <w:rFonts w:eastAsia="Times New Roman"/>
          <w:color w:val="000000"/>
          <w:sz w:val="20"/>
          <w:szCs w:val="20"/>
        </w:rPr>
        <w:t>ains. We support government and commercial customers in more than 100 countries, with our largest customers being various departments and agencies of the U.S. Government and their prime contractors. Our products, systems and services have defense and civil</w:t>
      </w:r>
      <w:r>
        <w:rPr>
          <w:rFonts w:eastAsia="Times New Roman"/>
          <w:color w:val="000000"/>
          <w:sz w:val="20"/>
          <w:szCs w:val="20"/>
        </w:rPr>
        <w:t xml:space="preserve"> government applications, as well as commercial applications. As of January 1, 2021, we had approximately 48,000 employees, including approximately 19,000 engineers and scientists.</w:t>
      </w:r>
    </w:p>
    <w:p w14:paraId="7A4F2CC3" w14:textId="77777777" w:rsidR="00000000" w:rsidRDefault="001A570A">
      <w:pPr>
        <w:ind w:firstLine="450"/>
        <w:jc w:val="center"/>
        <w:divId w:val="894437859"/>
        <w:rPr>
          <w:rFonts w:eastAsia="Times New Roman"/>
        </w:rPr>
      </w:pPr>
      <w:r>
        <w:rPr>
          <w:rFonts w:eastAsia="Times New Roman"/>
          <w:color w:val="000000"/>
          <w:sz w:val="20"/>
          <w:szCs w:val="20"/>
        </w:rPr>
        <w:t>1</w:t>
      </w:r>
    </w:p>
    <w:p w14:paraId="4A752CF3" w14:textId="77777777" w:rsidR="00000000" w:rsidRDefault="001A570A">
      <w:pPr>
        <w:rPr>
          <w:rFonts w:eastAsia="Times New Roman"/>
        </w:rPr>
      </w:pPr>
      <w:r>
        <w:rPr>
          <w:rFonts w:eastAsia="Times New Roman"/>
        </w:rPr>
        <w:pict w14:anchorId="115ABBB0">
          <v:rect id="_x0000_i1028" style="width:0;height:1.5pt" o:hralign="center" o:hrstd="t" o:hr="t" fillcolor="#a0a0a0" stroked="f"/>
        </w:pict>
      </w:r>
    </w:p>
    <w:p w14:paraId="0C4A46B7" w14:textId="77777777" w:rsidR="00000000" w:rsidRDefault="001A570A">
      <w:pPr>
        <w:ind w:firstLine="450"/>
        <w:divId w:val="1733117769"/>
        <w:rPr>
          <w:rFonts w:eastAsia="Times New Roman"/>
        </w:rPr>
      </w:pPr>
    </w:p>
    <w:p w14:paraId="18878531" w14:textId="77777777" w:rsidR="00000000" w:rsidRDefault="001A570A">
      <w:pPr>
        <w:ind w:firstLine="450"/>
        <w:divId w:val="809832428"/>
        <w:rPr>
          <w:rFonts w:eastAsia="Times New Roman"/>
        </w:rPr>
      </w:pPr>
      <w:r>
        <w:rPr>
          <w:rFonts w:eastAsia="Times New Roman"/>
          <w:color w:val="000000"/>
          <w:sz w:val="20"/>
          <w:szCs w:val="20"/>
        </w:rPr>
        <w:t>We structure our operations primarily around the products, systems and services we sell and the markets we serve, and we report the financial results of our continuing operations in the following four reportable segmen</w:t>
      </w:r>
      <w:r>
        <w:rPr>
          <w:rFonts w:eastAsia="Times New Roman"/>
          <w:color w:val="000000"/>
          <w:sz w:val="20"/>
          <w:szCs w:val="20"/>
        </w:rPr>
        <w:t>ts, which are also referred to as our business segments:</w:t>
      </w:r>
    </w:p>
    <w:p w14:paraId="220D70CF" w14:textId="77777777" w:rsidR="00000000" w:rsidRDefault="001A570A">
      <w:pPr>
        <w:ind w:hanging="360"/>
        <w:divId w:val="1836336840"/>
        <w:rPr>
          <w:rFonts w:eastAsia="Times New Roman"/>
        </w:rPr>
      </w:pPr>
      <w:r>
        <w:rPr>
          <w:rFonts w:eastAsia="Times New Roman"/>
          <w:color w:val="000000"/>
          <w:sz w:val="20"/>
          <w:szCs w:val="20"/>
        </w:rPr>
        <w:t>•Integrated Mission Systems, including multi-mission intelligence, surveillance and reconnaissance (“ISR”) and communication systems; integrated electrical and electronic systems for maritime platfor</w:t>
      </w:r>
      <w:r>
        <w:rPr>
          <w:rFonts w:eastAsia="Times New Roman"/>
          <w:color w:val="000000"/>
          <w:sz w:val="20"/>
          <w:szCs w:val="20"/>
        </w:rPr>
        <w:t>ms; and advanced electro-optical and infrared (“EO/IR”) solutions;</w:t>
      </w:r>
    </w:p>
    <w:p w14:paraId="78AD7E07" w14:textId="77777777" w:rsidR="00000000" w:rsidRDefault="001A570A">
      <w:pPr>
        <w:ind w:hanging="360"/>
        <w:divId w:val="2048487722"/>
        <w:rPr>
          <w:rFonts w:eastAsia="Times New Roman"/>
        </w:rPr>
      </w:pPr>
      <w:r>
        <w:rPr>
          <w:rFonts w:eastAsia="Times New Roman"/>
          <w:color w:val="000000"/>
          <w:sz w:val="20"/>
          <w:szCs w:val="20"/>
        </w:rPr>
        <w:t>•Space and Airborne Systems, including space payloads, sensors and full-mission solutions; classified intelligence and cyber defense; mission avionics; and electronic warfare;</w:t>
      </w:r>
    </w:p>
    <w:p w14:paraId="32C8C1AA" w14:textId="77777777" w:rsidR="00000000" w:rsidRDefault="001A570A">
      <w:pPr>
        <w:ind w:hanging="360"/>
        <w:divId w:val="267153919"/>
        <w:rPr>
          <w:rFonts w:eastAsia="Times New Roman"/>
        </w:rPr>
      </w:pPr>
      <w:r>
        <w:rPr>
          <w:rFonts w:eastAsia="Times New Roman"/>
          <w:color w:val="000000"/>
          <w:sz w:val="20"/>
          <w:szCs w:val="20"/>
        </w:rPr>
        <w:t>•Communicatio</w:t>
      </w:r>
      <w:r>
        <w:rPr>
          <w:rFonts w:eastAsia="Times New Roman"/>
          <w:color w:val="000000"/>
          <w:sz w:val="20"/>
          <w:szCs w:val="20"/>
        </w:rPr>
        <w:t>n Systems, including tactical communications; broadband communications; integrated vision solutions; and public safety; and</w:t>
      </w:r>
    </w:p>
    <w:p w14:paraId="5ABA589E" w14:textId="77777777" w:rsidR="00000000" w:rsidRDefault="001A570A">
      <w:pPr>
        <w:ind w:hanging="360"/>
        <w:divId w:val="1535774394"/>
        <w:rPr>
          <w:rFonts w:eastAsia="Times New Roman"/>
        </w:rPr>
      </w:pPr>
      <w:r>
        <w:rPr>
          <w:rFonts w:eastAsia="Times New Roman"/>
          <w:color w:val="000000"/>
          <w:sz w:val="20"/>
          <w:szCs w:val="20"/>
        </w:rPr>
        <w:t>•Aviation Systems, including defense aviation; commercial aviation products; commercial and military pilot training; and mission net</w:t>
      </w:r>
      <w:r>
        <w:rPr>
          <w:rFonts w:eastAsia="Times New Roman"/>
          <w:color w:val="000000"/>
          <w:sz w:val="20"/>
          <w:szCs w:val="20"/>
        </w:rPr>
        <w:t>works for air traffic management.</w:t>
      </w:r>
    </w:p>
    <w:p w14:paraId="39E698A4" w14:textId="77777777" w:rsidR="00000000" w:rsidRDefault="001A570A">
      <w:pPr>
        <w:ind w:firstLine="450"/>
        <w:divId w:val="238171378"/>
        <w:rPr>
          <w:rFonts w:eastAsia="Times New Roman"/>
        </w:rPr>
      </w:pPr>
      <w:r>
        <w:rPr>
          <w:rFonts w:eastAsia="Times New Roman"/>
          <w:color w:val="000000"/>
          <w:sz w:val="20"/>
          <w:szCs w:val="20"/>
        </w:rPr>
        <w:t>During the first quarter of fiscal 2020, we adjusted our segment reporting to better align our businesses and transferred two businesses between our Integrated Mission Systems and Space and Airborne Systems segments. The h</w:t>
      </w:r>
      <w:r>
        <w:rPr>
          <w:rFonts w:eastAsia="Times New Roman"/>
          <w:color w:val="000000"/>
          <w:sz w:val="20"/>
          <w:szCs w:val="20"/>
        </w:rPr>
        <w:t xml:space="preserve">istorical results, discussion and presentation of our business segments as set forth in this Report reflect the impact of these changes to our segment reporting for all periods presented in order to present segment information on a comparable basis. There </w:t>
      </w:r>
      <w:r>
        <w:rPr>
          <w:rFonts w:eastAsia="Times New Roman"/>
          <w:color w:val="000000"/>
          <w:sz w:val="20"/>
          <w:szCs w:val="20"/>
        </w:rPr>
        <w:t xml:space="preserve">is no impact on </w:t>
      </w:r>
      <w:r>
        <w:rPr>
          <w:rFonts w:eastAsia="Times New Roman"/>
          <w:color w:val="000000"/>
          <w:sz w:val="20"/>
          <w:szCs w:val="20"/>
        </w:rPr>
        <w:lastRenderedPageBreak/>
        <w:t xml:space="preserve">our previously reported consolidated statements of income, balance sheets, statements of cash flows or statements of equity resulting from these changes. </w:t>
      </w:r>
    </w:p>
    <w:p w14:paraId="5E7A8CFD" w14:textId="77777777" w:rsidR="00000000" w:rsidRDefault="001A570A">
      <w:pPr>
        <w:divId w:val="1331372502"/>
        <w:rPr>
          <w:rFonts w:eastAsia="Times New Roman"/>
        </w:rPr>
      </w:pPr>
      <w:r>
        <w:rPr>
          <w:rFonts w:eastAsia="Times New Roman"/>
          <w:b/>
          <w:bCs/>
          <w:color w:val="000000"/>
          <w:sz w:val="20"/>
          <w:szCs w:val="20"/>
        </w:rPr>
        <w:t>L3Harris Merger</w:t>
      </w:r>
    </w:p>
    <w:p w14:paraId="1E7FB5B5" w14:textId="77777777" w:rsidR="00000000" w:rsidRDefault="001A570A">
      <w:pPr>
        <w:ind w:firstLine="450"/>
        <w:divId w:val="339816569"/>
        <w:rPr>
          <w:rFonts w:eastAsia="Times New Roman"/>
        </w:rPr>
      </w:pPr>
      <w:r>
        <w:rPr>
          <w:rFonts w:eastAsia="Times New Roman"/>
          <w:color w:val="000000"/>
          <w:sz w:val="20"/>
          <w:szCs w:val="20"/>
        </w:rPr>
        <w:t xml:space="preserve">As noted above and described in more detail in </w:t>
      </w:r>
      <w:r>
        <w:rPr>
          <w:rFonts w:eastAsia="Times New Roman"/>
          <w:i/>
          <w:iCs/>
          <w:color w:val="000000"/>
          <w:sz w:val="20"/>
          <w:szCs w:val="20"/>
        </w:rPr>
        <w:t>Note 1: Significant Ac</w:t>
      </w:r>
      <w:r>
        <w:rPr>
          <w:rFonts w:eastAsia="Times New Roman"/>
          <w:i/>
          <w:iCs/>
          <w:color w:val="000000"/>
          <w:sz w:val="20"/>
          <w:szCs w:val="20"/>
        </w:rPr>
        <w:t>counting Policies</w:t>
      </w:r>
      <w:r>
        <w:rPr>
          <w:rFonts w:eastAsia="Times New Roman"/>
          <w:color w:val="000000"/>
          <w:sz w:val="20"/>
          <w:szCs w:val="20"/>
        </w:rPr>
        <w:t xml:space="preserve"> under “Principles of Consolidation” and </w:t>
      </w:r>
      <w:r>
        <w:rPr>
          <w:rFonts w:eastAsia="Times New Roman"/>
          <w:i/>
          <w:iCs/>
          <w:color w:val="000000"/>
          <w:sz w:val="20"/>
          <w:szCs w:val="20"/>
        </w:rPr>
        <w:t>Note 5: Business Combination</w:t>
      </w:r>
      <w:r>
        <w:rPr>
          <w:rFonts w:eastAsia="Times New Roman"/>
          <w:color w:val="000000"/>
          <w:sz w:val="20"/>
          <w:szCs w:val="20"/>
        </w:rPr>
        <w:t xml:space="preserve"> in the Notes, we completed the L3Harris Merger on June 29, 2019, the day after Harris’ fiscal 2019 ended and the first day of our Fiscal Transition Period (as defined be</w:t>
      </w:r>
      <w:r>
        <w:rPr>
          <w:rFonts w:eastAsia="Times New Roman"/>
          <w:color w:val="000000"/>
          <w:sz w:val="20"/>
          <w:szCs w:val="20"/>
        </w:rPr>
        <w:t xml:space="preserve">low). L3 was a prime contractor in ISR systems, aircraft sustainment (including modifications and fleet management of special mission aircraft), simulation and training, night vision and image intensification equipment, and security and detection systems. </w:t>
      </w:r>
      <w:r>
        <w:rPr>
          <w:rFonts w:eastAsia="Times New Roman"/>
          <w:color w:val="000000"/>
          <w:sz w:val="20"/>
          <w:szCs w:val="20"/>
        </w:rPr>
        <w:t>L3 also was a leading provider of a broad range of communication, electro-optical solutions, and electronic and sensor systems used on military, homeland security and commercial platforms. L3 customers included the U.S. Department of Defense (“DoD”) and it</w:t>
      </w:r>
      <w:r>
        <w:rPr>
          <w:rFonts w:eastAsia="Times New Roman"/>
          <w:color w:val="000000"/>
          <w:sz w:val="20"/>
          <w:szCs w:val="20"/>
        </w:rPr>
        <w:t xml:space="preserve">s prime contractors, the U.S. Intelligence Community, the U.S. Department of Homeland Security (“DHS”), foreign governments and domestic and foreign commercial customers. </w:t>
      </w:r>
    </w:p>
    <w:p w14:paraId="246A9488" w14:textId="77777777" w:rsidR="00000000" w:rsidRDefault="001A570A">
      <w:pPr>
        <w:divId w:val="423574766"/>
        <w:rPr>
          <w:rFonts w:eastAsia="Times New Roman"/>
        </w:rPr>
      </w:pPr>
      <w:r>
        <w:rPr>
          <w:rFonts w:eastAsia="Times New Roman"/>
          <w:b/>
          <w:bCs/>
          <w:color w:val="000000"/>
          <w:sz w:val="20"/>
          <w:szCs w:val="20"/>
        </w:rPr>
        <w:t>Change in Fiscal Year</w:t>
      </w:r>
    </w:p>
    <w:p w14:paraId="27D0EC97" w14:textId="77777777" w:rsidR="00000000" w:rsidRDefault="001A570A">
      <w:pPr>
        <w:ind w:firstLine="450"/>
        <w:divId w:val="2144421554"/>
        <w:rPr>
          <w:rFonts w:eastAsia="Times New Roman"/>
        </w:rPr>
      </w:pPr>
      <w:r>
        <w:rPr>
          <w:rFonts w:eastAsia="Times New Roman"/>
          <w:color w:val="000000"/>
          <w:sz w:val="20"/>
          <w:szCs w:val="20"/>
        </w:rPr>
        <w:t>Through fiscal 2019, our fiscal years ended on the Friday near</w:t>
      </w:r>
      <w:r>
        <w:rPr>
          <w:rFonts w:eastAsia="Times New Roman"/>
          <w:color w:val="000000"/>
          <w:sz w:val="20"/>
          <w:szCs w:val="20"/>
        </w:rPr>
        <w:t>est June 30. Commencing June 29, 2019, our fiscal year ends on the Friday nearest December 31. The period that commenced on June 29, 2019 was a fiscal transition period that ended on January 3, 2020 (“Fiscal Transition Period”), and our fiscal 2020 commenc</w:t>
      </w:r>
      <w:r>
        <w:rPr>
          <w:rFonts w:eastAsia="Times New Roman"/>
          <w:color w:val="000000"/>
          <w:sz w:val="20"/>
          <w:szCs w:val="20"/>
        </w:rPr>
        <w:t>ed on January 4, 2020 and ended on January 1, 2021.</w:t>
      </w:r>
    </w:p>
    <w:p w14:paraId="151125C3" w14:textId="77777777" w:rsidR="00000000" w:rsidRDefault="001A570A">
      <w:pPr>
        <w:divId w:val="923536154"/>
        <w:rPr>
          <w:rFonts w:eastAsia="Times New Roman"/>
        </w:rPr>
      </w:pPr>
      <w:r>
        <w:rPr>
          <w:rFonts w:eastAsia="Times New Roman"/>
          <w:b/>
          <w:bCs/>
          <w:color w:val="000000"/>
          <w:sz w:val="20"/>
          <w:szCs w:val="20"/>
        </w:rPr>
        <w:t>Divestitures</w:t>
      </w:r>
    </w:p>
    <w:p w14:paraId="4DE27990" w14:textId="77777777" w:rsidR="00000000" w:rsidRDefault="001A570A">
      <w:pPr>
        <w:ind w:firstLine="450"/>
        <w:divId w:val="2118210168"/>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 Notes, during the Fiscal Transition Period and fiscal 2020, we completed the following busine</w:t>
      </w:r>
      <w:r>
        <w:rPr>
          <w:rFonts w:eastAsia="Times New Roman"/>
          <w:color w:val="000000"/>
          <w:sz w:val="20"/>
          <w:szCs w:val="20"/>
        </w:rPr>
        <w:t xml:space="preserve">ss divestitures: </w:t>
      </w:r>
    </w:p>
    <w:p w14:paraId="045E6D59" w14:textId="77777777" w:rsidR="00000000" w:rsidRDefault="001A570A">
      <w:pPr>
        <w:ind w:hanging="180"/>
        <w:divId w:val="1395276582"/>
        <w:rPr>
          <w:rFonts w:eastAsia="Times New Roman"/>
        </w:rPr>
      </w:pPr>
      <w:r>
        <w:rPr>
          <w:rFonts w:eastAsia="Times New Roman"/>
          <w:color w:val="000000"/>
          <w:sz w:val="20"/>
          <w:szCs w:val="20"/>
        </w:rPr>
        <w:t xml:space="preserve">•The divestiture of the Harris Night Vision business, completed on September 13, 2019, the results of which are included in “Other non-reportable business segments” through the date of divestiture; </w:t>
      </w:r>
    </w:p>
    <w:p w14:paraId="35958F41" w14:textId="77777777" w:rsidR="00000000" w:rsidRDefault="001A570A">
      <w:pPr>
        <w:ind w:hanging="180"/>
        <w:divId w:val="978650817"/>
        <w:rPr>
          <w:rFonts w:eastAsia="Times New Roman"/>
        </w:rPr>
      </w:pPr>
      <w:r>
        <w:rPr>
          <w:rFonts w:eastAsia="Times New Roman"/>
          <w:color w:val="000000"/>
          <w:sz w:val="20"/>
          <w:szCs w:val="20"/>
        </w:rPr>
        <w:t>•The divestiture of the Security &amp; Dete</w:t>
      </w:r>
      <w:r>
        <w:rPr>
          <w:rFonts w:eastAsia="Times New Roman"/>
          <w:color w:val="000000"/>
          <w:sz w:val="20"/>
          <w:szCs w:val="20"/>
        </w:rPr>
        <w:t xml:space="preserve">ction Systems and MacDonald Humfrey Automation solutions business (“airport security and automation business”), completed on May 4, 2020, the results of which are reported as part of our Aviation Systems segment through the date of divestiture; </w:t>
      </w:r>
    </w:p>
    <w:p w14:paraId="45A572A0" w14:textId="77777777" w:rsidR="00000000" w:rsidRDefault="001A570A">
      <w:pPr>
        <w:ind w:hanging="180"/>
        <w:divId w:val="379860455"/>
        <w:rPr>
          <w:rFonts w:eastAsia="Times New Roman"/>
        </w:rPr>
      </w:pPr>
      <w:r>
        <w:rPr>
          <w:rFonts w:eastAsia="Times New Roman"/>
          <w:color w:val="000000"/>
          <w:sz w:val="20"/>
          <w:szCs w:val="20"/>
        </w:rPr>
        <w:t>•The dives</w:t>
      </w:r>
      <w:r>
        <w:rPr>
          <w:rFonts w:eastAsia="Times New Roman"/>
          <w:color w:val="000000"/>
          <w:sz w:val="20"/>
          <w:szCs w:val="20"/>
        </w:rPr>
        <w:t xml:space="preserve">titure of the Applied Kilovolts and Analytical Instrumentation business, completed on May 15, 2020, the results of which are reported as part of our Space and Airborne Systems segment through the date of divestiture; and </w:t>
      </w:r>
    </w:p>
    <w:p w14:paraId="772B3EEF" w14:textId="77777777" w:rsidR="00000000" w:rsidRDefault="001A570A">
      <w:pPr>
        <w:ind w:hanging="180"/>
        <w:divId w:val="1803687645"/>
        <w:rPr>
          <w:rFonts w:eastAsia="Times New Roman"/>
        </w:rPr>
      </w:pPr>
      <w:r>
        <w:rPr>
          <w:rFonts w:eastAsia="Times New Roman"/>
          <w:color w:val="000000"/>
          <w:sz w:val="20"/>
          <w:szCs w:val="20"/>
        </w:rPr>
        <w:t>•The divestiture of the EOTech bus</w:t>
      </w:r>
      <w:r>
        <w:rPr>
          <w:rFonts w:eastAsia="Times New Roman"/>
          <w:color w:val="000000"/>
          <w:sz w:val="20"/>
          <w:szCs w:val="20"/>
        </w:rPr>
        <w:t>iness, completed on July 31, 2020, the results of which are reported as part of our Communication Systems segment through the date of divestiture.</w:t>
      </w:r>
    </w:p>
    <w:p w14:paraId="511A5CB8" w14:textId="77777777" w:rsidR="00000000" w:rsidRDefault="001A570A">
      <w:pPr>
        <w:ind w:firstLine="450"/>
        <w:divId w:val="919607925"/>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25: Business Segments </w:t>
      </w:r>
      <w:r>
        <w:rPr>
          <w:rFonts w:eastAsia="Times New Roman"/>
          <w:color w:val="000000"/>
          <w:sz w:val="20"/>
          <w:szCs w:val="20"/>
        </w:rPr>
        <w:t>in the Notes for further information regarding our business segments, includin</w:t>
      </w:r>
      <w:r>
        <w:rPr>
          <w:rFonts w:eastAsia="Times New Roman"/>
          <w:color w:val="000000"/>
          <w:sz w:val="20"/>
          <w:szCs w:val="20"/>
        </w:rPr>
        <w:t xml:space="preserve">g how we define segment operating income or loss. </w:t>
      </w:r>
    </w:p>
    <w:p w14:paraId="7B63EF75" w14:textId="77777777" w:rsidR="00000000" w:rsidRDefault="001A570A">
      <w:pPr>
        <w:divId w:val="23016853"/>
        <w:rPr>
          <w:rFonts w:eastAsia="Times New Roman"/>
        </w:rPr>
      </w:pPr>
      <w:r>
        <w:rPr>
          <w:rFonts w:eastAsia="Times New Roman"/>
          <w:b/>
          <w:bCs/>
          <w:color w:val="000000"/>
          <w:sz w:val="20"/>
          <w:szCs w:val="20"/>
        </w:rPr>
        <w:t>Description of Business by Segment</w:t>
      </w:r>
    </w:p>
    <w:p w14:paraId="43E65BEE" w14:textId="77777777" w:rsidR="00000000" w:rsidRDefault="001A570A">
      <w:pPr>
        <w:ind w:firstLine="450"/>
        <w:divId w:val="508981255"/>
        <w:rPr>
          <w:rFonts w:eastAsia="Times New Roman"/>
        </w:rPr>
      </w:pPr>
      <w:r>
        <w:rPr>
          <w:rFonts w:eastAsia="Times New Roman"/>
          <w:color w:val="000000"/>
          <w:sz w:val="20"/>
          <w:szCs w:val="20"/>
        </w:rPr>
        <w:t>Our four business segments provide a wide-range of products and services to various customers and are described below. For financial information with respect to our busin</w:t>
      </w:r>
      <w:r>
        <w:rPr>
          <w:rFonts w:eastAsia="Times New Roman"/>
          <w:color w:val="000000"/>
          <w:sz w:val="20"/>
          <w:szCs w:val="20"/>
        </w:rPr>
        <w:t xml:space="preserve">ess segments, including revenue, operating income and total assets, and with respect to our operations outside the United States, see </w:t>
      </w:r>
      <w:r>
        <w:rPr>
          <w:rFonts w:eastAsia="Times New Roman"/>
          <w:i/>
          <w:iCs/>
          <w:color w:val="000000"/>
          <w:sz w:val="20"/>
          <w:szCs w:val="20"/>
        </w:rPr>
        <w:t>Note 25: Business Segments</w:t>
      </w:r>
      <w:r>
        <w:rPr>
          <w:rFonts w:eastAsia="Times New Roman"/>
          <w:color w:val="000000"/>
          <w:sz w:val="20"/>
          <w:szCs w:val="20"/>
        </w:rPr>
        <w:t xml:space="preserve"> in the Notes, and for additional information with respect to our business segments, see “Discus</w:t>
      </w:r>
      <w:r>
        <w:rPr>
          <w:rFonts w:eastAsia="Times New Roman"/>
          <w:color w:val="000000"/>
          <w:sz w:val="20"/>
          <w:szCs w:val="20"/>
        </w:rPr>
        <w:t xml:space="preserve">sion of Business Segment Results of Operations” in “Item 7. Management’s Discussion and Analysis of Financial Condition and Results of Operations” of this Report. For a discussion of certain risks </w:t>
      </w:r>
    </w:p>
    <w:p w14:paraId="7761A02F" w14:textId="77777777" w:rsidR="00000000" w:rsidRDefault="001A570A">
      <w:pPr>
        <w:ind w:firstLine="450"/>
        <w:jc w:val="center"/>
        <w:divId w:val="1454321645"/>
        <w:rPr>
          <w:rFonts w:eastAsia="Times New Roman"/>
        </w:rPr>
      </w:pPr>
      <w:r>
        <w:rPr>
          <w:rFonts w:eastAsia="Times New Roman"/>
          <w:color w:val="000000"/>
          <w:sz w:val="20"/>
          <w:szCs w:val="20"/>
        </w:rPr>
        <w:t>2</w:t>
      </w:r>
    </w:p>
    <w:p w14:paraId="774B2C66" w14:textId="77777777" w:rsidR="00000000" w:rsidRDefault="001A570A">
      <w:pPr>
        <w:rPr>
          <w:rFonts w:eastAsia="Times New Roman"/>
        </w:rPr>
      </w:pPr>
      <w:r>
        <w:rPr>
          <w:rFonts w:eastAsia="Times New Roman"/>
        </w:rPr>
        <w:pict w14:anchorId="60DF0CE7">
          <v:rect id="_x0000_i1029" style="width:0;height:1.5pt" o:hralign="center" o:hrstd="t" o:hr="t" fillcolor="#a0a0a0" stroked="f"/>
        </w:pict>
      </w:r>
    </w:p>
    <w:p w14:paraId="19F332AD" w14:textId="77777777" w:rsidR="00000000" w:rsidRDefault="001A570A">
      <w:pPr>
        <w:ind w:firstLine="450"/>
        <w:divId w:val="1661617447"/>
        <w:rPr>
          <w:rFonts w:eastAsia="Times New Roman"/>
        </w:rPr>
      </w:pPr>
    </w:p>
    <w:p w14:paraId="21EBE6CC" w14:textId="77777777" w:rsidR="00000000" w:rsidRDefault="001A570A">
      <w:pPr>
        <w:divId w:val="711854303"/>
        <w:rPr>
          <w:rFonts w:eastAsia="Times New Roman"/>
        </w:rPr>
      </w:pPr>
      <w:r>
        <w:rPr>
          <w:rFonts w:eastAsia="Times New Roman"/>
          <w:color w:val="000000"/>
          <w:sz w:val="20"/>
          <w:szCs w:val="20"/>
        </w:rPr>
        <w:t>affecting our business segments, including risks relating to our U.S. Government contracts and subcontracts, see “Item 1. Business - Principal Customers: Government Contracts,” “Item 1A. Risk Factors” and “Item 3. Lega</w:t>
      </w:r>
      <w:r>
        <w:rPr>
          <w:rFonts w:eastAsia="Times New Roman"/>
          <w:color w:val="000000"/>
          <w:sz w:val="20"/>
          <w:szCs w:val="20"/>
        </w:rPr>
        <w:t xml:space="preserve">l Proceedings” of this Report. </w:t>
      </w:r>
    </w:p>
    <w:p w14:paraId="7201F2AD" w14:textId="77777777" w:rsidR="00000000" w:rsidRDefault="001A570A">
      <w:pPr>
        <w:divId w:val="1339964416"/>
        <w:rPr>
          <w:rFonts w:eastAsia="Times New Roman"/>
        </w:rPr>
      </w:pPr>
      <w:r>
        <w:rPr>
          <w:rFonts w:eastAsia="Times New Roman"/>
          <w:b/>
          <w:bCs/>
          <w:i/>
          <w:iCs/>
          <w:color w:val="000000"/>
          <w:sz w:val="20"/>
          <w:szCs w:val="20"/>
        </w:rPr>
        <w:t>Integrated Mission Systems</w:t>
      </w:r>
    </w:p>
    <w:p w14:paraId="4FC7DD7E" w14:textId="77777777" w:rsidR="00000000" w:rsidRDefault="001A570A">
      <w:pPr>
        <w:ind w:firstLine="450"/>
        <w:divId w:val="1936984934"/>
        <w:rPr>
          <w:rFonts w:eastAsia="Times New Roman"/>
        </w:rPr>
      </w:pPr>
      <w:r>
        <w:rPr>
          <w:rFonts w:eastAsia="Times New Roman"/>
          <w:color w:val="000000"/>
          <w:sz w:val="20"/>
          <w:szCs w:val="20"/>
        </w:rPr>
        <w:t xml:space="preserve">Integrated Mission Systems segment revenue of $5,538 million for </w:t>
      </w:r>
      <w:r>
        <w:rPr>
          <w:rFonts w:eastAsia="Times New Roman"/>
          <w:color w:val="000000"/>
          <w:sz w:val="18"/>
          <w:szCs w:val="18"/>
        </w:rPr>
        <w:t>fiscal 2020</w:t>
      </w:r>
      <w:r>
        <w:rPr>
          <w:rFonts w:eastAsia="Times New Roman"/>
          <w:color w:val="000000"/>
          <w:sz w:val="20"/>
          <w:szCs w:val="20"/>
        </w:rPr>
        <w:t xml:space="preserve">, represented 30 percent of our total revenue. This segment is comprised of three business sectors: ISR, Maritime and Electro Optical, the principal products and services of which are described below. </w:t>
      </w:r>
    </w:p>
    <w:p w14:paraId="41891459" w14:textId="77777777" w:rsidR="00000000" w:rsidRDefault="001A570A">
      <w:pPr>
        <w:ind w:firstLine="450"/>
        <w:divId w:val="1501195575"/>
        <w:rPr>
          <w:rFonts w:eastAsia="Times New Roman"/>
        </w:rPr>
      </w:pPr>
      <w:r>
        <w:rPr>
          <w:rFonts w:eastAsia="Times New Roman"/>
          <w:i/>
          <w:iCs/>
          <w:color w:val="000000"/>
          <w:sz w:val="20"/>
          <w:szCs w:val="20"/>
        </w:rPr>
        <w:lastRenderedPageBreak/>
        <w:t>ISR:</w:t>
      </w:r>
      <w:r>
        <w:rPr>
          <w:rFonts w:eastAsia="Times New Roman"/>
          <w:color w:val="000000"/>
          <w:sz w:val="20"/>
          <w:szCs w:val="20"/>
        </w:rPr>
        <w:t xml:space="preserve"> We develop, integrate and maintain multi-mission </w:t>
      </w:r>
      <w:r>
        <w:rPr>
          <w:rFonts w:eastAsia="Times New Roman"/>
          <w:color w:val="000000"/>
          <w:sz w:val="20"/>
          <w:szCs w:val="20"/>
        </w:rPr>
        <w:t>ISR and communication systems, including fleet management support services, sensor development, modifications and periodic depot maintenance for ISR and airborne missions. Significant customers include DoD and classified customers within the U.S. Governmen</w:t>
      </w:r>
      <w:r>
        <w:rPr>
          <w:rFonts w:eastAsia="Times New Roman"/>
          <w:color w:val="000000"/>
          <w:sz w:val="20"/>
          <w:szCs w:val="20"/>
        </w:rPr>
        <w:t xml:space="preserve">t, U.K. Ministry of Defence, Royal Australian Air Force and other select foreign military services. </w:t>
      </w:r>
    </w:p>
    <w:p w14:paraId="42DE718C" w14:textId="77777777" w:rsidR="00000000" w:rsidRDefault="001A570A">
      <w:pPr>
        <w:ind w:firstLine="450"/>
        <w:divId w:val="289361602"/>
        <w:rPr>
          <w:rFonts w:eastAsia="Times New Roman"/>
        </w:rPr>
      </w:pPr>
      <w:r>
        <w:rPr>
          <w:rFonts w:eastAsia="Times New Roman"/>
          <w:i/>
          <w:iCs/>
          <w:color w:val="000000"/>
          <w:sz w:val="20"/>
          <w:szCs w:val="20"/>
        </w:rPr>
        <w:t xml:space="preserve">Maritime: </w:t>
      </w:r>
      <w:r>
        <w:rPr>
          <w:rFonts w:eastAsia="Times New Roman"/>
          <w:color w:val="000000"/>
          <w:sz w:val="20"/>
          <w:szCs w:val="20"/>
        </w:rPr>
        <w:t>We are a manufacturer and integrator of maritime integrated command, control, communications, computers and cyber ISR (“C5ISR”) systems for marit</w:t>
      </w:r>
      <w:r>
        <w:rPr>
          <w:rFonts w:eastAsia="Times New Roman"/>
          <w:color w:val="000000"/>
          <w:sz w:val="20"/>
          <w:szCs w:val="20"/>
        </w:rPr>
        <w:t>ime platforms, specializing in signals intelligence and multi-intelligence platforms; unmanned surface and undersea autonomous solutions; power and ship control systems and other electronic and electrical products and systems. Significant customers include</w:t>
      </w:r>
      <w:r>
        <w:rPr>
          <w:rFonts w:eastAsia="Times New Roman"/>
          <w:color w:val="000000"/>
          <w:sz w:val="20"/>
          <w:szCs w:val="20"/>
        </w:rPr>
        <w:t xml:space="preserve"> the U.S. Navy (“USN”), the U.S. Coast Guard, the U.S. Army, allied navies, other military customers and commercial ship owners. </w:t>
      </w:r>
    </w:p>
    <w:p w14:paraId="6AB6F22E" w14:textId="77777777" w:rsidR="00000000" w:rsidRDefault="001A570A">
      <w:pPr>
        <w:ind w:firstLine="450"/>
        <w:divId w:val="28843877"/>
        <w:rPr>
          <w:rFonts w:eastAsia="Times New Roman"/>
        </w:rPr>
      </w:pPr>
      <w:r>
        <w:rPr>
          <w:rFonts w:eastAsia="Times New Roman"/>
          <w:i/>
          <w:iCs/>
          <w:color w:val="000000"/>
          <w:sz w:val="20"/>
          <w:szCs w:val="20"/>
        </w:rPr>
        <w:t xml:space="preserve">Electro Optical: </w:t>
      </w:r>
      <w:r>
        <w:rPr>
          <w:rFonts w:eastAsia="Times New Roman"/>
          <w:color w:val="000000"/>
          <w:sz w:val="20"/>
          <w:szCs w:val="20"/>
        </w:rPr>
        <w:t>We design and manufacture advanced EO/IR sensors and surveillance and targeting systems and provide moderniza</w:t>
      </w:r>
      <w:r>
        <w:rPr>
          <w:rFonts w:eastAsia="Times New Roman"/>
          <w:color w:val="000000"/>
          <w:sz w:val="20"/>
          <w:szCs w:val="20"/>
        </w:rPr>
        <w:t>tion and life extension maintenance upgrade and support services for military aircraft. Significant customers include the National Aeronautics Space Administration, DoD, USN, the U.S. Air Force (“USAF”), select foreign militaries and commercial space compa</w:t>
      </w:r>
      <w:r>
        <w:rPr>
          <w:rFonts w:eastAsia="Times New Roman"/>
          <w:color w:val="000000"/>
          <w:sz w:val="20"/>
          <w:szCs w:val="20"/>
        </w:rPr>
        <w:t>nies.</w:t>
      </w:r>
    </w:p>
    <w:p w14:paraId="0775C540" w14:textId="77777777" w:rsidR="00000000" w:rsidRDefault="001A570A">
      <w:pPr>
        <w:ind w:firstLine="450"/>
        <w:divId w:val="1967732468"/>
        <w:rPr>
          <w:rFonts w:eastAsia="Times New Roman"/>
        </w:rPr>
      </w:pPr>
      <w:r>
        <w:rPr>
          <w:rFonts w:eastAsia="Times New Roman"/>
          <w:color w:val="000000"/>
          <w:sz w:val="20"/>
          <w:szCs w:val="20"/>
        </w:rPr>
        <w:t>Additional information regarding the composition of Integrated Mission Systems revenue for fiscal 2020 is as follows:</w:t>
      </w:r>
    </w:p>
    <w:p w14:paraId="4C1CE95D" w14:textId="77777777" w:rsidR="00000000" w:rsidRDefault="001A570A">
      <w:pPr>
        <w:ind w:hanging="360"/>
        <w:divId w:val="1085153746"/>
        <w:rPr>
          <w:rFonts w:eastAsia="Times New Roman"/>
        </w:rPr>
      </w:pPr>
      <w:r>
        <w:rPr>
          <w:rFonts w:eastAsia="Times New Roman"/>
          <w:color w:val="000000"/>
          <w:sz w:val="20"/>
          <w:szCs w:val="20"/>
        </w:rPr>
        <w:t>•77 percent was derived from sales to U.S. Government customers, including foreign military sales funded through the U.S. Government</w:t>
      </w:r>
      <w:r>
        <w:rPr>
          <w:rFonts w:eastAsia="Times New Roman"/>
          <w:color w:val="000000"/>
          <w:sz w:val="20"/>
          <w:szCs w:val="20"/>
        </w:rPr>
        <w:t>, whether directly or through prime contractors;</w:t>
      </w:r>
    </w:p>
    <w:p w14:paraId="0C3168B5" w14:textId="77777777" w:rsidR="00000000" w:rsidRDefault="001A570A">
      <w:pPr>
        <w:ind w:hanging="360"/>
        <w:divId w:val="58141182"/>
        <w:rPr>
          <w:rFonts w:eastAsia="Times New Roman"/>
        </w:rPr>
      </w:pPr>
      <w:r>
        <w:rPr>
          <w:rFonts w:eastAsia="Times New Roman"/>
          <w:color w:val="000000"/>
          <w:sz w:val="20"/>
          <w:szCs w:val="20"/>
        </w:rPr>
        <w:t>•67 percent was derived from contracts under which we are the prime contractor; and</w:t>
      </w:r>
    </w:p>
    <w:p w14:paraId="5E8AAC03" w14:textId="77777777" w:rsidR="00000000" w:rsidRDefault="001A570A">
      <w:pPr>
        <w:ind w:hanging="360"/>
        <w:divId w:val="390813923"/>
        <w:rPr>
          <w:rFonts w:eastAsia="Times New Roman"/>
        </w:rPr>
      </w:pPr>
      <w:r>
        <w:rPr>
          <w:rFonts w:eastAsia="Times New Roman"/>
          <w:color w:val="000000"/>
          <w:sz w:val="20"/>
          <w:szCs w:val="20"/>
        </w:rPr>
        <w:t>•21 percent was derived from products and services for which the end consumer is located outside the U.S.</w:t>
      </w:r>
    </w:p>
    <w:p w14:paraId="08F5DB24" w14:textId="77777777" w:rsidR="00000000" w:rsidRDefault="001A570A">
      <w:pPr>
        <w:ind w:firstLine="450"/>
        <w:divId w:val="231084088"/>
        <w:rPr>
          <w:rFonts w:eastAsia="Times New Roman"/>
        </w:rPr>
      </w:pPr>
      <w:r>
        <w:rPr>
          <w:rFonts w:eastAsia="Times New Roman"/>
          <w:color w:val="000000"/>
          <w:sz w:val="20"/>
          <w:szCs w:val="20"/>
        </w:rPr>
        <w:t xml:space="preserve">For a discussion </w:t>
      </w:r>
      <w:r>
        <w:rPr>
          <w:rFonts w:eastAsia="Times New Roman"/>
          <w:color w:val="000000"/>
          <w:sz w:val="20"/>
          <w:szCs w:val="20"/>
        </w:rPr>
        <w:t>of certain risks affecting this segment, including risks relating to our U.S. Government contracts and subcontracts, see “Item 1. Business - Principal Customers; Government Contracts,” “Item 1A. Risk Factors” and “Item 3. Legal Proceedings” of this Report.</w:t>
      </w:r>
    </w:p>
    <w:p w14:paraId="5AE4A4B5" w14:textId="77777777" w:rsidR="00000000" w:rsidRDefault="001A570A">
      <w:pPr>
        <w:divId w:val="858742472"/>
        <w:rPr>
          <w:rFonts w:eastAsia="Times New Roman"/>
        </w:rPr>
      </w:pPr>
      <w:r>
        <w:rPr>
          <w:rFonts w:eastAsia="Times New Roman"/>
          <w:b/>
          <w:bCs/>
          <w:i/>
          <w:iCs/>
          <w:color w:val="000000"/>
          <w:sz w:val="20"/>
          <w:szCs w:val="20"/>
        </w:rPr>
        <w:t xml:space="preserve">Space and Airborne Systems </w:t>
      </w:r>
    </w:p>
    <w:p w14:paraId="108F892D" w14:textId="77777777" w:rsidR="00000000" w:rsidRDefault="001A570A">
      <w:pPr>
        <w:ind w:firstLine="450"/>
        <w:divId w:val="979071219"/>
        <w:rPr>
          <w:rFonts w:eastAsia="Times New Roman"/>
        </w:rPr>
      </w:pPr>
      <w:r>
        <w:rPr>
          <w:rFonts w:eastAsia="Times New Roman"/>
          <w:color w:val="000000"/>
          <w:sz w:val="20"/>
          <w:szCs w:val="20"/>
        </w:rPr>
        <w:t>Space and Airborne Systems segment revenue of $4,946 million for fiscal 2020, represented 27 percent of our total revenue. This segment is comprised of four business sectors: Space, Intel &amp; Cyber, Mission Avionics and Electroni</w:t>
      </w:r>
      <w:r>
        <w:rPr>
          <w:rFonts w:eastAsia="Times New Roman"/>
          <w:color w:val="000000"/>
          <w:sz w:val="20"/>
          <w:szCs w:val="20"/>
        </w:rPr>
        <w:t xml:space="preserve">c Warfare, the principal products and services of which are described below. </w:t>
      </w:r>
    </w:p>
    <w:p w14:paraId="6D8E3985" w14:textId="77777777" w:rsidR="00000000" w:rsidRDefault="001A570A">
      <w:pPr>
        <w:ind w:firstLine="450"/>
        <w:divId w:val="1454597963"/>
        <w:rPr>
          <w:rFonts w:eastAsia="Times New Roman"/>
        </w:rPr>
      </w:pPr>
      <w:r>
        <w:rPr>
          <w:rFonts w:eastAsia="Times New Roman"/>
          <w:i/>
          <w:iCs/>
          <w:color w:val="000000"/>
          <w:sz w:val="20"/>
          <w:szCs w:val="20"/>
        </w:rPr>
        <w:t>Space:</w:t>
      </w:r>
      <w:r>
        <w:rPr>
          <w:rFonts w:eastAsia="Times New Roman"/>
          <w:color w:val="000000"/>
          <w:sz w:val="20"/>
          <w:szCs w:val="20"/>
        </w:rPr>
        <w:t xml:space="preserve"> We provide intelligence, space protection, geospatial, complete Earth observation, universe exploration, positioning, navigation and timing (“PNT”) and environmental solut</w:t>
      </w:r>
      <w:r>
        <w:rPr>
          <w:rFonts w:eastAsia="Times New Roman"/>
          <w:color w:val="000000"/>
          <w:sz w:val="20"/>
          <w:szCs w:val="20"/>
        </w:rPr>
        <w:t>ions for national security, defense, civil and commercial customers, using advanced sensors, antennas and payloads, as well as ground processing and information analytics. Many of these solutions include reliable resilient and innovative capabilities. We a</w:t>
      </w:r>
      <w:r>
        <w:rPr>
          <w:rFonts w:eastAsia="Times New Roman"/>
          <w:color w:val="000000"/>
          <w:sz w:val="20"/>
          <w:szCs w:val="20"/>
        </w:rPr>
        <w:t>re a global provider of PNT products, systems and solutions. We also provide space antenna systems and precision space structures. We are an experienced space reflector manufacturer and specialize in large, high-accuracy reflectors, which can range from un</w:t>
      </w:r>
      <w:r>
        <w:rPr>
          <w:rFonts w:eastAsia="Times New Roman"/>
          <w:color w:val="000000"/>
          <w:sz w:val="20"/>
          <w:szCs w:val="20"/>
        </w:rPr>
        <w:t>furlable and fixed-mesh reflector antennas to solid spot beam antennas. We are also a prime contractor developing and integrating end-to-end systems of satellites. Some of the more significant programs in this business sector include:</w:t>
      </w:r>
    </w:p>
    <w:p w14:paraId="044189AC" w14:textId="77777777" w:rsidR="00000000" w:rsidRDefault="001A570A">
      <w:pPr>
        <w:ind w:hanging="360"/>
        <w:divId w:val="1625191973"/>
        <w:rPr>
          <w:rFonts w:eastAsia="Times New Roman"/>
        </w:rPr>
      </w:pPr>
      <w:r>
        <w:rPr>
          <w:rFonts w:eastAsia="Times New Roman"/>
          <w:color w:val="000000"/>
          <w:sz w:val="20"/>
          <w:szCs w:val="20"/>
        </w:rPr>
        <w:t>•Maintenance of Space</w:t>
      </w:r>
      <w:r>
        <w:rPr>
          <w:rFonts w:eastAsia="Times New Roman"/>
          <w:color w:val="000000"/>
          <w:sz w:val="20"/>
          <w:szCs w:val="20"/>
        </w:rPr>
        <w:t xml:space="preserve"> Situational Awareness Integrated Capabilities (“MOSSAIC”), a program to provide sustainment services for current and future ground-based space domain awareness sensors and space battle management command and control capabilities for the U.S. Space Force a</w:t>
      </w:r>
      <w:r>
        <w:rPr>
          <w:rFonts w:eastAsia="Times New Roman"/>
          <w:color w:val="000000"/>
          <w:sz w:val="20"/>
          <w:szCs w:val="20"/>
        </w:rPr>
        <w:t>nd Missile Systems Center;</w:t>
      </w:r>
    </w:p>
    <w:p w14:paraId="614B43C1" w14:textId="77777777" w:rsidR="00000000" w:rsidRDefault="001A570A">
      <w:pPr>
        <w:ind w:hanging="360"/>
        <w:divId w:val="399526577"/>
        <w:rPr>
          <w:rFonts w:eastAsia="Times New Roman"/>
        </w:rPr>
      </w:pPr>
      <w:r>
        <w:rPr>
          <w:rFonts w:eastAsia="Times New Roman"/>
          <w:color w:val="000000"/>
          <w:sz w:val="20"/>
          <w:szCs w:val="20"/>
        </w:rPr>
        <w:t>•Geostationary Operational Environmental Satellite - Series R (“GOES-R”), a program to design, develop and build systems to measure, understand and monitor weather and environmental trends for the U.S. National Oceanic and Atmosp</w:t>
      </w:r>
      <w:r>
        <w:rPr>
          <w:rFonts w:eastAsia="Times New Roman"/>
          <w:color w:val="000000"/>
          <w:sz w:val="20"/>
          <w:szCs w:val="20"/>
        </w:rPr>
        <w:t>heric Administration; and</w:t>
      </w:r>
    </w:p>
    <w:p w14:paraId="1F732CC4" w14:textId="77777777" w:rsidR="00000000" w:rsidRDefault="001A570A">
      <w:pPr>
        <w:ind w:hanging="360"/>
        <w:divId w:val="2118016132"/>
        <w:rPr>
          <w:rFonts w:eastAsia="Times New Roman"/>
        </w:rPr>
      </w:pPr>
      <w:r>
        <w:rPr>
          <w:rFonts w:eastAsia="Times New Roman"/>
          <w:color w:val="000000"/>
          <w:sz w:val="20"/>
          <w:szCs w:val="20"/>
        </w:rPr>
        <w:t>•Global Positioning System (“GPS”) III, a program to modernize the GPS satellite system for the USAF.</w:t>
      </w:r>
    </w:p>
    <w:p w14:paraId="20891307" w14:textId="77777777" w:rsidR="00000000" w:rsidRDefault="001A570A">
      <w:pPr>
        <w:ind w:firstLine="450"/>
        <w:divId w:val="1735855077"/>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 Notes, on May 15, 2020, as par</w:t>
      </w:r>
      <w:r>
        <w:rPr>
          <w:rFonts w:eastAsia="Times New Roman"/>
          <w:color w:val="000000"/>
          <w:sz w:val="20"/>
          <w:szCs w:val="20"/>
        </w:rPr>
        <w:t>t of our ongoing process to reshape our business portfolio to focus on technology-differentiated, high-margin businesses, we completed the divestiture of our Applied Kilovolts and Analytical Instrumentation business.</w:t>
      </w:r>
    </w:p>
    <w:p w14:paraId="45ABB362" w14:textId="77777777" w:rsidR="00000000" w:rsidRDefault="001A570A">
      <w:pPr>
        <w:ind w:firstLine="450"/>
        <w:divId w:val="1472943520"/>
        <w:rPr>
          <w:rFonts w:eastAsia="Times New Roman"/>
        </w:rPr>
      </w:pPr>
      <w:r>
        <w:rPr>
          <w:rFonts w:eastAsia="Times New Roman"/>
          <w:i/>
          <w:iCs/>
          <w:color w:val="000000"/>
          <w:sz w:val="20"/>
          <w:szCs w:val="20"/>
        </w:rPr>
        <w:t xml:space="preserve">Intel &amp; Cyber: </w:t>
      </w:r>
      <w:r>
        <w:rPr>
          <w:rFonts w:eastAsia="Times New Roman"/>
          <w:color w:val="000000"/>
          <w:sz w:val="20"/>
          <w:szCs w:val="20"/>
        </w:rPr>
        <w:t>We provide situational a</w:t>
      </w:r>
      <w:r>
        <w:rPr>
          <w:rFonts w:eastAsia="Times New Roman"/>
          <w:color w:val="000000"/>
          <w:sz w:val="20"/>
          <w:szCs w:val="20"/>
        </w:rPr>
        <w:t>wareness optical networks and advanced wireless solutions for classified intelligence and cyber defense. Although classified programs are generally not discussed in this Report, the operating results relating to classified programs are included in our Cons</w:t>
      </w:r>
      <w:r>
        <w:rPr>
          <w:rFonts w:eastAsia="Times New Roman"/>
          <w:color w:val="000000"/>
          <w:sz w:val="20"/>
          <w:szCs w:val="20"/>
        </w:rPr>
        <w:t xml:space="preserve">olidated Financial Statements in this Report. We believe that the business risks </w:t>
      </w:r>
    </w:p>
    <w:p w14:paraId="670D8726" w14:textId="77777777" w:rsidR="00000000" w:rsidRDefault="001A570A">
      <w:pPr>
        <w:ind w:firstLine="450"/>
        <w:jc w:val="center"/>
        <w:divId w:val="1990135419"/>
        <w:rPr>
          <w:rFonts w:eastAsia="Times New Roman"/>
        </w:rPr>
      </w:pPr>
      <w:r>
        <w:rPr>
          <w:rFonts w:eastAsia="Times New Roman"/>
          <w:color w:val="000000"/>
          <w:sz w:val="20"/>
          <w:szCs w:val="20"/>
        </w:rPr>
        <w:t>3</w:t>
      </w:r>
    </w:p>
    <w:p w14:paraId="0D06A0C3" w14:textId="77777777" w:rsidR="00000000" w:rsidRDefault="001A570A">
      <w:pPr>
        <w:rPr>
          <w:rFonts w:eastAsia="Times New Roman"/>
        </w:rPr>
      </w:pPr>
      <w:r>
        <w:rPr>
          <w:rFonts w:eastAsia="Times New Roman"/>
        </w:rPr>
        <w:pict w14:anchorId="67FEDC12">
          <v:rect id="_x0000_i1030" style="width:0;height:1.5pt" o:hralign="center" o:hrstd="t" o:hr="t" fillcolor="#a0a0a0" stroked="f"/>
        </w:pict>
      </w:r>
    </w:p>
    <w:p w14:paraId="52521827" w14:textId="77777777" w:rsidR="00000000" w:rsidRDefault="001A570A">
      <w:pPr>
        <w:ind w:firstLine="450"/>
        <w:divId w:val="206838315"/>
        <w:rPr>
          <w:rFonts w:eastAsia="Times New Roman"/>
        </w:rPr>
      </w:pPr>
    </w:p>
    <w:p w14:paraId="32757CAA" w14:textId="77777777" w:rsidR="00000000" w:rsidRDefault="001A570A">
      <w:pPr>
        <w:divId w:val="1557275555"/>
        <w:rPr>
          <w:rFonts w:eastAsia="Times New Roman"/>
        </w:rPr>
      </w:pPr>
      <w:r>
        <w:rPr>
          <w:rFonts w:eastAsia="Times New Roman"/>
          <w:color w:val="000000"/>
          <w:sz w:val="20"/>
          <w:szCs w:val="20"/>
        </w:rPr>
        <w:t>associated with our classified programs do not differ materially from the business risks associated with our other U.S. Government pro</w:t>
      </w:r>
      <w:r>
        <w:rPr>
          <w:rFonts w:eastAsia="Times New Roman"/>
          <w:color w:val="000000"/>
          <w:sz w:val="20"/>
          <w:szCs w:val="20"/>
        </w:rPr>
        <w:t xml:space="preserve">grams. </w:t>
      </w:r>
    </w:p>
    <w:p w14:paraId="603C6032" w14:textId="77777777" w:rsidR="00000000" w:rsidRDefault="001A570A">
      <w:pPr>
        <w:ind w:firstLine="450"/>
        <w:divId w:val="631715544"/>
        <w:rPr>
          <w:rFonts w:eastAsia="Times New Roman"/>
        </w:rPr>
      </w:pPr>
      <w:r>
        <w:rPr>
          <w:rFonts w:eastAsia="Times New Roman"/>
          <w:i/>
          <w:iCs/>
          <w:color w:val="000000"/>
          <w:sz w:val="20"/>
          <w:szCs w:val="20"/>
        </w:rPr>
        <w:t xml:space="preserve">Mission Avionics: </w:t>
      </w:r>
      <w:r>
        <w:rPr>
          <w:rFonts w:eastAsia="Times New Roman"/>
          <w:color w:val="000000"/>
          <w:sz w:val="20"/>
          <w:szCs w:val="20"/>
        </w:rPr>
        <w:t>We provide avionic sensors, hardened electronics, release systems, data links and antennas supporting fixed wing and rotary platforms. Significant customers include military aircraft manufacturers, DoD customers within the U.S. Go</w:t>
      </w:r>
      <w:r>
        <w:rPr>
          <w:rFonts w:eastAsia="Times New Roman"/>
          <w:color w:val="000000"/>
          <w:sz w:val="20"/>
          <w:szCs w:val="20"/>
        </w:rPr>
        <w:t xml:space="preserve">vernment and select foreign military services. For example, we provide advanced avionics components, carriage and release systems, sensors, encryption solutions, antenna systems and data processing technology for the F-35 Lightning II Joint Strike Fighter </w:t>
      </w:r>
      <w:r>
        <w:rPr>
          <w:rFonts w:eastAsia="Times New Roman"/>
          <w:color w:val="000000"/>
          <w:sz w:val="20"/>
          <w:szCs w:val="20"/>
        </w:rPr>
        <w:t xml:space="preserve">(“F-35”) program, including development and production of the next generation integrated core processor, panoramic cockpit display unit and aircraft memory systems. </w:t>
      </w:r>
    </w:p>
    <w:p w14:paraId="07434139" w14:textId="77777777" w:rsidR="00000000" w:rsidRDefault="001A570A">
      <w:pPr>
        <w:ind w:firstLine="450"/>
        <w:divId w:val="130052913"/>
        <w:rPr>
          <w:rFonts w:eastAsia="Times New Roman"/>
        </w:rPr>
      </w:pPr>
      <w:r>
        <w:rPr>
          <w:rFonts w:eastAsia="Times New Roman"/>
          <w:i/>
          <w:iCs/>
          <w:color w:val="000000"/>
          <w:sz w:val="20"/>
          <w:szCs w:val="20"/>
        </w:rPr>
        <w:t xml:space="preserve">Electronic Warfare: </w:t>
      </w:r>
      <w:r>
        <w:rPr>
          <w:rFonts w:eastAsia="Times New Roman"/>
          <w:color w:val="000000"/>
          <w:sz w:val="20"/>
          <w:szCs w:val="20"/>
        </w:rPr>
        <w:t>We provide multi-spectral situational awareness, threat warning and co</w:t>
      </w:r>
      <w:r>
        <w:rPr>
          <w:rFonts w:eastAsia="Times New Roman"/>
          <w:color w:val="000000"/>
          <w:sz w:val="20"/>
          <w:szCs w:val="20"/>
        </w:rPr>
        <w:t xml:space="preserve">untermeasures capabilities for electronic warfare solutions for airborne and maritime platforms. Significant customers include military aircraft manufacturers, DoD customers within the U.S. Government and select foreign military services. </w:t>
      </w:r>
    </w:p>
    <w:p w14:paraId="3A29E021" w14:textId="77777777" w:rsidR="00000000" w:rsidRDefault="001A570A">
      <w:pPr>
        <w:ind w:firstLine="450"/>
        <w:divId w:val="1049963645"/>
        <w:rPr>
          <w:rFonts w:eastAsia="Times New Roman"/>
        </w:rPr>
      </w:pPr>
      <w:r>
        <w:rPr>
          <w:rFonts w:eastAsia="Times New Roman"/>
          <w:color w:val="000000"/>
          <w:sz w:val="20"/>
          <w:szCs w:val="20"/>
        </w:rPr>
        <w:t>Additional infor</w:t>
      </w:r>
      <w:r>
        <w:rPr>
          <w:rFonts w:eastAsia="Times New Roman"/>
          <w:color w:val="000000"/>
          <w:sz w:val="20"/>
          <w:szCs w:val="20"/>
        </w:rPr>
        <w:t>mation regarding the composition of Space and Airborne Systems revenue for fiscal 2020 is as follows:</w:t>
      </w:r>
    </w:p>
    <w:p w14:paraId="73882335" w14:textId="77777777" w:rsidR="00000000" w:rsidRDefault="001A570A">
      <w:pPr>
        <w:ind w:hanging="360"/>
        <w:divId w:val="1186792176"/>
        <w:rPr>
          <w:rFonts w:eastAsia="Times New Roman"/>
        </w:rPr>
      </w:pPr>
      <w:r>
        <w:rPr>
          <w:rFonts w:eastAsia="Times New Roman"/>
          <w:color w:val="000000"/>
          <w:sz w:val="20"/>
          <w:szCs w:val="20"/>
        </w:rPr>
        <w:t xml:space="preserve">•90 percent was derived from sales to U.S. Government customers, including foreign military sales funded through the U.S. Government, whether directly or </w:t>
      </w:r>
      <w:r>
        <w:rPr>
          <w:rFonts w:eastAsia="Times New Roman"/>
          <w:color w:val="000000"/>
          <w:sz w:val="20"/>
          <w:szCs w:val="20"/>
        </w:rPr>
        <w:t>through prime contractors;</w:t>
      </w:r>
    </w:p>
    <w:p w14:paraId="48BBA48F" w14:textId="77777777" w:rsidR="00000000" w:rsidRDefault="001A570A">
      <w:pPr>
        <w:ind w:hanging="360"/>
        <w:divId w:val="915437877"/>
        <w:rPr>
          <w:rFonts w:eastAsia="Times New Roman"/>
        </w:rPr>
      </w:pPr>
      <w:r>
        <w:rPr>
          <w:rFonts w:eastAsia="Times New Roman"/>
          <w:color w:val="000000"/>
          <w:sz w:val="20"/>
          <w:szCs w:val="20"/>
        </w:rPr>
        <w:t>•54 percent was derived from contracts under which we are the prime contractor; and</w:t>
      </w:r>
    </w:p>
    <w:p w14:paraId="61A4E8F9" w14:textId="77777777" w:rsidR="00000000" w:rsidRDefault="001A570A">
      <w:pPr>
        <w:ind w:hanging="360"/>
        <w:divId w:val="545291233"/>
        <w:rPr>
          <w:rFonts w:eastAsia="Times New Roman"/>
        </w:rPr>
      </w:pPr>
      <w:r>
        <w:rPr>
          <w:rFonts w:eastAsia="Times New Roman"/>
          <w:color w:val="000000"/>
          <w:sz w:val="20"/>
          <w:szCs w:val="20"/>
        </w:rPr>
        <w:t>•15 percent was derived from products and services for which the end consumer is located outside the U.S.</w:t>
      </w:r>
    </w:p>
    <w:p w14:paraId="0E8A8F4C" w14:textId="77777777" w:rsidR="00000000" w:rsidRDefault="001A570A">
      <w:pPr>
        <w:ind w:firstLine="450"/>
        <w:divId w:val="23528610"/>
        <w:rPr>
          <w:rFonts w:eastAsia="Times New Roman"/>
        </w:rPr>
      </w:pPr>
      <w:r>
        <w:rPr>
          <w:rFonts w:eastAsia="Times New Roman"/>
          <w:color w:val="000000"/>
          <w:sz w:val="20"/>
          <w:szCs w:val="20"/>
        </w:rPr>
        <w:t>For a discussion of certain risks affecting this segment, including risks relating to our U.S. Government contracts and subcontracts, see “Item 1. Business - Principal Customers; Government Contracts,” “Item 1A. Risk Factors” and “Item 3. Legal Proceedings</w:t>
      </w:r>
      <w:r>
        <w:rPr>
          <w:rFonts w:eastAsia="Times New Roman"/>
          <w:color w:val="000000"/>
          <w:sz w:val="20"/>
          <w:szCs w:val="20"/>
        </w:rPr>
        <w:t>” of this Report.</w:t>
      </w:r>
    </w:p>
    <w:p w14:paraId="74A80D3B" w14:textId="77777777" w:rsidR="00000000" w:rsidRDefault="001A570A">
      <w:pPr>
        <w:divId w:val="990669600"/>
        <w:rPr>
          <w:rFonts w:eastAsia="Times New Roman"/>
        </w:rPr>
      </w:pPr>
      <w:r>
        <w:rPr>
          <w:rFonts w:eastAsia="Times New Roman"/>
          <w:b/>
          <w:bCs/>
          <w:i/>
          <w:iCs/>
          <w:color w:val="000000"/>
          <w:sz w:val="20"/>
          <w:szCs w:val="20"/>
        </w:rPr>
        <w:t xml:space="preserve">Communication Systems </w:t>
      </w:r>
    </w:p>
    <w:p w14:paraId="6E107A3B" w14:textId="77777777" w:rsidR="00000000" w:rsidRDefault="001A570A">
      <w:pPr>
        <w:ind w:firstLine="450"/>
        <w:divId w:val="1534809250"/>
        <w:rPr>
          <w:rFonts w:eastAsia="Times New Roman"/>
        </w:rPr>
      </w:pPr>
      <w:r>
        <w:rPr>
          <w:rFonts w:eastAsia="Times New Roman"/>
          <w:color w:val="000000"/>
          <w:sz w:val="20"/>
          <w:szCs w:val="20"/>
        </w:rPr>
        <w:t>Communication Systems segment revenue of $4,443 million for fiscal 2020, represented 24 percent of our total revenue. This segment is comprised of four business sectors: Tactical Communications, Broadband Communications, Integrated Vision Solutions and Pub</w:t>
      </w:r>
      <w:r>
        <w:rPr>
          <w:rFonts w:eastAsia="Times New Roman"/>
          <w:color w:val="000000"/>
          <w:sz w:val="20"/>
          <w:szCs w:val="20"/>
        </w:rPr>
        <w:t xml:space="preserve">lic Safety, the principal products and services of which are described below. </w:t>
      </w:r>
    </w:p>
    <w:p w14:paraId="092E158F" w14:textId="77777777" w:rsidR="00000000" w:rsidRDefault="001A570A">
      <w:pPr>
        <w:ind w:firstLine="360"/>
        <w:divId w:val="1733850308"/>
        <w:rPr>
          <w:rFonts w:eastAsia="Times New Roman"/>
        </w:rPr>
      </w:pPr>
      <w:r>
        <w:rPr>
          <w:rFonts w:eastAsia="Times New Roman"/>
          <w:i/>
          <w:iCs/>
          <w:color w:val="000000"/>
          <w:sz w:val="20"/>
          <w:szCs w:val="20"/>
        </w:rPr>
        <w:t xml:space="preserve">Tactical Communications: </w:t>
      </w:r>
      <w:r>
        <w:rPr>
          <w:rFonts w:eastAsia="Times New Roman"/>
          <w:color w:val="000000"/>
          <w:sz w:val="20"/>
          <w:szCs w:val="20"/>
        </w:rPr>
        <w:t>We provide tactical radios to the U.S. Army, USAF, U.S. Marine Corps, USN, U.S. Special Operations Command (“SOCOM”) and international defense customers</w:t>
      </w:r>
      <w:r>
        <w:rPr>
          <w:rFonts w:eastAsia="Times New Roman"/>
          <w:color w:val="000000"/>
          <w:sz w:val="20"/>
          <w:szCs w:val="20"/>
        </w:rPr>
        <w:t xml:space="preserve">, including developing and manufacturing software-defined radios for key DoD network modernization programs. For example, we are providing Handheld, Manpack and Small Form-Fit (“HMS”) radios to the U.S. Army. </w:t>
      </w:r>
    </w:p>
    <w:p w14:paraId="47FDC69F" w14:textId="77777777" w:rsidR="00000000" w:rsidRDefault="001A570A">
      <w:pPr>
        <w:ind w:firstLine="450"/>
        <w:divId w:val="522062206"/>
        <w:rPr>
          <w:rFonts w:eastAsia="Times New Roman"/>
        </w:rPr>
      </w:pPr>
      <w:r>
        <w:rPr>
          <w:rFonts w:eastAsia="Times New Roman"/>
          <w:color w:val="000000"/>
          <w:sz w:val="20"/>
          <w:szCs w:val="20"/>
        </w:rPr>
        <w:t>We operate in this market principally on a “co</w:t>
      </w:r>
      <w:r>
        <w:rPr>
          <w:rFonts w:eastAsia="Times New Roman"/>
          <w:color w:val="000000"/>
          <w:sz w:val="20"/>
          <w:szCs w:val="20"/>
        </w:rPr>
        <w:t>mmercial” market-driven business model. We believe our business model, which drives speed and innovation, coupled with the scale provided by our international presence, will continue to make us competitive in the global market for tactical radios as it und</w:t>
      </w:r>
      <w:r>
        <w:rPr>
          <w:rFonts w:eastAsia="Times New Roman"/>
          <w:color w:val="000000"/>
          <w:sz w:val="20"/>
          <w:szCs w:val="20"/>
        </w:rPr>
        <w:t xml:space="preserve">ergoes a modernization cycle. </w:t>
      </w:r>
    </w:p>
    <w:p w14:paraId="6DB99A06" w14:textId="77777777" w:rsidR="00000000" w:rsidRDefault="001A570A">
      <w:pPr>
        <w:ind w:firstLine="450"/>
        <w:divId w:val="1129322058"/>
        <w:rPr>
          <w:rFonts w:eastAsia="Times New Roman"/>
        </w:rPr>
      </w:pPr>
      <w:r>
        <w:rPr>
          <w:rFonts w:eastAsia="Times New Roman"/>
          <w:i/>
          <w:iCs/>
          <w:color w:val="000000"/>
          <w:sz w:val="20"/>
          <w:szCs w:val="20"/>
        </w:rPr>
        <w:t xml:space="preserve">Broadband Communications: </w:t>
      </w:r>
      <w:r>
        <w:rPr>
          <w:rFonts w:eastAsia="Times New Roman"/>
          <w:color w:val="000000"/>
          <w:sz w:val="20"/>
          <w:szCs w:val="20"/>
        </w:rPr>
        <w:t xml:space="preserve">We develop, design, manufacture and integrate broadband secured mobile networked communication equipment, including airborne, space and surface data link terminals, ground stations and transportable </w:t>
      </w:r>
      <w:r>
        <w:rPr>
          <w:rFonts w:eastAsia="Times New Roman"/>
          <w:color w:val="000000"/>
          <w:sz w:val="20"/>
          <w:szCs w:val="20"/>
        </w:rPr>
        <w:t>tactical satellite communication (“SATCOM”) systems used on manned aircraft, unmanned aerial vehicles (“UAVs”) and naval ships. Significant customers include U.S. defense and intelligence agencies.</w:t>
      </w:r>
    </w:p>
    <w:p w14:paraId="0456D756" w14:textId="77777777" w:rsidR="00000000" w:rsidRDefault="001A570A">
      <w:pPr>
        <w:ind w:firstLine="450"/>
        <w:divId w:val="721247525"/>
        <w:rPr>
          <w:rFonts w:eastAsia="Times New Roman"/>
        </w:rPr>
      </w:pPr>
      <w:r>
        <w:rPr>
          <w:rFonts w:eastAsia="Times New Roman"/>
          <w:i/>
          <w:iCs/>
          <w:color w:val="000000"/>
          <w:sz w:val="20"/>
          <w:szCs w:val="20"/>
        </w:rPr>
        <w:t>Integrated Visions Solutions:</w:t>
      </w:r>
      <w:r>
        <w:rPr>
          <w:rFonts w:eastAsia="Times New Roman"/>
          <w:color w:val="000000"/>
          <w:sz w:val="20"/>
          <w:szCs w:val="20"/>
        </w:rPr>
        <w:t xml:space="preserve"> We provide a full suite of h</w:t>
      </w:r>
      <w:r>
        <w:rPr>
          <w:rFonts w:eastAsia="Times New Roman"/>
          <w:color w:val="000000"/>
          <w:sz w:val="20"/>
          <w:szCs w:val="20"/>
        </w:rPr>
        <w:t>elmet and weapon mounted integrated night vision systems for U.S. and international customers. For the Enhanced Night Vision Goggle - Binocular (“ENVG-B”) program, we provide advanced helmet-mounted night vision goggles to DoD customers.</w:t>
      </w:r>
    </w:p>
    <w:p w14:paraId="128FBB29" w14:textId="77777777" w:rsidR="00000000" w:rsidRDefault="001A570A">
      <w:pPr>
        <w:ind w:firstLine="450"/>
        <w:divId w:val="1934774964"/>
        <w:rPr>
          <w:rFonts w:eastAsia="Times New Roman"/>
        </w:rPr>
      </w:pPr>
      <w:r>
        <w:rPr>
          <w:rFonts w:eastAsia="Times New Roman"/>
          <w:color w:val="000000"/>
          <w:sz w:val="20"/>
          <w:szCs w:val="20"/>
        </w:rPr>
        <w:t>As described in mo</w:t>
      </w:r>
      <w:r>
        <w:rPr>
          <w:rFonts w:eastAsia="Times New Roman"/>
          <w:color w:val="000000"/>
          <w:sz w:val="20"/>
          <w:szCs w:val="20"/>
        </w:rPr>
        <w:t>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 Notes, on July 31, 2020, as part of our ongoing process to reshape our business portfolio to focus on technology-differentiated, high-margin businesses, we completed the divest</w:t>
      </w:r>
      <w:r>
        <w:rPr>
          <w:rFonts w:eastAsia="Times New Roman"/>
          <w:color w:val="000000"/>
          <w:sz w:val="20"/>
          <w:szCs w:val="20"/>
        </w:rPr>
        <w:t>iture of our EOTech business.</w:t>
      </w:r>
    </w:p>
    <w:p w14:paraId="2F0BE139" w14:textId="77777777" w:rsidR="00000000" w:rsidRDefault="001A570A">
      <w:pPr>
        <w:ind w:firstLine="450"/>
        <w:divId w:val="1915159925"/>
        <w:rPr>
          <w:rFonts w:eastAsia="Times New Roman"/>
        </w:rPr>
      </w:pPr>
      <w:r>
        <w:rPr>
          <w:rFonts w:eastAsia="Times New Roman"/>
          <w:i/>
          <w:iCs/>
          <w:color w:val="000000"/>
          <w:sz w:val="20"/>
          <w:szCs w:val="20"/>
        </w:rPr>
        <w:t>Public Safety:</w:t>
      </w:r>
      <w:r>
        <w:rPr>
          <w:rFonts w:eastAsia="Times New Roman"/>
          <w:color w:val="000000"/>
          <w:sz w:val="20"/>
          <w:szCs w:val="20"/>
        </w:rPr>
        <w:t xml:space="preserve"> We provide radios, systems applications and equipment for critical public safety and professional communications to Federal, state and local government customers as well as to utility companies.</w:t>
      </w:r>
    </w:p>
    <w:p w14:paraId="75CC0C90" w14:textId="77777777" w:rsidR="00000000" w:rsidRDefault="001A570A">
      <w:pPr>
        <w:ind w:firstLine="450"/>
        <w:divId w:val="1427843928"/>
        <w:rPr>
          <w:rFonts w:eastAsia="Times New Roman"/>
        </w:rPr>
      </w:pPr>
      <w:r>
        <w:rPr>
          <w:rFonts w:eastAsia="Times New Roman"/>
          <w:i/>
          <w:iCs/>
          <w:color w:val="000000"/>
          <w:sz w:val="20"/>
          <w:szCs w:val="20"/>
        </w:rPr>
        <w:t>Global Communica</w:t>
      </w:r>
      <w:r>
        <w:rPr>
          <w:rFonts w:eastAsia="Times New Roman"/>
          <w:i/>
          <w:iCs/>
          <w:color w:val="000000"/>
          <w:sz w:val="20"/>
          <w:szCs w:val="20"/>
        </w:rPr>
        <w:t>tions Solutions:</w:t>
      </w:r>
      <w:r>
        <w:rPr>
          <w:rFonts w:eastAsia="Times New Roman"/>
          <w:color w:val="000000"/>
          <w:sz w:val="20"/>
          <w:szCs w:val="20"/>
        </w:rPr>
        <w:t xml:space="preserve"> We provide SATCOM terminals and battlefield management networks for U.S. and international defense customers. </w:t>
      </w:r>
    </w:p>
    <w:p w14:paraId="300AEDBE" w14:textId="77777777" w:rsidR="00000000" w:rsidRDefault="001A570A">
      <w:pPr>
        <w:ind w:firstLine="450"/>
        <w:divId w:val="1459883737"/>
        <w:rPr>
          <w:rFonts w:eastAsia="Times New Roman"/>
        </w:rPr>
      </w:pPr>
      <w:r>
        <w:rPr>
          <w:rFonts w:eastAsia="Times New Roman"/>
          <w:color w:val="000000"/>
          <w:sz w:val="20"/>
          <w:szCs w:val="20"/>
        </w:rPr>
        <w:t>Additional information regarding the composition of Communication Systems revenue for fiscal 2020 is as follows:</w:t>
      </w:r>
    </w:p>
    <w:p w14:paraId="2E4F6E90" w14:textId="77777777" w:rsidR="00000000" w:rsidRDefault="001A570A">
      <w:pPr>
        <w:ind w:hanging="360"/>
        <w:divId w:val="891232080"/>
        <w:rPr>
          <w:rFonts w:eastAsia="Times New Roman"/>
        </w:rPr>
      </w:pPr>
      <w:r>
        <w:rPr>
          <w:rFonts w:eastAsia="Times New Roman"/>
          <w:color w:val="000000"/>
          <w:sz w:val="20"/>
          <w:szCs w:val="20"/>
        </w:rPr>
        <w:t>•69 percent was</w:t>
      </w:r>
      <w:r>
        <w:rPr>
          <w:rFonts w:eastAsia="Times New Roman"/>
          <w:color w:val="000000"/>
          <w:sz w:val="20"/>
          <w:szCs w:val="20"/>
        </w:rPr>
        <w:t xml:space="preserve"> derived from sales to U.S. Government customers, including foreign military sales funded through the U.S. Government, whether directly or through prime contractors;</w:t>
      </w:r>
    </w:p>
    <w:p w14:paraId="38514A4D" w14:textId="77777777" w:rsidR="00000000" w:rsidRDefault="001A570A">
      <w:pPr>
        <w:ind w:hanging="360"/>
        <w:divId w:val="1420635593"/>
        <w:rPr>
          <w:rFonts w:eastAsia="Times New Roman"/>
        </w:rPr>
      </w:pPr>
      <w:r>
        <w:rPr>
          <w:rFonts w:eastAsia="Times New Roman"/>
          <w:color w:val="000000"/>
          <w:sz w:val="20"/>
          <w:szCs w:val="20"/>
        </w:rPr>
        <w:t>•70 percent was derived from contracts under which we are the prime contractor; and</w:t>
      </w:r>
    </w:p>
    <w:p w14:paraId="219C4A76" w14:textId="77777777" w:rsidR="00000000" w:rsidRDefault="001A570A">
      <w:pPr>
        <w:ind w:hanging="360"/>
        <w:divId w:val="499196739"/>
        <w:rPr>
          <w:rFonts w:eastAsia="Times New Roman"/>
        </w:rPr>
      </w:pPr>
      <w:r>
        <w:rPr>
          <w:rFonts w:eastAsia="Times New Roman"/>
          <w:color w:val="000000"/>
          <w:sz w:val="20"/>
          <w:szCs w:val="20"/>
        </w:rPr>
        <w:t>•28 pe</w:t>
      </w:r>
      <w:r>
        <w:rPr>
          <w:rFonts w:eastAsia="Times New Roman"/>
          <w:color w:val="000000"/>
          <w:sz w:val="20"/>
          <w:szCs w:val="20"/>
        </w:rPr>
        <w:t>rcent was derived from products and services for which the end consumer is located outside the U.S.</w:t>
      </w:r>
    </w:p>
    <w:p w14:paraId="03E14638" w14:textId="77777777" w:rsidR="00000000" w:rsidRDefault="001A570A">
      <w:pPr>
        <w:ind w:firstLine="450"/>
        <w:jc w:val="center"/>
        <w:divId w:val="1328941495"/>
        <w:rPr>
          <w:rFonts w:eastAsia="Times New Roman"/>
        </w:rPr>
      </w:pPr>
      <w:r>
        <w:rPr>
          <w:rFonts w:eastAsia="Times New Roman"/>
          <w:color w:val="000000"/>
          <w:sz w:val="20"/>
          <w:szCs w:val="20"/>
        </w:rPr>
        <w:t>4</w:t>
      </w:r>
    </w:p>
    <w:p w14:paraId="744F9268" w14:textId="77777777" w:rsidR="00000000" w:rsidRDefault="001A570A">
      <w:pPr>
        <w:rPr>
          <w:rFonts w:eastAsia="Times New Roman"/>
        </w:rPr>
      </w:pPr>
      <w:r>
        <w:rPr>
          <w:rFonts w:eastAsia="Times New Roman"/>
        </w:rPr>
        <w:pict w14:anchorId="374D9CCB">
          <v:rect id="_x0000_i1031" style="width:0;height:1.5pt" o:hralign="center" o:hrstd="t" o:hr="t" fillcolor="#a0a0a0" stroked="f"/>
        </w:pict>
      </w:r>
    </w:p>
    <w:p w14:paraId="2BB0853C" w14:textId="77777777" w:rsidR="00000000" w:rsidRDefault="001A570A">
      <w:pPr>
        <w:ind w:firstLine="450"/>
        <w:divId w:val="13504517"/>
        <w:rPr>
          <w:rFonts w:eastAsia="Times New Roman"/>
        </w:rPr>
      </w:pPr>
    </w:p>
    <w:p w14:paraId="2DF4268A" w14:textId="77777777" w:rsidR="00000000" w:rsidRDefault="001A570A">
      <w:pPr>
        <w:divId w:val="1944336214"/>
        <w:rPr>
          <w:rFonts w:eastAsia="Times New Roman"/>
        </w:rPr>
      </w:pPr>
      <w:r>
        <w:rPr>
          <w:rFonts w:eastAsia="Times New Roman"/>
          <w:b/>
          <w:bCs/>
          <w:i/>
          <w:iCs/>
          <w:color w:val="000000"/>
          <w:sz w:val="20"/>
          <w:szCs w:val="20"/>
        </w:rPr>
        <w:t>Aviation Systems</w:t>
      </w:r>
    </w:p>
    <w:p w14:paraId="0A774A83" w14:textId="77777777" w:rsidR="00000000" w:rsidRDefault="001A570A">
      <w:pPr>
        <w:ind w:firstLine="450"/>
        <w:divId w:val="2102409540"/>
        <w:rPr>
          <w:rFonts w:eastAsia="Times New Roman"/>
        </w:rPr>
      </w:pPr>
      <w:r>
        <w:rPr>
          <w:rFonts w:eastAsia="Times New Roman"/>
          <w:color w:val="000000"/>
          <w:sz w:val="20"/>
          <w:szCs w:val="20"/>
        </w:rPr>
        <w:t>Aviation Systems segment revenue of $3,448 million for fiscal 2020, represented 19 percent of our t</w:t>
      </w:r>
      <w:r>
        <w:rPr>
          <w:rFonts w:eastAsia="Times New Roman"/>
          <w:color w:val="000000"/>
          <w:sz w:val="20"/>
          <w:szCs w:val="20"/>
        </w:rPr>
        <w:t xml:space="preserve">otal revenue. This segment is comprised of four business sectors: Defense Aviation, Commercial Aviation Products, Commercial and Military Training and Mission Networks, the principal products and services of which are described below. </w:t>
      </w:r>
    </w:p>
    <w:p w14:paraId="1D7236EB" w14:textId="77777777" w:rsidR="00000000" w:rsidRDefault="001A570A">
      <w:pPr>
        <w:ind w:firstLine="450"/>
        <w:divId w:val="36636200"/>
        <w:rPr>
          <w:rFonts w:eastAsia="Times New Roman"/>
        </w:rPr>
      </w:pPr>
      <w:r>
        <w:rPr>
          <w:rFonts w:eastAsia="Times New Roman"/>
          <w:i/>
          <w:iCs/>
          <w:color w:val="000000"/>
          <w:sz w:val="20"/>
          <w:szCs w:val="20"/>
        </w:rPr>
        <w:t xml:space="preserve">Defense Aviation: </w:t>
      </w:r>
      <w:r>
        <w:rPr>
          <w:rFonts w:eastAsia="Times New Roman"/>
          <w:color w:val="000000"/>
          <w:sz w:val="20"/>
          <w:szCs w:val="20"/>
        </w:rPr>
        <w:t>We</w:t>
      </w:r>
      <w:r>
        <w:rPr>
          <w:rFonts w:eastAsia="Times New Roman"/>
          <w:color w:val="000000"/>
          <w:sz w:val="20"/>
          <w:szCs w:val="20"/>
        </w:rPr>
        <w:t xml:space="preserve"> provide precision engagement sensors and systems, small UAVs, antennas and arrays, radio frequency amplifiers and microwave electronic devices. In addition, this business sector provides combat vehicle engines, transmissions and GPS receivers for guided p</w:t>
      </w:r>
      <w:r>
        <w:rPr>
          <w:rFonts w:eastAsia="Times New Roman"/>
          <w:color w:val="000000"/>
          <w:sz w:val="20"/>
          <w:szCs w:val="20"/>
        </w:rPr>
        <w:t xml:space="preserve">rojectiles and precision munitions as well as navigation for fire control systems. Significant customers include U.S. defense and foreign military agencies. </w:t>
      </w:r>
    </w:p>
    <w:p w14:paraId="41B1991B" w14:textId="77777777" w:rsidR="00000000" w:rsidRDefault="001A570A">
      <w:pPr>
        <w:ind w:firstLine="450"/>
        <w:divId w:val="999847711"/>
        <w:rPr>
          <w:rFonts w:eastAsia="Times New Roman"/>
        </w:rPr>
      </w:pPr>
      <w:r>
        <w:rPr>
          <w:rFonts w:eastAsia="Times New Roman"/>
          <w:i/>
          <w:iCs/>
          <w:color w:val="000000"/>
          <w:sz w:val="20"/>
          <w:szCs w:val="20"/>
        </w:rPr>
        <w:t>Commercial Aviation Products:</w:t>
      </w:r>
      <w:r>
        <w:rPr>
          <w:rFonts w:eastAsia="Times New Roman"/>
          <w:color w:val="000000"/>
          <w:sz w:val="20"/>
          <w:szCs w:val="20"/>
        </w:rPr>
        <w:t xml:space="preserve"> We provide airborne avionics products, such as traffic collision avo</w:t>
      </w:r>
      <w:r>
        <w:rPr>
          <w:rFonts w:eastAsia="Times New Roman"/>
          <w:color w:val="000000"/>
          <w:sz w:val="20"/>
          <w:szCs w:val="20"/>
        </w:rPr>
        <w:t>idance and flight recorders. Significant customers include commercial airplane manufacturers, commercial airlines and automotive manufacturers.</w:t>
      </w:r>
    </w:p>
    <w:p w14:paraId="554B8270" w14:textId="77777777" w:rsidR="00000000" w:rsidRDefault="001A570A">
      <w:pPr>
        <w:ind w:firstLine="450"/>
        <w:divId w:val="133330202"/>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 Notes, on May </w:t>
      </w:r>
      <w:r>
        <w:rPr>
          <w:rFonts w:eastAsia="Times New Roman"/>
          <w:color w:val="000000"/>
          <w:sz w:val="20"/>
          <w:szCs w:val="20"/>
        </w:rPr>
        <w:t>4, 2020, as part of our ongoing process to reshape our business portfolio to focus on technology-differentiated, high-margin businesses, we completed the divestiture of our airport security and automation business.</w:t>
      </w:r>
    </w:p>
    <w:p w14:paraId="4CD7F687" w14:textId="77777777" w:rsidR="00000000" w:rsidRDefault="001A570A">
      <w:pPr>
        <w:ind w:firstLine="450"/>
        <w:divId w:val="583997694"/>
        <w:rPr>
          <w:rFonts w:eastAsia="Times New Roman"/>
        </w:rPr>
      </w:pPr>
      <w:r>
        <w:rPr>
          <w:rFonts w:eastAsia="Times New Roman"/>
          <w:i/>
          <w:iCs/>
          <w:color w:val="000000"/>
          <w:sz w:val="20"/>
          <w:szCs w:val="20"/>
        </w:rPr>
        <w:t>Commercial and Military Training:</w:t>
      </w:r>
      <w:r>
        <w:rPr>
          <w:rFonts w:eastAsia="Times New Roman"/>
          <w:color w:val="000000"/>
          <w:sz w:val="20"/>
          <w:szCs w:val="20"/>
        </w:rPr>
        <w:t xml:space="preserve"> We deve</w:t>
      </w:r>
      <w:r>
        <w:rPr>
          <w:rFonts w:eastAsia="Times New Roman"/>
          <w:color w:val="000000"/>
          <w:sz w:val="20"/>
          <w:szCs w:val="20"/>
        </w:rPr>
        <w:t xml:space="preserve">lop, install and maintain flight simulators and training systems that are customized to military and commercial aircraft. We also provide commercial and military pilot training services, including airline training for licensed pilots, academy programs for </w:t>
      </w:r>
      <w:r>
        <w:rPr>
          <w:rFonts w:eastAsia="Times New Roman"/>
          <w:color w:val="000000"/>
          <w:sz w:val="20"/>
          <w:szCs w:val="20"/>
        </w:rPr>
        <w:t>new cadets and flight school training for military pilots. Significant customers include commercial airlines, aircraft manufacturers, DoD and foreign military agencies.</w:t>
      </w:r>
    </w:p>
    <w:p w14:paraId="14196BD7" w14:textId="77777777" w:rsidR="00000000" w:rsidRDefault="001A570A">
      <w:pPr>
        <w:ind w:firstLine="360"/>
        <w:divId w:val="1709640965"/>
        <w:rPr>
          <w:rFonts w:eastAsia="Times New Roman"/>
        </w:rPr>
      </w:pPr>
      <w:r>
        <w:rPr>
          <w:rFonts w:eastAsia="Times New Roman"/>
          <w:i/>
          <w:iCs/>
          <w:color w:val="000000"/>
          <w:sz w:val="20"/>
          <w:szCs w:val="20"/>
        </w:rPr>
        <w:t xml:space="preserve">Mission Networks: </w:t>
      </w:r>
      <w:r>
        <w:rPr>
          <w:rFonts w:eastAsia="Times New Roman"/>
          <w:color w:val="000000"/>
          <w:sz w:val="20"/>
          <w:szCs w:val="20"/>
        </w:rPr>
        <w:t>We provide mission-critical infrastructure communications and network</w:t>
      </w:r>
      <w:r>
        <w:rPr>
          <w:rFonts w:eastAsia="Times New Roman"/>
          <w:color w:val="000000"/>
          <w:sz w:val="20"/>
          <w:szCs w:val="20"/>
        </w:rPr>
        <w:t>ing solutions for air traffic management for the U.S. Federal Aviation Administration (“FAA”) and international airspace national service providers. We are the prime contractor and system architect for the FAA Telecommunications Infrastructure (“FTI”) prog</w:t>
      </w:r>
      <w:r>
        <w:rPr>
          <w:rFonts w:eastAsia="Times New Roman"/>
          <w:color w:val="000000"/>
          <w:sz w:val="20"/>
          <w:szCs w:val="20"/>
        </w:rPr>
        <w:t xml:space="preserve">ram and several major FAA Next Generation Air Transportation System (“NextGen”) programs to transform and upgrade the National Airspace System (“NAS”), including the Automatic Dependent Surveillance-Broadcast (“ADS-B”) program. </w:t>
      </w:r>
    </w:p>
    <w:p w14:paraId="2E4AE5EE" w14:textId="77777777" w:rsidR="00000000" w:rsidRDefault="001A570A">
      <w:pPr>
        <w:ind w:firstLine="450"/>
        <w:divId w:val="14120001"/>
        <w:rPr>
          <w:rFonts w:eastAsia="Times New Roman"/>
        </w:rPr>
      </w:pPr>
      <w:r>
        <w:rPr>
          <w:rFonts w:eastAsia="Times New Roman"/>
          <w:color w:val="000000"/>
          <w:sz w:val="20"/>
          <w:szCs w:val="20"/>
        </w:rPr>
        <w:t>Additional information rega</w:t>
      </w:r>
      <w:r>
        <w:rPr>
          <w:rFonts w:eastAsia="Times New Roman"/>
          <w:color w:val="000000"/>
          <w:sz w:val="20"/>
          <w:szCs w:val="20"/>
        </w:rPr>
        <w:t>rding the composition of Aviation Systems revenue for fiscal 2020 is as follows:</w:t>
      </w:r>
    </w:p>
    <w:p w14:paraId="0A63B89A" w14:textId="77777777" w:rsidR="00000000" w:rsidRDefault="001A570A">
      <w:pPr>
        <w:ind w:hanging="360"/>
        <w:divId w:val="472984511"/>
        <w:rPr>
          <w:rFonts w:eastAsia="Times New Roman"/>
        </w:rPr>
      </w:pPr>
      <w:r>
        <w:rPr>
          <w:rFonts w:eastAsia="Times New Roman"/>
          <w:color w:val="000000"/>
          <w:sz w:val="20"/>
          <w:szCs w:val="20"/>
        </w:rPr>
        <w:t>•71 percent was derived from sales to U.S. Government customers, including foreign military sales funded through the U.S. Government, whether directly or through prime contrac</w:t>
      </w:r>
      <w:r>
        <w:rPr>
          <w:rFonts w:eastAsia="Times New Roman"/>
          <w:color w:val="000000"/>
          <w:sz w:val="20"/>
          <w:szCs w:val="20"/>
        </w:rPr>
        <w:t>tors;</w:t>
      </w:r>
    </w:p>
    <w:p w14:paraId="2EAD96F5" w14:textId="77777777" w:rsidR="00000000" w:rsidRDefault="001A570A">
      <w:pPr>
        <w:ind w:hanging="360"/>
        <w:divId w:val="1303995750"/>
        <w:rPr>
          <w:rFonts w:eastAsia="Times New Roman"/>
        </w:rPr>
      </w:pPr>
      <w:r>
        <w:rPr>
          <w:rFonts w:eastAsia="Times New Roman"/>
          <w:color w:val="000000"/>
          <w:sz w:val="20"/>
          <w:szCs w:val="20"/>
        </w:rPr>
        <w:t>•65 percent was derived from contracts under which we are the prime contractor; and</w:t>
      </w:r>
    </w:p>
    <w:p w14:paraId="5484F285" w14:textId="77777777" w:rsidR="00000000" w:rsidRDefault="001A570A">
      <w:pPr>
        <w:ind w:hanging="360"/>
        <w:divId w:val="618997416"/>
        <w:rPr>
          <w:rFonts w:eastAsia="Times New Roman"/>
        </w:rPr>
      </w:pPr>
      <w:r>
        <w:rPr>
          <w:rFonts w:eastAsia="Times New Roman"/>
          <w:color w:val="000000"/>
          <w:sz w:val="20"/>
          <w:szCs w:val="20"/>
        </w:rPr>
        <w:t xml:space="preserve">•18 percent was </w:t>
      </w:r>
      <w:r>
        <w:rPr>
          <w:rFonts w:eastAsia="Times New Roman"/>
          <w:color w:val="000000"/>
          <w:sz w:val="20"/>
          <w:szCs w:val="20"/>
        </w:rPr>
        <w:t>derived from products and services for which the end consumer is located outside the U.S.</w:t>
      </w:r>
    </w:p>
    <w:p w14:paraId="0B58B708" w14:textId="77777777" w:rsidR="00000000" w:rsidRDefault="001A570A">
      <w:pPr>
        <w:divId w:val="233055976"/>
        <w:rPr>
          <w:rFonts w:eastAsia="Times New Roman"/>
        </w:rPr>
      </w:pPr>
      <w:r>
        <w:rPr>
          <w:rFonts w:eastAsia="Times New Roman"/>
          <w:b/>
          <w:bCs/>
          <w:color w:val="000000"/>
          <w:sz w:val="20"/>
          <w:szCs w:val="20"/>
        </w:rPr>
        <w:t>International Business</w:t>
      </w:r>
    </w:p>
    <w:p w14:paraId="657251CC" w14:textId="77777777" w:rsidR="00000000" w:rsidRDefault="001A570A">
      <w:pPr>
        <w:ind w:firstLine="450"/>
        <w:divId w:val="341708931"/>
        <w:rPr>
          <w:rFonts w:eastAsia="Times New Roman"/>
        </w:rPr>
      </w:pPr>
      <w:r>
        <w:rPr>
          <w:rFonts w:eastAsia="Times New Roman"/>
          <w:color w:val="000000"/>
          <w:sz w:val="20"/>
          <w:szCs w:val="20"/>
        </w:rPr>
        <w:t>Revenue from products and services where the end consumer is located outside the U.S., including foreign military sales through the U.S. Govern</w:t>
      </w:r>
      <w:r>
        <w:rPr>
          <w:rFonts w:eastAsia="Times New Roman"/>
          <w:color w:val="000000"/>
          <w:sz w:val="20"/>
          <w:szCs w:val="20"/>
        </w:rPr>
        <w:t xml:space="preserve">ment, was $3.7 billion (20 percent of our revenue), $2.0 billion (21 percent of our revenue), $1.5 billion (22 percent of our revenue) and $1.4 billion (23 percent of our revenue) in fiscal 2020, the two quarters ended January 3, 2020, and fiscal 2019 and </w:t>
      </w:r>
      <w:r>
        <w:rPr>
          <w:rFonts w:eastAsia="Times New Roman"/>
          <w:color w:val="000000"/>
          <w:sz w:val="20"/>
          <w:szCs w:val="20"/>
        </w:rPr>
        <w:t>2018, respectively. Direct export sales are primarily denominated in U.S. Dollars, whereas sales from foreign subsidiaries are generally denominated in the local currency of the subsidiary. For financial information regarding our domestic and international</w:t>
      </w:r>
      <w:r>
        <w:rPr>
          <w:rFonts w:eastAsia="Times New Roman"/>
          <w:color w:val="000000"/>
          <w:sz w:val="20"/>
          <w:szCs w:val="20"/>
        </w:rPr>
        <w:t xml:space="preserve"> operations, including long-lived assets, see </w:t>
      </w:r>
      <w:r>
        <w:rPr>
          <w:rFonts w:eastAsia="Times New Roman"/>
          <w:i/>
          <w:iCs/>
          <w:color w:val="000000"/>
          <w:sz w:val="20"/>
          <w:szCs w:val="20"/>
        </w:rPr>
        <w:t>Note 25: Business Segments</w:t>
      </w:r>
      <w:r>
        <w:rPr>
          <w:rFonts w:eastAsia="Times New Roman"/>
          <w:color w:val="000000"/>
          <w:sz w:val="20"/>
          <w:szCs w:val="20"/>
        </w:rPr>
        <w:t xml:space="preserve"> in the Notes.</w:t>
      </w:r>
    </w:p>
    <w:p w14:paraId="6DB8D92C" w14:textId="77777777" w:rsidR="00000000" w:rsidRDefault="001A570A">
      <w:pPr>
        <w:ind w:firstLine="450"/>
        <w:divId w:val="273288458"/>
        <w:rPr>
          <w:rFonts w:eastAsia="Times New Roman"/>
        </w:rPr>
      </w:pPr>
      <w:r>
        <w:rPr>
          <w:rFonts w:eastAsia="Times New Roman"/>
          <w:color w:val="000000"/>
          <w:sz w:val="20"/>
          <w:szCs w:val="20"/>
        </w:rPr>
        <w:t>The majority of our international marketing activities are conducted through subsidiaries that operate in the EMEA (Europe, Middle East and Africa) and APAC (Asia-Pacifi</w:t>
      </w:r>
      <w:r>
        <w:rPr>
          <w:rFonts w:eastAsia="Times New Roman"/>
          <w:color w:val="000000"/>
          <w:sz w:val="20"/>
          <w:szCs w:val="20"/>
        </w:rPr>
        <w:t>c) regions and Canada. We also have established international marketing organizations and several regional sales offices. For further information regarding our international subsidiaries, see Exhibit 21 of this Report.</w:t>
      </w:r>
    </w:p>
    <w:p w14:paraId="6770538F" w14:textId="77777777" w:rsidR="00000000" w:rsidRDefault="001A570A">
      <w:pPr>
        <w:ind w:firstLine="450"/>
        <w:divId w:val="1184245731"/>
        <w:rPr>
          <w:rFonts w:eastAsia="Times New Roman"/>
        </w:rPr>
      </w:pPr>
      <w:r>
        <w:rPr>
          <w:rFonts w:eastAsia="Times New Roman"/>
          <w:color w:val="000000"/>
          <w:sz w:val="20"/>
          <w:szCs w:val="20"/>
        </w:rPr>
        <w:t>International revenue for fiscal 2020</w:t>
      </w:r>
      <w:r>
        <w:rPr>
          <w:rFonts w:eastAsia="Times New Roman"/>
          <w:color w:val="000000"/>
          <w:sz w:val="20"/>
          <w:szCs w:val="20"/>
        </w:rPr>
        <w:t xml:space="preserve"> came from a large number of countries, and no single foreign country accounted for more than 5 percent of our total revenue. Some of our exports are paid for by letters of credit, with the balance carried on an open account. Advance payments, progress pay</w:t>
      </w:r>
      <w:r>
        <w:rPr>
          <w:rFonts w:eastAsia="Times New Roman"/>
          <w:color w:val="000000"/>
          <w:sz w:val="20"/>
          <w:szCs w:val="20"/>
        </w:rPr>
        <w:t>ments or other similar payments received prior to or upon shipment often cover most of the related costs incurred. Significant foreign government contracts generally require us to provide performance guarantees. In order to remain competitive in internatio</w:t>
      </w:r>
      <w:r>
        <w:rPr>
          <w:rFonts w:eastAsia="Times New Roman"/>
          <w:color w:val="000000"/>
          <w:sz w:val="20"/>
          <w:szCs w:val="20"/>
        </w:rPr>
        <w:t>nal markets, we also enter into offset agreements or recourse or vendor financing arrangements to facilitate sales to certain customers.</w:t>
      </w:r>
    </w:p>
    <w:p w14:paraId="5B42886A" w14:textId="77777777" w:rsidR="00000000" w:rsidRDefault="001A570A">
      <w:pPr>
        <w:ind w:firstLine="450"/>
        <w:divId w:val="1002394696"/>
        <w:rPr>
          <w:rFonts w:eastAsia="Times New Roman"/>
        </w:rPr>
      </w:pPr>
      <w:r>
        <w:rPr>
          <w:rFonts w:eastAsia="Times New Roman"/>
          <w:color w:val="000000"/>
          <w:sz w:val="20"/>
          <w:szCs w:val="20"/>
        </w:rPr>
        <w:t>We utilize indirect sales channels, including dealers, distributors and sales representatives, in the marketing and sale of some lines of products and equipment, both domestically and internationally. These independent representatives may buy for resale or</w:t>
      </w:r>
      <w:r>
        <w:rPr>
          <w:rFonts w:eastAsia="Times New Roman"/>
          <w:color w:val="000000"/>
          <w:sz w:val="20"/>
          <w:szCs w:val="20"/>
        </w:rPr>
        <w:t>, in some cases, solicit orders from commercial or government customers for direct sales by us. Prices to the ultimate customer in many instances may be recommended or established by the independent representative and may be above or below our list prices.</w:t>
      </w:r>
      <w:r>
        <w:rPr>
          <w:rFonts w:eastAsia="Times New Roman"/>
          <w:color w:val="000000"/>
          <w:sz w:val="20"/>
          <w:szCs w:val="20"/>
        </w:rPr>
        <w:t xml:space="preserve"> Our dealers and distributors generally receive a discount from our list prices and may mark up those prices in setting the final sales prices paid by the customer. </w:t>
      </w:r>
    </w:p>
    <w:p w14:paraId="227820D4" w14:textId="77777777" w:rsidR="00000000" w:rsidRDefault="001A570A">
      <w:pPr>
        <w:ind w:firstLine="450"/>
        <w:divId w:val="1635408301"/>
        <w:rPr>
          <w:rFonts w:eastAsia="Times New Roman"/>
        </w:rPr>
      </w:pPr>
      <w:r>
        <w:rPr>
          <w:rFonts w:eastAsia="Times New Roman"/>
          <w:color w:val="000000"/>
          <w:sz w:val="20"/>
          <w:szCs w:val="20"/>
        </w:rPr>
        <w:t>The particular economic, social and political conditions for business conducted outside th</w:t>
      </w:r>
      <w:r>
        <w:rPr>
          <w:rFonts w:eastAsia="Times New Roman"/>
          <w:color w:val="000000"/>
          <w:sz w:val="20"/>
          <w:szCs w:val="20"/>
        </w:rPr>
        <w:t>e U.S. differ from those encountered by businesses in the U.S. We believe that the overall business risk for our international business as a whole is somewhat greater than that faced by our domestic businesses as a whole. A description of the types of risk</w:t>
      </w:r>
      <w:r>
        <w:rPr>
          <w:rFonts w:eastAsia="Times New Roman"/>
          <w:color w:val="000000"/>
          <w:sz w:val="20"/>
          <w:szCs w:val="20"/>
        </w:rPr>
        <w:t xml:space="preserve">s to which we are </w:t>
      </w:r>
    </w:p>
    <w:p w14:paraId="75902214" w14:textId="77777777" w:rsidR="00000000" w:rsidRDefault="001A570A">
      <w:pPr>
        <w:ind w:firstLine="450"/>
        <w:jc w:val="center"/>
        <w:divId w:val="1979678239"/>
        <w:rPr>
          <w:rFonts w:eastAsia="Times New Roman"/>
        </w:rPr>
      </w:pPr>
      <w:r>
        <w:rPr>
          <w:rFonts w:eastAsia="Times New Roman"/>
          <w:color w:val="000000"/>
          <w:sz w:val="20"/>
          <w:szCs w:val="20"/>
        </w:rPr>
        <w:t>5</w:t>
      </w:r>
    </w:p>
    <w:p w14:paraId="35785AE4" w14:textId="77777777" w:rsidR="00000000" w:rsidRDefault="001A570A">
      <w:pPr>
        <w:rPr>
          <w:rFonts w:eastAsia="Times New Roman"/>
        </w:rPr>
      </w:pPr>
      <w:r>
        <w:rPr>
          <w:rFonts w:eastAsia="Times New Roman"/>
        </w:rPr>
        <w:pict w14:anchorId="3784F40F">
          <v:rect id="_x0000_i1032" style="width:0;height:1.5pt" o:hralign="center" o:hrstd="t" o:hr="t" fillcolor="#a0a0a0" stroked="f"/>
        </w:pict>
      </w:r>
    </w:p>
    <w:p w14:paraId="6543BFF5" w14:textId="77777777" w:rsidR="00000000" w:rsidRDefault="001A570A">
      <w:pPr>
        <w:ind w:firstLine="450"/>
        <w:divId w:val="640767258"/>
        <w:rPr>
          <w:rFonts w:eastAsia="Times New Roman"/>
        </w:rPr>
      </w:pPr>
    </w:p>
    <w:p w14:paraId="7327FFC1" w14:textId="77777777" w:rsidR="00000000" w:rsidRDefault="001A570A">
      <w:pPr>
        <w:divId w:val="1833255710"/>
        <w:rPr>
          <w:rFonts w:eastAsia="Times New Roman"/>
        </w:rPr>
      </w:pPr>
      <w:r>
        <w:rPr>
          <w:rFonts w:eastAsia="Times New Roman"/>
          <w:color w:val="000000"/>
          <w:sz w:val="20"/>
          <w:szCs w:val="20"/>
        </w:rPr>
        <w:t>subject in our international business is contained in “Item 1A. Risk Factors” of this Report. In our opinion, these risks are partially mitigated by the diversification of our international busine</w:t>
      </w:r>
      <w:r>
        <w:rPr>
          <w:rFonts w:eastAsia="Times New Roman"/>
          <w:color w:val="000000"/>
          <w:sz w:val="20"/>
          <w:szCs w:val="20"/>
        </w:rPr>
        <w:t>ss and the protection provided by letters of credit and advance payments, progress payments and other similar payments.</w:t>
      </w:r>
    </w:p>
    <w:p w14:paraId="608B8293" w14:textId="77777777" w:rsidR="00000000" w:rsidRDefault="001A570A">
      <w:pPr>
        <w:divId w:val="18746055"/>
        <w:rPr>
          <w:rFonts w:eastAsia="Times New Roman"/>
        </w:rPr>
      </w:pPr>
      <w:r>
        <w:rPr>
          <w:rFonts w:eastAsia="Times New Roman"/>
          <w:b/>
          <w:bCs/>
          <w:color w:val="000000"/>
          <w:sz w:val="20"/>
          <w:szCs w:val="20"/>
        </w:rPr>
        <w:t>Competitive Conditions and Trends in Market Demand</w:t>
      </w:r>
    </w:p>
    <w:p w14:paraId="631D3E28" w14:textId="77777777" w:rsidR="00000000" w:rsidRDefault="001A570A">
      <w:pPr>
        <w:ind w:firstLine="450"/>
        <w:divId w:val="145587889"/>
        <w:rPr>
          <w:rFonts w:eastAsia="Times New Roman"/>
        </w:rPr>
      </w:pPr>
      <w:r>
        <w:rPr>
          <w:rFonts w:eastAsia="Times New Roman"/>
          <w:color w:val="000000"/>
          <w:sz w:val="20"/>
          <w:szCs w:val="20"/>
        </w:rPr>
        <w:t>We operate in highly competitive markets that are sensitive to technological advances</w:t>
      </w:r>
      <w:r>
        <w:rPr>
          <w:rFonts w:eastAsia="Times New Roman"/>
          <w:color w:val="000000"/>
          <w:sz w:val="20"/>
          <w:szCs w:val="20"/>
        </w:rPr>
        <w:t>. Some of our competitors in each of our markets are larger than we are and can maintain higher levels of expenditures for research and development. In each of our markets, we concentrate on the opportunities that we believe are compatible with our resourc</w:t>
      </w:r>
      <w:r>
        <w:rPr>
          <w:rFonts w:eastAsia="Times New Roman"/>
          <w:color w:val="000000"/>
          <w:sz w:val="20"/>
          <w:szCs w:val="20"/>
        </w:rPr>
        <w:t>es, overall technological capabilities and objectives. Principal competitive factors in these markets are product quality and reliability; technological capabilities, including reliable, resilient and innovative cyber capabilities; service; past performanc</w:t>
      </w:r>
      <w:r>
        <w:rPr>
          <w:rFonts w:eastAsia="Times New Roman"/>
          <w:color w:val="000000"/>
          <w:sz w:val="20"/>
          <w:szCs w:val="20"/>
        </w:rPr>
        <w:t>e; ability to develop and implement complex, integrated solutions; ability to meet delivery schedules; the effectiveness of third-party sales channels in international markets; and cost-effectiveness. We frequently “partner” or are involved in subcontracti</w:t>
      </w:r>
      <w:r>
        <w:rPr>
          <w:rFonts w:eastAsia="Times New Roman"/>
          <w:color w:val="000000"/>
          <w:sz w:val="20"/>
          <w:szCs w:val="20"/>
        </w:rPr>
        <w:t xml:space="preserve">ng and teaming relationships with companies that are, from time to time, competitors on other programs. We compete domestically and internationally against large aerospace and defense companies; principally, BAE Systems, Boeing, General Dynamics, Lockheed </w:t>
      </w:r>
      <w:r>
        <w:rPr>
          <w:rFonts w:eastAsia="Times New Roman"/>
          <w:color w:val="000000"/>
          <w:sz w:val="20"/>
          <w:szCs w:val="20"/>
        </w:rPr>
        <w:t xml:space="preserve">Martin, Northrop Grumman, Raytheon Technologies and Thales; and, increasingly, non-traditional defense contractors. </w:t>
      </w:r>
    </w:p>
    <w:p w14:paraId="73E66EED" w14:textId="77777777" w:rsidR="00000000" w:rsidRDefault="001A570A">
      <w:pPr>
        <w:ind w:firstLine="450"/>
        <w:divId w:val="1744402972"/>
        <w:rPr>
          <w:rFonts w:eastAsia="Times New Roman"/>
        </w:rPr>
      </w:pPr>
      <w:r>
        <w:rPr>
          <w:rFonts w:eastAsia="Times New Roman"/>
          <w:color w:val="000000"/>
          <w:sz w:val="20"/>
          <w:szCs w:val="20"/>
        </w:rPr>
        <w:t xml:space="preserve">For further discussion of trends in market demand, see “Item 7. Management’s Discussion and Analysis of Financial Condition and Results of </w:t>
      </w:r>
      <w:r>
        <w:rPr>
          <w:rFonts w:eastAsia="Times New Roman"/>
          <w:color w:val="000000"/>
          <w:sz w:val="20"/>
          <w:szCs w:val="20"/>
        </w:rPr>
        <w:t xml:space="preserve">Operations” of this Report. </w:t>
      </w:r>
    </w:p>
    <w:p w14:paraId="6A3A779A" w14:textId="77777777" w:rsidR="00000000" w:rsidRDefault="001A570A">
      <w:pPr>
        <w:divId w:val="614409545"/>
        <w:rPr>
          <w:rFonts w:eastAsia="Times New Roman"/>
        </w:rPr>
      </w:pPr>
      <w:r>
        <w:rPr>
          <w:rFonts w:eastAsia="Times New Roman"/>
          <w:b/>
          <w:bCs/>
          <w:color w:val="000000"/>
          <w:sz w:val="20"/>
          <w:szCs w:val="20"/>
        </w:rPr>
        <w:t>Principal Customers; Government Contracts</w:t>
      </w:r>
    </w:p>
    <w:p w14:paraId="600B3260" w14:textId="77777777" w:rsidR="00000000" w:rsidRDefault="001A570A">
      <w:pPr>
        <w:ind w:firstLine="450"/>
        <w:divId w:val="1839807536"/>
        <w:rPr>
          <w:rFonts w:eastAsia="Times New Roman"/>
        </w:rPr>
      </w:pPr>
      <w:r>
        <w:rPr>
          <w:rFonts w:eastAsia="Times New Roman"/>
          <w:color w:val="000000"/>
          <w:sz w:val="20"/>
          <w:szCs w:val="20"/>
        </w:rPr>
        <w:t xml:space="preserve">The percentage of our revenue that was derived from sales to U.S. Government customers, including foreign military sales funded through the U.S. Government, whether directly or through </w:t>
      </w:r>
      <w:r>
        <w:rPr>
          <w:rFonts w:eastAsia="Times New Roman"/>
          <w:color w:val="000000"/>
          <w:sz w:val="20"/>
          <w:szCs w:val="20"/>
        </w:rPr>
        <w:t>prime contractors, was 78 percent, 73 percent, 77 percent and 75 percent in fiscal 2020, the two quarters ended January 3, 2020, and fiscal 2019 and 2018, respectively. No other customer accounted for more than 5 percent of our revenue in fiscal 2020. Addi</w:t>
      </w:r>
      <w:r>
        <w:rPr>
          <w:rFonts w:eastAsia="Times New Roman"/>
          <w:color w:val="000000"/>
          <w:sz w:val="20"/>
          <w:szCs w:val="20"/>
        </w:rPr>
        <w:t>tional information regarding customers for each of our segments is provided under “Item 1. Business — Description of Business by Segment” of this Report. Our U.S. Government sales are predominantly derived from contracts with departments and agencies of, a</w:t>
      </w:r>
      <w:r>
        <w:rPr>
          <w:rFonts w:eastAsia="Times New Roman"/>
          <w:color w:val="000000"/>
          <w:sz w:val="20"/>
          <w:szCs w:val="20"/>
        </w:rPr>
        <w:t xml:space="preserve">nd prime contractors to, the U.S. Government. Most of the sales in our Space and Airborne Systems and Integrated Mission Systems segments are made directly or indirectly to the U.S. Government under contracts or subcontracts containing standard government </w:t>
      </w:r>
      <w:r>
        <w:rPr>
          <w:rFonts w:eastAsia="Times New Roman"/>
          <w:color w:val="000000"/>
          <w:sz w:val="20"/>
          <w:szCs w:val="20"/>
        </w:rPr>
        <w:t>contract clauses providing for redetermination of profits, if applicable, and for termination for the convenience of the U.S. Government or for default based on performance.</w:t>
      </w:r>
    </w:p>
    <w:p w14:paraId="28986824" w14:textId="77777777" w:rsidR="00000000" w:rsidRDefault="001A570A">
      <w:pPr>
        <w:ind w:firstLine="450"/>
        <w:divId w:val="403768661"/>
        <w:rPr>
          <w:rFonts w:eastAsia="Times New Roman"/>
        </w:rPr>
      </w:pPr>
      <w:r>
        <w:rPr>
          <w:rFonts w:eastAsia="Times New Roman"/>
          <w:color w:val="000000"/>
          <w:sz w:val="20"/>
          <w:szCs w:val="20"/>
        </w:rPr>
        <w:t xml:space="preserve">Our U.S. Government contracts and subcontracts include both cost-reimbursable and </w:t>
      </w:r>
      <w:r>
        <w:rPr>
          <w:rFonts w:eastAsia="Times New Roman"/>
          <w:color w:val="000000"/>
          <w:sz w:val="20"/>
          <w:szCs w:val="20"/>
        </w:rPr>
        <w:t>fixed-price contracts. Government-wide Acquisition Contracts (“GWACs”) and multi-vendor indefinite duration-indefinite quantity (“IDIQ”) contracts, which can include task orders for each contract type, require us to compete both for the initial contract an</w:t>
      </w:r>
      <w:r>
        <w:rPr>
          <w:rFonts w:eastAsia="Times New Roman"/>
          <w:color w:val="000000"/>
          <w:sz w:val="20"/>
          <w:szCs w:val="20"/>
        </w:rPr>
        <w:t>d then for individual task or delivery orders under such contracts.</w:t>
      </w:r>
    </w:p>
    <w:p w14:paraId="79DFE9B1" w14:textId="77777777" w:rsidR="00000000" w:rsidRDefault="001A570A">
      <w:pPr>
        <w:ind w:firstLine="450"/>
        <w:divId w:val="400913438"/>
        <w:rPr>
          <w:rFonts w:eastAsia="Times New Roman"/>
        </w:rPr>
      </w:pPr>
      <w:r>
        <w:rPr>
          <w:rFonts w:eastAsia="Times New Roman"/>
          <w:color w:val="000000"/>
          <w:sz w:val="20"/>
          <w:szCs w:val="20"/>
        </w:rPr>
        <w:t>Our U.S. Government cost-reimbursable contracts provide for the reimbursement of allowable costs plus payment of a fee and fall into three basic types: (i) cost-plus fixed-fee contracts, w</w:t>
      </w:r>
      <w:r>
        <w:rPr>
          <w:rFonts w:eastAsia="Times New Roman"/>
          <w:color w:val="000000"/>
          <w:sz w:val="20"/>
          <w:szCs w:val="20"/>
        </w:rPr>
        <w:t xml:space="preserve">hich provide for payment of a fixed fee irrespective of the final cost of performance; (ii) cost-plus incentive-fee contracts, which provide for payment of a fee that may increase or decrease, within specified limits, based on actual results compared with </w:t>
      </w:r>
      <w:r>
        <w:rPr>
          <w:rFonts w:eastAsia="Times New Roman"/>
          <w:color w:val="000000"/>
          <w:sz w:val="20"/>
          <w:szCs w:val="20"/>
        </w:rPr>
        <w:t>contractual targets relating to factors such as cost, performance and delivery schedule; and (iii) cost-plus award-fee contracts, which provide for payment of an award fee determined at the customer’s discretion based on our performance against pre-establi</w:t>
      </w:r>
      <w:r>
        <w:rPr>
          <w:rFonts w:eastAsia="Times New Roman"/>
          <w:color w:val="000000"/>
          <w:sz w:val="20"/>
          <w:szCs w:val="20"/>
        </w:rPr>
        <w:t>shed performance criteria. Under our U.S. Government cost-reimbursable contracts, we are reimbursed periodically for allowable costs and are paid a portion of the fee based on contract progress. Some overhead costs have been made partially or wholly unallo</w:t>
      </w:r>
      <w:r>
        <w:rPr>
          <w:rFonts w:eastAsia="Times New Roman"/>
          <w:color w:val="000000"/>
          <w:sz w:val="20"/>
          <w:szCs w:val="20"/>
        </w:rPr>
        <w:t>wable for reimbursement by statute or regulation. Examples include certain merger and acquisition costs, lobbying costs, charitable contributions, interest expense and certain litigation defense costs.</w:t>
      </w:r>
    </w:p>
    <w:p w14:paraId="1E15297B" w14:textId="77777777" w:rsidR="00000000" w:rsidRDefault="001A570A">
      <w:pPr>
        <w:ind w:firstLine="450"/>
        <w:divId w:val="1463689672"/>
        <w:rPr>
          <w:rFonts w:eastAsia="Times New Roman"/>
        </w:rPr>
      </w:pPr>
      <w:r>
        <w:rPr>
          <w:rFonts w:eastAsia="Times New Roman"/>
          <w:color w:val="000000"/>
          <w:sz w:val="20"/>
          <w:szCs w:val="20"/>
        </w:rPr>
        <w:t>Our U.S. Government fixed-price contracts are either f</w:t>
      </w:r>
      <w:r>
        <w:rPr>
          <w:rFonts w:eastAsia="Times New Roman"/>
          <w:color w:val="000000"/>
          <w:sz w:val="20"/>
          <w:szCs w:val="20"/>
        </w:rPr>
        <w:t>irm fixed-price contracts or fixed-price incentive contracts. Under our U.S. Government firm fixed-price contracts, we agree to perform a specific scope of work or sell a specific product for a fixed price and, as a result, benefit from cost savings and ca</w:t>
      </w:r>
      <w:r>
        <w:rPr>
          <w:rFonts w:eastAsia="Times New Roman"/>
          <w:color w:val="000000"/>
          <w:sz w:val="20"/>
          <w:szCs w:val="20"/>
        </w:rPr>
        <w:t>rry the burden of cost overruns. Under our U.S. Government fixed-price incentive contracts, we share with the U.S. Government both savings accrued for performance at less than target cost as well as costs incurred in excess of target cost up to a negotiate</w:t>
      </w:r>
      <w:r>
        <w:rPr>
          <w:rFonts w:eastAsia="Times New Roman"/>
          <w:color w:val="000000"/>
          <w:sz w:val="20"/>
          <w:szCs w:val="20"/>
        </w:rPr>
        <w:t>d ceiling price, which is higher than the target cost, but carry the entire burden of costs exceeding the negotiated ceiling price. Accordingly, under such incentive contracts, profit may also be adjusted up or down depending on whether specified performan</w:t>
      </w:r>
      <w:r>
        <w:rPr>
          <w:rFonts w:eastAsia="Times New Roman"/>
          <w:color w:val="000000"/>
          <w:sz w:val="20"/>
          <w:szCs w:val="20"/>
        </w:rPr>
        <w:t>ce objectives are met. Under our U.S. Government firm fixed-price and fixed-price incentive contracts, we generally receive from the U.S. Government either milestone payments totaling 100 percent of the contract price or monthly progress payments in amount</w:t>
      </w:r>
      <w:r>
        <w:rPr>
          <w:rFonts w:eastAsia="Times New Roman"/>
          <w:color w:val="000000"/>
          <w:sz w:val="20"/>
          <w:szCs w:val="20"/>
        </w:rPr>
        <w:t>s equaling 80 percent of costs incurred under the contract (however, in response to the novel COVID-19 strain of coronavirus pandemic (“COVID”), the U.S. Government has taken steps to increase the current rate for certain progress payments to 90 percent of</w:t>
      </w:r>
      <w:r>
        <w:rPr>
          <w:rFonts w:eastAsia="Times New Roman"/>
          <w:color w:val="000000"/>
          <w:sz w:val="20"/>
          <w:szCs w:val="20"/>
        </w:rPr>
        <w:t xml:space="preserve"> costs incurred under relevant contracts to enhance cash flow and liquidity for the defense industrial base). The remaining amounts, including profits or incentive fees, are billed upon delivery and final acceptance of end items and deliverables under the </w:t>
      </w:r>
      <w:r>
        <w:rPr>
          <w:rFonts w:eastAsia="Times New Roman"/>
          <w:color w:val="000000"/>
          <w:sz w:val="20"/>
          <w:szCs w:val="20"/>
        </w:rPr>
        <w:t xml:space="preserve">contract. Our production contracts are mainly fixed-price contracts, and development contracts are generally cost-reimbursable contracts. </w:t>
      </w:r>
    </w:p>
    <w:p w14:paraId="2CE52907" w14:textId="77777777" w:rsidR="00000000" w:rsidRDefault="001A570A">
      <w:pPr>
        <w:ind w:firstLine="450"/>
        <w:jc w:val="center"/>
        <w:divId w:val="312107740"/>
        <w:rPr>
          <w:rFonts w:eastAsia="Times New Roman"/>
        </w:rPr>
      </w:pPr>
      <w:r>
        <w:rPr>
          <w:rFonts w:eastAsia="Times New Roman"/>
          <w:color w:val="000000"/>
          <w:sz w:val="20"/>
          <w:szCs w:val="20"/>
        </w:rPr>
        <w:t>6</w:t>
      </w:r>
    </w:p>
    <w:p w14:paraId="6E63C71C" w14:textId="77777777" w:rsidR="00000000" w:rsidRDefault="001A570A">
      <w:pPr>
        <w:rPr>
          <w:rFonts w:eastAsia="Times New Roman"/>
        </w:rPr>
      </w:pPr>
      <w:r>
        <w:rPr>
          <w:rFonts w:eastAsia="Times New Roman"/>
        </w:rPr>
        <w:pict w14:anchorId="0293B4E6">
          <v:rect id="_x0000_i1033" style="width:0;height:1.5pt" o:hralign="center" o:hrstd="t" o:hr="t" fillcolor="#a0a0a0" stroked="f"/>
        </w:pict>
      </w:r>
    </w:p>
    <w:p w14:paraId="04DA67A6" w14:textId="77777777" w:rsidR="00000000" w:rsidRDefault="001A570A">
      <w:pPr>
        <w:ind w:firstLine="450"/>
        <w:divId w:val="895091232"/>
        <w:rPr>
          <w:rFonts w:eastAsia="Times New Roman"/>
        </w:rPr>
      </w:pPr>
    </w:p>
    <w:p w14:paraId="49C70320" w14:textId="77777777" w:rsidR="00000000" w:rsidRDefault="001A570A">
      <w:pPr>
        <w:ind w:firstLine="450"/>
        <w:divId w:val="1135179233"/>
        <w:rPr>
          <w:rFonts w:eastAsia="Times New Roman"/>
        </w:rPr>
      </w:pPr>
      <w:r>
        <w:rPr>
          <w:rFonts w:eastAsia="Times New Roman"/>
          <w:color w:val="000000"/>
          <w:sz w:val="20"/>
          <w:szCs w:val="20"/>
        </w:rPr>
        <w:t>As stated above, U.S. Government contracts are terminable for the convenienc</w:t>
      </w:r>
      <w:r>
        <w:rPr>
          <w:rFonts w:eastAsia="Times New Roman"/>
          <w:color w:val="000000"/>
          <w:sz w:val="20"/>
          <w:szCs w:val="20"/>
        </w:rPr>
        <w:t>e of the U.S. Government, as well as for default based on performance. Companies supplying goods and services to the U.S. Government are dependent on Congressional appropriations and administrative allotment of funds and may be affected by changes in U.S. </w:t>
      </w:r>
      <w:r>
        <w:rPr>
          <w:rFonts w:eastAsia="Times New Roman"/>
          <w:color w:val="000000"/>
          <w:sz w:val="20"/>
          <w:szCs w:val="20"/>
        </w:rPr>
        <w:t>Government policies resulting from various military, political, economic and international developments. Long-term U.S. Government contracts and related orders are subject to cancellation if appropriations for subsequent performance periods become unavaila</w:t>
      </w:r>
      <w:r>
        <w:rPr>
          <w:rFonts w:eastAsia="Times New Roman"/>
          <w:color w:val="000000"/>
          <w:sz w:val="20"/>
          <w:szCs w:val="20"/>
        </w:rPr>
        <w:t>ble. Under contracts terminable for the convenience of the U.S. Government, a contractor is entitled to receive payments for its allowable costs and, in general, the proportionate share of fees or earnings for the work done. Contracts that are terminable f</w:t>
      </w:r>
      <w:r>
        <w:rPr>
          <w:rFonts w:eastAsia="Times New Roman"/>
          <w:color w:val="000000"/>
          <w:sz w:val="20"/>
          <w:szCs w:val="20"/>
        </w:rPr>
        <w:t>or default generally provide that the U.S. Government pays only for the work it has accepted and may require the contractor to pay for the incremental cost of re-procurement and may hold the contractor liable for damages. In many cases, there is also uncer</w:t>
      </w:r>
      <w:r>
        <w:rPr>
          <w:rFonts w:eastAsia="Times New Roman"/>
          <w:color w:val="000000"/>
          <w:sz w:val="20"/>
          <w:szCs w:val="20"/>
        </w:rPr>
        <w:t>tainty relating to the complexity of designs, necessity for design improvements and difficulty in forecasting costs and schedules when bidding on developmental and highly sophisticated technical work. Under many U.S. Government contracts, we are required t</w:t>
      </w:r>
      <w:r>
        <w:rPr>
          <w:rFonts w:eastAsia="Times New Roman"/>
          <w:color w:val="000000"/>
          <w:sz w:val="20"/>
          <w:szCs w:val="20"/>
        </w:rPr>
        <w:t xml:space="preserve">o maintain facility and personnel security clearances complying with DoD and other Federal agency requirements. </w:t>
      </w:r>
    </w:p>
    <w:p w14:paraId="72CFC8D3" w14:textId="77777777" w:rsidR="00000000" w:rsidRDefault="001A570A">
      <w:pPr>
        <w:ind w:firstLine="450"/>
        <w:divId w:val="1685590391"/>
        <w:rPr>
          <w:rFonts w:eastAsia="Times New Roman"/>
        </w:rPr>
      </w:pPr>
      <w:r>
        <w:rPr>
          <w:rFonts w:eastAsia="Times New Roman"/>
          <w:color w:val="000000"/>
          <w:sz w:val="20"/>
          <w:szCs w:val="20"/>
        </w:rPr>
        <w:t>From time to time we may begin performance of a U.S. Government contract under an undefinitized contract action (“UCA”) with a not to exceed pr</w:t>
      </w:r>
      <w:r>
        <w:rPr>
          <w:rFonts w:eastAsia="Times New Roman"/>
          <w:color w:val="000000"/>
          <w:sz w:val="20"/>
          <w:szCs w:val="20"/>
        </w:rPr>
        <w:t>ice before the terms, specifications or price are finally agreed to between the parties. In these arrangements, the U.S. Government has the ability to unilaterally definitize the contract if a mutual agreement regarding terms, specifications and price cann</w:t>
      </w:r>
      <w:r>
        <w:rPr>
          <w:rFonts w:eastAsia="Times New Roman"/>
          <w:color w:val="000000"/>
          <w:sz w:val="20"/>
          <w:szCs w:val="20"/>
        </w:rPr>
        <w:t xml:space="preserve">ot be reached. </w:t>
      </w:r>
    </w:p>
    <w:p w14:paraId="28583D91" w14:textId="77777777" w:rsidR="00000000" w:rsidRDefault="001A570A">
      <w:pPr>
        <w:ind w:firstLine="450"/>
        <w:divId w:val="244534994"/>
        <w:rPr>
          <w:rFonts w:eastAsia="Times New Roman"/>
        </w:rPr>
      </w:pPr>
      <w:r>
        <w:rPr>
          <w:rFonts w:eastAsia="Times New Roman"/>
          <w:color w:val="000000"/>
          <w:sz w:val="20"/>
          <w:szCs w:val="20"/>
        </w:rPr>
        <w:t>The U.S. Government has increased its focus on procurement process improvement initiatives and has implemented certain changes in its procurement practices. These developments may change the way U.S. Government contracts are solicited, nego</w:t>
      </w:r>
      <w:r>
        <w:rPr>
          <w:rFonts w:eastAsia="Times New Roman"/>
          <w:color w:val="000000"/>
          <w:sz w:val="20"/>
          <w:szCs w:val="20"/>
        </w:rPr>
        <w:t>tiated and managed, which may affect whether and how we pursue opportunities to provide our products and services to the U.S. Government, including the terms and conditions under which we do so, which may have an adverse impact to our business, financial c</w:t>
      </w:r>
      <w:r>
        <w:rPr>
          <w:rFonts w:eastAsia="Times New Roman"/>
          <w:color w:val="000000"/>
          <w:sz w:val="20"/>
          <w:szCs w:val="20"/>
        </w:rPr>
        <w:t>ondition, results of operations, cash flows and equity. For example, contracts awarded under the DoD’s Other Transaction Authority for research and prototypes generally require cost-sharing and may not follow, or may follow only in part, standard U.S. Gove</w:t>
      </w:r>
      <w:r>
        <w:rPr>
          <w:rFonts w:eastAsia="Times New Roman"/>
          <w:color w:val="000000"/>
          <w:sz w:val="20"/>
          <w:szCs w:val="20"/>
        </w:rPr>
        <w:t>rnment contracting practices and terms, such as the Federal Acquisition Regulation (“FAR”) and Cost Accounting Standards.</w:t>
      </w:r>
    </w:p>
    <w:p w14:paraId="5C3EA157" w14:textId="77777777" w:rsidR="00000000" w:rsidRDefault="001A570A">
      <w:pPr>
        <w:ind w:firstLine="450"/>
        <w:divId w:val="1673289124"/>
        <w:rPr>
          <w:rFonts w:eastAsia="Times New Roman"/>
        </w:rPr>
      </w:pPr>
      <w:r>
        <w:rPr>
          <w:rFonts w:eastAsia="Times New Roman"/>
          <w:color w:val="000000"/>
          <w:sz w:val="20"/>
          <w:szCs w:val="20"/>
        </w:rPr>
        <w:t xml:space="preserve">For further discussion of risks relating to U.S. Government contracts, see “Item 1A. Risk Factors” and “Item 3. Legal Proceedings” of </w:t>
      </w:r>
      <w:r>
        <w:rPr>
          <w:rFonts w:eastAsia="Times New Roman"/>
          <w:color w:val="000000"/>
          <w:sz w:val="20"/>
          <w:szCs w:val="20"/>
        </w:rPr>
        <w:t>this Report.</w:t>
      </w:r>
      <w:r>
        <w:rPr>
          <w:rFonts w:eastAsia="Times New Roman"/>
          <w:b/>
          <w:bCs/>
          <w:i/>
          <w:iCs/>
          <w:color w:val="000000"/>
          <w:sz w:val="20"/>
          <w:szCs w:val="20"/>
        </w:rPr>
        <w:t xml:space="preserve"> </w:t>
      </w:r>
    </w:p>
    <w:p w14:paraId="69C07340" w14:textId="77777777" w:rsidR="00000000" w:rsidRDefault="001A570A">
      <w:pPr>
        <w:divId w:val="267080130"/>
        <w:rPr>
          <w:rFonts w:eastAsia="Times New Roman"/>
        </w:rPr>
      </w:pPr>
      <w:r>
        <w:rPr>
          <w:rFonts w:eastAsia="Times New Roman"/>
          <w:b/>
          <w:bCs/>
          <w:color w:val="000000"/>
          <w:sz w:val="20"/>
          <w:szCs w:val="20"/>
        </w:rPr>
        <w:t>Backlog</w:t>
      </w:r>
    </w:p>
    <w:p w14:paraId="171246A1" w14:textId="77777777" w:rsidR="00000000" w:rsidRDefault="001A570A">
      <w:pPr>
        <w:ind w:firstLine="450"/>
        <w:divId w:val="569853287"/>
        <w:rPr>
          <w:rFonts w:eastAsia="Times New Roman"/>
        </w:rPr>
      </w:pPr>
      <w:r>
        <w:rPr>
          <w:rFonts w:eastAsia="Times New Roman"/>
          <w:color w:val="000000"/>
          <w:sz w:val="20"/>
          <w:szCs w:val="20"/>
        </w:rPr>
        <w:t>Company-wide total backlog was $21.7 billion at January 1, 2021, of which $16.3 billion was funded backlog, compared with $20.6 billion at January </w:t>
      </w:r>
      <w:r>
        <w:rPr>
          <w:rFonts w:eastAsia="Times New Roman"/>
          <w:color w:val="000000"/>
          <w:sz w:val="20"/>
          <w:szCs w:val="20"/>
        </w:rPr>
        <w:t>3, 2020, of which $16.2 billion was funded backlog. Backlog at January 3, 2020 included $405 million associated with businesses divested in fiscal 2020, including $380 million of backlog associated with the airport security and automation business divested</w:t>
      </w:r>
      <w:r>
        <w:rPr>
          <w:rFonts w:eastAsia="Times New Roman"/>
          <w:color w:val="000000"/>
          <w:sz w:val="20"/>
          <w:szCs w:val="20"/>
        </w:rPr>
        <w:t xml:space="preserve"> during the quarter ended July 3, 2020. We expect to recognize approximately 54 percent of the revenue associated with Company-wide total backlog by the end of 2021 and approximately 85 percent of the revenue associated with Company-wide total backlog by t</w:t>
      </w:r>
      <w:r>
        <w:rPr>
          <w:rFonts w:eastAsia="Times New Roman"/>
          <w:color w:val="000000"/>
          <w:sz w:val="20"/>
          <w:szCs w:val="20"/>
        </w:rPr>
        <w:t>he end of 2023, with the remainder to be recognized thereafter. However, we can give no assurance of such fulfillment or that our backlog will become revenue in any particular period, if at all. Backlog is subject to delivery delays and program cancellatio</w:t>
      </w:r>
      <w:r>
        <w:rPr>
          <w:rFonts w:eastAsia="Times New Roman"/>
          <w:color w:val="000000"/>
          <w:sz w:val="20"/>
          <w:szCs w:val="20"/>
        </w:rPr>
        <w:t>ns, which are beyond our control.</w:t>
      </w:r>
    </w:p>
    <w:p w14:paraId="332C42F0" w14:textId="77777777" w:rsidR="00000000" w:rsidRDefault="001A570A">
      <w:pPr>
        <w:ind w:firstLine="450"/>
        <w:divId w:val="184288607"/>
        <w:rPr>
          <w:rFonts w:eastAsia="Times New Roman"/>
        </w:rPr>
      </w:pPr>
      <w:r>
        <w:rPr>
          <w:rFonts w:eastAsia="Times New Roman"/>
          <w:color w:val="000000"/>
          <w:sz w:val="20"/>
          <w:szCs w:val="20"/>
        </w:rPr>
        <w:t>We define funded backlog as unfilled firm orders for products and services for which funding has been authorized and, in the case of U.S. Government customers, appropriated.</w:t>
      </w:r>
      <w:r>
        <w:rPr>
          <w:rFonts w:eastAsia="Times New Roman"/>
          <w:b/>
          <w:bCs/>
          <w:color w:val="000000"/>
          <w:sz w:val="20"/>
          <w:szCs w:val="20"/>
        </w:rPr>
        <w:t xml:space="preserve"> </w:t>
      </w:r>
      <w:r>
        <w:rPr>
          <w:rFonts w:eastAsia="Times New Roman"/>
          <w:color w:val="000000"/>
          <w:sz w:val="20"/>
          <w:szCs w:val="20"/>
        </w:rPr>
        <w:t>The level of order activity related to U.S. Gove</w:t>
      </w:r>
      <w:r>
        <w:rPr>
          <w:rFonts w:eastAsia="Times New Roman"/>
          <w:color w:val="000000"/>
          <w:sz w:val="20"/>
          <w:szCs w:val="20"/>
        </w:rPr>
        <w:t xml:space="preserve">rnment programs can be affected by the timing of U.S. Government funding authorizations and project evaluation cycles. Year-over-year comparisons could, at times, be impacted by these factors, among others. </w:t>
      </w:r>
    </w:p>
    <w:p w14:paraId="4410D0B9" w14:textId="77777777" w:rsidR="00000000" w:rsidRDefault="001A570A">
      <w:pPr>
        <w:ind w:firstLine="450"/>
        <w:divId w:val="663357205"/>
        <w:rPr>
          <w:rFonts w:eastAsia="Times New Roman"/>
        </w:rPr>
      </w:pPr>
      <w:r>
        <w:rPr>
          <w:rFonts w:eastAsia="Times New Roman"/>
          <w:color w:val="000000"/>
          <w:sz w:val="20"/>
          <w:szCs w:val="20"/>
        </w:rPr>
        <w:t>We define unfunded backlog as unfilled firm orde</w:t>
      </w:r>
      <w:r>
        <w:rPr>
          <w:rFonts w:eastAsia="Times New Roman"/>
          <w:color w:val="000000"/>
          <w:sz w:val="20"/>
          <w:szCs w:val="20"/>
        </w:rPr>
        <w:t>rs for products and services for which funding has not been authorized and, in the case of U.S. Government customers, appropriated. The determination of the unfunded portion of total backlog involves substantial estimating, particularly with respect to cus</w:t>
      </w:r>
      <w:r>
        <w:rPr>
          <w:rFonts w:eastAsia="Times New Roman"/>
          <w:color w:val="000000"/>
          <w:sz w:val="20"/>
          <w:szCs w:val="20"/>
        </w:rPr>
        <w:t>tomer requirements contracts and development and production contracts of a cost-reimbursable or incentive nature. We do not include the value of unexercised contract options or potential orders under IDIQ contracts in our unfunded backlog.</w:t>
      </w:r>
    </w:p>
    <w:p w14:paraId="54241363" w14:textId="77777777" w:rsidR="00000000" w:rsidRDefault="001A570A">
      <w:pPr>
        <w:ind w:firstLine="450"/>
        <w:divId w:val="1011252985"/>
        <w:rPr>
          <w:rFonts w:eastAsia="Times New Roman"/>
        </w:rPr>
      </w:pPr>
      <w:r>
        <w:rPr>
          <w:rFonts w:eastAsia="Times New Roman"/>
          <w:color w:val="000000"/>
          <w:sz w:val="20"/>
          <w:szCs w:val="20"/>
        </w:rPr>
        <w:t>For backlog info</w:t>
      </w:r>
      <w:r>
        <w:rPr>
          <w:rFonts w:eastAsia="Times New Roman"/>
          <w:color w:val="000000"/>
          <w:sz w:val="20"/>
          <w:szCs w:val="20"/>
        </w:rPr>
        <w:t>rmation for each of our business segments, see “Item 7. Management’s Discussion and Analysis of Financial Condition and Results of Operations” of this Report.</w:t>
      </w:r>
    </w:p>
    <w:p w14:paraId="07089010" w14:textId="77777777" w:rsidR="00000000" w:rsidRDefault="001A570A">
      <w:pPr>
        <w:ind w:firstLine="450"/>
        <w:divId w:val="908735093"/>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24: Backlog </w:t>
      </w:r>
      <w:r>
        <w:rPr>
          <w:rFonts w:eastAsia="Times New Roman"/>
          <w:color w:val="000000"/>
          <w:sz w:val="20"/>
          <w:szCs w:val="20"/>
        </w:rPr>
        <w:t>in the Notes for additional information regarding Company-wide total backlog</w:t>
      </w:r>
      <w:r>
        <w:rPr>
          <w:rFonts w:eastAsia="Times New Roman"/>
          <w:color w:val="000000"/>
          <w:sz w:val="20"/>
          <w:szCs w:val="20"/>
        </w:rPr>
        <w:t xml:space="preserve">. </w:t>
      </w:r>
    </w:p>
    <w:p w14:paraId="6E8B7A25" w14:textId="77777777" w:rsidR="00000000" w:rsidRDefault="001A570A">
      <w:pPr>
        <w:divId w:val="1478571049"/>
        <w:rPr>
          <w:rFonts w:eastAsia="Times New Roman"/>
        </w:rPr>
      </w:pPr>
      <w:r>
        <w:rPr>
          <w:rFonts w:eastAsia="Times New Roman"/>
          <w:b/>
          <w:bCs/>
          <w:color w:val="000000"/>
          <w:sz w:val="20"/>
          <w:szCs w:val="20"/>
        </w:rPr>
        <w:t>Research and Development (“R&amp;D”)</w:t>
      </w:r>
    </w:p>
    <w:p w14:paraId="77D9D074" w14:textId="77777777" w:rsidR="00000000" w:rsidRDefault="001A570A">
      <w:pPr>
        <w:ind w:firstLine="450"/>
        <w:divId w:val="505560466"/>
        <w:rPr>
          <w:rFonts w:eastAsia="Times New Roman"/>
        </w:rPr>
      </w:pPr>
      <w:r>
        <w:rPr>
          <w:rFonts w:eastAsia="Times New Roman"/>
          <w:color w:val="000000"/>
          <w:sz w:val="20"/>
          <w:szCs w:val="20"/>
        </w:rPr>
        <w:t>Company-sponsored R&amp;D costs, which include R&amp;D for commercial products and services and independent R&amp;D related to government products and services, were $684 million, $329 million, $331 million and $311 million in fisca</w:t>
      </w:r>
      <w:r>
        <w:rPr>
          <w:rFonts w:eastAsia="Times New Roman"/>
          <w:color w:val="000000"/>
          <w:sz w:val="20"/>
          <w:szCs w:val="20"/>
        </w:rPr>
        <w:t>l 2020, in the two quarters ended January 3, 2020, and fiscal 2019 and 2018, respectively. A portion of our independent R&amp;D costs are allocated among contracts and programs in process under U.S. Government contractual arrangements. Company-sponsored R&amp;D co</w:t>
      </w:r>
      <w:r>
        <w:rPr>
          <w:rFonts w:eastAsia="Times New Roman"/>
          <w:color w:val="000000"/>
          <w:sz w:val="20"/>
          <w:szCs w:val="20"/>
        </w:rPr>
        <w:t xml:space="preserve">sts not </w:t>
      </w:r>
    </w:p>
    <w:p w14:paraId="7A1EEB72" w14:textId="77777777" w:rsidR="00000000" w:rsidRDefault="001A570A">
      <w:pPr>
        <w:ind w:firstLine="450"/>
        <w:jc w:val="center"/>
        <w:divId w:val="391660142"/>
        <w:rPr>
          <w:rFonts w:eastAsia="Times New Roman"/>
        </w:rPr>
      </w:pPr>
      <w:r>
        <w:rPr>
          <w:rFonts w:eastAsia="Times New Roman"/>
          <w:color w:val="000000"/>
          <w:sz w:val="20"/>
          <w:szCs w:val="20"/>
        </w:rPr>
        <w:t>7</w:t>
      </w:r>
    </w:p>
    <w:p w14:paraId="0F3B779E" w14:textId="77777777" w:rsidR="00000000" w:rsidRDefault="001A570A">
      <w:pPr>
        <w:rPr>
          <w:rFonts w:eastAsia="Times New Roman"/>
        </w:rPr>
      </w:pPr>
      <w:r>
        <w:rPr>
          <w:rFonts w:eastAsia="Times New Roman"/>
        </w:rPr>
        <w:pict w14:anchorId="778FA009">
          <v:rect id="_x0000_i1034" style="width:0;height:1.5pt" o:hralign="center" o:hrstd="t" o:hr="t" fillcolor="#a0a0a0" stroked="f"/>
        </w:pict>
      </w:r>
    </w:p>
    <w:p w14:paraId="77689DF8" w14:textId="77777777" w:rsidR="00000000" w:rsidRDefault="001A570A">
      <w:pPr>
        <w:ind w:firstLine="450"/>
        <w:divId w:val="703602210"/>
        <w:rPr>
          <w:rFonts w:eastAsia="Times New Roman"/>
        </w:rPr>
      </w:pPr>
    </w:p>
    <w:p w14:paraId="03812E6E" w14:textId="77777777" w:rsidR="00000000" w:rsidRDefault="001A570A">
      <w:pPr>
        <w:divId w:val="1006713952"/>
        <w:rPr>
          <w:rFonts w:eastAsia="Times New Roman"/>
        </w:rPr>
      </w:pPr>
      <w:r>
        <w:rPr>
          <w:rFonts w:eastAsia="Times New Roman"/>
          <w:color w:val="000000"/>
          <w:sz w:val="20"/>
          <w:szCs w:val="20"/>
        </w:rPr>
        <w:t xml:space="preserve">otherwise allocable are charged to expense when incurred. Company-sponsored research is directed to the development of new products and services and to building technological capability in various markets. </w:t>
      </w:r>
    </w:p>
    <w:p w14:paraId="0DDEE4D7" w14:textId="77777777" w:rsidR="00000000" w:rsidRDefault="001A570A">
      <w:pPr>
        <w:ind w:firstLine="450"/>
        <w:divId w:val="1252541328"/>
        <w:rPr>
          <w:rFonts w:eastAsia="Times New Roman"/>
        </w:rPr>
      </w:pPr>
      <w:r>
        <w:rPr>
          <w:rFonts w:eastAsia="Times New Roman"/>
          <w:color w:val="000000"/>
          <w:sz w:val="20"/>
          <w:szCs w:val="20"/>
        </w:rPr>
        <w:t>Customer-sponsored R&amp;D costs are incurred pursuant to contractual arrangements, principally U.S. Government-sponsored contracts requiring us to provide a product or service meeting certain defined performance or other specifications (such as designs). Thi</w:t>
      </w:r>
      <w:r>
        <w:rPr>
          <w:rFonts w:eastAsia="Times New Roman"/>
          <w:color w:val="000000"/>
          <w:sz w:val="20"/>
          <w:szCs w:val="20"/>
        </w:rPr>
        <w:t xml:space="preserve">s research helps strengthen and broaden our technical capabilities. Customer-sponsored research costs are accounted for principally by the cost-to-cost percentage-of-completion method and included in our revenue and cost of product sales and services. </w:t>
      </w:r>
    </w:p>
    <w:p w14:paraId="3AFDCC65" w14:textId="77777777" w:rsidR="00000000" w:rsidRDefault="001A570A">
      <w:pPr>
        <w:divId w:val="319316000"/>
        <w:rPr>
          <w:rFonts w:eastAsia="Times New Roman"/>
        </w:rPr>
      </w:pPr>
      <w:r>
        <w:rPr>
          <w:rFonts w:eastAsia="Times New Roman"/>
          <w:b/>
          <w:bCs/>
          <w:color w:val="000000"/>
          <w:sz w:val="20"/>
          <w:szCs w:val="20"/>
        </w:rPr>
        <w:t>Pat</w:t>
      </w:r>
      <w:r>
        <w:rPr>
          <w:rFonts w:eastAsia="Times New Roman"/>
          <w:b/>
          <w:bCs/>
          <w:color w:val="000000"/>
          <w:sz w:val="20"/>
          <w:szCs w:val="20"/>
        </w:rPr>
        <w:t>ents and Other Intellectual Property</w:t>
      </w:r>
    </w:p>
    <w:p w14:paraId="359712B0" w14:textId="77777777" w:rsidR="00000000" w:rsidRDefault="001A570A">
      <w:pPr>
        <w:ind w:firstLine="450"/>
        <w:divId w:val="1599406698"/>
        <w:rPr>
          <w:rFonts w:eastAsia="Times New Roman"/>
        </w:rPr>
      </w:pPr>
      <w:r>
        <w:rPr>
          <w:rFonts w:eastAsia="Times New Roman"/>
          <w:color w:val="000000"/>
          <w:sz w:val="20"/>
          <w:szCs w:val="20"/>
        </w:rPr>
        <w:t>We consider our patents and other intellectual property, in the aggregate, to constitute an important asset. We own a large portfolio of patents, trade secrets, know-how, confidential information, trademarks, copyrights and other intellectual property, inc</w:t>
      </w:r>
      <w:r>
        <w:rPr>
          <w:rFonts w:eastAsia="Times New Roman"/>
          <w:color w:val="000000"/>
          <w:sz w:val="20"/>
          <w:szCs w:val="20"/>
        </w:rPr>
        <w:t>luding reliable, resilient and innovative cyber capabilities, and we routinely apply for new patents, trademarks and copyrights. We also license intellectual property to and from third parties. As of January 1, 2021, we held approximately 2,300 U.S. patent</w:t>
      </w:r>
      <w:r>
        <w:rPr>
          <w:rFonts w:eastAsia="Times New Roman"/>
          <w:color w:val="000000"/>
          <w:sz w:val="20"/>
          <w:szCs w:val="20"/>
        </w:rPr>
        <w:t>s and 2,100 foreign patents, and had approximately 250 U.S. patent applications pending and 400 foreign patent applications pending. Unpatented research, development and engineering skills also make an important contribution to our business. Although our i</w:t>
      </w:r>
      <w:r>
        <w:rPr>
          <w:rFonts w:eastAsia="Times New Roman"/>
          <w:color w:val="000000"/>
          <w:sz w:val="20"/>
          <w:szCs w:val="20"/>
        </w:rPr>
        <w:t>ntellectual property rights in the aggregate are important to our business and the operations of our business segments, we do not consider our business or any business segment to be materially dependent on any single patent, license or other intellectual p</w:t>
      </w:r>
      <w:r>
        <w:rPr>
          <w:rFonts w:eastAsia="Times New Roman"/>
          <w:color w:val="000000"/>
          <w:sz w:val="20"/>
          <w:szCs w:val="20"/>
        </w:rPr>
        <w:t>roperty right, or any group of related patents, licenses or other intellectual property rights. We are engaged in a proactive patent licensing program and have entered into a number of licenses and cross-license agreements, some of which generate royalty i</w:t>
      </w:r>
      <w:r>
        <w:rPr>
          <w:rFonts w:eastAsia="Times New Roman"/>
          <w:color w:val="000000"/>
          <w:sz w:val="20"/>
          <w:szCs w:val="20"/>
        </w:rPr>
        <w:t>ncome. Although existing license agreements have generated income in past years and may do so in the future, there can be no assurances we will enter into additional income-producing license agreements. From time to time, we engage in litigation to protect</w:t>
      </w:r>
      <w:r>
        <w:rPr>
          <w:rFonts w:eastAsia="Times New Roman"/>
          <w:color w:val="000000"/>
          <w:sz w:val="20"/>
          <w:szCs w:val="20"/>
        </w:rPr>
        <w:t xml:space="preserve"> our patents and other intellectual property. Any of our patents, trade secrets, trademarks, copyrights and other proprietary rights could be challenged, invalidated or circumvented, or may not provide competitive advantages. For further discussion of risk</w:t>
      </w:r>
      <w:r>
        <w:rPr>
          <w:rFonts w:eastAsia="Times New Roman"/>
          <w:color w:val="000000"/>
          <w:sz w:val="20"/>
          <w:szCs w:val="20"/>
        </w:rPr>
        <w:t xml:space="preserve">s relating to intellectual property, see “Item 1A. Risk Factors” of this Report. With regard to certain patents, the U.S. Government has an irrevocable, non-exclusive, royalty-free license, pursuant to which the U.S. Government may use or authorize others </w:t>
      </w:r>
      <w:r>
        <w:rPr>
          <w:rFonts w:eastAsia="Times New Roman"/>
          <w:color w:val="000000"/>
          <w:sz w:val="20"/>
          <w:szCs w:val="20"/>
        </w:rPr>
        <w:t>to use the inventions covered by such patents. Pursuant to similar arrangements, the U.S. Government may consent to our use of inventions covered by patents owned by other persons. Numerous trademarks used on or in connection with our products are also con</w:t>
      </w:r>
      <w:r>
        <w:rPr>
          <w:rFonts w:eastAsia="Times New Roman"/>
          <w:color w:val="000000"/>
          <w:sz w:val="20"/>
          <w:szCs w:val="20"/>
        </w:rPr>
        <w:t>sidered to be a valuable asset.</w:t>
      </w:r>
    </w:p>
    <w:p w14:paraId="7FB4B529" w14:textId="77777777" w:rsidR="00000000" w:rsidRDefault="001A570A">
      <w:pPr>
        <w:divId w:val="596863193"/>
        <w:rPr>
          <w:rFonts w:eastAsia="Times New Roman"/>
        </w:rPr>
      </w:pPr>
      <w:r>
        <w:rPr>
          <w:rFonts w:eastAsia="Times New Roman"/>
          <w:b/>
          <w:bCs/>
          <w:color w:val="000000"/>
          <w:sz w:val="20"/>
          <w:szCs w:val="20"/>
        </w:rPr>
        <w:t>Government Regulations</w:t>
      </w:r>
    </w:p>
    <w:p w14:paraId="5296F42F" w14:textId="77777777" w:rsidR="00000000" w:rsidRDefault="001A570A">
      <w:pPr>
        <w:ind w:firstLine="450"/>
        <w:divId w:val="1734622946"/>
        <w:rPr>
          <w:rFonts w:eastAsia="Times New Roman"/>
        </w:rPr>
      </w:pPr>
      <w:r>
        <w:rPr>
          <w:rFonts w:eastAsia="Times New Roman"/>
          <w:color w:val="000000"/>
          <w:sz w:val="20"/>
          <w:szCs w:val="20"/>
        </w:rPr>
        <w:t>Our company is subject to various federal, state, local and international laws and regulations relating to the development, manufacturing, sale and distribution of our products, systems and services, a</w:t>
      </w:r>
      <w:r>
        <w:rPr>
          <w:rFonts w:eastAsia="Times New Roman"/>
          <w:color w:val="000000"/>
          <w:sz w:val="20"/>
          <w:szCs w:val="20"/>
        </w:rPr>
        <w:t>nd it is our policy to comply with the applicable laws in each jurisdiction in which we conduct business. Regulations include but are not limited to those related to import and export controls, corruption, bribery, environment, government procurement, wire</w:t>
      </w:r>
      <w:r>
        <w:rPr>
          <w:rFonts w:eastAsia="Times New Roman"/>
          <w:color w:val="000000"/>
          <w:sz w:val="20"/>
          <w:szCs w:val="20"/>
        </w:rPr>
        <w:t>less communications, competition, product safety, workplace health and safety, employment, labor and data privacy. The following describes significant regulations that may impact our businesses. For further discussion of risks relating to government regula</w:t>
      </w:r>
      <w:r>
        <w:rPr>
          <w:rFonts w:eastAsia="Times New Roman"/>
          <w:color w:val="000000"/>
          <w:sz w:val="20"/>
          <w:szCs w:val="20"/>
        </w:rPr>
        <w:t>tions, see “Item 1A. Risk Factors” of this Report.</w:t>
      </w:r>
    </w:p>
    <w:p w14:paraId="04228685" w14:textId="77777777" w:rsidR="00000000" w:rsidRDefault="001A570A">
      <w:pPr>
        <w:ind w:firstLine="450"/>
        <w:divId w:val="1886211845"/>
        <w:rPr>
          <w:rFonts w:eastAsia="Times New Roman"/>
        </w:rPr>
      </w:pPr>
      <w:r>
        <w:rPr>
          <w:rFonts w:eastAsia="Times New Roman"/>
          <w:b/>
          <w:bCs/>
          <w:i/>
          <w:iCs/>
          <w:color w:val="000000"/>
          <w:sz w:val="20"/>
          <w:szCs w:val="20"/>
        </w:rPr>
        <w:t>Import/Export Regulations.</w:t>
      </w:r>
      <w:r>
        <w:rPr>
          <w:rFonts w:eastAsia="Times New Roman"/>
          <w:i/>
          <w:iCs/>
          <w:color w:val="000000"/>
          <w:sz w:val="20"/>
          <w:szCs w:val="20"/>
        </w:rPr>
        <w:t xml:space="preserve"> </w:t>
      </w:r>
      <w:r>
        <w:rPr>
          <w:rFonts w:eastAsia="Times New Roman"/>
          <w:color w:val="000000"/>
          <w:sz w:val="20"/>
          <w:szCs w:val="20"/>
        </w:rPr>
        <w:t>We sell products and solutions to customers all over the world and are required to comply with U.S. Export Administration Regulations and economic and trade sanctions programs li</w:t>
      </w:r>
      <w:r>
        <w:rPr>
          <w:rFonts w:eastAsia="Times New Roman"/>
          <w:color w:val="000000"/>
          <w:sz w:val="20"/>
          <w:szCs w:val="20"/>
        </w:rPr>
        <w:t>miting or banning sales into certain countries. Countries outside of the U.S. have implemented similar controls and sanction regulations. Together these controls and regulations may impose licensing requirements on exports of certain technology and softwar</w:t>
      </w:r>
      <w:r>
        <w:rPr>
          <w:rFonts w:eastAsia="Times New Roman"/>
          <w:color w:val="000000"/>
          <w:sz w:val="20"/>
          <w:szCs w:val="20"/>
        </w:rPr>
        <w:t xml:space="preserve">e from the U.S. and may impact our ability to transact business in certain countries or with certain customers. We have developed compliance programs and training to prevent violations of these programs and regulations, and we regularly monitor changes in </w:t>
      </w:r>
      <w:r>
        <w:rPr>
          <w:rFonts w:eastAsia="Times New Roman"/>
          <w:color w:val="000000"/>
          <w:sz w:val="20"/>
          <w:szCs w:val="20"/>
        </w:rPr>
        <w:t>the law and regulations and create strategies to deal with changes. Changes in the law may restrict or further restrict our ability to sell products and solutions.</w:t>
      </w:r>
    </w:p>
    <w:p w14:paraId="3B8F4ED2" w14:textId="77777777" w:rsidR="00000000" w:rsidRDefault="001A570A">
      <w:pPr>
        <w:ind w:firstLine="450"/>
        <w:divId w:val="573011183"/>
        <w:rPr>
          <w:rFonts w:eastAsia="Times New Roman"/>
        </w:rPr>
      </w:pPr>
      <w:r>
        <w:rPr>
          <w:rFonts w:eastAsia="Times New Roman"/>
          <w:b/>
          <w:bCs/>
          <w:i/>
          <w:iCs/>
          <w:color w:val="000000"/>
          <w:sz w:val="20"/>
          <w:szCs w:val="20"/>
        </w:rPr>
        <w:t>Anti-Corruption Regulations.</w:t>
      </w:r>
      <w:r>
        <w:rPr>
          <w:rFonts w:eastAsia="Times New Roman"/>
          <w:i/>
          <w:iCs/>
          <w:color w:val="000000"/>
          <w:sz w:val="20"/>
          <w:szCs w:val="20"/>
        </w:rPr>
        <w:t xml:space="preserve"> </w:t>
      </w:r>
      <w:r>
        <w:rPr>
          <w:rFonts w:eastAsia="Times New Roman"/>
          <w:color w:val="000000"/>
          <w:sz w:val="20"/>
          <w:szCs w:val="20"/>
        </w:rPr>
        <w:t>Because we have significant international operations, we must c</w:t>
      </w:r>
      <w:r>
        <w:rPr>
          <w:rFonts w:eastAsia="Times New Roman"/>
          <w:color w:val="000000"/>
          <w:sz w:val="20"/>
          <w:szCs w:val="20"/>
        </w:rPr>
        <w:t>omply with complex regulations, including U.S. Foreign Corrupt Practices Act, the U.K. Bribery Act and other local laws prohibiting corrupt payments to governmental officials, and anti-competition regulations. We have compliance policies, programs and trai</w:t>
      </w:r>
      <w:r>
        <w:rPr>
          <w:rFonts w:eastAsia="Times New Roman"/>
          <w:color w:val="000000"/>
          <w:sz w:val="20"/>
          <w:szCs w:val="20"/>
        </w:rPr>
        <w:t>ning to prevent non-compliance with such anti-corruption regulations in the U.S. and outside the U.S. We monitor pending and proposed legislation and regulatory changes that may impact our business and develop strategies to address the changes and incorpor</w:t>
      </w:r>
      <w:r>
        <w:rPr>
          <w:rFonts w:eastAsia="Times New Roman"/>
          <w:color w:val="000000"/>
          <w:sz w:val="20"/>
          <w:szCs w:val="20"/>
        </w:rPr>
        <w:t>ate them into existing compliance programs.</w:t>
      </w:r>
    </w:p>
    <w:p w14:paraId="03CF921A" w14:textId="77777777" w:rsidR="00000000" w:rsidRDefault="001A570A">
      <w:pPr>
        <w:ind w:firstLine="450"/>
        <w:divId w:val="415833574"/>
        <w:rPr>
          <w:rFonts w:eastAsia="Times New Roman"/>
        </w:rPr>
      </w:pPr>
      <w:r>
        <w:rPr>
          <w:rFonts w:eastAsia="Times New Roman"/>
          <w:b/>
          <w:bCs/>
          <w:i/>
          <w:iCs/>
          <w:color w:val="000000"/>
          <w:sz w:val="20"/>
          <w:szCs w:val="20"/>
        </w:rPr>
        <w:t xml:space="preserve">Environmental Regulations. </w:t>
      </w:r>
      <w:r>
        <w:rPr>
          <w:rFonts w:eastAsia="Times New Roman"/>
          <w:color w:val="000000"/>
          <w:sz w:val="20"/>
          <w:szCs w:val="20"/>
        </w:rPr>
        <w:t>Our facilities and operations are subject to numerous domestic and international laws and regulations designed to protect the environment, particularly with regard to waste and emission</w:t>
      </w:r>
      <w:r>
        <w:rPr>
          <w:rFonts w:eastAsia="Times New Roman"/>
          <w:color w:val="000000"/>
          <w:sz w:val="20"/>
          <w:szCs w:val="20"/>
        </w:rPr>
        <w:t xml:space="preserve">s. The applicable environmental laws and regulations are common within the industries and markets in which we operate and serve. We believe that we have complied with these requirements and that such compliance has not had a material adverse effect on our </w:t>
      </w:r>
      <w:r>
        <w:rPr>
          <w:rFonts w:eastAsia="Times New Roman"/>
          <w:color w:val="000000"/>
          <w:sz w:val="20"/>
          <w:szCs w:val="20"/>
        </w:rPr>
        <w:t>financial condition, results of operations, cash flows or equity. We have installed waste treatment facilities and pollution control equipment to satisfy legal requirements and to achieve our waste minimization and prevention goals. A portion of our enviro</w:t>
      </w:r>
      <w:r>
        <w:rPr>
          <w:rFonts w:eastAsia="Times New Roman"/>
          <w:color w:val="000000"/>
          <w:sz w:val="20"/>
          <w:szCs w:val="20"/>
        </w:rPr>
        <w:t xml:space="preserve">nmental expenditures relates to businesses or operations we no longer own, but for which we have retained certain environmental liabilities. We did not spend material amounts on environmental-related capital projects in fiscal 2020, the two quarters ended </w:t>
      </w:r>
      <w:r>
        <w:rPr>
          <w:rFonts w:eastAsia="Times New Roman"/>
          <w:color w:val="000000"/>
          <w:sz w:val="20"/>
          <w:szCs w:val="20"/>
        </w:rPr>
        <w:t xml:space="preserve">January 3, 2020, or fiscal </w:t>
      </w:r>
    </w:p>
    <w:p w14:paraId="4D24B1AE" w14:textId="77777777" w:rsidR="00000000" w:rsidRDefault="001A570A">
      <w:pPr>
        <w:ind w:firstLine="450"/>
        <w:jc w:val="center"/>
        <w:divId w:val="396172967"/>
        <w:rPr>
          <w:rFonts w:eastAsia="Times New Roman"/>
        </w:rPr>
      </w:pPr>
      <w:r>
        <w:rPr>
          <w:rFonts w:eastAsia="Times New Roman"/>
          <w:color w:val="000000"/>
          <w:sz w:val="20"/>
          <w:szCs w:val="20"/>
        </w:rPr>
        <w:t>8</w:t>
      </w:r>
    </w:p>
    <w:p w14:paraId="13C14FEF" w14:textId="77777777" w:rsidR="00000000" w:rsidRDefault="001A570A">
      <w:pPr>
        <w:rPr>
          <w:rFonts w:eastAsia="Times New Roman"/>
        </w:rPr>
      </w:pPr>
      <w:r>
        <w:rPr>
          <w:rFonts w:eastAsia="Times New Roman"/>
        </w:rPr>
        <w:pict w14:anchorId="5BFB7A39">
          <v:rect id="_x0000_i1035" style="width:0;height:1.5pt" o:hralign="center" o:hrstd="t" o:hr="t" fillcolor="#a0a0a0" stroked="f"/>
        </w:pict>
      </w:r>
    </w:p>
    <w:p w14:paraId="7A2430A1" w14:textId="77777777" w:rsidR="00000000" w:rsidRDefault="001A570A">
      <w:pPr>
        <w:ind w:firstLine="450"/>
        <w:divId w:val="1481580333"/>
        <w:rPr>
          <w:rFonts w:eastAsia="Times New Roman"/>
        </w:rPr>
      </w:pPr>
    </w:p>
    <w:p w14:paraId="596A8227" w14:textId="77777777" w:rsidR="00000000" w:rsidRDefault="001A570A">
      <w:pPr>
        <w:divId w:val="1073624880"/>
        <w:rPr>
          <w:rFonts w:eastAsia="Times New Roman"/>
        </w:rPr>
      </w:pPr>
      <w:r>
        <w:rPr>
          <w:rFonts w:eastAsia="Times New Roman"/>
          <w:color w:val="000000"/>
          <w:sz w:val="20"/>
          <w:szCs w:val="20"/>
        </w:rPr>
        <w:t xml:space="preserve">2019 or 2018. Based on currently available information, we do not expect capital expenditures in </w:t>
      </w:r>
      <w:r>
        <w:rPr>
          <w:rFonts w:eastAsia="Times New Roman"/>
          <w:color w:val="000000"/>
          <w:sz w:val="18"/>
          <w:szCs w:val="18"/>
        </w:rPr>
        <w:t>fiscal 2021</w:t>
      </w:r>
      <w:r>
        <w:rPr>
          <w:rFonts w:eastAsia="Times New Roman"/>
          <w:color w:val="000000"/>
          <w:sz w:val="20"/>
          <w:szCs w:val="20"/>
        </w:rPr>
        <w:t xml:space="preserve"> or over the next several years to protect the environment and to comply with cu</w:t>
      </w:r>
      <w:r>
        <w:rPr>
          <w:rFonts w:eastAsia="Times New Roman"/>
          <w:color w:val="000000"/>
          <w:sz w:val="20"/>
          <w:szCs w:val="20"/>
        </w:rPr>
        <w:t>rrent environmental laws and regulations, as well as to comply with current and pending climate control legislation, regulation, treaties and accords, to be material or to have a material impact on our competitive position or financial condition, but we ca</w:t>
      </w:r>
      <w:r>
        <w:rPr>
          <w:rFonts w:eastAsia="Times New Roman"/>
          <w:color w:val="000000"/>
          <w:sz w:val="20"/>
          <w:szCs w:val="20"/>
        </w:rPr>
        <w:t>n give no assurance that such expenditures will not exceed current expectations, and such expenditures may increase in future years. If future treaties, laws and regulations contain more stringent requirements than presently anticipated, actual expenditure</w:t>
      </w:r>
      <w:r>
        <w:rPr>
          <w:rFonts w:eastAsia="Times New Roman"/>
          <w:color w:val="000000"/>
          <w:sz w:val="20"/>
          <w:szCs w:val="20"/>
        </w:rPr>
        <w:t xml:space="preserve">s may be higher than our present estimates of those expenditures. </w:t>
      </w:r>
    </w:p>
    <w:p w14:paraId="66100123" w14:textId="77777777" w:rsidR="00000000" w:rsidRDefault="001A570A">
      <w:pPr>
        <w:ind w:firstLine="450"/>
        <w:divId w:val="1311448612"/>
        <w:rPr>
          <w:rFonts w:eastAsia="Times New Roman"/>
        </w:rPr>
      </w:pPr>
      <w:r>
        <w:rPr>
          <w:rFonts w:eastAsia="Times New Roman"/>
          <w:color w:val="000000"/>
          <w:sz w:val="20"/>
          <w:szCs w:val="20"/>
        </w:rPr>
        <w:t xml:space="preserve">Additional information regarding environmental and regulatory matters is set forth in “Item 3. Legal Proceedings” of this Report and in </w:t>
      </w:r>
      <w:r>
        <w:rPr>
          <w:rFonts w:eastAsia="Times New Roman"/>
          <w:i/>
          <w:iCs/>
          <w:color w:val="000000"/>
          <w:sz w:val="20"/>
          <w:szCs w:val="20"/>
        </w:rPr>
        <w:t>Note 1: Significant Accounting Policies</w:t>
      </w:r>
      <w:r>
        <w:rPr>
          <w:rFonts w:eastAsia="Times New Roman"/>
          <w:color w:val="000000"/>
          <w:sz w:val="20"/>
          <w:szCs w:val="20"/>
        </w:rPr>
        <w:t xml:space="preserve"> and </w:t>
      </w:r>
      <w:r>
        <w:rPr>
          <w:rFonts w:eastAsia="Times New Roman"/>
          <w:i/>
          <w:iCs/>
          <w:color w:val="000000"/>
          <w:sz w:val="20"/>
          <w:szCs w:val="20"/>
        </w:rPr>
        <w:t xml:space="preserve">Note 26: </w:t>
      </w:r>
      <w:r>
        <w:rPr>
          <w:rFonts w:eastAsia="Times New Roman"/>
          <w:i/>
          <w:iCs/>
          <w:color w:val="000000"/>
          <w:sz w:val="20"/>
          <w:szCs w:val="20"/>
        </w:rPr>
        <w:t>Legal Proceedings and Contingencies</w:t>
      </w:r>
      <w:r>
        <w:rPr>
          <w:rFonts w:eastAsia="Times New Roman"/>
          <w:color w:val="000000"/>
          <w:sz w:val="20"/>
          <w:szCs w:val="20"/>
        </w:rPr>
        <w:t xml:space="preserve"> in the Notes.</w:t>
      </w:r>
    </w:p>
    <w:p w14:paraId="0F0875EF" w14:textId="77777777" w:rsidR="00000000" w:rsidRDefault="001A570A">
      <w:pPr>
        <w:ind w:firstLine="450"/>
        <w:divId w:val="1382174978"/>
        <w:rPr>
          <w:rFonts w:eastAsia="Times New Roman"/>
        </w:rPr>
      </w:pPr>
      <w:r>
        <w:rPr>
          <w:rFonts w:eastAsia="Times New Roman"/>
          <w:color w:val="000000"/>
          <w:sz w:val="20"/>
          <w:szCs w:val="20"/>
        </w:rPr>
        <w:t>Electronic products are subject to governmental environmental regulation in a number of jurisdictions, such as domestic and international requirements requiring end-of-life management and/or restricting mat</w:t>
      </w:r>
      <w:r>
        <w:rPr>
          <w:rFonts w:eastAsia="Times New Roman"/>
          <w:color w:val="000000"/>
          <w:sz w:val="20"/>
          <w:szCs w:val="20"/>
        </w:rPr>
        <w:t xml:space="preserve">erials in products delivered to customers, including the European Union’s Directive 2012/19/EU on Waste Electrical and Electronic Equipment and Directive 2011/65/EU on the Restriction of the use of certain Hazardous Substances in Electrical and Electronic </w:t>
      </w:r>
      <w:r>
        <w:rPr>
          <w:rFonts w:eastAsia="Times New Roman"/>
          <w:color w:val="000000"/>
          <w:sz w:val="20"/>
          <w:szCs w:val="20"/>
        </w:rPr>
        <w:t>Equipment (“RoHS”), as amended. Other jurisdictions have adopted similar legislation. Such requirements typically are not applicable to most equipment produced by our segments. We believe that we have complied with such rules and regulations, where applica</w:t>
      </w:r>
      <w:r>
        <w:rPr>
          <w:rFonts w:eastAsia="Times New Roman"/>
          <w:color w:val="000000"/>
          <w:sz w:val="20"/>
          <w:szCs w:val="20"/>
        </w:rPr>
        <w:t>ble, with respect to our existing products sold into such jurisdictions. We intend to comply with such rules and regulations with respect to our future products.</w:t>
      </w:r>
    </w:p>
    <w:p w14:paraId="52A0F99C" w14:textId="77777777" w:rsidR="00000000" w:rsidRDefault="001A570A">
      <w:pPr>
        <w:ind w:firstLine="450"/>
        <w:divId w:val="1778602122"/>
        <w:rPr>
          <w:rFonts w:eastAsia="Times New Roman"/>
        </w:rPr>
      </w:pPr>
      <w:r>
        <w:rPr>
          <w:rFonts w:eastAsia="Times New Roman"/>
          <w:b/>
          <w:bCs/>
          <w:i/>
          <w:iCs/>
          <w:color w:val="000000"/>
          <w:sz w:val="20"/>
          <w:szCs w:val="20"/>
        </w:rPr>
        <w:t>Wireless Communications Regulations.</w:t>
      </w:r>
      <w:r>
        <w:rPr>
          <w:rFonts w:eastAsia="Times New Roman"/>
          <w:i/>
          <w:iCs/>
          <w:color w:val="000000"/>
          <w:sz w:val="20"/>
          <w:szCs w:val="20"/>
        </w:rPr>
        <w:t xml:space="preserve"> </w:t>
      </w:r>
      <w:r>
        <w:rPr>
          <w:rFonts w:eastAsia="Times New Roman"/>
          <w:color w:val="000000"/>
          <w:sz w:val="20"/>
          <w:szCs w:val="20"/>
        </w:rPr>
        <w:t>Wireless communications, whether radio, satellite or tele</w:t>
      </w:r>
      <w:r>
        <w:rPr>
          <w:rFonts w:eastAsia="Times New Roman"/>
          <w:color w:val="000000"/>
          <w:sz w:val="20"/>
          <w:szCs w:val="20"/>
        </w:rPr>
        <w:t xml:space="preserve">communications, are also subject to governmental regulation. Equipment produced in our Communication Systems and Space and Airborne Systems segments, in particular, is subject to domestic and international requirements to avoid interference among users of </w:t>
      </w:r>
      <w:r>
        <w:rPr>
          <w:rFonts w:eastAsia="Times New Roman"/>
          <w:color w:val="000000"/>
          <w:sz w:val="20"/>
          <w:szCs w:val="20"/>
        </w:rPr>
        <w:t>radio and television frequencies and to permit interconnection of telecommunications equipment. We are also required to comply with technical operating and licensing requirements that pertain to our wireless licenses and operations. We believe that we have</w:t>
      </w:r>
      <w:r>
        <w:rPr>
          <w:rFonts w:eastAsia="Times New Roman"/>
          <w:color w:val="000000"/>
          <w:sz w:val="20"/>
          <w:szCs w:val="20"/>
        </w:rPr>
        <w:t xml:space="preserve"> complied with such rules and regulations and licenses with respect to our existing products and services, and we intend to comply with such rules and regulations and licenses with respect to our future products and services. Governmental reallocation of t</w:t>
      </w:r>
      <w:r>
        <w:rPr>
          <w:rFonts w:eastAsia="Times New Roman"/>
          <w:color w:val="000000"/>
          <w:sz w:val="20"/>
          <w:szCs w:val="20"/>
        </w:rPr>
        <w:t>he frequency spectrum could impact our business, financial condition and results of operations.</w:t>
      </w:r>
    </w:p>
    <w:p w14:paraId="0494C0D3" w14:textId="77777777" w:rsidR="00000000" w:rsidRDefault="001A570A">
      <w:pPr>
        <w:divId w:val="1306356589"/>
        <w:rPr>
          <w:rFonts w:eastAsia="Times New Roman"/>
        </w:rPr>
      </w:pPr>
      <w:r>
        <w:rPr>
          <w:rFonts w:eastAsia="Times New Roman"/>
          <w:b/>
          <w:bCs/>
          <w:color w:val="000000"/>
          <w:sz w:val="20"/>
          <w:szCs w:val="20"/>
        </w:rPr>
        <w:t>Raw Materials and Supplies</w:t>
      </w:r>
    </w:p>
    <w:p w14:paraId="59B60863" w14:textId="77777777" w:rsidR="00000000" w:rsidRDefault="001A570A">
      <w:pPr>
        <w:ind w:firstLine="450"/>
        <w:divId w:val="1483430924"/>
        <w:rPr>
          <w:rFonts w:eastAsia="Times New Roman"/>
        </w:rPr>
      </w:pPr>
      <w:r>
        <w:rPr>
          <w:rFonts w:eastAsia="Times New Roman"/>
          <w:color w:val="000000"/>
          <w:sz w:val="20"/>
          <w:szCs w:val="20"/>
        </w:rPr>
        <w:t>Because of the diversity of our products and services, as well as the wide geographic dispersion of our facilities, we use numerous sources for the wide array of raw materials, such as electronic components, printed circuit boards, metals and plastics, nee</w:t>
      </w:r>
      <w:r>
        <w:rPr>
          <w:rFonts w:eastAsia="Times New Roman"/>
          <w:color w:val="000000"/>
          <w:sz w:val="20"/>
          <w:szCs w:val="20"/>
        </w:rPr>
        <w:t>ded for our operations and for our products. We are dependent on suppliers and subcontractors for a large number of components and subsystems and the ability of our suppliers and subcontractors to adhere to customer or regulatory materials restrictions and</w:t>
      </w:r>
      <w:r>
        <w:rPr>
          <w:rFonts w:eastAsia="Times New Roman"/>
          <w:color w:val="000000"/>
          <w:sz w:val="20"/>
          <w:szCs w:val="20"/>
        </w:rPr>
        <w:t xml:space="preserve"> to meet performance and quality specifications and delivery schedules. In some instances, we are dependent on one or a few sources, either because of the specialized nature of a particular item or because of local content preference requirements pursuant </w:t>
      </w:r>
      <w:r>
        <w:rPr>
          <w:rFonts w:eastAsia="Times New Roman"/>
          <w:color w:val="000000"/>
          <w:sz w:val="20"/>
          <w:szCs w:val="20"/>
        </w:rPr>
        <w:t>to which we operate on a given project. In addition, in connection with our U.S. Government contracts, we are required to procure certain materials, components and parts, including microelectronics components, from supply sources approved by the U.S. Gover</w:t>
      </w:r>
      <w:r>
        <w:rPr>
          <w:rFonts w:eastAsia="Times New Roman"/>
          <w:color w:val="000000"/>
          <w:sz w:val="20"/>
          <w:szCs w:val="20"/>
        </w:rPr>
        <w:t>nment, which may limit the suppliers and subcontractors we may utilize. Although we have been affected by financial and performance issues of some of our suppliers and subcontractors, we have not been materially adversely affected by the inability to obtai</w:t>
      </w:r>
      <w:r>
        <w:rPr>
          <w:rFonts w:eastAsia="Times New Roman"/>
          <w:color w:val="000000"/>
          <w:sz w:val="20"/>
          <w:szCs w:val="20"/>
        </w:rPr>
        <w:t>n raw materials or products. On occasion, we have experienced component shortages from vendors as a result of natural disasters, or the RoHS environmental regulations in the European Union or similar regulations in other jurisdictions. These events or regu</w:t>
      </w:r>
      <w:r>
        <w:rPr>
          <w:rFonts w:eastAsia="Times New Roman"/>
          <w:color w:val="000000"/>
          <w:sz w:val="20"/>
          <w:szCs w:val="20"/>
        </w:rPr>
        <w:t>lations may cause a spike in demand for certain electronic components, such as lead-free components, resulting in industry-wide supply chain shortages. As of January 1, 2021, these component shortages have not had a material adverse effect on our business.</w:t>
      </w:r>
      <w:r>
        <w:rPr>
          <w:rFonts w:eastAsia="Times New Roman"/>
          <w:color w:val="000000"/>
          <w:sz w:val="20"/>
          <w:szCs w:val="20"/>
        </w:rPr>
        <w:t xml:space="preserve"> For further discussion of risks relating to subcontractors and suppliers, see “Item 1A. Risk Factors” of this Report. </w:t>
      </w:r>
    </w:p>
    <w:p w14:paraId="376C9E79" w14:textId="77777777" w:rsidR="00000000" w:rsidRDefault="001A570A">
      <w:pPr>
        <w:divId w:val="1314798829"/>
        <w:rPr>
          <w:rFonts w:eastAsia="Times New Roman"/>
        </w:rPr>
      </w:pPr>
      <w:r>
        <w:rPr>
          <w:rFonts w:eastAsia="Times New Roman"/>
          <w:b/>
          <w:bCs/>
          <w:color w:val="000000"/>
          <w:sz w:val="20"/>
          <w:szCs w:val="20"/>
        </w:rPr>
        <w:t>Seasonality</w:t>
      </w:r>
    </w:p>
    <w:p w14:paraId="5D085FFF" w14:textId="77777777" w:rsidR="00000000" w:rsidRDefault="001A570A">
      <w:pPr>
        <w:ind w:firstLine="450"/>
        <w:divId w:val="1527716183"/>
        <w:rPr>
          <w:rFonts w:eastAsia="Times New Roman"/>
        </w:rPr>
      </w:pPr>
      <w:r>
        <w:rPr>
          <w:rFonts w:eastAsia="Times New Roman"/>
          <w:color w:val="000000"/>
          <w:sz w:val="20"/>
          <w:szCs w:val="20"/>
        </w:rPr>
        <w:t>We do not consider any material portion of our business to be seasonal. Various factors can affect the distribution of our r</w:t>
      </w:r>
      <w:r>
        <w:rPr>
          <w:rFonts w:eastAsia="Times New Roman"/>
          <w:color w:val="000000"/>
          <w:sz w:val="20"/>
          <w:szCs w:val="20"/>
        </w:rPr>
        <w:t>evenue between accounting periods, including the timing of contract awards and the timing and availability of U.S. Government funding, as well as the timing of product deliveries and customer acceptance.</w:t>
      </w:r>
    </w:p>
    <w:p w14:paraId="2557A3E3" w14:textId="77777777" w:rsidR="00000000" w:rsidRDefault="001A570A">
      <w:pPr>
        <w:divId w:val="780804026"/>
        <w:rPr>
          <w:rFonts w:eastAsia="Times New Roman"/>
        </w:rPr>
      </w:pPr>
      <w:r>
        <w:rPr>
          <w:rFonts w:eastAsia="Times New Roman"/>
          <w:b/>
          <w:bCs/>
          <w:color w:val="000000"/>
          <w:sz w:val="20"/>
          <w:szCs w:val="20"/>
        </w:rPr>
        <w:t xml:space="preserve">Human Capital </w:t>
      </w:r>
    </w:p>
    <w:p w14:paraId="2E3704AC" w14:textId="77777777" w:rsidR="00000000" w:rsidRDefault="001A570A">
      <w:pPr>
        <w:ind w:firstLine="450"/>
        <w:divId w:val="1005746916"/>
        <w:rPr>
          <w:rFonts w:eastAsia="Times New Roman"/>
        </w:rPr>
      </w:pPr>
      <w:r>
        <w:rPr>
          <w:rFonts w:eastAsia="Times New Roman"/>
          <w:color w:val="000000"/>
          <w:sz w:val="20"/>
          <w:szCs w:val="20"/>
        </w:rPr>
        <w:t>As a global aerospace and defense tec</w:t>
      </w:r>
      <w:r>
        <w:rPr>
          <w:rFonts w:eastAsia="Times New Roman"/>
          <w:color w:val="000000"/>
          <w:sz w:val="20"/>
          <w:szCs w:val="20"/>
        </w:rPr>
        <w:t xml:space="preserve">hnology company, we depend on our highly educated and skilled workforce for our success. Attracting, developing, motivating and retaining highly skilled employees, particularly those with technical, engineering and science backgrounds and experience, is a </w:t>
      </w:r>
      <w:r>
        <w:rPr>
          <w:rFonts w:eastAsia="Times New Roman"/>
          <w:color w:val="000000"/>
          <w:sz w:val="20"/>
          <w:szCs w:val="20"/>
        </w:rPr>
        <w:t xml:space="preserve">critical factor in our ability to execute our strategic priorities. We use human capital measures to set goals and monitor performance in several areas, including employee health and safety; talent acquisition, development and retention; and diversity and </w:t>
      </w:r>
      <w:r>
        <w:rPr>
          <w:rFonts w:eastAsia="Times New Roman"/>
          <w:color w:val="000000"/>
          <w:sz w:val="20"/>
          <w:szCs w:val="20"/>
        </w:rPr>
        <w:t>inclusion.</w:t>
      </w:r>
    </w:p>
    <w:p w14:paraId="0FBAFFB9" w14:textId="77777777" w:rsidR="00000000" w:rsidRDefault="001A570A">
      <w:pPr>
        <w:ind w:firstLine="450"/>
        <w:divId w:val="669987439"/>
        <w:rPr>
          <w:rFonts w:eastAsia="Times New Roman"/>
        </w:rPr>
      </w:pPr>
      <w:r>
        <w:rPr>
          <w:rFonts w:eastAsia="Times New Roman"/>
          <w:b/>
          <w:bCs/>
          <w:i/>
          <w:iCs/>
          <w:color w:val="000000"/>
          <w:sz w:val="20"/>
          <w:szCs w:val="20"/>
        </w:rPr>
        <w:t>Workforce Demographics.</w:t>
      </w:r>
      <w:r>
        <w:rPr>
          <w:rFonts w:eastAsia="Times New Roman"/>
          <w:color w:val="000000"/>
          <w:sz w:val="20"/>
          <w:szCs w:val="20"/>
        </w:rPr>
        <w:t xml:space="preserve"> We had approximately 48,000 employees at January 1, 2021, including approximately 19,000 engineers and scientists. Approximately 88 percent of our employees are located in the U.S. and a significant number of our employee</w:t>
      </w:r>
      <w:r>
        <w:rPr>
          <w:rFonts w:eastAsia="Times New Roman"/>
          <w:color w:val="000000"/>
          <w:sz w:val="20"/>
          <w:szCs w:val="20"/>
        </w:rPr>
        <w:t xml:space="preserve">s possess a U.S. Government security clearance. As of January 1, 2021, approximately 3,100 of our U.S. employees </w:t>
      </w:r>
    </w:p>
    <w:p w14:paraId="13F10964" w14:textId="77777777" w:rsidR="00000000" w:rsidRDefault="001A570A">
      <w:pPr>
        <w:ind w:firstLine="450"/>
        <w:jc w:val="center"/>
        <w:divId w:val="1514106894"/>
        <w:rPr>
          <w:rFonts w:eastAsia="Times New Roman"/>
        </w:rPr>
      </w:pPr>
      <w:r>
        <w:rPr>
          <w:rFonts w:eastAsia="Times New Roman"/>
          <w:color w:val="000000"/>
          <w:sz w:val="20"/>
          <w:szCs w:val="20"/>
        </w:rPr>
        <w:t>9</w:t>
      </w:r>
    </w:p>
    <w:p w14:paraId="2102091D" w14:textId="77777777" w:rsidR="00000000" w:rsidRDefault="001A570A">
      <w:pPr>
        <w:rPr>
          <w:rFonts w:eastAsia="Times New Roman"/>
        </w:rPr>
      </w:pPr>
      <w:r>
        <w:rPr>
          <w:rFonts w:eastAsia="Times New Roman"/>
        </w:rPr>
        <w:pict w14:anchorId="598CBE56">
          <v:rect id="_x0000_i1036" style="width:0;height:1.5pt" o:hralign="center" o:hrstd="t" o:hr="t" fillcolor="#a0a0a0" stroked="f"/>
        </w:pict>
      </w:r>
    </w:p>
    <w:p w14:paraId="66245175" w14:textId="77777777" w:rsidR="00000000" w:rsidRDefault="001A570A">
      <w:pPr>
        <w:ind w:firstLine="450"/>
        <w:divId w:val="1345666589"/>
        <w:rPr>
          <w:rFonts w:eastAsia="Times New Roman"/>
        </w:rPr>
      </w:pPr>
    </w:p>
    <w:p w14:paraId="1A55F0FD" w14:textId="77777777" w:rsidR="00000000" w:rsidRDefault="001A570A">
      <w:pPr>
        <w:divId w:val="1387025665"/>
        <w:rPr>
          <w:rFonts w:eastAsia="Times New Roman"/>
        </w:rPr>
      </w:pPr>
      <w:r>
        <w:rPr>
          <w:rFonts w:eastAsia="Times New Roman"/>
          <w:color w:val="000000"/>
          <w:sz w:val="20"/>
          <w:szCs w:val="20"/>
        </w:rPr>
        <w:t>were covered by various labor union collective bargaining agreements, which we expect will be renegoti</w:t>
      </w:r>
      <w:r>
        <w:rPr>
          <w:rFonts w:eastAsia="Times New Roman"/>
          <w:color w:val="000000"/>
          <w:sz w:val="20"/>
          <w:szCs w:val="20"/>
        </w:rPr>
        <w:t xml:space="preserve">ated as they expire, as we historically have done without significant disruption to operating activities. </w:t>
      </w:r>
    </w:p>
    <w:p w14:paraId="6E0ADA92" w14:textId="77777777" w:rsidR="00000000" w:rsidRDefault="001A570A">
      <w:pPr>
        <w:ind w:firstLine="450"/>
        <w:divId w:val="765421354"/>
        <w:rPr>
          <w:rFonts w:eastAsia="Times New Roman"/>
        </w:rPr>
      </w:pPr>
      <w:r>
        <w:rPr>
          <w:rFonts w:eastAsia="Times New Roman"/>
          <w:b/>
          <w:bCs/>
          <w:i/>
          <w:iCs/>
          <w:color w:val="000000"/>
          <w:sz w:val="20"/>
          <w:szCs w:val="20"/>
        </w:rPr>
        <w:t>Health and Safety.</w:t>
      </w:r>
      <w:r>
        <w:rPr>
          <w:rFonts w:eastAsia="Times New Roman"/>
          <w:i/>
          <w:iCs/>
          <w:color w:val="000000"/>
          <w:sz w:val="20"/>
          <w:szCs w:val="20"/>
        </w:rPr>
        <w:t xml:space="preserve"> </w:t>
      </w:r>
      <w:r>
        <w:rPr>
          <w:rFonts w:eastAsia="Times New Roman"/>
          <w:color w:val="000000"/>
          <w:sz w:val="20"/>
          <w:szCs w:val="20"/>
        </w:rPr>
        <w:t>We strive to maintain a safe work environment for all employees and eliminate workplace incidents, risks and hazards. We review an</w:t>
      </w:r>
      <w:r>
        <w:rPr>
          <w:rFonts w:eastAsia="Times New Roman"/>
          <w:color w:val="000000"/>
          <w:sz w:val="20"/>
          <w:szCs w:val="20"/>
        </w:rPr>
        <w:t>d monitor our performance closely to reduce Occupational Safety and Health Administration reportable incidents. For fiscal 2020, our total recordable injury rate and lost day injury rate declined 34 percent and 43 percent, respectively, compared with the p</w:t>
      </w:r>
      <w:r>
        <w:rPr>
          <w:rFonts w:eastAsia="Times New Roman"/>
          <w:color w:val="000000"/>
          <w:sz w:val="20"/>
          <w:szCs w:val="20"/>
        </w:rPr>
        <w:t xml:space="preserve">revious year, and numerous locations across L3Harris have reached one year or more without a recordable injury. In response to COVID, we implemented safety measures in our facilities to ensure the overall health and wellness of our workforce. For example, </w:t>
      </w:r>
      <w:r>
        <w:rPr>
          <w:rFonts w:eastAsia="Times New Roman"/>
          <w:color w:val="000000"/>
          <w:sz w:val="20"/>
          <w:szCs w:val="20"/>
        </w:rPr>
        <w:t xml:space="preserve">we instituted work-from-home (for employees who are able to work remotely) and social distancing arrangements; canceled non-essential travel and external events; procured personal protective equipment for employees; implemented health screening procedures </w:t>
      </w:r>
      <w:r>
        <w:rPr>
          <w:rFonts w:eastAsia="Times New Roman"/>
          <w:color w:val="000000"/>
          <w:sz w:val="20"/>
          <w:szCs w:val="20"/>
        </w:rPr>
        <w:t>at all facilities; staggered work shifts, redesigned work stations, implemented stringent cleaning protocols and initiated more detailed safety precautions and protocols for on-site work, such as daily health assessments and mandatory face coverings, which</w:t>
      </w:r>
      <w:r>
        <w:rPr>
          <w:rFonts w:eastAsia="Times New Roman"/>
          <w:color w:val="000000"/>
          <w:sz w:val="20"/>
          <w:szCs w:val="20"/>
        </w:rPr>
        <w:t xml:space="preserve"> currently remain in effect. </w:t>
      </w:r>
    </w:p>
    <w:p w14:paraId="317009E0" w14:textId="77777777" w:rsidR="00000000" w:rsidRDefault="001A570A">
      <w:pPr>
        <w:ind w:firstLine="450"/>
        <w:divId w:val="1571185853"/>
        <w:rPr>
          <w:rFonts w:eastAsia="Times New Roman"/>
        </w:rPr>
      </w:pPr>
      <w:r>
        <w:rPr>
          <w:rFonts w:eastAsia="Times New Roman"/>
          <w:b/>
          <w:bCs/>
          <w:i/>
          <w:iCs/>
          <w:color w:val="000000"/>
          <w:sz w:val="20"/>
          <w:szCs w:val="20"/>
        </w:rPr>
        <w:t>Talent Acquisition, Development and Retention.</w:t>
      </w:r>
      <w:r>
        <w:rPr>
          <w:rFonts w:eastAsia="Times New Roman"/>
          <w:b/>
          <w:bCs/>
          <w:color w:val="000000"/>
          <w:sz w:val="20"/>
          <w:szCs w:val="20"/>
        </w:rPr>
        <w:t xml:space="preserve"> </w:t>
      </w:r>
      <w:r>
        <w:rPr>
          <w:rFonts w:eastAsia="Times New Roman"/>
          <w:color w:val="000000"/>
          <w:sz w:val="20"/>
          <w:szCs w:val="20"/>
        </w:rPr>
        <w:t>Our talent acquisition, development and retention strategy is focused on attracting the best talent, recognizing and rewarding performance and continually developing, engaging and</w:t>
      </w:r>
      <w:r>
        <w:rPr>
          <w:rFonts w:eastAsia="Times New Roman"/>
          <w:color w:val="000000"/>
          <w:sz w:val="20"/>
          <w:szCs w:val="20"/>
        </w:rPr>
        <w:t xml:space="preserve"> retaining high-performing employees. We support and develop our employees through global training that promotes our “e3” operating system (excellence, everywhere, everyday). We provide ongoing training and career development focused on compliance with our</w:t>
      </w:r>
      <w:r>
        <w:rPr>
          <w:rFonts w:eastAsia="Times New Roman"/>
          <w:color w:val="000000"/>
          <w:sz w:val="20"/>
          <w:szCs w:val="20"/>
        </w:rPr>
        <w:t xml:space="preserve"> Code of Conduct, ethics and laws applicable to our businesses; skills and competencies directly related to employees’ positions; and responsibility for personal safety and the safety of fellow employees, others and the environment. We offer competitive sa</w:t>
      </w:r>
      <w:r>
        <w:rPr>
          <w:rFonts w:eastAsia="Times New Roman"/>
          <w:color w:val="000000"/>
          <w:sz w:val="20"/>
          <w:szCs w:val="20"/>
        </w:rPr>
        <w:t>laries, development programs that enable continued learning and growth and a comprehensive benefits package, including health care, retirement planning, educational assistance, child and elder back-up care, paid parental leave and a discretionary paid time</w:t>
      </w:r>
      <w:r>
        <w:rPr>
          <w:rFonts w:eastAsia="Times New Roman"/>
          <w:color w:val="000000"/>
          <w:sz w:val="20"/>
          <w:szCs w:val="20"/>
        </w:rPr>
        <w:t xml:space="preserve"> off program. In addition, we have established a comprehensive employee survey process to help us better understand the total employee experience, including periodic engagement surveys. In fiscal 2020, 82 percent of our employees participated in our engage</w:t>
      </w:r>
      <w:r>
        <w:rPr>
          <w:rFonts w:eastAsia="Times New Roman"/>
          <w:color w:val="000000"/>
          <w:sz w:val="20"/>
          <w:szCs w:val="20"/>
        </w:rPr>
        <w:t>ment survey, exceeding the benchmark of 75 percent.</w:t>
      </w:r>
    </w:p>
    <w:p w14:paraId="3237B383" w14:textId="77777777" w:rsidR="00000000" w:rsidRDefault="001A570A">
      <w:pPr>
        <w:ind w:firstLine="450"/>
        <w:divId w:val="1415594265"/>
        <w:rPr>
          <w:rFonts w:eastAsia="Times New Roman"/>
        </w:rPr>
      </w:pPr>
      <w:r>
        <w:rPr>
          <w:rFonts w:eastAsia="Times New Roman"/>
          <w:b/>
          <w:bCs/>
          <w:i/>
          <w:iCs/>
          <w:color w:val="000000"/>
          <w:sz w:val="20"/>
          <w:szCs w:val="20"/>
        </w:rPr>
        <w:t>Diversity and Inclusion.</w:t>
      </w:r>
      <w:r>
        <w:rPr>
          <w:rFonts w:eastAsia="Times New Roman"/>
          <w:i/>
          <w:iCs/>
          <w:color w:val="000000"/>
          <w:sz w:val="20"/>
          <w:szCs w:val="20"/>
        </w:rPr>
        <w:t xml:space="preserve"> </w:t>
      </w:r>
      <w:r>
        <w:rPr>
          <w:rFonts w:eastAsia="Times New Roman"/>
          <w:color w:val="000000"/>
          <w:sz w:val="20"/>
          <w:szCs w:val="20"/>
        </w:rPr>
        <w:t xml:space="preserve">We believe that our future success depends on our ability to continue to innovate and develop new solutions to solve our customers’ </w:t>
      </w:r>
      <w:r>
        <w:rPr>
          <w:rFonts w:eastAsia="Times New Roman"/>
          <w:color w:val="000000"/>
          <w:sz w:val="20"/>
          <w:szCs w:val="20"/>
        </w:rPr>
        <w:t>most critical challenges, and that diversity of thought, experience, perspectives and backgrounds drives innovation. We are investing in an inclusive and diverse workforce by supporting a variety of science, technology, engineering and mathematic initiativ</w:t>
      </w:r>
      <w:r>
        <w:rPr>
          <w:rFonts w:eastAsia="Times New Roman"/>
          <w:color w:val="000000"/>
          <w:sz w:val="20"/>
          <w:szCs w:val="20"/>
        </w:rPr>
        <w:t>es focused on underserved communities. We believe these efforts will help encourage a broader range of students to consider careers in engineering and science. We also have established a diversity council, comprised of employee resource group leadership an</w:t>
      </w:r>
      <w:r>
        <w:rPr>
          <w:rFonts w:eastAsia="Times New Roman"/>
          <w:color w:val="000000"/>
          <w:sz w:val="20"/>
          <w:szCs w:val="20"/>
        </w:rPr>
        <w:t>d executives from across the company, to evaluate and influence the strategies, policies and steps we take to advance diversity and inclusion. We have established two clear long-term goals with respect to the diversity of our workforce: (1) that half of ou</w:t>
      </w:r>
      <w:r>
        <w:rPr>
          <w:rFonts w:eastAsia="Times New Roman"/>
          <w:color w:val="000000"/>
          <w:sz w:val="20"/>
          <w:szCs w:val="20"/>
        </w:rPr>
        <w:t>r employees will be women and (2) that at least a third of our employees will be persons of color. Through the above and other efforts, we have improved the diversity of our workforce and we continue to set higher goals. The table below provides the makeup</w:t>
      </w:r>
      <w:r>
        <w:rPr>
          <w:rFonts w:eastAsia="Times New Roman"/>
          <w:color w:val="000000"/>
          <w:sz w:val="20"/>
          <w:szCs w:val="20"/>
        </w:rPr>
        <w:t xml:space="preserve"> of our workforce in fiscal 2020:</w:t>
      </w:r>
    </w:p>
    <w:tbl>
      <w:tblPr>
        <w:tblW w:w="5000" w:type="pct"/>
        <w:tblCellMar>
          <w:top w:w="15" w:type="dxa"/>
          <w:left w:w="15" w:type="dxa"/>
          <w:bottom w:w="15" w:type="dxa"/>
          <w:right w:w="15" w:type="dxa"/>
        </w:tblCellMar>
        <w:tblLook w:val="04A0" w:firstRow="1" w:lastRow="0" w:firstColumn="1" w:lastColumn="0" w:noHBand="0" w:noVBand="1"/>
      </w:tblPr>
      <w:tblGrid>
        <w:gridCol w:w="62"/>
        <w:gridCol w:w="4819"/>
        <w:gridCol w:w="37"/>
        <w:gridCol w:w="63"/>
        <w:gridCol w:w="1548"/>
        <w:gridCol w:w="36"/>
        <w:gridCol w:w="36"/>
        <w:gridCol w:w="36"/>
        <w:gridCol w:w="36"/>
        <w:gridCol w:w="49"/>
        <w:gridCol w:w="1548"/>
        <w:gridCol w:w="36"/>
      </w:tblGrid>
      <w:tr w:rsidR="00000000" w14:paraId="723B7F77" w14:textId="77777777">
        <w:trPr>
          <w:divId w:val="1702823033"/>
        </w:trPr>
        <w:tc>
          <w:tcPr>
            <w:tcW w:w="50" w:type="pct"/>
            <w:vAlign w:val="center"/>
            <w:hideMark/>
          </w:tcPr>
          <w:p w14:paraId="1DEE79F7" w14:textId="77777777" w:rsidR="00000000" w:rsidRDefault="001A570A">
            <w:pPr>
              <w:ind w:firstLine="450"/>
              <w:rPr>
                <w:rFonts w:eastAsia="Times New Roman"/>
              </w:rPr>
            </w:pPr>
          </w:p>
        </w:tc>
        <w:tc>
          <w:tcPr>
            <w:tcW w:w="2911" w:type="pct"/>
            <w:vAlign w:val="center"/>
            <w:hideMark/>
          </w:tcPr>
          <w:p w14:paraId="60C9B63F" w14:textId="77777777" w:rsidR="00000000" w:rsidRDefault="001A570A">
            <w:pPr>
              <w:rPr>
                <w:rFonts w:eastAsia="Times New Roman"/>
                <w:sz w:val="20"/>
                <w:szCs w:val="20"/>
              </w:rPr>
            </w:pPr>
          </w:p>
        </w:tc>
        <w:tc>
          <w:tcPr>
            <w:tcW w:w="5" w:type="pct"/>
            <w:vAlign w:val="center"/>
            <w:hideMark/>
          </w:tcPr>
          <w:p w14:paraId="35616D99" w14:textId="77777777" w:rsidR="00000000" w:rsidRDefault="001A570A">
            <w:pPr>
              <w:rPr>
                <w:rFonts w:eastAsia="Times New Roman"/>
                <w:sz w:val="20"/>
                <w:szCs w:val="20"/>
              </w:rPr>
            </w:pPr>
          </w:p>
        </w:tc>
        <w:tc>
          <w:tcPr>
            <w:tcW w:w="50" w:type="pct"/>
            <w:vAlign w:val="center"/>
            <w:hideMark/>
          </w:tcPr>
          <w:p w14:paraId="75B650D5" w14:textId="77777777" w:rsidR="00000000" w:rsidRDefault="001A570A">
            <w:pPr>
              <w:rPr>
                <w:rFonts w:eastAsia="Times New Roman"/>
                <w:sz w:val="20"/>
                <w:szCs w:val="20"/>
              </w:rPr>
            </w:pPr>
          </w:p>
        </w:tc>
        <w:tc>
          <w:tcPr>
            <w:tcW w:w="943" w:type="pct"/>
            <w:vAlign w:val="center"/>
            <w:hideMark/>
          </w:tcPr>
          <w:p w14:paraId="6E47FBCE" w14:textId="77777777" w:rsidR="00000000" w:rsidRDefault="001A570A">
            <w:pPr>
              <w:rPr>
                <w:rFonts w:eastAsia="Times New Roman"/>
                <w:sz w:val="20"/>
                <w:szCs w:val="20"/>
              </w:rPr>
            </w:pPr>
          </w:p>
        </w:tc>
        <w:tc>
          <w:tcPr>
            <w:tcW w:w="5" w:type="pct"/>
            <w:vAlign w:val="center"/>
            <w:hideMark/>
          </w:tcPr>
          <w:p w14:paraId="5A93F490" w14:textId="77777777" w:rsidR="00000000" w:rsidRDefault="001A570A">
            <w:pPr>
              <w:rPr>
                <w:rFonts w:eastAsia="Times New Roman"/>
                <w:sz w:val="20"/>
                <w:szCs w:val="20"/>
              </w:rPr>
            </w:pPr>
          </w:p>
        </w:tc>
        <w:tc>
          <w:tcPr>
            <w:tcW w:w="5" w:type="pct"/>
            <w:vAlign w:val="center"/>
            <w:hideMark/>
          </w:tcPr>
          <w:p w14:paraId="791A1359" w14:textId="77777777" w:rsidR="00000000" w:rsidRDefault="001A570A">
            <w:pPr>
              <w:rPr>
                <w:rFonts w:eastAsia="Times New Roman"/>
                <w:sz w:val="20"/>
                <w:szCs w:val="20"/>
              </w:rPr>
            </w:pPr>
          </w:p>
        </w:tc>
        <w:tc>
          <w:tcPr>
            <w:tcW w:w="25" w:type="pct"/>
            <w:vAlign w:val="center"/>
            <w:hideMark/>
          </w:tcPr>
          <w:p w14:paraId="786531C4" w14:textId="77777777" w:rsidR="00000000" w:rsidRDefault="001A570A">
            <w:pPr>
              <w:rPr>
                <w:rFonts w:eastAsia="Times New Roman"/>
                <w:sz w:val="20"/>
                <w:szCs w:val="20"/>
              </w:rPr>
            </w:pPr>
          </w:p>
        </w:tc>
        <w:tc>
          <w:tcPr>
            <w:tcW w:w="5" w:type="pct"/>
            <w:vAlign w:val="center"/>
            <w:hideMark/>
          </w:tcPr>
          <w:p w14:paraId="5D3336E5" w14:textId="77777777" w:rsidR="00000000" w:rsidRDefault="001A570A">
            <w:pPr>
              <w:rPr>
                <w:rFonts w:eastAsia="Times New Roman"/>
                <w:sz w:val="20"/>
                <w:szCs w:val="20"/>
              </w:rPr>
            </w:pPr>
          </w:p>
        </w:tc>
        <w:tc>
          <w:tcPr>
            <w:tcW w:w="50" w:type="pct"/>
            <w:vAlign w:val="center"/>
            <w:hideMark/>
          </w:tcPr>
          <w:p w14:paraId="10CDD16D" w14:textId="77777777" w:rsidR="00000000" w:rsidRDefault="001A570A">
            <w:pPr>
              <w:rPr>
                <w:rFonts w:eastAsia="Times New Roman"/>
                <w:sz w:val="20"/>
                <w:szCs w:val="20"/>
              </w:rPr>
            </w:pPr>
          </w:p>
        </w:tc>
        <w:tc>
          <w:tcPr>
            <w:tcW w:w="943" w:type="pct"/>
            <w:vAlign w:val="center"/>
            <w:hideMark/>
          </w:tcPr>
          <w:p w14:paraId="42E7FB18" w14:textId="77777777" w:rsidR="00000000" w:rsidRDefault="001A570A">
            <w:pPr>
              <w:rPr>
                <w:rFonts w:eastAsia="Times New Roman"/>
                <w:sz w:val="20"/>
                <w:szCs w:val="20"/>
              </w:rPr>
            </w:pPr>
          </w:p>
        </w:tc>
        <w:tc>
          <w:tcPr>
            <w:tcW w:w="5" w:type="pct"/>
            <w:vAlign w:val="center"/>
            <w:hideMark/>
          </w:tcPr>
          <w:p w14:paraId="58989FE8" w14:textId="77777777" w:rsidR="00000000" w:rsidRDefault="001A570A">
            <w:pPr>
              <w:rPr>
                <w:rFonts w:eastAsia="Times New Roman"/>
                <w:sz w:val="20"/>
                <w:szCs w:val="20"/>
              </w:rPr>
            </w:pPr>
          </w:p>
        </w:tc>
      </w:tr>
      <w:tr w:rsidR="00000000" w14:paraId="171435E9" w14:textId="77777777">
        <w:trPr>
          <w:divId w:val="1702823033"/>
        </w:trPr>
        <w:tc>
          <w:tcPr>
            <w:tcW w:w="0" w:type="auto"/>
            <w:gridSpan w:val="3"/>
            <w:tcMar>
              <w:top w:w="0" w:type="dxa"/>
              <w:left w:w="20" w:type="dxa"/>
              <w:bottom w:w="0" w:type="dxa"/>
              <w:right w:w="20" w:type="dxa"/>
            </w:tcMar>
            <w:vAlign w:val="center"/>
            <w:hideMark/>
          </w:tcPr>
          <w:p w14:paraId="6F95DF8E"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3AE3701" w14:textId="77777777" w:rsidR="00000000" w:rsidRDefault="001A570A">
            <w:pPr>
              <w:jc w:val="center"/>
              <w:rPr>
                <w:rFonts w:eastAsia="Times New Roman"/>
              </w:rPr>
            </w:pPr>
            <w:r>
              <w:rPr>
                <w:rFonts w:eastAsia="Times New Roman"/>
                <w:b/>
                <w:bCs/>
                <w:color w:val="000000"/>
                <w:sz w:val="16"/>
                <w:szCs w:val="16"/>
              </w:rPr>
              <w:t>Overall</w:t>
            </w:r>
          </w:p>
        </w:tc>
        <w:tc>
          <w:tcPr>
            <w:tcW w:w="0" w:type="auto"/>
            <w:gridSpan w:val="3"/>
            <w:tcMar>
              <w:top w:w="0" w:type="dxa"/>
              <w:left w:w="20" w:type="dxa"/>
              <w:bottom w:w="0" w:type="dxa"/>
              <w:right w:w="20" w:type="dxa"/>
            </w:tcMar>
            <w:vAlign w:val="center"/>
            <w:hideMark/>
          </w:tcPr>
          <w:p w14:paraId="2D811B46"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D001436" w14:textId="77777777" w:rsidR="00000000" w:rsidRDefault="001A570A">
            <w:pPr>
              <w:jc w:val="center"/>
              <w:rPr>
                <w:rFonts w:eastAsia="Times New Roman"/>
              </w:rPr>
            </w:pPr>
            <w:r>
              <w:rPr>
                <w:rFonts w:eastAsia="Times New Roman"/>
                <w:b/>
                <w:bCs/>
                <w:color w:val="000000"/>
                <w:sz w:val="16"/>
                <w:szCs w:val="16"/>
              </w:rPr>
              <w:t>Executive</w:t>
            </w:r>
          </w:p>
        </w:tc>
      </w:tr>
      <w:tr w:rsidR="00000000" w14:paraId="3D8559A7" w14:textId="77777777">
        <w:trPr>
          <w:divId w:val="1702823033"/>
        </w:trPr>
        <w:tc>
          <w:tcPr>
            <w:tcW w:w="0" w:type="auto"/>
            <w:gridSpan w:val="3"/>
            <w:shd w:val="clear" w:color="auto" w:fill="CCEEFF"/>
            <w:tcMar>
              <w:top w:w="30" w:type="dxa"/>
              <w:left w:w="20" w:type="dxa"/>
              <w:bottom w:w="30" w:type="dxa"/>
              <w:right w:w="20" w:type="dxa"/>
            </w:tcMar>
            <w:vAlign w:val="center"/>
            <w:hideMark/>
          </w:tcPr>
          <w:p w14:paraId="7D64DA65" w14:textId="77777777" w:rsidR="00000000" w:rsidRDefault="001A570A">
            <w:pPr>
              <w:rPr>
                <w:rFonts w:eastAsia="Times New Roman"/>
              </w:rPr>
            </w:pPr>
            <w:r>
              <w:rPr>
                <w:rFonts w:eastAsia="Times New Roman"/>
                <w:color w:val="000000"/>
                <w:sz w:val="20"/>
                <w:szCs w:val="20"/>
              </w:rPr>
              <w:t>Female population</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1B6215" w14:textId="77777777" w:rsidR="00000000" w:rsidRDefault="001A570A">
            <w:pPr>
              <w:jc w:val="center"/>
              <w:rPr>
                <w:rFonts w:eastAsia="Times New Roman"/>
              </w:rPr>
            </w:pPr>
            <w:r>
              <w:rPr>
                <w:rFonts w:eastAsia="Times New Roman"/>
                <w:color w:val="000000"/>
                <w:sz w:val="20"/>
                <w:szCs w:val="20"/>
              </w:rPr>
              <w:t>24%</w:t>
            </w:r>
          </w:p>
        </w:tc>
        <w:tc>
          <w:tcPr>
            <w:tcW w:w="0" w:type="auto"/>
            <w:gridSpan w:val="3"/>
            <w:shd w:val="clear" w:color="auto" w:fill="CCEEFF"/>
            <w:tcMar>
              <w:top w:w="0" w:type="dxa"/>
              <w:left w:w="20" w:type="dxa"/>
              <w:bottom w:w="0" w:type="dxa"/>
              <w:right w:w="20" w:type="dxa"/>
            </w:tcMar>
            <w:vAlign w:val="center"/>
            <w:hideMark/>
          </w:tcPr>
          <w:p w14:paraId="328E902E" w14:textId="77777777" w:rsidR="00000000" w:rsidRDefault="001A570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3DF24E" w14:textId="77777777" w:rsidR="00000000" w:rsidRDefault="001A570A">
            <w:pPr>
              <w:jc w:val="center"/>
              <w:rPr>
                <w:rFonts w:eastAsia="Times New Roman"/>
              </w:rPr>
            </w:pPr>
            <w:r>
              <w:rPr>
                <w:rFonts w:eastAsia="Times New Roman"/>
                <w:color w:val="000000"/>
                <w:sz w:val="20"/>
                <w:szCs w:val="20"/>
              </w:rPr>
              <w:t>31%</w:t>
            </w:r>
          </w:p>
        </w:tc>
      </w:tr>
      <w:tr w:rsidR="00000000" w14:paraId="196709CA" w14:textId="77777777">
        <w:trPr>
          <w:divId w:val="1702823033"/>
        </w:trPr>
        <w:tc>
          <w:tcPr>
            <w:tcW w:w="0" w:type="auto"/>
            <w:gridSpan w:val="3"/>
            <w:shd w:val="clear" w:color="auto" w:fill="FFFFFF"/>
            <w:tcMar>
              <w:top w:w="30" w:type="dxa"/>
              <w:left w:w="20" w:type="dxa"/>
              <w:bottom w:w="30" w:type="dxa"/>
              <w:right w:w="20" w:type="dxa"/>
            </w:tcMar>
            <w:vAlign w:val="center"/>
            <w:hideMark/>
          </w:tcPr>
          <w:p w14:paraId="3FCD21CD" w14:textId="77777777" w:rsidR="00000000" w:rsidRDefault="001A570A">
            <w:pPr>
              <w:rPr>
                <w:rFonts w:eastAsia="Times New Roman"/>
              </w:rPr>
            </w:pPr>
            <w:r>
              <w:rPr>
                <w:rFonts w:eastAsia="Times New Roman"/>
                <w:color w:val="000000"/>
                <w:sz w:val="20"/>
                <w:szCs w:val="20"/>
              </w:rPr>
              <w:t>Persons of color</w:t>
            </w:r>
          </w:p>
        </w:tc>
        <w:tc>
          <w:tcPr>
            <w:tcW w:w="0" w:type="auto"/>
            <w:gridSpan w:val="3"/>
            <w:shd w:val="clear" w:color="auto" w:fill="FFFFFF"/>
            <w:tcMar>
              <w:top w:w="30" w:type="dxa"/>
              <w:left w:w="20" w:type="dxa"/>
              <w:bottom w:w="30" w:type="dxa"/>
              <w:right w:w="20" w:type="dxa"/>
            </w:tcMar>
            <w:vAlign w:val="bottom"/>
            <w:hideMark/>
          </w:tcPr>
          <w:p w14:paraId="3B968FE9" w14:textId="77777777" w:rsidR="00000000" w:rsidRDefault="001A570A">
            <w:pPr>
              <w:jc w:val="center"/>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14:paraId="1A1BC0B4"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BC71D0" w14:textId="77777777" w:rsidR="00000000" w:rsidRDefault="001A570A">
            <w:pPr>
              <w:jc w:val="center"/>
              <w:rPr>
                <w:rFonts w:eastAsia="Times New Roman"/>
              </w:rPr>
            </w:pPr>
            <w:r>
              <w:rPr>
                <w:rFonts w:eastAsia="Times New Roman"/>
                <w:color w:val="000000"/>
                <w:sz w:val="20"/>
                <w:szCs w:val="20"/>
              </w:rPr>
              <w:t>17%</w:t>
            </w:r>
          </w:p>
        </w:tc>
      </w:tr>
      <w:tr w:rsidR="00000000" w14:paraId="365D941F" w14:textId="77777777">
        <w:trPr>
          <w:divId w:val="1702823033"/>
        </w:trPr>
        <w:tc>
          <w:tcPr>
            <w:tcW w:w="0" w:type="auto"/>
            <w:gridSpan w:val="3"/>
            <w:shd w:val="clear" w:color="auto" w:fill="CCEEFF"/>
            <w:tcMar>
              <w:top w:w="30" w:type="dxa"/>
              <w:left w:w="20" w:type="dxa"/>
              <w:bottom w:w="30" w:type="dxa"/>
              <w:right w:w="20" w:type="dxa"/>
            </w:tcMar>
            <w:vAlign w:val="center"/>
            <w:hideMark/>
          </w:tcPr>
          <w:p w14:paraId="20EF39F7" w14:textId="77777777" w:rsidR="00000000" w:rsidRDefault="001A570A">
            <w:pPr>
              <w:rPr>
                <w:rFonts w:eastAsia="Times New Roman"/>
              </w:rPr>
            </w:pPr>
            <w:r>
              <w:rPr>
                <w:rFonts w:eastAsia="Times New Roman"/>
                <w:color w:val="000000"/>
                <w:sz w:val="20"/>
                <w:szCs w:val="20"/>
              </w:rPr>
              <w:t>Persons with disabilities</w:t>
            </w:r>
          </w:p>
        </w:tc>
        <w:tc>
          <w:tcPr>
            <w:tcW w:w="0" w:type="auto"/>
            <w:gridSpan w:val="3"/>
            <w:shd w:val="clear" w:color="auto" w:fill="CCEEFF"/>
            <w:tcMar>
              <w:top w:w="30" w:type="dxa"/>
              <w:left w:w="20" w:type="dxa"/>
              <w:bottom w:w="30" w:type="dxa"/>
              <w:right w:w="20" w:type="dxa"/>
            </w:tcMar>
            <w:vAlign w:val="bottom"/>
            <w:hideMark/>
          </w:tcPr>
          <w:p w14:paraId="148F7952" w14:textId="77777777" w:rsidR="00000000" w:rsidRDefault="001A570A">
            <w:pPr>
              <w:jc w:val="center"/>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14:paraId="5F2E084B"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01065B" w14:textId="77777777" w:rsidR="00000000" w:rsidRDefault="001A570A">
            <w:pPr>
              <w:jc w:val="center"/>
              <w:rPr>
                <w:rFonts w:eastAsia="Times New Roman"/>
              </w:rPr>
            </w:pPr>
            <w:r>
              <w:rPr>
                <w:rFonts w:eastAsia="Times New Roman"/>
                <w:color w:val="000000"/>
                <w:sz w:val="20"/>
                <w:szCs w:val="20"/>
              </w:rPr>
              <w:t>4%</w:t>
            </w:r>
          </w:p>
        </w:tc>
      </w:tr>
      <w:tr w:rsidR="00000000" w14:paraId="1078A061" w14:textId="77777777">
        <w:trPr>
          <w:divId w:val="1702823033"/>
        </w:trPr>
        <w:tc>
          <w:tcPr>
            <w:tcW w:w="0" w:type="auto"/>
            <w:gridSpan w:val="3"/>
            <w:shd w:val="clear" w:color="auto" w:fill="FFFFFF"/>
            <w:tcMar>
              <w:top w:w="30" w:type="dxa"/>
              <w:left w:w="20" w:type="dxa"/>
              <w:bottom w:w="30" w:type="dxa"/>
              <w:right w:w="20" w:type="dxa"/>
            </w:tcMar>
            <w:vAlign w:val="bottom"/>
            <w:hideMark/>
          </w:tcPr>
          <w:p w14:paraId="3F08328B" w14:textId="77777777" w:rsidR="00000000" w:rsidRDefault="001A570A">
            <w:pPr>
              <w:rPr>
                <w:rFonts w:eastAsia="Times New Roman"/>
              </w:rPr>
            </w:pPr>
            <w:r>
              <w:rPr>
                <w:rFonts w:eastAsia="Times New Roman"/>
                <w:color w:val="000000"/>
                <w:sz w:val="20"/>
                <w:szCs w:val="20"/>
              </w:rPr>
              <w:t>Veterans</w:t>
            </w:r>
          </w:p>
        </w:tc>
        <w:tc>
          <w:tcPr>
            <w:tcW w:w="0" w:type="auto"/>
            <w:gridSpan w:val="3"/>
            <w:shd w:val="clear" w:color="auto" w:fill="FFFFFF"/>
            <w:tcMar>
              <w:top w:w="30" w:type="dxa"/>
              <w:left w:w="20" w:type="dxa"/>
              <w:bottom w:w="30" w:type="dxa"/>
              <w:right w:w="20" w:type="dxa"/>
            </w:tcMar>
            <w:vAlign w:val="bottom"/>
            <w:hideMark/>
          </w:tcPr>
          <w:p w14:paraId="3887CAB3" w14:textId="77777777" w:rsidR="00000000" w:rsidRDefault="001A570A">
            <w:pPr>
              <w:jc w:val="center"/>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14:paraId="4C780473"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4F9E4C" w14:textId="77777777" w:rsidR="00000000" w:rsidRDefault="001A570A">
            <w:pPr>
              <w:jc w:val="center"/>
              <w:rPr>
                <w:rFonts w:eastAsia="Times New Roman"/>
              </w:rPr>
            </w:pPr>
            <w:r>
              <w:rPr>
                <w:rFonts w:eastAsia="Times New Roman"/>
                <w:color w:val="000000"/>
                <w:sz w:val="20"/>
                <w:szCs w:val="20"/>
              </w:rPr>
              <w:t>14%</w:t>
            </w:r>
          </w:p>
        </w:tc>
      </w:tr>
      <w:tr w:rsidR="00000000" w14:paraId="67DD0374" w14:textId="77777777">
        <w:trPr>
          <w:divId w:val="1702823033"/>
        </w:trPr>
        <w:tc>
          <w:tcPr>
            <w:tcW w:w="0" w:type="auto"/>
            <w:gridSpan w:val="3"/>
            <w:shd w:val="clear" w:color="auto" w:fill="CCEEFF"/>
            <w:tcMar>
              <w:top w:w="30" w:type="dxa"/>
              <w:left w:w="20" w:type="dxa"/>
              <w:bottom w:w="30" w:type="dxa"/>
              <w:right w:w="20" w:type="dxa"/>
            </w:tcMar>
            <w:vAlign w:val="center"/>
            <w:hideMark/>
          </w:tcPr>
          <w:p w14:paraId="7EAD69BF" w14:textId="77777777" w:rsidR="00000000" w:rsidRDefault="001A570A">
            <w:pPr>
              <w:divId w:val="150558935"/>
              <w:rPr>
                <w:rFonts w:eastAsia="Times New Roman"/>
              </w:rPr>
            </w:pPr>
            <w:r>
              <w:rPr>
                <w:rFonts w:eastAsia="Times New Roman"/>
                <w:b/>
                <w:bCs/>
                <w:color w:val="000000"/>
                <w:sz w:val="20"/>
                <w:szCs w:val="20"/>
              </w:rPr>
              <w:t>Generational breakou</w:t>
            </w:r>
            <w:r>
              <w:rPr>
                <w:rFonts w:eastAsia="Times New Roman"/>
                <w:b/>
                <w:bCs/>
                <w:color w:val="000000"/>
                <w:sz w:val="20"/>
                <w:szCs w:val="20"/>
              </w:rPr>
              <w:t>t</w:t>
            </w:r>
            <w:r>
              <w:rPr>
                <w:rFonts w:eastAsia="Times New Roman"/>
                <w:b/>
                <w:bCs/>
                <w:color w:val="000000"/>
                <w:sz w:val="13"/>
                <w:szCs w:val="13"/>
              </w:rPr>
              <w:t>(1</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DBED3A6"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A6C8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B28674" w14:textId="77777777" w:rsidR="00000000" w:rsidRDefault="001A570A">
            <w:pPr>
              <w:rPr>
                <w:rFonts w:eastAsia="Times New Roman"/>
                <w:sz w:val="20"/>
                <w:szCs w:val="20"/>
              </w:rPr>
            </w:pPr>
          </w:p>
        </w:tc>
      </w:tr>
      <w:tr w:rsidR="00000000" w14:paraId="32C099F0" w14:textId="77777777">
        <w:trPr>
          <w:divId w:val="1702823033"/>
        </w:trPr>
        <w:tc>
          <w:tcPr>
            <w:tcW w:w="0" w:type="auto"/>
            <w:gridSpan w:val="3"/>
            <w:shd w:val="clear" w:color="auto" w:fill="FFFFFF"/>
            <w:tcMar>
              <w:top w:w="30" w:type="dxa"/>
              <w:left w:w="20" w:type="dxa"/>
              <w:bottom w:w="30" w:type="dxa"/>
              <w:right w:w="20" w:type="dxa"/>
            </w:tcMar>
            <w:vAlign w:val="bottom"/>
            <w:hideMark/>
          </w:tcPr>
          <w:p w14:paraId="24DA67F6" w14:textId="77777777" w:rsidR="00000000" w:rsidRDefault="001A570A">
            <w:pPr>
              <w:rPr>
                <w:rFonts w:eastAsia="Times New Roman"/>
              </w:rPr>
            </w:pPr>
            <w:r>
              <w:rPr>
                <w:rFonts w:eastAsia="Times New Roman"/>
                <w:color w:val="000000"/>
                <w:sz w:val="20"/>
                <w:szCs w:val="20"/>
              </w:rPr>
              <w:t>Boomers (1945-1964)</w:t>
            </w:r>
          </w:p>
        </w:tc>
        <w:tc>
          <w:tcPr>
            <w:tcW w:w="0" w:type="auto"/>
            <w:gridSpan w:val="3"/>
            <w:shd w:val="clear" w:color="auto" w:fill="FFFFFF"/>
            <w:tcMar>
              <w:top w:w="30" w:type="dxa"/>
              <w:left w:w="20" w:type="dxa"/>
              <w:bottom w:w="30" w:type="dxa"/>
              <w:right w:w="20" w:type="dxa"/>
            </w:tcMar>
            <w:vAlign w:val="bottom"/>
            <w:hideMark/>
          </w:tcPr>
          <w:p w14:paraId="69D314A4" w14:textId="77777777" w:rsidR="00000000" w:rsidRDefault="001A570A">
            <w:pPr>
              <w:jc w:val="center"/>
              <w:rPr>
                <w:rFonts w:eastAsia="Times New Roman"/>
              </w:rPr>
            </w:pPr>
            <w:r>
              <w:rPr>
                <w:rFonts w:eastAsia="Times New Roman"/>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14:paraId="61CBD455"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9DAB46" w14:textId="77777777" w:rsidR="00000000" w:rsidRDefault="001A570A">
            <w:pPr>
              <w:jc w:val="center"/>
              <w:rPr>
                <w:rFonts w:eastAsia="Times New Roman"/>
              </w:rPr>
            </w:pPr>
            <w:r>
              <w:rPr>
                <w:rFonts w:eastAsia="Times New Roman"/>
                <w:color w:val="000000"/>
                <w:sz w:val="20"/>
                <w:szCs w:val="20"/>
              </w:rPr>
              <w:t>35%</w:t>
            </w:r>
          </w:p>
        </w:tc>
      </w:tr>
      <w:tr w:rsidR="00000000" w14:paraId="366E865A" w14:textId="77777777">
        <w:trPr>
          <w:divId w:val="1702823033"/>
        </w:trPr>
        <w:tc>
          <w:tcPr>
            <w:tcW w:w="0" w:type="auto"/>
            <w:gridSpan w:val="3"/>
            <w:shd w:val="clear" w:color="auto" w:fill="CCEEFF"/>
            <w:tcMar>
              <w:top w:w="30" w:type="dxa"/>
              <w:left w:w="20" w:type="dxa"/>
              <w:bottom w:w="30" w:type="dxa"/>
              <w:right w:w="20" w:type="dxa"/>
            </w:tcMar>
            <w:vAlign w:val="bottom"/>
            <w:hideMark/>
          </w:tcPr>
          <w:p w14:paraId="21DE492E" w14:textId="77777777" w:rsidR="00000000" w:rsidRDefault="001A570A">
            <w:pPr>
              <w:rPr>
                <w:rFonts w:eastAsia="Times New Roman"/>
              </w:rPr>
            </w:pPr>
            <w:r>
              <w:rPr>
                <w:rFonts w:eastAsia="Times New Roman"/>
                <w:color w:val="000000"/>
                <w:sz w:val="20"/>
                <w:szCs w:val="20"/>
              </w:rPr>
              <w:t>Generation X (1965-1980)</w:t>
            </w:r>
          </w:p>
        </w:tc>
        <w:tc>
          <w:tcPr>
            <w:tcW w:w="0" w:type="auto"/>
            <w:gridSpan w:val="3"/>
            <w:shd w:val="clear" w:color="auto" w:fill="CCEEFF"/>
            <w:tcMar>
              <w:top w:w="30" w:type="dxa"/>
              <w:left w:w="20" w:type="dxa"/>
              <w:bottom w:w="30" w:type="dxa"/>
              <w:right w:w="20" w:type="dxa"/>
            </w:tcMar>
            <w:vAlign w:val="bottom"/>
            <w:hideMark/>
          </w:tcPr>
          <w:p w14:paraId="67AA3E01" w14:textId="77777777" w:rsidR="00000000" w:rsidRDefault="001A570A">
            <w:pPr>
              <w:jc w:val="center"/>
              <w:rPr>
                <w:rFonts w:eastAsia="Times New Roman"/>
              </w:rPr>
            </w:pPr>
            <w:r>
              <w:rPr>
                <w:rFonts w:eastAsia="Times New Roman"/>
                <w:color w:val="000000"/>
                <w:sz w:val="20"/>
                <w:szCs w:val="20"/>
              </w:rPr>
              <w:t>35%</w:t>
            </w:r>
          </w:p>
        </w:tc>
        <w:tc>
          <w:tcPr>
            <w:tcW w:w="0" w:type="auto"/>
            <w:gridSpan w:val="3"/>
            <w:shd w:val="clear" w:color="auto" w:fill="CCEEFF"/>
            <w:tcMar>
              <w:top w:w="0" w:type="dxa"/>
              <w:left w:w="20" w:type="dxa"/>
              <w:bottom w:w="0" w:type="dxa"/>
              <w:right w:w="20" w:type="dxa"/>
            </w:tcMar>
            <w:vAlign w:val="center"/>
            <w:hideMark/>
          </w:tcPr>
          <w:p w14:paraId="09199378"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3B13AC" w14:textId="77777777" w:rsidR="00000000" w:rsidRDefault="001A570A">
            <w:pPr>
              <w:jc w:val="center"/>
              <w:rPr>
                <w:rFonts w:eastAsia="Times New Roman"/>
              </w:rPr>
            </w:pPr>
            <w:r>
              <w:rPr>
                <w:rFonts w:eastAsia="Times New Roman"/>
                <w:color w:val="000000"/>
                <w:sz w:val="20"/>
                <w:szCs w:val="20"/>
              </w:rPr>
              <w:t>55%</w:t>
            </w:r>
          </w:p>
        </w:tc>
      </w:tr>
      <w:tr w:rsidR="00000000" w14:paraId="4D48CB10" w14:textId="77777777">
        <w:trPr>
          <w:divId w:val="1702823033"/>
        </w:trPr>
        <w:tc>
          <w:tcPr>
            <w:tcW w:w="0" w:type="auto"/>
            <w:gridSpan w:val="3"/>
            <w:shd w:val="clear" w:color="auto" w:fill="FFFFFF"/>
            <w:tcMar>
              <w:top w:w="30" w:type="dxa"/>
              <w:left w:w="20" w:type="dxa"/>
              <w:bottom w:w="30" w:type="dxa"/>
              <w:right w:w="20" w:type="dxa"/>
            </w:tcMar>
            <w:vAlign w:val="bottom"/>
            <w:hideMark/>
          </w:tcPr>
          <w:p w14:paraId="4924EE81" w14:textId="77777777" w:rsidR="00000000" w:rsidRDefault="001A570A">
            <w:pPr>
              <w:rPr>
                <w:rFonts w:eastAsia="Times New Roman"/>
              </w:rPr>
            </w:pPr>
            <w:r>
              <w:rPr>
                <w:rFonts w:eastAsia="Times New Roman"/>
                <w:color w:val="000000"/>
                <w:sz w:val="20"/>
                <w:szCs w:val="20"/>
              </w:rPr>
              <w:t>Millennials (1981-1996)</w:t>
            </w:r>
          </w:p>
        </w:tc>
        <w:tc>
          <w:tcPr>
            <w:tcW w:w="0" w:type="auto"/>
            <w:gridSpan w:val="3"/>
            <w:shd w:val="clear" w:color="auto" w:fill="FFFFFF"/>
            <w:tcMar>
              <w:top w:w="30" w:type="dxa"/>
              <w:left w:w="20" w:type="dxa"/>
              <w:bottom w:w="30" w:type="dxa"/>
              <w:right w:w="20" w:type="dxa"/>
            </w:tcMar>
            <w:vAlign w:val="bottom"/>
            <w:hideMark/>
          </w:tcPr>
          <w:p w14:paraId="28DEB377" w14:textId="77777777" w:rsidR="00000000" w:rsidRDefault="001A570A">
            <w:pPr>
              <w:jc w:val="center"/>
              <w:rPr>
                <w:rFonts w:eastAsia="Times New Roman"/>
              </w:rPr>
            </w:pPr>
            <w:r>
              <w:rPr>
                <w:rFonts w:eastAsia="Times New Roman"/>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14:paraId="0297A597"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B83EAA" w14:textId="77777777" w:rsidR="00000000" w:rsidRDefault="001A570A">
            <w:pPr>
              <w:jc w:val="center"/>
              <w:rPr>
                <w:rFonts w:eastAsia="Times New Roman"/>
              </w:rPr>
            </w:pPr>
            <w:r>
              <w:rPr>
                <w:rFonts w:eastAsia="Times New Roman"/>
                <w:color w:val="000000"/>
                <w:sz w:val="20"/>
                <w:szCs w:val="20"/>
              </w:rPr>
              <w:t>10%</w:t>
            </w:r>
          </w:p>
        </w:tc>
      </w:tr>
      <w:tr w:rsidR="00000000" w14:paraId="1A8829DE" w14:textId="77777777">
        <w:trPr>
          <w:divId w:val="1702823033"/>
        </w:trPr>
        <w:tc>
          <w:tcPr>
            <w:tcW w:w="0" w:type="auto"/>
            <w:gridSpan w:val="3"/>
            <w:shd w:val="clear" w:color="auto" w:fill="CCEEFF"/>
            <w:tcMar>
              <w:top w:w="30" w:type="dxa"/>
              <w:left w:w="20" w:type="dxa"/>
              <w:bottom w:w="30" w:type="dxa"/>
              <w:right w:w="20" w:type="dxa"/>
            </w:tcMar>
            <w:vAlign w:val="bottom"/>
            <w:hideMark/>
          </w:tcPr>
          <w:p w14:paraId="7CA30458" w14:textId="77777777" w:rsidR="00000000" w:rsidRDefault="001A570A">
            <w:pPr>
              <w:rPr>
                <w:rFonts w:eastAsia="Times New Roman"/>
              </w:rPr>
            </w:pPr>
            <w:r>
              <w:rPr>
                <w:rFonts w:eastAsia="Times New Roman"/>
                <w:color w:val="000000"/>
                <w:sz w:val="20"/>
                <w:szCs w:val="20"/>
              </w:rPr>
              <w:t>Generation Z (after 1996)</w:t>
            </w:r>
          </w:p>
        </w:tc>
        <w:tc>
          <w:tcPr>
            <w:tcW w:w="0" w:type="auto"/>
            <w:gridSpan w:val="3"/>
            <w:shd w:val="clear" w:color="auto" w:fill="CCEEFF"/>
            <w:tcMar>
              <w:top w:w="30" w:type="dxa"/>
              <w:left w:w="20" w:type="dxa"/>
              <w:bottom w:w="30" w:type="dxa"/>
              <w:right w:w="20" w:type="dxa"/>
            </w:tcMar>
            <w:vAlign w:val="bottom"/>
            <w:hideMark/>
          </w:tcPr>
          <w:p w14:paraId="14EA9484" w14:textId="77777777" w:rsidR="00000000" w:rsidRDefault="001A570A">
            <w:pPr>
              <w:jc w:val="center"/>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14:paraId="065038D7"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EA13C03" w14:textId="77777777" w:rsidR="00000000" w:rsidRDefault="001A570A">
            <w:pPr>
              <w:jc w:val="center"/>
              <w:rPr>
                <w:rFonts w:eastAsia="Times New Roman"/>
              </w:rPr>
            </w:pPr>
            <w:r>
              <w:rPr>
                <w:rFonts w:eastAsia="Times New Roman"/>
                <w:color w:val="000000"/>
                <w:sz w:val="20"/>
                <w:szCs w:val="20"/>
              </w:rPr>
              <w:t>—%</w:t>
            </w:r>
          </w:p>
        </w:tc>
      </w:tr>
    </w:tbl>
    <w:p w14:paraId="74BAD6E7" w14:textId="77777777" w:rsidR="00000000" w:rsidRDefault="001A570A">
      <w:pPr>
        <w:divId w:val="774254950"/>
        <w:rPr>
          <w:rFonts w:eastAsia="Times New Roman"/>
        </w:rPr>
      </w:pPr>
      <w:r>
        <w:rPr>
          <w:rFonts w:eastAsia="Times New Roman"/>
          <w:color w:val="000000"/>
          <w:sz w:val="16"/>
          <w:szCs w:val="16"/>
        </w:rPr>
        <w:t>_______________</w:t>
      </w:r>
    </w:p>
    <w:p w14:paraId="3ED35108" w14:textId="77777777" w:rsidR="00000000" w:rsidRDefault="001A570A">
      <w:pPr>
        <w:ind w:hanging="360"/>
        <w:divId w:val="870454138"/>
        <w:rPr>
          <w:rFonts w:eastAsia="Times New Roman"/>
        </w:rPr>
      </w:pPr>
      <w:r>
        <w:rPr>
          <w:rFonts w:eastAsia="Times New Roman"/>
          <w:color w:val="000000"/>
          <w:sz w:val="16"/>
          <w:szCs w:val="16"/>
        </w:rPr>
        <w:t>(1)</w:t>
      </w:r>
      <w:r>
        <w:rPr>
          <w:rFonts w:eastAsia="Times New Roman"/>
          <w:color w:val="000000"/>
          <w:sz w:val="16"/>
          <w:szCs w:val="16"/>
        </w:rPr>
        <w:t xml:space="preserve">Age ranges align with Pew Research Center definitions. “Traditionalists” represent less than 1 percent of our employee population. </w:t>
      </w:r>
    </w:p>
    <w:p w14:paraId="4BD87626" w14:textId="77777777" w:rsidR="00000000" w:rsidRDefault="001A570A">
      <w:pPr>
        <w:ind w:firstLine="450"/>
        <w:divId w:val="884607066"/>
        <w:rPr>
          <w:rFonts w:eastAsia="Times New Roman"/>
        </w:rPr>
      </w:pPr>
      <w:r>
        <w:rPr>
          <w:rFonts w:eastAsia="Times New Roman"/>
          <w:color w:val="000000"/>
          <w:sz w:val="20"/>
          <w:szCs w:val="20"/>
        </w:rPr>
        <w:t>Additional information regarding our human capital strategy is available in our Diversity and Inclusion 2020 Annual Report that can be found on our company website. Information on our website, including our Diversity and Inclusion 2020 Annual Report, is no</w:t>
      </w:r>
      <w:r>
        <w:rPr>
          <w:rFonts w:eastAsia="Times New Roman"/>
          <w:color w:val="000000"/>
          <w:sz w:val="20"/>
          <w:szCs w:val="20"/>
        </w:rPr>
        <w:t xml:space="preserve">t incorporated by reference into this Report. </w:t>
      </w:r>
    </w:p>
    <w:p w14:paraId="4A396C44" w14:textId="77777777" w:rsidR="00000000" w:rsidRDefault="001A570A">
      <w:pPr>
        <w:divId w:val="1564291761"/>
        <w:rPr>
          <w:rFonts w:eastAsia="Times New Roman"/>
        </w:rPr>
      </w:pPr>
      <w:r>
        <w:rPr>
          <w:rFonts w:eastAsia="Times New Roman"/>
          <w:b/>
          <w:bCs/>
          <w:color w:val="000000"/>
          <w:sz w:val="20"/>
          <w:szCs w:val="20"/>
        </w:rPr>
        <w:t>Website Access to L3Harris Reports; Available Information</w:t>
      </w:r>
    </w:p>
    <w:p w14:paraId="17FB4C17" w14:textId="77777777" w:rsidR="00000000" w:rsidRDefault="001A570A">
      <w:pPr>
        <w:ind w:firstLine="450"/>
        <w:divId w:val="954825270"/>
        <w:rPr>
          <w:rFonts w:eastAsia="Times New Roman"/>
        </w:rPr>
      </w:pPr>
      <w:r>
        <w:rPr>
          <w:rFonts w:eastAsia="Times New Roman"/>
          <w:b/>
          <w:bCs/>
          <w:i/>
          <w:iCs/>
          <w:color w:val="000000"/>
          <w:sz w:val="20"/>
          <w:szCs w:val="20"/>
        </w:rPr>
        <w:t>General.</w:t>
      </w:r>
      <w:r>
        <w:rPr>
          <w:rFonts w:eastAsia="Times New Roman"/>
          <w:i/>
          <w:iCs/>
          <w:color w:val="000000"/>
          <w:sz w:val="20"/>
          <w:szCs w:val="20"/>
        </w:rPr>
        <w:t xml:space="preserve"> </w:t>
      </w:r>
      <w:r>
        <w:rPr>
          <w:rFonts w:eastAsia="Times New Roman"/>
          <w:color w:val="000000"/>
          <w:sz w:val="20"/>
          <w:szCs w:val="20"/>
        </w:rPr>
        <w:t xml:space="preserve">We maintain an Internet website at </w:t>
      </w:r>
      <w:r>
        <w:rPr>
          <w:rFonts w:eastAsia="Times New Roman"/>
          <w:i/>
          <w:iCs/>
          <w:color w:val="000000"/>
          <w:sz w:val="20"/>
          <w:szCs w:val="20"/>
        </w:rPr>
        <w:t>https://www.l3harris.com</w:t>
      </w:r>
      <w:r>
        <w:rPr>
          <w:rFonts w:eastAsia="Times New Roman"/>
          <w:color w:val="000000"/>
          <w:sz w:val="20"/>
          <w:szCs w:val="20"/>
        </w:rPr>
        <w:t>. Our annual reports on Form 10-K, this Report, quarterly reports on Form 10-Q, cur</w:t>
      </w:r>
      <w:r>
        <w:rPr>
          <w:rFonts w:eastAsia="Times New Roman"/>
          <w:color w:val="000000"/>
          <w:sz w:val="20"/>
          <w:szCs w:val="20"/>
        </w:rPr>
        <w:t xml:space="preserve">rent reports on Form 8-K and amendments to such reports, filed or furnished pursuant to Section 13(a) or 15(d) of the Exchange Act, are available free of charge on our website as soon as reasonably practicable after </w:t>
      </w:r>
    </w:p>
    <w:p w14:paraId="1EA2CA9A" w14:textId="77777777" w:rsidR="00000000" w:rsidRDefault="001A570A">
      <w:pPr>
        <w:ind w:firstLine="450"/>
        <w:jc w:val="center"/>
        <w:divId w:val="643850802"/>
        <w:rPr>
          <w:rFonts w:eastAsia="Times New Roman"/>
        </w:rPr>
      </w:pPr>
      <w:r>
        <w:rPr>
          <w:rFonts w:eastAsia="Times New Roman"/>
          <w:color w:val="000000"/>
          <w:sz w:val="20"/>
          <w:szCs w:val="20"/>
        </w:rPr>
        <w:t>10</w:t>
      </w:r>
    </w:p>
    <w:p w14:paraId="66432AEB" w14:textId="77777777" w:rsidR="00000000" w:rsidRDefault="001A570A">
      <w:pPr>
        <w:rPr>
          <w:rFonts w:eastAsia="Times New Roman"/>
        </w:rPr>
      </w:pPr>
      <w:r>
        <w:rPr>
          <w:rFonts w:eastAsia="Times New Roman"/>
        </w:rPr>
        <w:pict w14:anchorId="076EDD16">
          <v:rect id="_x0000_i1037" style="width:0;height:1.5pt" o:hralign="center" o:hrstd="t" o:hr="t" fillcolor="#a0a0a0" stroked="f"/>
        </w:pict>
      </w:r>
    </w:p>
    <w:p w14:paraId="39D26352" w14:textId="77777777" w:rsidR="00000000" w:rsidRDefault="001A570A">
      <w:pPr>
        <w:ind w:firstLine="450"/>
        <w:divId w:val="376012246"/>
        <w:rPr>
          <w:rFonts w:eastAsia="Times New Roman"/>
        </w:rPr>
      </w:pPr>
    </w:p>
    <w:p w14:paraId="5739147C" w14:textId="77777777" w:rsidR="00000000" w:rsidRDefault="001A570A">
      <w:pPr>
        <w:divId w:val="234361057"/>
        <w:rPr>
          <w:rFonts w:eastAsia="Times New Roman"/>
        </w:rPr>
      </w:pPr>
      <w:r>
        <w:rPr>
          <w:rFonts w:eastAsia="Times New Roman"/>
          <w:color w:val="000000"/>
          <w:sz w:val="20"/>
          <w:szCs w:val="20"/>
        </w:rPr>
        <w:t>these reports are electronically filed with or furnished to the U.S. Securities and Exchange Commission (“SEC”). We also will provide the reports in electronic or paper form free of charge upon request to our Secretary at L3Harris Technologies, Inc., 102</w:t>
      </w:r>
      <w:r>
        <w:rPr>
          <w:rFonts w:eastAsia="Times New Roman"/>
          <w:color w:val="000000"/>
          <w:sz w:val="20"/>
          <w:szCs w:val="20"/>
        </w:rPr>
        <w:t>5 West NASA Boulevard, Melbourne, Florida 32919. We also make available free of charge on our website our annual report to shareholders and proxy statement. Our website and the information posted thereon are not incorporated into this Report or any current</w:t>
      </w:r>
      <w:r>
        <w:rPr>
          <w:rFonts w:eastAsia="Times New Roman"/>
          <w:color w:val="000000"/>
          <w:sz w:val="20"/>
          <w:szCs w:val="20"/>
        </w:rPr>
        <w:t xml:space="preserve"> or other periodic report that we file with or furnish to the SEC. All reports we file with or furnish to the SEC also are available free of charge via the SEC’s electronic data gathering and retrieval, or EDGAR, system available through the SEC’s website </w:t>
      </w:r>
      <w:r>
        <w:rPr>
          <w:rFonts w:eastAsia="Times New Roman"/>
          <w:color w:val="000000"/>
          <w:sz w:val="20"/>
          <w:szCs w:val="20"/>
        </w:rPr>
        <w:t xml:space="preserve">at </w:t>
      </w:r>
      <w:r>
        <w:rPr>
          <w:rFonts w:eastAsia="Times New Roman"/>
          <w:i/>
          <w:iCs/>
          <w:color w:val="000000"/>
          <w:sz w:val="20"/>
          <w:szCs w:val="20"/>
        </w:rPr>
        <w:t>https://www.sec.gov.</w:t>
      </w:r>
    </w:p>
    <w:p w14:paraId="43D3AEC4" w14:textId="77777777" w:rsidR="00000000" w:rsidRDefault="001A570A">
      <w:pPr>
        <w:ind w:firstLine="450"/>
        <w:divId w:val="522479048"/>
        <w:rPr>
          <w:rFonts w:eastAsia="Times New Roman"/>
        </w:rPr>
      </w:pPr>
      <w:r>
        <w:rPr>
          <w:rFonts w:eastAsia="Times New Roman"/>
          <w:color w:val="000000"/>
          <w:sz w:val="20"/>
          <w:szCs w:val="20"/>
        </w:rPr>
        <w:t>Additional information relating to our business, including our business segments, is set forth in “Item 7. Management’s Discussion and Analysis of Financial Condition and Results of Operations” of this Report.</w:t>
      </w:r>
    </w:p>
    <w:p w14:paraId="2AE46740" w14:textId="77777777" w:rsidR="00000000" w:rsidRDefault="001A570A">
      <w:pPr>
        <w:ind w:firstLine="450"/>
        <w:divId w:val="1640695531"/>
        <w:rPr>
          <w:rFonts w:eastAsia="Times New Roman"/>
        </w:rPr>
      </w:pPr>
      <w:r>
        <w:rPr>
          <w:rFonts w:eastAsia="Times New Roman"/>
          <w:b/>
          <w:bCs/>
          <w:i/>
          <w:iCs/>
          <w:color w:val="000000"/>
          <w:sz w:val="20"/>
          <w:szCs w:val="20"/>
        </w:rPr>
        <w:t>Corporate Governance G</w:t>
      </w:r>
      <w:r>
        <w:rPr>
          <w:rFonts w:eastAsia="Times New Roman"/>
          <w:b/>
          <w:bCs/>
          <w:i/>
          <w:iCs/>
          <w:color w:val="000000"/>
          <w:sz w:val="20"/>
          <w:szCs w:val="20"/>
        </w:rPr>
        <w:t>uidelines and Committee Charters.</w:t>
      </w:r>
      <w:r>
        <w:rPr>
          <w:rFonts w:eastAsia="Times New Roman"/>
          <w:i/>
          <w:iCs/>
          <w:color w:val="000000"/>
          <w:sz w:val="20"/>
          <w:szCs w:val="20"/>
        </w:rPr>
        <w:t xml:space="preserve"> </w:t>
      </w:r>
      <w:r>
        <w:rPr>
          <w:rFonts w:eastAsia="Times New Roman"/>
          <w:color w:val="000000"/>
          <w:sz w:val="20"/>
          <w:szCs w:val="20"/>
        </w:rPr>
        <w:t xml:space="preserve">We previously adopted Corporate Governance Guidelines, which are available on the Corporate Governance section of our website at </w:t>
      </w:r>
      <w:r>
        <w:rPr>
          <w:rFonts w:eastAsia="Times New Roman"/>
          <w:i/>
          <w:iCs/>
          <w:color w:val="000000"/>
          <w:sz w:val="20"/>
          <w:szCs w:val="20"/>
        </w:rPr>
        <w:t>https://www.l3harris.com/company/environmental-social-and-governance</w:t>
      </w:r>
      <w:r>
        <w:rPr>
          <w:rFonts w:eastAsia="Times New Roman"/>
          <w:color w:val="000000"/>
          <w:sz w:val="20"/>
          <w:szCs w:val="20"/>
        </w:rPr>
        <w:t>. In addition, the charte</w:t>
      </w:r>
      <w:r>
        <w:rPr>
          <w:rFonts w:eastAsia="Times New Roman"/>
          <w:color w:val="000000"/>
          <w:sz w:val="20"/>
          <w:szCs w:val="20"/>
        </w:rPr>
        <w:t>rs of each of the standing committees of our Board of Directors, namely, the Audit Committee, Compensation Committee, Finance Committee and Nominating and Governance Committee, are also available on the Corporate Governance section of our website. A copy o</w:t>
      </w:r>
      <w:r>
        <w:rPr>
          <w:rFonts w:eastAsia="Times New Roman"/>
          <w:color w:val="000000"/>
          <w:sz w:val="20"/>
          <w:szCs w:val="20"/>
        </w:rPr>
        <w:t>f the charters is also available free of charge upon written request to our Secretary at L3Harris Technologies, Inc., 1025 West NASA Boulevard, Melbourne, Florida 32919.</w:t>
      </w:r>
    </w:p>
    <w:p w14:paraId="1759D81F" w14:textId="77777777" w:rsidR="00000000" w:rsidRDefault="001A570A">
      <w:pPr>
        <w:ind w:firstLine="450"/>
        <w:divId w:val="1644122126"/>
        <w:rPr>
          <w:rFonts w:eastAsia="Times New Roman"/>
        </w:rPr>
      </w:pPr>
      <w:r>
        <w:rPr>
          <w:rFonts w:eastAsia="Times New Roman"/>
          <w:b/>
          <w:bCs/>
          <w:i/>
          <w:iCs/>
          <w:color w:val="000000"/>
          <w:sz w:val="20"/>
          <w:szCs w:val="20"/>
        </w:rPr>
        <w:t>Certifications.</w:t>
      </w:r>
      <w:r>
        <w:rPr>
          <w:rFonts w:eastAsia="Times New Roman"/>
          <w:i/>
          <w:iCs/>
          <w:color w:val="000000"/>
          <w:sz w:val="20"/>
          <w:szCs w:val="20"/>
        </w:rPr>
        <w:t xml:space="preserve"> </w:t>
      </w:r>
      <w:r>
        <w:rPr>
          <w:rFonts w:eastAsia="Times New Roman"/>
          <w:color w:val="000000"/>
          <w:sz w:val="20"/>
          <w:szCs w:val="20"/>
        </w:rPr>
        <w:t xml:space="preserve">We have filed with the SEC the certifications required by Section 302 </w:t>
      </w:r>
      <w:r>
        <w:rPr>
          <w:rFonts w:eastAsia="Times New Roman"/>
          <w:color w:val="000000"/>
          <w:sz w:val="20"/>
          <w:szCs w:val="20"/>
        </w:rPr>
        <w:t>of the Sarbanes-Oxley Act of 2002 as exhibits to this Report. In addition, an annual CEO certification was submitted by our Chief Executive Officer to the NYSE in May 2020 in accordance with the NYSE’s listing standards, which included a certification that</w:t>
      </w:r>
      <w:r>
        <w:rPr>
          <w:rFonts w:eastAsia="Times New Roman"/>
          <w:color w:val="000000"/>
          <w:sz w:val="20"/>
          <w:szCs w:val="20"/>
        </w:rPr>
        <w:t xml:space="preserve"> he was not aware of any violation by L3Harris of the NYSE’s corporate governance listing standards.</w:t>
      </w:r>
    </w:p>
    <w:tbl>
      <w:tblPr>
        <w:tblW w:w="158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514"/>
        <w:gridCol w:w="36"/>
      </w:tblGrid>
      <w:tr w:rsidR="00000000" w14:paraId="2F7B875F" w14:textId="77777777">
        <w:trPr>
          <w:divId w:val="1778140228"/>
        </w:trPr>
        <w:tc>
          <w:tcPr>
            <w:tcW w:w="50" w:type="pct"/>
            <w:vAlign w:val="center"/>
            <w:hideMark/>
          </w:tcPr>
          <w:p w14:paraId="6CC4D6E1" w14:textId="77777777" w:rsidR="00000000" w:rsidRDefault="001A570A">
            <w:pPr>
              <w:ind w:firstLine="450"/>
              <w:rPr>
                <w:rFonts w:eastAsia="Times New Roman"/>
              </w:rPr>
            </w:pPr>
          </w:p>
        </w:tc>
        <w:tc>
          <w:tcPr>
            <w:tcW w:w="1935" w:type="pct"/>
            <w:vAlign w:val="center"/>
            <w:hideMark/>
          </w:tcPr>
          <w:p w14:paraId="567469BA" w14:textId="77777777" w:rsidR="00000000" w:rsidRDefault="001A570A">
            <w:pPr>
              <w:rPr>
                <w:rFonts w:eastAsia="Times New Roman"/>
                <w:sz w:val="20"/>
                <w:szCs w:val="20"/>
              </w:rPr>
            </w:pPr>
          </w:p>
        </w:tc>
        <w:tc>
          <w:tcPr>
            <w:tcW w:w="5" w:type="pct"/>
            <w:vAlign w:val="center"/>
            <w:hideMark/>
          </w:tcPr>
          <w:p w14:paraId="4B08E54D" w14:textId="77777777" w:rsidR="00000000" w:rsidRDefault="001A570A">
            <w:pPr>
              <w:rPr>
                <w:rFonts w:eastAsia="Times New Roman"/>
                <w:sz w:val="20"/>
                <w:szCs w:val="20"/>
              </w:rPr>
            </w:pPr>
          </w:p>
        </w:tc>
        <w:tc>
          <w:tcPr>
            <w:tcW w:w="50" w:type="pct"/>
            <w:vAlign w:val="center"/>
            <w:hideMark/>
          </w:tcPr>
          <w:p w14:paraId="2F51A7EB" w14:textId="77777777" w:rsidR="00000000" w:rsidRDefault="001A570A">
            <w:pPr>
              <w:rPr>
                <w:rFonts w:eastAsia="Times New Roman"/>
                <w:sz w:val="20"/>
                <w:szCs w:val="20"/>
              </w:rPr>
            </w:pPr>
          </w:p>
        </w:tc>
        <w:tc>
          <w:tcPr>
            <w:tcW w:w="2954" w:type="pct"/>
            <w:vAlign w:val="center"/>
            <w:hideMark/>
          </w:tcPr>
          <w:p w14:paraId="6AA3C041" w14:textId="77777777" w:rsidR="00000000" w:rsidRDefault="001A570A">
            <w:pPr>
              <w:rPr>
                <w:rFonts w:eastAsia="Times New Roman"/>
                <w:sz w:val="20"/>
                <w:szCs w:val="20"/>
              </w:rPr>
            </w:pPr>
          </w:p>
        </w:tc>
        <w:tc>
          <w:tcPr>
            <w:tcW w:w="5" w:type="pct"/>
            <w:vAlign w:val="center"/>
            <w:hideMark/>
          </w:tcPr>
          <w:p w14:paraId="27136E4F" w14:textId="77777777" w:rsidR="00000000" w:rsidRDefault="001A570A">
            <w:pPr>
              <w:rPr>
                <w:rFonts w:eastAsia="Times New Roman"/>
                <w:sz w:val="20"/>
                <w:szCs w:val="20"/>
              </w:rPr>
            </w:pPr>
          </w:p>
        </w:tc>
      </w:tr>
      <w:tr w:rsidR="00000000" w14:paraId="3D6EF7F2" w14:textId="77777777">
        <w:trPr>
          <w:divId w:val="1778140228"/>
        </w:trPr>
        <w:tc>
          <w:tcPr>
            <w:tcW w:w="0" w:type="auto"/>
            <w:gridSpan w:val="3"/>
            <w:tcMar>
              <w:top w:w="30" w:type="dxa"/>
              <w:left w:w="20" w:type="dxa"/>
              <w:bottom w:w="30" w:type="dxa"/>
              <w:right w:w="20" w:type="dxa"/>
            </w:tcMar>
            <w:hideMark/>
          </w:tcPr>
          <w:p w14:paraId="3105039B" w14:textId="77777777" w:rsidR="00000000" w:rsidRDefault="001A570A">
            <w:pPr>
              <w:rPr>
                <w:rFonts w:eastAsia="Times New Roman"/>
              </w:rPr>
            </w:pPr>
            <w:r>
              <w:rPr>
                <w:rFonts w:eastAsia="Times New Roman"/>
                <w:b/>
                <w:bCs/>
                <w:color w:val="000000"/>
                <w:sz w:val="20"/>
                <w:szCs w:val="20"/>
              </w:rPr>
              <w:t> ITEM 1A.</w:t>
            </w:r>
          </w:p>
        </w:tc>
        <w:tc>
          <w:tcPr>
            <w:tcW w:w="0" w:type="auto"/>
            <w:gridSpan w:val="3"/>
            <w:tcMar>
              <w:top w:w="30" w:type="dxa"/>
              <w:left w:w="20" w:type="dxa"/>
              <w:bottom w:w="30" w:type="dxa"/>
              <w:right w:w="20" w:type="dxa"/>
            </w:tcMar>
            <w:hideMark/>
          </w:tcPr>
          <w:p w14:paraId="28681EB6" w14:textId="77777777" w:rsidR="00000000" w:rsidRDefault="001A570A">
            <w:pPr>
              <w:rPr>
                <w:rFonts w:eastAsia="Times New Roman"/>
              </w:rPr>
            </w:pPr>
            <w:r>
              <w:rPr>
                <w:rFonts w:eastAsia="Times New Roman"/>
                <w:b/>
                <w:bCs/>
                <w:color w:val="000000"/>
                <w:sz w:val="20"/>
                <w:szCs w:val="20"/>
              </w:rPr>
              <w:t>RISK FACTORS.</w:t>
            </w:r>
          </w:p>
        </w:tc>
      </w:tr>
    </w:tbl>
    <w:p w14:paraId="652AD1DC" w14:textId="77777777" w:rsidR="00000000" w:rsidRDefault="001A570A">
      <w:pPr>
        <w:ind w:firstLine="450"/>
        <w:divId w:val="2031178577"/>
        <w:rPr>
          <w:rFonts w:eastAsia="Times New Roman"/>
        </w:rPr>
      </w:pPr>
      <w:r>
        <w:rPr>
          <w:rFonts w:eastAsia="Times New Roman"/>
          <w:color w:val="000000"/>
          <w:sz w:val="20"/>
          <w:szCs w:val="20"/>
        </w:rPr>
        <w:t>We have described many of the trends and other factors that we believe could impact our business and future results in “Item 7. Management’s Discussion and Analysis of Financial Condition and Results of Operations” of this Report. In addition, our business</w:t>
      </w:r>
      <w:r>
        <w:rPr>
          <w:rFonts w:eastAsia="Times New Roman"/>
          <w:color w:val="000000"/>
          <w:sz w:val="20"/>
          <w:szCs w:val="20"/>
        </w:rPr>
        <w:t>, financial condition, results of operations, cash flows and equity are subject to, and could be materially adversely affected by, various risks and uncertainties, including, without limitation, those set forth below, any one of which could cause our actua</w:t>
      </w:r>
      <w:r>
        <w:rPr>
          <w:rFonts w:eastAsia="Times New Roman"/>
          <w:color w:val="000000"/>
          <w:sz w:val="20"/>
          <w:szCs w:val="20"/>
        </w:rPr>
        <w:t>l results to vary materially from recent results or our anticipated future results.</w:t>
      </w:r>
    </w:p>
    <w:p w14:paraId="36C1C1AF" w14:textId="77777777" w:rsidR="00000000" w:rsidRDefault="001A570A">
      <w:pPr>
        <w:divId w:val="2048867435"/>
        <w:rPr>
          <w:rFonts w:eastAsia="Times New Roman"/>
        </w:rPr>
      </w:pPr>
      <w:r>
        <w:rPr>
          <w:rFonts w:eastAsia="Times New Roman"/>
          <w:b/>
          <w:bCs/>
          <w:color w:val="000000"/>
          <w:sz w:val="20"/>
          <w:szCs w:val="20"/>
        </w:rPr>
        <w:t>COVID-Related Risks</w:t>
      </w:r>
    </w:p>
    <w:p w14:paraId="42302B78" w14:textId="77777777" w:rsidR="00000000" w:rsidRDefault="001A570A">
      <w:pPr>
        <w:divId w:val="1770421238"/>
        <w:rPr>
          <w:rFonts w:eastAsia="Times New Roman"/>
        </w:rPr>
      </w:pPr>
      <w:r>
        <w:rPr>
          <w:rFonts w:eastAsia="Times New Roman"/>
          <w:b/>
          <w:bCs/>
          <w:i/>
          <w:iCs/>
          <w:color w:val="000000"/>
          <w:sz w:val="20"/>
          <w:szCs w:val="20"/>
        </w:rPr>
        <w:t>COVID and ongoing attempts to contain and reduce its spread could have a material adverse effect on our business operations, financial condition, result</w:t>
      </w:r>
      <w:r>
        <w:rPr>
          <w:rFonts w:eastAsia="Times New Roman"/>
          <w:b/>
          <w:bCs/>
          <w:i/>
          <w:iCs/>
          <w:color w:val="000000"/>
          <w:sz w:val="20"/>
          <w:szCs w:val="20"/>
        </w:rPr>
        <w:t>s of operations, cash flows and equity.</w:t>
      </w:r>
    </w:p>
    <w:p w14:paraId="4D006CB7" w14:textId="77777777" w:rsidR="00000000" w:rsidRDefault="001A570A">
      <w:pPr>
        <w:ind w:firstLine="450"/>
        <w:divId w:val="1001197579"/>
        <w:rPr>
          <w:rFonts w:eastAsia="Times New Roman"/>
        </w:rPr>
      </w:pPr>
      <w:r>
        <w:rPr>
          <w:rFonts w:eastAsia="Times New Roman"/>
          <w:color w:val="000000"/>
          <w:sz w:val="20"/>
          <w:szCs w:val="20"/>
        </w:rPr>
        <w:t>COVID, which in fiscal 2020 was recognized as a pandemic by the World Health Organization and declared a national emergency by the U.S. Government, and ongoing attempts to contain and reduce its spread, such as manda</w:t>
      </w:r>
      <w:r>
        <w:rPr>
          <w:rFonts w:eastAsia="Times New Roman"/>
          <w:color w:val="000000"/>
          <w:sz w:val="20"/>
          <w:szCs w:val="20"/>
        </w:rPr>
        <w:t>tory closures, “shelter-in-place” orders and travel and quarantine restrictions, have caused significant volatility, uncertainty, disruption and other adverse effects on the U.S. and global economies, including impacts to supply chains, customer demand, in</w:t>
      </w:r>
      <w:r>
        <w:rPr>
          <w:rFonts w:eastAsia="Times New Roman"/>
          <w:color w:val="000000"/>
          <w:sz w:val="20"/>
          <w:szCs w:val="20"/>
        </w:rPr>
        <w:t>ternational trade and capital markets. These effects have adversely affected certain of our business operations, may further adversely affect our business operations and may materially and adversely affect our financial condition, results of operations, ca</w:t>
      </w:r>
      <w:r>
        <w:rPr>
          <w:rFonts w:eastAsia="Times New Roman"/>
          <w:color w:val="000000"/>
          <w:sz w:val="20"/>
          <w:szCs w:val="20"/>
        </w:rPr>
        <w:t>sh flows and equity.</w:t>
      </w:r>
    </w:p>
    <w:p w14:paraId="24578552" w14:textId="77777777" w:rsidR="00000000" w:rsidRDefault="001A570A">
      <w:pPr>
        <w:ind w:firstLine="450"/>
        <w:divId w:val="105930154"/>
        <w:rPr>
          <w:rFonts w:eastAsia="Times New Roman"/>
        </w:rPr>
      </w:pPr>
      <w:r>
        <w:rPr>
          <w:rFonts w:eastAsia="Times New Roman"/>
          <w:color w:val="000000"/>
          <w:sz w:val="20"/>
          <w:szCs w:val="20"/>
        </w:rPr>
        <w:t xml:space="preserve">Our response to COVID and related impacts has involved increasing our focus on keeping our employees safe while striving to maintain continuity of operations, meet customer commitments and support suppliers. For example, we instituted </w:t>
      </w:r>
      <w:r>
        <w:rPr>
          <w:rFonts w:eastAsia="Times New Roman"/>
          <w:color w:val="000000"/>
          <w:sz w:val="20"/>
          <w:szCs w:val="20"/>
        </w:rPr>
        <w:t>work-from-home (for employees who are able to work remotely) and social distancing arrangements; canceled travel and external events; procured personal protective equipment for employees; implemented health screening procedures at all facilities; staggered</w:t>
      </w:r>
      <w:r>
        <w:rPr>
          <w:rFonts w:eastAsia="Times New Roman"/>
          <w:color w:val="000000"/>
          <w:sz w:val="20"/>
          <w:szCs w:val="20"/>
        </w:rPr>
        <w:t xml:space="preserve"> work shifts, redesigned work stations, implemented stringent cleaning protocols and initiated more detailed safety precautions and protocols for on-site work, such as daily health assessments and mandatory face coverings, which currently remain in effect.</w:t>
      </w:r>
      <w:r>
        <w:rPr>
          <w:rFonts w:eastAsia="Times New Roman"/>
          <w:color w:val="000000"/>
          <w:sz w:val="20"/>
          <w:szCs w:val="20"/>
        </w:rPr>
        <w:t xml:space="preserve"> We also have maintained an active dialog with key suppliers and developed plans to mitigate supply chain risks. We have allowed certain essential business travel to resume and continue to expect to utilize a phased approach based on local conditions for t</w:t>
      </w:r>
      <w:r>
        <w:rPr>
          <w:rFonts w:eastAsia="Times New Roman"/>
          <w:color w:val="000000"/>
          <w:sz w:val="20"/>
          <w:szCs w:val="20"/>
        </w:rPr>
        <w:t xml:space="preserve">ransitioning employees from work-from-home arrangements to on-site work. The U.S. Government response has included identifying the defense industrial base as a Critical Infrastructure Sector and enhancing cash flow and liquidity for the Defense Industrial </w:t>
      </w:r>
      <w:r>
        <w:rPr>
          <w:rFonts w:eastAsia="Times New Roman"/>
          <w:color w:val="000000"/>
          <w:sz w:val="20"/>
          <w:szCs w:val="20"/>
        </w:rPr>
        <w:t>Base, such as by increasing progress payments and accelerating contract awards. As a part of the Defense Industrial Base, these actions have enabled us to keep our U.S. production facilities largely operational in support of national security commitments t</w:t>
      </w:r>
      <w:r>
        <w:rPr>
          <w:rFonts w:eastAsia="Times New Roman"/>
          <w:color w:val="000000"/>
          <w:sz w:val="20"/>
          <w:szCs w:val="20"/>
        </w:rPr>
        <w:t>o U.S. Government customers and to accelerate payments to small business suppliers, which we expect to continue while the U.S. Government’s responsive actions remain in effect.</w:t>
      </w:r>
    </w:p>
    <w:p w14:paraId="4CA2504A" w14:textId="77777777" w:rsidR="00000000" w:rsidRDefault="001A570A">
      <w:pPr>
        <w:ind w:firstLine="450"/>
        <w:divId w:val="1550262936"/>
        <w:rPr>
          <w:rFonts w:eastAsia="Times New Roman"/>
        </w:rPr>
      </w:pPr>
      <w:r>
        <w:rPr>
          <w:rFonts w:eastAsia="Times New Roman"/>
          <w:color w:val="000000"/>
          <w:sz w:val="20"/>
          <w:szCs w:val="20"/>
        </w:rPr>
        <w:t>Although we believe that the large percentage of our revenue, earnings and cash</w:t>
      </w:r>
      <w:r>
        <w:rPr>
          <w:rFonts w:eastAsia="Times New Roman"/>
          <w:color w:val="000000"/>
          <w:sz w:val="20"/>
          <w:szCs w:val="20"/>
        </w:rPr>
        <w:t xml:space="preserve"> flow that is derived from sales to the U.S. Government, both directly and through prime contractors, will be relatively predictable, in part due to the responsive actions taken by the U.S. Government described above, our commercial, international and publ</w:t>
      </w:r>
      <w:r>
        <w:rPr>
          <w:rFonts w:eastAsia="Times New Roman"/>
          <w:color w:val="000000"/>
          <w:sz w:val="20"/>
          <w:szCs w:val="20"/>
        </w:rPr>
        <w:t>ic safety businesses have experienced adverse COVID-related impacts and remain at a higher risk of further adverse COVID-related impacts. For example, the severe decline in global air traffic from travel restrictions and the resulting downturn in the comme</w:t>
      </w:r>
      <w:r>
        <w:rPr>
          <w:rFonts w:eastAsia="Times New Roman"/>
          <w:color w:val="000000"/>
          <w:sz w:val="20"/>
          <w:szCs w:val="20"/>
        </w:rPr>
        <w:t xml:space="preserve">rcial aviation market and its impact on customer </w:t>
      </w:r>
    </w:p>
    <w:p w14:paraId="09EEF4E3" w14:textId="77777777" w:rsidR="00000000" w:rsidRDefault="001A570A">
      <w:pPr>
        <w:ind w:firstLine="450"/>
        <w:jc w:val="center"/>
        <w:divId w:val="1082527618"/>
        <w:rPr>
          <w:rFonts w:eastAsia="Times New Roman"/>
        </w:rPr>
      </w:pPr>
      <w:r>
        <w:rPr>
          <w:rFonts w:eastAsia="Times New Roman"/>
          <w:color w:val="000000"/>
          <w:sz w:val="20"/>
          <w:szCs w:val="20"/>
        </w:rPr>
        <w:t>11</w:t>
      </w:r>
    </w:p>
    <w:p w14:paraId="2F355F50" w14:textId="77777777" w:rsidR="00000000" w:rsidRDefault="001A570A">
      <w:pPr>
        <w:rPr>
          <w:rFonts w:eastAsia="Times New Roman"/>
        </w:rPr>
      </w:pPr>
      <w:r>
        <w:rPr>
          <w:rFonts w:eastAsia="Times New Roman"/>
        </w:rPr>
        <w:pict w14:anchorId="4324416D">
          <v:rect id="_x0000_i1038" style="width:0;height:1.5pt" o:hralign="center" o:hrstd="t" o:hr="t" fillcolor="#a0a0a0" stroked="f"/>
        </w:pict>
      </w:r>
    </w:p>
    <w:p w14:paraId="2D965868" w14:textId="77777777" w:rsidR="00000000" w:rsidRDefault="001A570A">
      <w:pPr>
        <w:ind w:firstLine="450"/>
        <w:divId w:val="1532183017"/>
        <w:rPr>
          <w:rFonts w:eastAsia="Times New Roman"/>
        </w:rPr>
      </w:pPr>
    </w:p>
    <w:p w14:paraId="7BCA472C" w14:textId="77777777" w:rsidR="00000000" w:rsidRDefault="001A570A">
      <w:pPr>
        <w:divId w:val="1914005528"/>
        <w:rPr>
          <w:rFonts w:eastAsia="Times New Roman"/>
        </w:rPr>
      </w:pPr>
      <w:r>
        <w:rPr>
          <w:rFonts w:eastAsia="Times New Roman"/>
          <w:color w:val="000000"/>
          <w:sz w:val="20"/>
          <w:szCs w:val="20"/>
        </w:rPr>
        <w:t>operations has significantly reduced demand for flight training, flight simulators and commercial avionics products in our Aviation Systems segment’s Commercial Aviation Solutions sector. As a result, we temporarily, a</w:t>
      </w:r>
      <w:r>
        <w:rPr>
          <w:rFonts w:eastAsia="Times New Roman"/>
          <w:color w:val="000000"/>
          <w:sz w:val="20"/>
          <w:szCs w:val="20"/>
        </w:rPr>
        <w:t>nd in some circumstances permanently, closed, or will soon close, some of our flight training facilities, initiated restructuring and other actions to align resources with the outlook for the commercial aviation market (including workforce reduction and fa</w:t>
      </w:r>
      <w:r>
        <w:rPr>
          <w:rFonts w:eastAsia="Times New Roman"/>
          <w:color w:val="000000"/>
          <w:sz w:val="20"/>
          <w:szCs w:val="20"/>
        </w:rPr>
        <w:t>cility consolidation) and also recognized $767 million of charges for impairment of goodwill and other assets and other COVID-related impacts in fiscal 2020.</w:t>
      </w:r>
    </w:p>
    <w:p w14:paraId="1A19686F" w14:textId="77777777" w:rsidR="00000000" w:rsidRDefault="001A570A">
      <w:pPr>
        <w:ind w:firstLine="450"/>
        <w:divId w:val="117988883"/>
        <w:rPr>
          <w:rFonts w:eastAsia="Times New Roman"/>
        </w:rPr>
      </w:pPr>
      <w:r>
        <w:rPr>
          <w:rFonts w:eastAsia="Times New Roman"/>
          <w:color w:val="000000"/>
          <w:sz w:val="20"/>
          <w:szCs w:val="20"/>
        </w:rPr>
        <w:t>We are continuing to closely monitor COVID-related impacts on all aspects of our business and geog</w:t>
      </w:r>
      <w:r>
        <w:rPr>
          <w:rFonts w:eastAsia="Times New Roman"/>
          <w:color w:val="000000"/>
          <w:sz w:val="20"/>
          <w:szCs w:val="20"/>
        </w:rPr>
        <w:t>raphies, including on our workforce, supply chain and customers. We may continue to or further restrict operations of our facilities if we deem it necessary or if recommended or mandated by governmental authorities, and we may experience further volatility</w:t>
      </w:r>
      <w:r>
        <w:rPr>
          <w:rFonts w:eastAsia="Times New Roman"/>
          <w:color w:val="000000"/>
          <w:sz w:val="20"/>
          <w:szCs w:val="20"/>
        </w:rPr>
        <w:t xml:space="preserve"> in the overall demand environment for our products, systems and services, any of which would have a further adverse impact on us. Our management’s focus on mitigating COVID-related impacts has required and will continue to require a large investment of ti</w:t>
      </w:r>
      <w:r>
        <w:rPr>
          <w:rFonts w:eastAsia="Times New Roman"/>
          <w:color w:val="000000"/>
          <w:sz w:val="20"/>
          <w:szCs w:val="20"/>
        </w:rPr>
        <w:t>me and resources across our enterprise, which may impact other value-added services or initiatives. Additionally, it remains uncertain when and on what scale our employees that are working remotely will return to work in person, and an extended period of r</w:t>
      </w:r>
      <w:r>
        <w:rPr>
          <w:rFonts w:eastAsia="Times New Roman"/>
          <w:color w:val="000000"/>
          <w:sz w:val="20"/>
          <w:szCs w:val="20"/>
        </w:rPr>
        <w:t>emote work arrangements could strain our business continuity plans, create additional operational risk, such as cyber security risks, and impair our ability to manage our business. We may suffer damage to our reputation, which could adversely affect our bu</w:t>
      </w:r>
      <w:r>
        <w:rPr>
          <w:rFonts w:eastAsia="Times New Roman"/>
          <w:color w:val="000000"/>
          <w:sz w:val="20"/>
          <w:szCs w:val="20"/>
        </w:rPr>
        <w:t>siness, if our responses to COVID-related impacts are unsuccessful or perceived as inadequate for the U.S. or our international markets.</w:t>
      </w:r>
    </w:p>
    <w:p w14:paraId="5BC83121" w14:textId="77777777" w:rsidR="00000000" w:rsidRDefault="001A570A">
      <w:pPr>
        <w:ind w:firstLine="450"/>
        <w:divId w:val="653024722"/>
        <w:rPr>
          <w:rFonts w:eastAsia="Times New Roman"/>
        </w:rPr>
      </w:pPr>
      <w:r>
        <w:rPr>
          <w:rFonts w:eastAsia="Times New Roman"/>
          <w:color w:val="000000"/>
          <w:sz w:val="20"/>
          <w:szCs w:val="20"/>
        </w:rPr>
        <w:t>COVID-related costs for us and our suppliers could be significant, and we are seeking reimbursement of certain COVID-re</w:t>
      </w:r>
      <w:r>
        <w:rPr>
          <w:rFonts w:eastAsia="Times New Roman"/>
          <w:color w:val="000000"/>
          <w:sz w:val="20"/>
          <w:szCs w:val="20"/>
        </w:rPr>
        <w:t>lated costs under our U.S. Government contracts through a combination of equitable adjustments to the contract price and reimbursement of the costs under Section 3610 of the Coronavirus Aid, Relief and Economic Security Act (“CARES Act”), which allows fede</w:t>
      </w:r>
      <w:r>
        <w:rPr>
          <w:rFonts w:eastAsia="Times New Roman"/>
          <w:color w:val="000000"/>
          <w:sz w:val="20"/>
          <w:szCs w:val="20"/>
        </w:rPr>
        <w:t>ral agencies to reimburse contractors at the minimum applicable contract billing rate for certain COVID-related costs from March 27, 2020 through March 31, 2021. Reimbursement of any costs under Section 3610 of the CARES Act would increase sales, but is no</w:t>
      </w:r>
      <w:r>
        <w:rPr>
          <w:rFonts w:eastAsia="Times New Roman"/>
          <w:color w:val="000000"/>
          <w:sz w:val="20"/>
          <w:szCs w:val="20"/>
        </w:rPr>
        <w:t>t expected to be at a profit or fee and, thus, would have the effect of reducing our margins in future periods. These cost increases, including costs for employees whose jobs cannot be performed remotely, may not be fully recoverable under our contracts, p</w:t>
      </w:r>
      <w:r>
        <w:rPr>
          <w:rFonts w:eastAsia="Times New Roman"/>
          <w:color w:val="000000"/>
          <w:sz w:val="20"/>
          <w:szCs w:val="20"/>
        </w:rPr>
        <w:t>articularly fixed-price contracts, or adequately covered by insurance. We also have no assurance that Congress will appropriate funds to cover the reimbursement of defense contractors as authorized by the CARES Act, which could reduce funds available for o</w:t>
      </w:r>
      <w:r>
        <w:rPr>
          <w:rFonts w:eastAsia="Times New Roman"/>
          <w:color w:val="000000"/>
          <w:sz w:val="20"/>
          <w:szCs w:val="20"/>
        </w:rPr>
        <w:t>ther U.S. Government defense priorities.</w:t>
      </w:r>
    </w:p>
    <w:p w14:paraId="2A11B1C8" w14:textId="77777777" w:rsidR="00000000" w:rsidRDefault="001A570A">
      <w:pPr>
        <w:ind w:firstLine="450"/>
        <w:divId w:val="1563364379"/>
        <w:rPr>
          <w:rFonts w:eastAsia="Times New Roman"/>
        </w:rPr>
      </w:pPr>
      <w:r>
        <w:rPr>
          <w:rFonts w:eastAsia="Times New Roman"/>
          <w:color w:val="000000"/>
          <w:sz w:val="20"/>
          <w:szCs w:val="20"/>
        </w:rPr>
        <w:t>The manner and extent to which COVID-related impacts further affect us, directly and indirectly by affecting our workforce, supply chain and customers, will depend on numerous evolving factors and future development</w:t>
      </w:r>
      <w:r>
        <w:rPr>
          <w:rFonts w:eastAsia="Times New Roman"/>
          <w:color w:val="000000"/>
          <w:sz w:val="20"/>
          <w:szCs w:val="20"/>
        </w:rPr>
        <w:t>s that we are not able to predict, including: the ultimate severity and duration of COVID; the extent, effectiveness and other consequences of attempts to contain and reduce its spread; governmental, business and other actions, which could include closures</w:t>
      </w:r>
      <w:r>
        <w:rPr>
          <w:rFonts w:eastAsia="Times New Roman"/>
          <w:color w:val="000000"/>
          <w:sz w:val="20"/>
          <w:szCs w:val="20"/>
        </w:rPr>
        <w:t xml:space="preserve"> or other limitations on our or our supply chain’s operations or mandates to provide products, systems or services; impacts on economic activity and customer demand, budgets and buying patterns; the health of and the effect on our workforce and our ability</w:t>
      </w:r>
      <w:r>
        <w:rPr>
          <w:rFonts w:eastAsia="Times New Roman"/>
          <w:color w:val="000000"/>
          <w:sz w:val="20"/>
          <w:szCs w:val="20"/>
        </w:rPr>
        <w:t xml:space="preserve"> to meet staffing needs in our businesses and facilities, particularly if members of our workforce are quarantined as a result of exposure; any impairment in value of our tangible or intangible assets which could be recorded as a result of weaker economic </w:t>
      </w:r>
      <w:r>
        <w:rPr>
          <w:rFonts w:eastAsia="Times New Roman"/>
          <w:color w:val="000000"/>
          <w:sz w:val="20"/>
          <w:szCs w:val="20"/>
        </w:rPr>
        <w:t>conditions; and the potential effects on our internal controls, including those over financial reporting, as a result of changes in working environments, among others. In addition, disruptions or turmoil in the credit or financial markets or impacts on our</w:t>
      </w:r>
      <w:r>
        <w:rPr>
          <w:rFonts w:eastAsia="Times New Roman"/>
          <w:color w:val="000000"/>
          <w:sz w:val="20"/>
          <w:szCs w:val="20"/>
        </w:rPr>
        <w:t xml:space="preserve"> credit ratings could adversely affect our ability to access capital on favorable terms and continue to meet our liquidity needs, all of which are highly uncertain and cannot be predicted. COVID-related impacts also may exacerbate other risks discussed bel</w:t>
      </w:r>
      <w:r>
        <w:rPr>
          <w:rFonts w:eastAsia="Times New Roman"/>
          <w:color w:val="000000"/>
          <w:sz w:val="20"/>
          <w:szCs w:val="20"/>
        </w:rPr>
        <w:t xml:space="preserve">ow, as well as affect us in a manner that we are not aware of currently, any of which could have a material effect on us. </w:t>
      </w:r>
    </w:p>
    <w:p w14:paraId="03DE03A0" w14:textId="77777777" w:rsidR="00000000" w:rsidRDefault="001A570A">
      <w:pPr>
        <w:divId w:val="44108834"/>
        <w:rPr>
          <w:rFonts w:eastAsia="Times New Roman"/>
        </w:rPr>
      </w:pPr>
      <w:r>
        <w:rPr>
          <w:rFonts w:eastAsia="Times New Roman"/>
          <w:b/>
          <w:bCs/>
          <w:color w:val="000000"/>
          <w:sz w:val="20"/>
          <w:szCs w:val="20"/>
        </w:rPr>
        <w:t>Macroeconomic, Industry and Governmental Risks</w:t>
      </w:r>
    </w:p>
    <w:p w14:paraId="773DCCEA" w14:textId="77777777" w:rsidR="00000000" w:rsidRDefault="001A570A">
      <w:pPr>
        <w:divId w:val="52512234"/>
        <w:rPr>
          <w:rFonts w:eastAsia="Times New Roman"/>
        </w:rPr>
      </w:pPr>
      <w:r>
        <w:rPr>
          <w:rFonts w:eastAsia="Times New Roman"/>
          <w:b/>
          <w:bCs/>
          <w:i/>
          <w:iCs/>
          <w:color w:val="000000"/>
          <w:sz w:val="20"/>
          <w:szCs w:val="20"/>
        </w:rPr>
        <w:t>We depend on U.S. Government customers for a significant portion of our revenue, and t</w:t>
      </w:r>
      <w:r>
        <w:rPr>
          <w:rFonts w:eastAsia="Times New Roman"/>
          <w:b/>
          <w:bCs/>
          <w:i/>
          <w:iCs/>
          <w:color w:val="000000"/>
          <w:sz w:val="20"/>
          <w:szCs w:val="20"/>
        </w:rPr>
        <w:t>he loss of these relationships, a reduction in U.S. Government funding or a change in U.S. Government spending priorities could have an adverse impact on our business, financial condition, results of operations, cash flows and equity.</w:t>
      </w:r>
    </w:p>
    <w:p w14:paraId="18EB2B44" w14:textId="77777777" w:rsidR="00000000" w:rsidRDefault="001A570A">
      <w:pPr>
        <w:ind w:firstLine="450"/>
        <w:divId w:val="1189028677"/>
        <w:rPr>
          <w:rFonts w:eastAsia="Times New Roman"/>
        </w:rPr>
      </w:pPr>
      <w:r>
        <w:rPr>
          <w:rFonts w:eastAsia="Times New Roman"/>
          <w:color w:val="000000"/>
          <w:sz w:val="20"/>
          <w:szCs w:val="20"/>
        </w:rPr>
        <w:t>We are highly dependent on sales to U.S. Government customers, primarily defense-related programs with the DoD and a broad range of programs with the U.S. Intelligence Community and other U.S. Government departments and agencies. The percentage of our reve</w:t>
      </w:r>
      <w:r>
        <w:rPr>
          <w:rFonts w:eastAsia="Times New Roman"/>
          <w:color w:val="000000"/>
          <w:sz w:val="20"/>
          <w:szCs w:val="20"/>
        </w:rPr>
        <w:t>nue derived from sales to U.S. Government customers, including foreign military sales funded through the U.S. Government, both directly and through prime contractors, was 78 percent, 73 percent, 77 percent and 75 percent in fiscal 2020, the two quarters en</w:t>
      </w:r>
      <w:r>
        <w:rPr>
          <w:rFonts w:eastAsia="Times New Roman"/>
          <w:color w:val="000000"/>
          <w:sz w:val="20"/>
          <w:szCs w:val="20"/>
        </w:rPr>
        <w:t>ded January 3, 2020, and fiscal 2019 and 2018, respectively. Therefore, any significant disruption or deterioration of our relationship with the U.S. Government (in particular, the DoD) would significantly reduce our revenue and have an adverse impact on o</w:t>
      </w:r>
      <w:r>
        <w:rPr>
          <w:rFonts w:eastAsia="Times New Roman"/>
          <w:color w:val="000000"/>
          <w:sz w:val="20"/>
          <w:szCs w:val="20"/>
        </w:rPr>
        <w:t>ur business, financial condition, results of operations, cash flows and equity.</w:t>
      </w:r>
    </w:p>
    <w:p w14:paraId="10E785BB" w14:textId="77777777" w:rsidR="00000000" w:rsidRDefault="001A570A">
      <w:pPr>
        <w:ind w:firstLine="450"/>
        <w:divId w:val="259802160"/>
        <w:rPr>
          <w:rFonts w:eastAsia="Times New Roman"/>
        </w:rPr>
      </w:pPr>
      <w:r>
        <w:rPr>
          <w:rFonts w:eastAsia="Times New Roman"/>
          <w:color w:val="000000"/>
          <w:sz w:val="20"/>
          <w:szCs w:val="20"/>
        </w:rPr>
        <w:t>We operate in highly competitive markets, and the U.S. Government may choose to use contractors other than us, for example as part of competitive bidding processes (through whi</w:t>
      </w:r>
      <w:r>
        <w:rPr>
          <w:rFonts w:eastAsia="Times New Roman"/>
          <w:color w:val="000000"/>
          <w:sz w:val="20"/>
          <w:szCs w:val="20"/>
        </w:rPr>
        <w:t>ch we expect that a majority of the business we seek will be awarded), or otherwise due to our competitors’ ongoing efforts to expand their business relationships with the U.S. Government. The U.S. Government has increasingly relied on certain types of con</w:t>
      </w:r>
      <w:r>
        <w:rPr>
          <w:rFonts w:eastAsia="Times New Roman"/>
          <w:color w:val="000000"/>
          <w:sz w:val="20"/>
          <w:szCs w:val="20"/>
        </w:rPr>
        <w:t>tracts that are subject to multiple competitive bidding processes, including multi-vendor IDIQ, GWAC, General Services Administration Schedule and other multi-award contracts, which has resulted in greater competition and increased pricing pressure. Some o</w:t>
      </w:r>
      <w:r>
        <w:rPr>
          <w:rFonts w:eastAsia="Times New Roman"/>
          <w:color w:val="000000"/>
          <w:sz w:val="20"/>
          <w:szCs w:val="20"/>
        </w:rPr>
        <w:t xml:space="preserve">f our competitors have greater financial </w:t>
      </w:r>
    </w:p>
    <w:p w14:paraId="1D0208FD" w14:textId="77777777" w:rsidR="00000000" w:rsidRDefault="001A570A">
      <w:pPr>
        <w:ind w:firstLine="450"/>
        <w:jc w:val="center"/>
        <w:divId w:val="317342859"/>
        <w:rPr>
          <w:rFonts w:eastAsia="Times New Roman"/>
        </w:rPr>
      </w:pPr>
      <w:r>
        <w:rPr>
          <w:rFonts w:eastAsia="Times New Roman"/>
          <w:color w:val="000000"/>
          <w:sz w:val="20"/>
          <w:szCs w:val="20"/>
        </w:rPr>
        <w:t>12</w:t>
      </w:r>
    </w:p>
    <w:p w14:paraId="721F9245" w14:textId="77777777" w:rsidR="00000000" w:rsidRDefault="001A570A">
      <w:pPr>
        <w:rPr>
          <w:rFonts w:eastAsia="Times New Roman"/>
        </w:rPr>
      </w:pPr>
      <w:r>
        <w:rPr>
          <w:rFonts w:eastAsia="Times New Roman"/>
        </w:rPr>
        <w:pict w14:anchorId="60EEC16C">
          <v:rect id="_x0000_i1039" style="width:0;height:1.5pt" o:hralign="center" o:hrstd="t" o:hr="t" fillcolor="#a0a0a0" stroked="f"/>
        </w:pict>
      </w:r>
    </w:p>
    <w:p w14:paraId="403B6265" w14:textId="77777777" w:rsidR="00000000" w:rsidRDefault="001A570A">
      <w:pPr>
        <w:ind w:firstLine="450"/>
        <w:divId w:val="1145660399"/>
        <w:rPr>
          <w:rFonts w:eastAsia="Times New Roman"/>
        </w:rPr>
      </w:pPr>
    </w:p>
    <w:p w14:paraId="413A83F3" w14:textId="77777777" w:rsidR="00000000" w:rsidRDefault="001A570A">
      <w:pPr>
        <w:divId w:val="1390957648"/>
        <w:rPr>
          <w:rFonts w:eastAsia="Times New Roman"/>
        </w:rPr>
      </w:pPr>
      <w:r>
        <w:rPr>
          <w:rFonts w:eastAsia="Times New Roman"/>
          <w:color w:val="000000"/>
          <w:sz w:val="20"/>
          <w:szCs w:val="20"/>
        </w:rPr>
        <w:t>resources than we do and may have more extensive or more specialized engineering, manufacturing and marketing capabilities than we do in some areas. We may not be able to c</w:t>
      </w:r>
      <w:r>
        <w:rPr>
          <w:rFonts w:eastAsia="Times New Roman"/>
          <w:color w:val="000000"/>
          <w:sz w:val="20"/>
          <w:szCs w:val="20"/>
        </w:rPr>
        <w:t xml:space="preserve">ontinue to win competitively awarded contracts or to obtain task orders under multi-award contracts. Further, competitive bidding processes involve significant cost and managerial time to prepare bids and proposals for contracts that may not be awarded to </w:t>
      </w:r>
      <w:r>
        <w:rPr>
          <w:rFonts w:eastAsia="Times New Roman"/>
          <w:color w:val="000000"/>
          <w:sz w:val="20"/>
          <w:szCs w:val="20"/>
        </w:rPr>
        <w:t>us or may be split with competitors and the risk that we may fail to accurately estimate the resources and costs required to fulfill any contract awarded to us. The current competitive bidding environment has resulted in an increase of bid protests from un</w:t>
      </w:r>
      <w:r>
        <w:rPr>
          <w:rFonts w:eastAsia="Times New Roman"/>
          <w:color w:val="000000"/>
          <w:sz w:val="20"/>
          <w:szCs w:val="20"/>
        </w:rPr>
        <w:t>successful bidders, which typically extends the time until work on a contract can begin and may result in us experiencing significant expense or delay, contract modification or contract rescission as a result of our competitors protesting or challenging co</w:t>
      </w:r>
      <w:r>
        <w:rPr>
          <w:rFonts w:eastAsia="Times New Roman"/>
          <w:color w:val="000000"/>
          <w:sz w:val="20"/>
          <w:szCs w:val="20"/>
        </w:rPr>
        <w:t xml:space="preserve">ntracts awarded to us. </w:t>
      </w:r>
    </w:p>
    <w:p w14:paraId="7CE4D126" w14:textId="77777777" w:rsidR="00000000" w:rsidRDefault="001A570A">
      <w:pPr>
        <w:ind w:firstLine="450"/>
        <w:divId w:val="532498100"/>
        <w:rPr>
          <w:rFonts w:eastAsia="Times New Roman"/>
        </w:rPr>
      </w:pPr>
      <w:r>
        <w:rPr>
          <w:rFonts w:eastAsia="Times New Roman"/>
          <w:color w:val="000000"/>
          <w:sz w:val="20"/>
          <w:szCs w:val="20"/>
        </w:rPr>
        <w:t>Our U.S. Government programs must compete with programs managed by other government contractors and with other policy imperatives for consideration for limited resources and for uncertain levels of funding during the budget and appr</w:t>
      </w:r>
      <w:r>
        <w:rPr>
          <w:rFonts w:eastAsia="Times New Roman"/>
          <w:color w:val="000000"/>
          <w:sz w:val="20"/>
          <w:szCs w:val="20"/>
        </w:rPr>
        <w:t>opriations process. Budget and appropriations decisions made by the U.S. Government are outside of our control and have long-term consequences for our business. U.S. Government spending priorities and levels remain uncertain and difficult to predict and ar</w:t>
      </w:r>
      <w:r>
        <w:rPr>
          <w:rFonts w:eastAsia="Times New Roman"/>
          <w:color w:val="000000"/>
          <w:sz w:val="20"/>
          <w:szCs w:val="20"/>
        </w:rPr>
        <w:t xml:space="preserve">e affected by numerous factors, including sequestration (automatic, across-the-board U.S. Government budgetary spending cuts) and potential alternative funding arrangements. A change in U.S. Government spending priorities or an increase in non-procurement </w:t>
      </w:r>
      <w:r>
        <w:rPr>
          <w:rFonts w:eastAsia="Times New Roman"/>
          <w:color w:val="000000"/>
          <w:sz w:val="20"/>
          <w:szCs w:val="20"/>
        </w:rPr>
        <w:t>spending at the expense of our programs, or a reduction in total U.S. Government spending, could have material adverse consequences on our current or future business. Any inability of the U.S. Government to complete its budget process for any government fi</w:t>
      </w:r>
      <w:r>
        <w:rPr>
          <w:rFonts w:eastAsia="Times New Roman"/>
          <w:color w:val="000000"/>
          <w:sz w:val="20"/>
          <w:szCs w:val="20"/>
        </w:rPr>
        <w:t>scal year, and consequently having to operate on funding levels equivalent to its prior fiscal year pursuant to a “continuing resolution” or shut down, also could have material adverse consequences on our current or future business. For more information re</w:t>
      </w:r>
      <w:r>
        <w:rPr>
          <w:rFonts w:eastAsia="Times New Roman"/>
          <w:color w:val="000000"/>
          <w:sz w:val="20"/>
          <w:szCs w:val="20"/>
        </w:rPr>
        <w:t>garding sequestration, see “Item 7. Management’s Discussion and Analysis of Financial Condition and Results of Operations - Business Considerations - Industry-Wide Opportunities, Challenges and Risks” of this Report.</w:t>
      </w:r>
    </w:p>
    <w:p w14:paraId="713890C5" w14:textId="77777777" w:rsidR="00000000" w:rsidRDefault="001A570A">
      <w:pPr>
        <w:divId w:val="2043437409"/>
        <w:rPr>
          <w:rFonts w:eastAsia="Times New Roman"/>
        </w:rPr>
      </w:pPr>
      <w:r>
        <w:rPr>
          <w:rFonts w:eastAsia="Times New Roman"/>
          <w:b/>
          <w:bCs/>
          <w:i/>
          <w:iCs/>
          <w:color w:val="000000"/>
          <w:sz w:val="20"/>
          <w:szCs w:val="20"/>
        </w:rPr>
        <w:t>We depend significantly on U.S. Governm</w:t>
      </w:r>
      <w:r>
        <w:rPr>
          <w:rFonts w:eastAsia="Times New Roman"/>
          <w:b/>
          <w:bCs/>
          <w:i/>
          <w:iCs/>
          <w:color w:val="000000"/>
          <w:sz w:val="20"/>
          <w:szCs w:val="20"/>
        </w:rPr>
        <w:t>ent contracts, which often are only partially funded, subject to immediate termination, and heavily regulated and audited. The termination or failure to fund, or negative audit findings for, one or more of these contracts could have an adverse impact on ou</w:t>
      </w:r>
      <w:r>
        <w:rPr>
          <w:rFonts w:eastAsia="Times New Roman"/>
          <w:b/>
          <w:bCs/>
          <w:i/>
          <w:iCs/>
          <w:color w:val="000000"/>
          <w:sz w:val="20"/>
          <w:szCs w:val="20"/>
        </w:rPr>
        <w:t>r business, financial condition, results of operations, cash flows and equity.</w:t>
      </w:r>
    </w:p>
    <w:p w14:paraId="2216BA0C" w14:textId="77777777" w:rsidR="00000000" w:rsidRDefault="001A570A">
      <w:pPr>
        <w:ind w:firstLine="450"/>
        <w:divId w:val="1645885923"/>
        <w:rPr>
          <w:rFonts w:eastAsia="Times New Roman"/>
        </w:rPr>
      </w:pPr>
      <w:r>
        <w:rPr>
          <w:rFonts w:eastAsia="Times New Roman"/>
          <w:color w:val="000000"/>
          <w:sz w:val="20"/>
          <w:szCs w:val="20"/>
        </w:rPr>
        <w:t xml:space="preserve">A U.S. Government program may be implemented by the award of many different individual contracts and subcontracts over its lifetime, and its funding is subject to Congressional </w:t>
      </w:r>
      <w:r>
        <w:rPr>
          <w:rFonts w:eastAsia="Times New Roman"/>
          <w:color w:val="000000"/>
          <w:sz w:val="20"/>
          <w:szCs w:val="20"/>
        </w:rPr>
        <w:t>appropriations, which have been affected by larger U.S. Government budgetary issues and related legislation in recent years. Although multi-year contracts may be authorized and appropriated in connection with major procurements, Congress generally appropri</w:t>
      </w:r>
      <w:r>
        <w:rPr>
          <w:rFonts w:eastAsia="Times New Roman"/>
          <w:color w:val="000000"/>
          <w:sz w:val="20"/>
          <w:szCs w:val="20"/>
        </w:rPr>
        <w:t xml:space="preserve">ates funds on a government fiscal year basis. Procurement funds are typically made available for obligation over the course of one to three years. Consequently, programs often initially receive only partial funding, and additional funds are obligated only </w:t>
      </w:r>
      <w:r>
        <w:rPr>
          <w:rFonts w:eastAsia="Times New Roman"/>
          <w:color w:val="000000"/>
          <w:sz w:val="20"/>
          <w:szCs w:val="20"/>
        </w:rPr>
        <w:t>as Congress authorizes further appropriations. We cannot predict the extent to which total funding and/or funding for individual programs will be included, increased or reduced as part of the annual appropriations process ultimately approved by Congress an</w:t>
      </w:r>
      <w:r>
        <w:rPr>
          <w:rFonts w:eastAsia="Times New Roman"/>
          <w:color w:val="000000"/>
          <w:sz w:val="20"/>
          <w:szCs w:val="20"/>
        </w:rPr>
        <w:t>d the President or in separate supplemental appropriations or continuing resolutions, as applicable. The termination of funding for a U.S. Government program would result in a loss of anticipated future revenue attributable to that program, which could hav</w:t>
      </w:r>
      <w:r>
        <w:rPr>
          <w:rFonts w:eastAsia="Times New Roman"/>
          <w:color w:val="000000"/>
          <w:sz w:val="20"/>
          <w:szCs w:val="20"/>
        </w:rPr>
        <w:t>e an adverse impact on our operations. In addition, the termination of a program or the failure to commit additional funds to a program that already has been started could result in lost revenue and increase our overall costs of doing business.</w:t>
      </w:r>
    </w:p>
    <w:p w14:paraId="5CEC282A" w14:textId="77777777" w:rsidR="00000000" w:rsidRDefault="001A570A">
      <w:pPr>
        <w:ind w:firstLine="450"/>
        <w:divId w:val="1703288585"/>
        <w:rPr>
          <w:rFonts w:eastAsia="Times New Roman"/>
        </w:rPr>
      </w:pPr>
      <w:r>
        <w:rPr>
          <w:rFonts w:eastAsia="Times New Roman"/>
          <w:color w:val="000000"/>
          <w:sz w:val="20"/>
          <w:szCs w:val="20"/>
        </w:rPr>
        <w:t>U.S. Govern</w:t>
      </w:r>
      <w:r>
        <w:rPr>
          <w:rFonts w:eastAsia="Times New Roman"/>
          <w:color w:val="000000"/>
          <w:sz w:val="20"/>
          <w:szCs w:val="20"/>
        </w:rPr>
        <w:t>ment contracts also generally are subject to U.S. Government oversight audits, which could result in adjustments to our contract costs. Any costs found to be improperly allocated to a specific contract will not be reimbursed, and such costs already reimbur</w:t>
      </w:r>
      <w:r>
        <w:rPr>
          <w:rFonts w:eastAsia="Times New Roman"/>
          <w:color w:val="000000"/>
          <w:sz w:val="20"/>
          <w:szCs w:val="20"/>
        </w:rPr>
        <w:t xml:space="preserve">sed must be refunded. We have recorded contract revenue based on costs we expect to realize upon final audit. However, we do not know the outcome of any future audits and adjustments, and we may be required to materially reduce our revenue or profits upon </w:t>
      </w:r>
      <w:r>
        <w:rPr>
          <w:rFonts w:eastAsia="Times New Roman"/>
          <w:color w:val="000000"/>
          <w:sz w:val="20"/>
          <w:szCs w:val="20"/>
        </w:rPr>
        <w:t>completion and final negotiation of audits. Negative audit findings could also result in termination of a contract, forfeiture of profits, suspension of payments, fines or suspension or debarment from U.S. Government contracting or subcontracting for a per</w:t>
      </w:r>
      <w:r>
        <w:rPr>
          <w:rFonts w:eastAsia="Times New Roman"/>
          <w:color w:val="000000"/>
          <w:sz w:val="20"/>
          <w:szCs w:val="20"/>
        </w:rPr>
        <w:t>iod of time.</w:t>
      </w:r>
    </w:p>
    <w:p w14:paraId="6ACDA9DF" w14:textId="77777777" w:rsidR="00000000" w:rsidRDefault="001A570A">
      <w:pPr>
        <w:ind w:firstLine="450"/>
        <w:divId w:val="816189022"/>
        <w:rPr>
          <w:rFonts w:eastAsia="Times New Roman"/>
        </w:rPr>
      </w:pPr>
      <w:r>
        <w:rPr>
          <w:rFonts w:eastAsia="Times New Roman"/>
          <w:color w:val="000000"/>
          <w:sz w:val="20"/>
          <w:szCs w:val="20"/>
        </w:rPr>
        <w:t>In addition, U.S. Government contracts generally contain provisions permitting termination, in whole or in part, without prior notice at the U.S. Government’s convenience upon payment only for work done and commitments made at the time of term</w:t>
      </w:r>
      <w:r>
        <w:rPr>
          <w:rFonts w:eastAsia="Times New Roman"/>
          <w:color w:val="000000"/>
          <w:sz w:val="20"/>
          <w:szCs w:val="20"/>
        </w:rPr>
        <w:t>ination. For some contracts, we are a subcontractor and not the prime contractor, and in those arrangements, the U.S. Government could terminate the prime contractor for convenience without regard for our performance as a subcontractor. We may be unable to</w:t>
      </w:r>
      <w:r>
        <w:rPr>
          <w:rFonts w:eastAsia="Times New Roman"/>
          <w:color w:val="000000"/>
          <w:sz w:val="20"/>
          <w:szCs w:val="20"/>
        </w:rPr>
        <w:t xml:space="preserve"> procure new contracts to offset revenue or backlog lost as a result of any termination of our U.S. Government contracts. Because a significant portion of our revenue is dependent on our performance and payment under our U.S. Government contracts, the loss</w:t>
      </w:r>
      <w:r>
        <w:rPr>
          <w:rFonts w:eastAsia="Times New Roman"/>
          <w:color w:val="000000"/>
          <w:sz w:val="20"/>
          <w:szCs w:val="20"/>
        </w:rPr>
        <w:t xml:space="preserve"> of one or more large contracts could have a material adverse impact on our business, financial condition, results of operations, cash flows and equity.</w:t>
      </w:r>
    </w:p>
    <w:p w14:paraId="6EFACF50" w14:textId="77777777" w:rsidR="00000000" w:rsidRDefault="001A570A">
      <w:pPr>
        <w:ind w:firstLine="450"/>
        <w:divId w:val="1057825036"/>
        <w:rPr>
          <w:rFonts w:eastAsia="Times New Roman"/>
        </w:rPr>
      </w:pPr>
      <w:r>
        <w:rPr>
          <w:rFonts w:eastAsia="Times New Roman"/>
          <w:color w:val="000000"/>
          <w:sz w:val="20"/>
          <w:szCs w:val="20"/>
        </w:rPr>
        <w:t>Our U.S. Government business also is subject to specific procurement regulations and a variety of socio</w:t>
      </w:r>
      <w:r>
        <w:rPr>
          <w:rFonts w:eastAsia="Times New Roman"/>
          <w:color w:val="000000"/>
          <w:sz w:val="20"/>
          <w:szCs w:val="20"/>
        </w:rPr>
        <w:t>economic and other requirements that, although customary in U.S. Government contracts, increase our performance and compliance costs. These costs might increase in the future, thereby reducing our margins, which could have an adverse effect on our business</w:t>
      </w:r>
      <w:r>
        <w:rPr>
          <w:rFonts w:eastAsia="Times New Roman"/>
          <w:color w:val="000000"/>
          <w:sz w:val="20"/>
          <w:szCs w:val="20"/>
        </w:rPr>
        <w:t xml:space="preserve">, financial condition, results of operations, cash flows and equity. In addition, the U.S. Government has and may continue to implement </w:t>
      </w:r>
    </w:p>
    <w:p w14:paraId="26F02148" w14:textId="77777777" w:rsidR="00000000" w:rsidRDefault="001A570A">
      <w:pPr>
        <w:ind w:firstLine="450"/>
        <w:jc w:val="center"/>
        <w:divId w:val="1277369178"/>
        <w:rPr>
          <w:rFonts w:eastAsia="Times New Roman"/>
        </w:rPr>
      </w:pPr>
      <w:r>
        <w:rPr>
          <w:rFonts w:eastAsia="Times New Roman"/>
          <w:color w:val="000000"/>
          <w:sz w:val="20"/>
          <w:szCs w:val="20"/>
        </w:rPr>
        <w:t>13</w:t>
      </w:r>
    </w:p>
    <w:p w14:paraId="65398C50" w14:textId="77777777" w:rsidR="00000000" w:rsidRDefault="001A570A">
      <w:pPr>
        <w:rPr>
          <w:rFonts w:eastAsia="Times New Roman"/>
        </w:rPr>
      </w:pPr>
      <w:r>
        <w:rPr>
          <w:rFonts w:eastAsia="Times New Roman"/>
        </w:rPr>
        <w:pict w14:anchorId="427F295F">
          <v:rect id="_x0000_i1040" style="width:0;height:1.5pt" o:hralign="center" o:hrstd="t" o:hr="t" fillcolor="#a0a0a0" stroked="f"/>
        </w:pict>
      </w:r>
    </w:p>
    <w:p w14:paraId="6BC8CC00" w14:textId="77777777" w:rsidR="00000000" w:rsidRDefault="001A570A">
      <w:pPr>
        <w:ind w:firstLine="450"/>
        <w:divId w:val="2015836096"/>
        <w:rPr>
          <w:rFonts w:eastAsia="Times New Roman"/>
        </w:rPr>
      </w:pPr>
    </w:p>
    <w:p w14:paraId="11470E45" w14:textId="77777777" w:rsidR="00000000" w:rsidRDefault="001A570A">
      <w:pPr>
        <w:divId w:val="987519546"/>
        <w:rPr>
          <w:rFonts w:eastAsia="Times New Roman"/>
        </w:rPr>
      </w:pPr>
      <w:r>
        <w:rPr>
          <w:rFonts w:eastAsia="Times New Roman"/>
          <w:color w:val="000000"/>
          <w:sz w:val="20"/>
          <w:szCs w:val="20"/>
        </w:rPr>
        <w:t>initiatives focused on efficiencies, affordability and cost growth and other c</w:t>
      </w:r>
      <w:r>
        <w:rPr>
          <w:rFonts w:eastAsia="Times New Roman"/>
          <w:color w:val="000000"/>
          <w:sz w:val="20"/>
          <w:szCs w:val="20"/>
        </w:rPr>
        <w:t>hanges to its procurement practices. These initiatives and changes to procurement practices may change the way U.S. Government contracts are solicited, negotiated and managed, which may affect whether and how we pursue opportunities to provide our products</w:t>
      </w:r>
      <w:r>
        <w:rPr>
          <w:rFonts w:eastAsia="Times New Roman"/>
          <w:color w:val="000000"/>
          <w:sz w:val="20"/>
          <w:szCs w:val="20"/>
        </w:rPr>
        <w:t xml:space="preserve"> and services to the U.S. Government, including the terms and conditions under which we do so, which may have an adverse impact on our business, financial condition, results of operations, cash flows and equity. For example, contracts awarded under the DoD</w:t>
      </w:r>
      <w:r>
        <w:rPr>
          <w:rFonts w:eastAsia="Times New Roman"/>
          <w:color w:val="000000"/>
          <w:sz w:val="20"/>
          <w:szCs w:val="20"/>
        </w:rPr>
        <w:t xml:space="preserve">’s Other Transaction Authority for research and prototypes generally require cost-sharing and may not follow, or may follow only in part, standard U.S. Government contracting practices and terms, such as the FAR and Cost Accounting Standards. </w:t>
      </w:r>
    </w:p>
    <w:p w14:paraId="6DFB20B1" w14:textId="77777777" w:rsidR="00000000" w:rsidRDefault="001A570A">
      <w:pPr>
        <w:ind w:firstLine="450"/>
        <w:divId w:val="17245618"/>
        <w:rPr>
          <w:rFonts w:eastAsia="Times New Roman"/>
        </w:rPr>
      </w:pPr>
      <w:r>
        <w:rPr>
          <w:rFonts w:eastAsia="Times New Roman"/>
          <w:color w:val="000000"/>
          <w:sz w:val="20"/>
          <w:szCs w:val="20"/>
        </w:rPr>
        <w:t>Failure to c</w:t>
      </w:r>
      <w:r>
        <w:rPr>
          <w:rFonts w:eastAsia="Times New Roman"/>
          <w:color w:val="000000"/>
          <w:sz w:val="20"/>
          <w:szCs w:val="20"/>
        </w:rPr>
        <w:t>omply with applicable regulations and requirements could lead to fines, penalties, repayments, or compensatory or treble damages, or suspension or debarment from U.S. Government contracting or subcontracting for a period of time. Among the causes for debar</w:t>
      </w:r>
      <w:r>
        <w:rPr>
          <w:rFonts w:eastAsia="Times New Roman"/>
          <w:color w:val="000000"/>
          <w:sz w:val="20"/>
          <w:szCs w:val="20"/>
        </w:rPr>
        <w:t>ment are violations of various laws and regulations, including those related to procurement integrity, export control (including International Traffic in Arms Regulations (“ITAR”)), U.S. Government security, employment practices, protection of the environm</w:t>
      </w:r>
      <w:r>
        <w:rPr>
          <w:rFonts w:eastAsia="Times New Roman"/>
          <w:color w:val="000000"/>
          <w:sz w:val="20"/>
          <w:szCs w:val="20"/>
        </w:rPr>
        <w:t>ent, accuracy of records, proper recording of costs and foreign corruption. The termination of a U.S. Government contract or relationship as a result of any of these acts would have an adverse impact on our operations and could have an adverse effect on ou</w:t>
      </w:r>
      <w:r>
        <w:rPr>
          <w:rFonts w:eastAsia="Times New Roman"/>
          <w:color w:val="000000"/>
          <w:sz w:val="20"/>
          <w:szCs w:val="20"/>
        </w:rPr>
        <w:t>r standing and eligibility for future U.S. Government contracts.</w:t>
      </w:r>
    </w:p>
    <w:p w14:paraId="562205E9" w14:textId="77777777" w:rsidR="00000000" w:rsidRDefault="001A570A">
      <w:pPr>
        <w:divId w:val="940574269"/>
        <w:rPr>
          <w:rFonts w:eastAsia="Times New Roman"/>
        </w:rPr>
      </w:pPr>
      <w:r>
        <w:rPr>
          <w:rFonts w:eastAsia="Times New Roman"/>
          <w:b/>
          <w:bCs/>
          <w:i/>
          <w:iCs/>
          <w:color w:val="000000"/>
          <w:sz w:val="20"/>
          <w:szCs w:val="20"/>
        </w:rPr>
        <w:t>The U.S. Government’s budget deficit and the national debt, as well as any inability of the U.S. Government to complete its budget process for any government fiscal year and consequently havi</w:t>
      </w:r>
      <w:r>
        <w:rPr>
          <w:rFonts w:eastAsia="Times New Roman"/>
          <w:b/>
          <w:bCs/>
          <w:i/>
          <w:iCs/>
          <w:color w:val="000000"/>
          <w:sz w:val="20"/>
          <w:szCs w:val="20"/>
        </w:rPr>
        <w:t>ng to shut down or operate on funding levels equivalent to its prior fiscal year pursuant to a “continuing resolution,” could have an adverse impact on our business, financial condition, results of operations, cash flows and equity.</w:t>
      </w:r>
    </w:p>
    <w:p w14:paraId="72498CCA" w14:textId="77777777" w:rsidR="00000000" w:rsidRDefault="001A570A">
      <w:pPr>
        <w:ind w:firstLine="450"/>
        <w:divId w:val="1579704033"/>
        <w:rPr>
          <w:rFonts w:eastAsia="Times New Roman"/>
        </w:rPr>
      </w:pPr>
      <w:r>
        <w:rPr>
          <w:rFonts w:eastAsia="Times New Roman"/>
          <w:color w:val="000000"/>
          <w:sz w:val="20"/>
          <w:szCs w:val="20"/>
        </w:rPr>
        <w:t>Considerable uncertaint</w:t>
      </w:r>
      <w:r>
        <w:rPr>
          <w:rFonts w:eastAsia="Times New Roman"/>
          <w:color w:val="000000"/>
          <w:sz w:val="20"/>
          <w:szCs w:val="20"/>
        </w:rPr>
        <w:t>y exists regarding how future budget and program decisions will unfold, including the defense spending priorities of the U.S. Government, what challenges budget reductions will present for the defense industry and whether annual appropriations bills for al</w:t>
      </w:r>
      <w:r>
        <w:rPr>
          <w:rFonts w:eastAsia="Times New Roman"/>
          <w:color w:val="000000"/>
          <w:sz w:val="20"/>
          <w:szCs w:val="20"/>
        </w:rPr>
        <w:t>l agencies will be enacted for U.S. Government fiscal 2022 and thereafter. The U.S. Government’s budget deficit and the national debt could have an adverse impact on our business, financial condition, results of operations, cash flows and equity in a numbe</w:t>
      </w:r>
      <w:r>
        <w:rPr>
          <w:rFonts w:eastAsia="Times New Roman"/>
          <w:color w:val="000000"/>
          <w:sz w:val="20"/>
          <w:szCs w:val="20"/>
        </w:rPr>
        <w:t>r of ways, including the following:</w:t>
      </w:r>
    </w:p>
    <w:p w14:paraId="0AAB16B9" w14:textId="77777777" w:rsidR="00000000" w:rsidRDefault="001A570A">
      <w:pPr>
        <w:ind w:hanging="360"/>
        <w:divId w:val="82190155"/>
        <w:rPr>
          <w:rFonts w:eastAsia="Times New Roman"/>
        </w:rPr>
      </w:pPr>
      <w:r>
        <w:rPr>
          <w:rFonts w:eastAsia="Times New Roman"/>
          <w:color w:val="000000"/>
          <w:sz w:val="20"/>
          <w:szCs w:val="20"/>
        </w:rPr>
        <w:t>•The U.S. Government could reduce or delay its spending on, or reprioritize its spending away from, the government programs in which we participate;</w:t>
      </w:r>
    </w:p>
    <w:p w14:paraId="60937C11" w14:textId="77777777" w:rsidR="00000000" w:rsidRDefault="001A570A">
      <w:pPr>
        <w:ind w:hanging="360"/>
        <w:divId w:val="323898508"/>
        <w:rPr>
          <w:rFonts w:eastAsia="Times New Roman"/>
        </w:rPr>
      </w:pPr>
      <w:r>
        <w:rPr>
          <w:rFonts w:eastAsia="Times New Roman"/>
          <w:color w:val="000000"/>
          <w:sz w:val="20"/>
          <w:szCs w:val="20"/>
        </w:rPr>
        <w:t>•U.S. Government spending could be impacted by alternate arrangements t</w:t>
      </w:r>
      <w:r>
        <w:rPr>
          <w:rFonts w:eastAsia="Times New Roman"/>
          <w:color w:val="000000"/>
          <w:sz w:val="20"/>
          <w:szCs w:val="20"/>
        </w:rPr>
        <w:t>o sequestration, which increases the uncertainty as to, and the difficulty in predicting, U.S. Government spending priorities and levels; and</w:t>
      </w:r>
    </w:p>
    <w:p w14:paraId="150B6F3F" w14:textId="77777777" w:rsidR="00000000" w:rsidRDefault="001A570A">
      <w:pPr>
        <w:ind w:hanging="360"/>
        <w:divId w:val="1125193026"/>
        <w:rPr>
          <w:rFonts w:eastAsia="Times New Roman"/>
        </w:rPr>
      </w:pPr>
      <w:r>
        <w:rPr>
          <w:rFonts w:eastAsia="Times New Roman"/>
          <w:color w:val="000000"/>
          <w:sz w:val="20"/>
          <w:szCs w:val="20"/>
        </w:rPr>
        <w:t>•We may experience declines in revenue, profitability and cash flows as a result of reduced or delayed orders or p</w:t>
      </w:r>
      <w:r>
        <w:rPr>
          <w:rFonts w:eastAsia="Times New Roman"/>
          <w:color w:val="000000"/>
          <w:sz w:val="20"/>
          <w:szCs w:val="20"/>
        </w:rPr>
        <w:t>ayments or other factors caused by economic difficulties of our customers and prospective customers, including U.S. Federal, state and local governments.</w:t>
      </w:r>
    </w:p>
    <w:p w14:paraId="72B779E8" w14:textId="77777777" w:rsidR="00000000" w:rsidRDefault="001A570A">
      <w:pPr>
        <w:ind w:firstLine="450"/>
        <w:divId w:val="138501134"/>
        <w:rPr>
          <w:rFonts w:eastAsia="Times New Roman"/>
        </w:rPr>
      </w:pPr>
      <w:r>
        <w:rPr>
          <w:rFonts w:eastAsia="Times New Roman"/>
          <w:color w:val="000000"/>
          <w:sz w:val="20"/>
          <w:szCs w:val="20"/>
        </w:rPr>
        <w:t xml:space="preserve">Furthermore, we believe continued budget pressures and additional budget pressures from COVID-related </w:t>
      </w:r>
      <w:r>
        <w:rPr>
          <w:rFonts w:eastAsia="Times New Roman"/>
          <w:color w:val="000000"/>
          <w:sz w:val="20"/>
          <w:szCs w:val="20"/>
        </w:rPr>
        <w:t xml:space="preserve">impacts could have serious negative consequences for U.S. security and for companies in the defense industrial base and the customers, employees, suppliers, investors and communities that rely on them. Budget and program decisions made in this environment </w:t>
      </w:r>
      <w:r>
        <w:rPr>
          <w:rFonts w:eastAsia="Times New Roman"/>
          <w:color w:val="000000"/>
          <w:sz w:val="20"/>
          <w:szCs w:val="20"/>
        </w:rPr>
        <w:t>would have long-term implications for us and the rest of the defense industry.</w:t>
      </w:r>
    </w:p>
    <w:p w14:paraId="03CCB810" w14:textId="77777777" w:rsidR="00000000" w:rsidRDefault="001A570A">
      <w:pPr>
        <w:divId w:val="483200084"/>
        <w:rPr>
          <w:rFonts w:eastAsia="Times New Roman"/>
        </w:rPr>
      </w:pPr>
      <w:r>
        <w:rPr>
          <w:rFonts w:eastAsia="Times New Roman"/>
          <w:b/>
          <w:bCs/>
          <w:i/>
          <w:iCs/>
          <w:color w:val="000000"/>
          <w:sz w:val="20"/>
          <w:szCs w:val="20"/>
        </w:rPr>
        <w:t>Our results of operations and cash flows are substantially affected by our mix of fixed-price, cost-plus and time-and-material type contracts. In particular, our fixed-price con</w:t>
      </w:r>
      <w:r>
        <w:rPr>
          <w:rFonts w:eastAsia="Times New Roman"/>
          <w:b/>
          <w:bCs/>
          <w:i/>
          <w:iCs/>
          <w:color w:val="000000"/>
          <w:sz w:val="20"/>
          <w:szCs w:val="20"/>
        </w:rPr>
        <w:t>tracts could subject us to losses in the event of cost overruns or a significant increase in inflation.</w:t>
      </w:r>
    </w:p>
    <w:p w14:paraId="5FBDFE2D" w14:textId="77777777" w:rsidR="00000000" w:rsidRDefault="001A570A">
      <w:pPr>
        <w:ind w:firstLine="450"/>
        <w:divId w:val="170804813"/>
        <w:rPr>
          <w:rFonts w:eastAsia="Times New Roman"/>
        </w:rPr>
      </w:pPr>
      <w:r>
        <w:rPr>
          <w:rFonts w:eastAsia="Times New Roman"/>
          <w:color w:val="000000"/>
          <w:sz w:val="20"/>
          <w:szCs w:val="20"/>
        </w:rPr>
        <w:t>We generate revenue through various fixed-price, cost-plus and time-and-material contracts. For a general description of our U.S. Government contracts a</w:t>
      </w:r>
      <w:r>
        <w:rPr>
          <w:rFonts w:eastAsia="Times New Roman"/>
          <w:color w:val="000000"/>
          <w:sz w:val="20"/>
          <w:szCs w:val="20"/>
        </w:rPr>
        <w:t>nd subcontracts, including a discussion of revenue generated thereunder and of cost-reimbursable versus fixed-price contracts, see “Item 1. Business - Principal Customers; Government Contracts” of this Report. For a description of our revenue recognition p</w:t>
      </w:r>
      <w:r>
        <w:rPr>
          <w:rFonts w:eastAsia="Times New Roman"/>
          <w:color w:val="000000"/>
          <w:sz w:val="20"/>
          <w:szCs w:val="20"/>
        </w:rPr>
        <w:t>olicies, see “Item 7. Management’s Discussion and Analysis of Financial Conditions and Results of Operations - Critical Accounting Policies and Estimates - Revenue Recognition” of this Report.</w:t>
      </w:r>
    </w:p>
    <w:p w14:paraId="16CCDF50" w14:textId="77777777" w:rsidR="00000000" w:rsidRDefault="001A570A">
      <w:pPr>
        <w:ind w:firstLine="450"/>
        <w:jc w:val="center"/>
        <w:divId w:val="339696966"/>
        <w:rPr>
          <w:rFonts w:eastAsia="Times New Roman"/>
        </w:rPr>
      </w:pPr>
      <w:r>
        <w:rPr>
          <w:rFonts w:eastAsia="Times New Roman"/>
          <w:color w:val="000000"/>
          <w:sz w:val="20"/>
          <w:szCs w:val="20"/>
        </w:rPr>
        <w:t>14</w:t>
      </w:r>
    </w:p>
    <w:p w14:paraId="4C9FC72B" w14:textId="77777777" w:rsidR="00000000" w:rsidRDefault="001A570A">
      <w:pPr>
        <w:rPr>
          <w:rFonts w:eastAsia="Times New Roman"/>
        </w:rPr>
      </w:pPr>
      <w:r>
        <w:rPr>
          <w:rFonts w:eastAsia="Times New Roman"/>
        </w:rPr>
        <w:pict w14:anchorId="2362F2E3">
          <v:rect id="_x0000_i1041" style="width:0;height:1.5pt" o:hralign="center" o:hrstd="t" o:hr="t" fillcolor="#a0a0a0" stroked="f"/>
        </w:pict>
      </w:r>
    </w:p>
    <w:p w14:paraId="28A8A4EC" w14:textId="77777777" w:rsidR="00000000" w:rsidRDefault="001A570A">
      <w:pPr>
        <w:ind w:firstLine="450"/>
        <w:divId w:val="599264801"/>
        <w:rPr>
          <w:rFonts w:eastAsia="Times New Roman"/>
        </w:rPr>
      </w:pPr>
    </w:p>
    <w:p w14:paraId="68CBC594" w14:textId="77777777" w:rsidR="00000000" w:rsidRDefault="001A570A">
      <w:pPr>
        <w:ind w:firstLine="450"/>
        <w:divId w:val="987170436"/>
        <w:rPr>
          <w:rFonts w:eastAsia="Times New Roman"/>
        </w:rPr>
      </w:pPr>
      <w:r>
        <w:rPr>
          <w:rFonts w:eastAsia="Times New Roman"/>
          <w:color w:val="000000"/>
          <w:sz w:val="20"/>
          <w:szCs w:val="20"/>
        </w:rPr>
        <w:t>In fiscal 2020, 74 percent of our revenue was derived from fixed-price contracts which allow us to benefit from cost savings, but subject us to the risk of potential cost overruns, particularly for firm fixed-price contracts because we assume all of the co</w:t>
      </w:r>
      <w:r>
        <w:rPr>
          <w:rFonts w:eastAsia="Times New Roman"/>
          <w:color w:val="000000"/>
          <w:sz w:val="20"/>
          <w:szCs w:val="20"/>
        </w:rPr>
        <w:t>st burden. If our initial estimates are incorrect, we can lose money (or make more or less money than estimated) on these contracts. U.S. Government contracts can expose us to potentially large losses because the U.S. Government can hold us responsible for</w:t>
      </w:r>
      <w:r>
        <w:rPr>
          <w:rFonts w:eastAsia="Times New Roman"/>
          <w:color w:val="000000"/>
          <w:sz w:val="20"/>
          <w:szCs w:val="20"/>
        </w:rPr>
        <w:t xml:space="preserve"> completing a project or, in certain circumstances, paying the entire cost of its replacement by another provider regardless of the size or foreseeability of any cost overruns that occur over the life of the contract. Because many of these contracts involv</w:t>
      </w:r>
      <w:r>
        <w:rPr>
          <w:rFonts w:eastAsia="Times New Roman"/>
          <w:color w:val="000000"/>
          <w:sz w:val="20"/>
          <w:szCs w:val="20"/>
        </w:rPr>
        <w:t>e new technologies and applications and can last for years, unforeseen events, such as technological difficulties, fluctuations in the price of raw materials, a significant increase in inflation, problems with our suppliers and cost overruns, can result in</w:t>
      </w:r>
      <w:r>
        <w:rPr>
          <w:rFonts w:eastAsia="Times New Roman"/>
          <w:color w:val="000000"/>
          <w:sz w:val="20"/>
          <w:szCs w:val="20"/>
        </w:rPr>
        <w:t xml:space="preserve"> the contractual price becoming less favorable or even unprofitable to us over time. Furthermore, if we do not meet contract deadlines or specifications, we may need to renegotiate contracts on less favorable terms, be forced to pay penalties or liquidated</w:t>
      </w:r>
      <w:r>
        <w:rPr>
          <w:rFonts w:eastAsia="Times New Roman"/>
          <w:color w:val="000000"/>
          <w:sz w:val="20"/>
          <w:szCs w:val="20"/>
        </w:rPr>
        <w:t xml:space="preserve"> damages or suffer major losses if the customer exercises its right to terminate. In addition, some of our contracts have provisions relating to cost controls and audit rights, and if we fail to meet the terms specified in those contracts, we may not reali</w:t>
      </w:r>
      <w:r>
        <w:rPr>
          <w:rFonts w:eastAsia="Times New Roman"/>
          <w:color w:val="000000"/>
          <w:sz w:val="20"/>
          <w:szCs w:val="20"/>
        </w:rPr>
        <w:t>ze their full benefits. Cost overruns would adversely impact our results of operations, which are dependent on our ability to maximize our earnings from our contracts, and the potential risk would be greater if our contracts shifted toward a greater percen</w:t>
      </w:r>
      <w:r>
        <w:rPr>
          <w:rFonts w:eastAsia="Times New Roman"/>
          <w:color w:val="000000"/>
          <w:sz w:val="20"/>
          <w:szCs w:val="20"/>
        </w:rPr>
        <w:t>tage of fixed-price contracts, particularly firm fixed-price contracts.</w:t>
      </w:r>
    </w:p>
    <w:p w14:paraId="6C67A26B" w14:textId="77777777" w:rsidR="00000000" w:rsidRDefault="001A570A">
      <w:pPr>
        <w:ind w:firstLine="450"/>
        <w:divId w:val="1964146260"/>
        <w:rPr>
          <w:rFonts w:eastAsia="Times New Roman"/>
        </w:rPr>
      </w:pPr>
      <w:r>
        <w:rPr>
          <w:rFonts w:eastAsia="Times New Roman"/>
          <w:color w:val="000000"/>
          <w:sz w:val="20"/>
          <w:szCs w:val="20"/>
        </w:rPr>
        <w:t>In fiscal 2020, 26 percent of our revenue was derived from cost-plus and time-and-material contracts, substantially all of which are with U.S. Government customers. Sales to foreign go</w:t>
      </w:r>
      <w:r>
        <w:rPr>
          <w:rFonts w:eastAsia="Times New Roman"/>
          <w:color w:val="000000"/>
          <w:sz w:val="20"/>
          <w:szCs w:val="20"/>
        </w:rPr>
        <w:t>vernment and commercial customers are generally under fixed-price arrangements and are included in our fixed-price contract sales. For a cost-plus contract, we are paid our allowable incurred costs plus a profit, which can be fixed or variable depending on</w:t>
      </w:r>
      <w:r>
        <w:rPr>
          <w:rFonts w:eastAsia="Times New Roman"/>
          <w:color w:val="000000"/>
          <w:sz w:val="20"/>
          <w:szCs w:val="20"/>
        </w:rPr>
        <w:t xml:space="preserve"> the contract’s fee arrangement up to predetermined funding levels established by our customers. For a time-and-material contract, we are paid on the basis of direct labor hours expended at specified fixed-price hourly rates (which include wages, overhead,</w:t>
      </w:r>
      <w:r>
        <w:rPr>
          <w:rFonts w:eastAsia="Times New Roman"/>
          <w:color w:val="000000"/>
          <w:sz w:val="20"/>
          <w:szCs w:val="20"/>
        </w:rPr>
        <w:t xml:space="preserve"> allowable general and administrative expenses and profit) and materials at cost. Therefore, on cost-plus and time-and-material type contracts, we do not bear the risks of unexpected cost overruns, provided that we do not incur costs that exceed the predet</w:t>
      </w:r>
      <w:r>
        <w:rPr>
          <w:rFonts w:eastAsia="Times New Roman"/>
          <w:color w:val="000000"/>
          <w:sz w:val="20"/>
          <w:szCs w:val="20"/>
        </w:rPr>
        <w:t>ermined funded amounts.</w:t>
      </w:r>
    </w:p>
    <w:p w14:paraId="5ECED30A" w14:textId="77777777" w:rsidR="00000000" w:rsidRDefault="001A570A">
      <w:pPr>
        <w:divId w:val="217323150"/>
        <w:rPr>
          <w:rFonts w:eastAsia="Times New Roman"/>
        </w:rPr>
      </w:pPr>
      <w:r>
        <w:rPr>
          <w:rFonts w:eastAsia="Times New Roman"/>
          <w:b/>
          <w:bCs/>
          <w:i/>
          <w:iCs/>
          <w:color w:val="000000"/>
          <w:sz w:val="20"/>
          <w:szCs w:val="20"/>
        </w:rPr>
        <w:t xml:space="preserve">Our commercial aviation products, systems and services businesses are affected by global demand and economic factors that could negatively impact our financial results. </w:t>
      </w:r>
    </w:p>
    <w:p w14:paraId="3F82FD53" w14:textId="77777777" w:rsidR="00000000" w:rsidRDefault="001A570A">
      <w:pPr>
        <w:ind w:firstLine="450"/>
        <w:divId w:val="1698507137"/>
        <w:rPr>
          <w:rFonts w:eastAsia="Times New Roman"/>
        </w:rPr>
      </w:pPr>
      <w:r>
        <w:rPr>
          <w:rFonts w:eastAsia="Times New Roman"/>
          <w:color w:val="000000"/>
          <w:sz w:val="20"/>
          <w:szCs w:val="20"/>
        </w:rPr>
        <w:t>The operating results of our commercial aviation products, systems and services businesses may be adversely affected by downturns in the global demand for air travel which impacts new aircraft production and orders, and global flying hours, which impacts a</w:t>
      </w:r>
      <w:r>
        <w:rPr>
          <w:rFonts w:eastAsia="Times New Roman"/>
          <w:color w:val="000000"/>
          <w:sz w:val="20"/>
          <w:szCs w:val="20"/>
        </w:rPr>
        <w:t xml:space="preserve">ir transport, regional and business aircraft utilization rates and pilot training needs. The aviation industry is highly cyclical, and the level of demand for air travel is correlated to the strength of the U.S. and international economies and is impacted </w:t>
      </w:r>
      <w:r>
        <w:rPr>
          <w:rFonts w:eastAsia="Times New Roman"/>
          <w:color w:val="000000"/>
          <w:sz w:val="20"/>
          <w:szCs w:val="20"/>
        </w:rPr>
        <w:t>by long-term trends in airline passenger and cargo traffic. The results of our commercial aviation businesses also depend on other factors, including general economic growth, political stability in both developed and emerging markets, pricing pressures, tr</w:t>
      </w:r>
      <w:r>
        <w:rPr>
          <w:rFonts w:eastAsia="Times New Roman"/>
          <w:color w:val="000000"/>
          <w:sz w:val="20"/>
          <w:szCs w:val="20"/>
        </w:rPr>
        <w:t>ends in capital goods markets and changes in original equipment manufacturer production rates. As described above under “COVID-Related Risks,” our commercial aviation businesses experienced adverse COVID-related impacts in fiscal 2020 and remain at a highe</w:t>
      </w:r>
      <w:r>
        <w:rPr>
          <w:rFonts w:eastAsia="Times New Roman"/>
          <w:color w:val="000000"/>
          <w:sz w:val="20"/>
          <w:szCs w:val="20"/>
        </w:rPr>
        <w:t>r risk of further adverse COVID-related impacts.</w:t>
      </w:r>
    </w:p>
    <w:p w14:paraId="1F3D3910" w14:textId="77777777" w:rsidR="00000000" w:rsidRDefault="001A570A">
      <w:pPr>
        <w:divId w:val="1384519759"/>
        <w:rPr>
          <w:rFonts w:eastAsia="Times New Roman"/>
        </w:rPr>
      </w:pPr>
      <w:r>
        <w:rPr>
          <w:rFonts w:eastAsia="Times New Roman"/>
          <w:b/>
          <w:bCs/>
          <w:i/>
          <w:iCs/>
          <w:color w:val="000000"/>
          <w:sz w:val="20"/>
          <w:szCs w:val="20"/>
        </w:rPr>
        <w:t>We participate in markets that are often subject to uncertain economic conditions, which makes it difficult to estimate growth in our markets and, as a result, future income and expenditures.</w:t>
      </w:r>
    </w:p>
    <w:p w14:paraId="0AC2E179" w14:textId="77777777" w:rsidR="00000000" w:rsidRDefault="001A570A">
      <w:pPr>
        <w:ind w:firstLine="450"/>
        <w:divId w:val="328021819"/>
        <w:rPr>
          <w:rFonts w:eastAsia="Times New Roman"/>
        </w:rPr>
      </w:pPr>
      <w:r>
        <w:rPr>
          <w:rFonts w:eastAsia="Times New Roman"/>
          <w:color w:val="000000"/>
          <w:sz w:val="20"/>
          <w:szCs w:val="20"/>
        </w:rPr>
        <w:t xml:space="preserve">We participate </w:t>
      </w:r>
      <w:r>
        <w:rPr>
          <w:rFonts w:eastAsia="Times New Roman"/>
          <w:color w:val="000000"/>
          <w:sz w:val="20"/>
          <w:szCs w:val="20"/>
        </w:rPr>
        <w:t>in U.S. and international markets that are subject to uncertain economic conditions. In particular, U.S. Government spending priorities and levels remain uncertain and difficult to predict and are affected by numerous factors, including sequestration and p</w:t>
      </w:r>
      <w:r>
        <w:rPr>
          <w:rFonts w:eastAsia="Times New Roman"/>
          <w:color w:val="000000"/>
          <w:sz w:val="20"/>
          <w:szCs w:val="20"/>
        </w:rPr>
        <w:t>otential alternative funding arrangements and COVID-related impacts. In addition, certain of our non-U.S. customers, including in the Middle East and other oil or natural gas-producing countries, could be adversely affected by weakness or volatility in oil</w:t>
      </w:r>
      <w:r>
        <w:rPr>
          <w:rFonts w:eastAsia="Times New Roman"/>
          <w:color w:val="000000"/>
          <w:sz w:val="20"/>
          <w:szCs w:val="20"/>
        </w:rPr>
        <w:t xml:space="preserve"> or natural gas prices, or negative expectations about future prices or volatility, which could adversely affect demand for tactical communications, electronic systems or other products, systems, services or technologies. As a result of that uncertainty, i</w:t>
      </w:r>
      <w:r>
        <w:rPr>
          <w:rFonts w:eastAsia="Times New Roman"/>
          <w:color w:val="000000"/>
          <w:sz w:val="20"/>
          <w:szCs w:val="20"/>
        </w:rPr>
        <w:t>t is difficult to develop accurate estimates of the level of growth in the markets we serve. Because those estimates underpin all components of our budgeting and forecasting, our estimates or guidance for future revenue, income and expenditures may be inac</w:t>
      </w:r>
      <w:r>
        <w:rPr>
          <w:rFonts w:eastAsia="Times New Roman"/>
          <w:color w:val="000000"/>
          <w:sz w:val="20"/>
          <w:szCs w:val="20"/>
        </w:rPr>
        <w:t>curate, and we may make significant investments and expenditures but never realize the anticipated benefits.</w:t>
      </w:r>
    </w:p>
    <w:p w14:paraId="71509D72" w14:textId="77777777" w:rsidR="00000000" w:rsidRDefault="001A570A">
      <w:pPr>
        <w:divId w:val="1947106522"/>
        <w:rPr>
          <w:rFonts w:eastAsia="Times New Roman"/>
        </w:rPr>
      </w:pPr>
      <w:r>
        <w:rPr>
          <w:rFonts w:eastAsia="Times New Roman"/>
          <w:b/>
          <w:bCs/>
          <w:i/>
          <w:iCs/>
          <w:color w:val="000000"/>
          <w:sz w:val="20"/>
          <w:szCs w:val="20"/>
        </w:rPr>
        <w:t>We cannot predict the consequences of future geo-political events, but they may adversely affect the markets in which we operate, our ability to in</w:t>
      </w:r>
      <w:r>
        <w:rPr>
          <w:rFonts w:eastAsia="Times New Roman"/>
          <w:b/>
          <w:bCs/>
          <w:i/>
          <w:iCs/>
          <w:color w:val="000000"/>
          <w:sz w:val="20"/>
          <w:szCs w:val="20"/>
        </w:rPr>
        <w:t>sure against risks, our operations or our profitability.</w:t>
      </w:r>
    </w:p>
    <w:p w14:paraId="3CB50AFC" w14:textId="77777777" w:rsidR="00000000" w:rsidRDefault="001A570A">
      <w:pPr>
        <w:ind w:firstLine="450"/>
        <w:divId w:val="1516188783"/>
        <w:rPr>
          <w:rFonts w:eastAsia="Times New Roman"/>
        </w:rPr>
      </w:pPr>
      <w:r>
        <w:rPr>
          <w:rFonts w:eastAsia="Times New Roman"/>
          <w:color w:val="000000"/>
          <w:sz w:val="20"/>
          <w:szCs w:val="20"/>
        </w:rPr>
        <w:t>Ongoing instability and current conflicts in global markets, including in the Middle East and Asia, and the potential for other conflicts and future terrorist activities and other recent geo-politica</w:t>
      </w:r>
      <w:r>
        <w:rPr>
          <w:rFonts w:eastAsia="Times New Roman"/>
          <w:color w:val="000000"/>
          <w:sz w:val="20"/>
          <w:szCs w:val="20"/>
        </w:rPr>
        <w:t>l events throughout the world, including new or increased tariffs and potential trade wars and the withdrawal of the United Kingdom (the “UK”) from the European Union (the “EU”) in January 2020 (commonly referred to as “Brexit”), have created and may conti</w:t>
      </w:r>
      <w:r>
        <w:rPr>
          <w:rFonts w:eastAsia="Times New Roman"/>
          <w:color w:val="000000"/>
          <w:sz w:val="20"/>
          <w:szCs w:val="20"/>
        </w:rPr>
        <w:t>nue to create economic and political uncertainties and impacts that could have a material adverse effect on our business, operations and profitability. Since January 1, 2021, when the Brexit transition period ended, the UK and EU’s trade and cooperation ag</w:t>
      </w:r>
      <w:r>
        <w:rPr>
          <w:rFonts w:eastAsia="Times New Roman"/>
          <w:color w:val="000000"/>
          <w:sz w:val="20"/>
          <w:szCs w:val="20"/>
        </w:rPr>
        <w:t xml:space="preserve">reement (covering the general objectives and framework of their relationship, including as to trade, transport and certain other matters, but not providing for free movement of people between the UK and EU, free movement of UK goods or automatic access to </w:t>
      </w:r>
      <w:r>
        <w:rPr>
          <w:rFonts w:eastAsia="Times New Roman"/>
          <w:color w:val="000000"/>
          <w:sz w:val="20"/>
          <w:szCs w:val="20"/>
        </w:rPr>
        <w:t xml:space="preserve">the entire EU single market for UK service </w:t>
      </w:r>
    </w:p>
    <w:p w14:paraId="08734708" w14:textId="77777777" w:rsidR="00000000" w:rsidRDefault="001A570A">
      <w:pPr>
        <w:ind w:firstLine="450"/>
        <w:jc w:val="center"/>
        <w:divId w:val="311569330"/>
        <w:rPr>
          <w:rFonts w:eastAsia="Times New Roman"/>
        </w:rPr>
      </w:pPr>
      <w:r>
        <w:rPr>
          <w:rFonts w:eastAsia="Times New Roman"/>
          <w:color w:val="000000"/>
          <w:sz w:val="20"/>
          <w:szCs w:val="20"/>
        </w:rPr>
        <w:t>15</w:t>
      </w:r>
    </w:p>
    <w:p w14:paraId="4978BD72" w14:textId="77777777" w:rsidR="00000000" w:rsidRDefault="001A570A">
      <w:pPr>
        <w:rPr>
          <w:rFonts w:eastAsia="Times New Roman"/>
        </w:rPr>
      </w:pPr>
      <w:r>
        <w:rPr>
          <w:rFonts w:eastAsia="Times New Roman"/>
        </w:rPr>
        <w:pict w14:anchorId="260CABFC">
          <v:rect id="_x0000_i1042" style="width:0;height:1.5pt" o:hralign="center" o:hrstd="t" o:hr="t" fillcolor="#a0a0a0" stroked="f"/>
        </w:pict>
      </w:r>
    </w:p>
    <w:p w14:paraId="38089974" w14:textId="77777777" w:rsidR="00000000" w:rsidRDefault="001A570A">
      <w:pPr>
        <w:ind w:firstLine="450"/>
        <w:divId w:val="751897165"/>
        <w:rPr>
          <w:rFonts w:eastAsia="Times New Roman"/>
        </w:rPr>
      </w:pPr>
    </w:p>
    <w:p w14:paraId="3CF3C537" w14:textId="77777777" w:rsidR="00000000" w:rsidRDefault="001A570A">
      <w:pPr>
        <w:divId w:val="189488759"/>
        <w:rPr>
          <w:rFonts w:eastAsia="Times New Roman"/>
        </w:rPr>
      </w:pPr>
      <w:r>
        <w:rPr>
          <w:rFonts w:eastAsia="Times New Roman"/>
          <w:color w:val="000000"/>
          <w:sz w:val="20"/>
          <w:szCs w:val="20"/>
        </w:rPr>
        <w:t>suppliers) has applied provisionally, but it remains subject to EU ratification and revision before formal effectiveness. The effects of Brexit in part depend on applicat</w:t>
      </w:r>
      <w:r>
        <w:rPr>
          <w:rFonts w:eastAsia="Times New Roman"/>
          <w:color w:val="000000"/>
          <w:sz w:val="20"/>
          <w:szCs w:val="20"/>
        </w:rPr>
        <w:t xml:space="preserve">ion of the terms of the agreement, and thus remain uncertain. We generated 2 percent of our fiscal 2020 revenue in the UK, but we and our suppliers may experience supply chain disruptions, increased tariffs, currency devaluation in the UK or other adverse </w:t>
      </w:r>
      <w:r>
        <w:rPr>
          <w:rFonts w:eastAsia="Times New Roman"/>
          <w:color w:val="000000"/>
          <w:sz w:val="20"/>
          <w:szCs w:val="20"/>
        </w:rPr>
        <w:t>impacts on operations or profitability. These types of matters cause uncertainty in financial and insurance markets and may significantly increase the political, economic and social instability in the geographic areas in which we operate. If credit in fina</w:t>
      </w:r>
      <w:r>
        <w:rPr>
          <w:rFonts w:eastAsia="Times New Roman"/>
          <w:color w:val="000000"/>
          <w:sz w:val="20"/>
          <w:szCs w:val="20"/>
        </w:rPr>
        <w:t>ncial markets outside of the U.S. tightened, it could adversely affect the ability of our international customers and suppliers to obtain financing and could result in a decrease in or cancellation of orders for our products, systems and services or impact</w:t>
      </w:r>
      <w:r>
        <w:rPr>
          <w:rFonts w:eastAsia="Times New Roman"/>
          <w:color w:val="000000"/>
          <w:sz w:val="20"/>
          <w:szCs w:val="20"/>
        </w:rPr>
        <w:t xml:space="preserve"> the ability of our customers to make payments. These matters also may cause us to experience increased costs, such as for insurance coverages and performance bonds (or for them to be unavailable altogether), as well as difficulty with future borrowings un</w:t>
      </w:r>
      <w:r>
        <w:rPr>
          <w:rFonts w:eastAsia="Times New Roman"/>
          <w:color w:val="000000"/>
          <w:sz w:val="20"/>
          <w:szCs w:val="20"/>
        </w:rPr>
        <w:t xml:space="preserve">der our commercial paper program or credit facilities or in the debt markets or otherwise with financing our operating, investing (including any future acquisitions) or financing activities. </w:t>
      </w:r>
    </w:p>
    <w:p w14:paraId="6EE1B328" w14:textId="77777777" w:rsidR="00000000" w:rsidRDefault="001A570A">
      <w:pPr>
        <w:divId w:val="661081616"/>
        <w:rPr>
          <w:rFonts w:eastAsia="Times New Roman"/>
        </w:rPr>
      </w:pPr>
      <w:r>
        <w:rPr>
          <w:rFonts w:eastAsia="Times New Roman"/>
          <w:b/>
          <w:bCs/>
          <w:i/>
          <w:iCs/>
          <w:color w:val="000000"/>
          <w:sz w:val="20"/>
          <w:szCs w:val="20"/>
        </w:rPr>
        <w:t>We derive a significant portion of our revenue from internationa</w:t>
      </w:r>
      <w:r>
        <w:rPr>
          <w:rFonts w:eastAsia="Times New Roman"/>
          <w:b/>
          <w:bCs/>
          <w:i/>
          <w:iCs/>
          <w:color w:val="000000"/>
          <w:sz w:val="20"/>
          <w:szCs w:val="20"/>
        </w:rPr>
        <w:t>l operations and are subject to the risks of doing business internationally, including fluctuations in currency exchange rates.</w:t>
      </w:r>
    </w:p>
    <w:p w14:paraId="63A3001D" w14:textId="77777777" w:rsidR="00000000" w:rsidRDefault="001A570A">
      <w:pPr>
        <w:ind w:firstLine="450"/>
        <w:divId w:val="1517694747"/>
        <w:rPr>
          <w:rFonts w:eastAsia="Times New Roman"/>
        </w:rPr>
      </w:pPr>
      <w:r>
        <w:rPr>
          <w:rFonts w:eastAsia="Times New Roman"/>
          <w:color w:val="000000"/>
          <w:sz w:val="20"/>
          <w:szCs w:val="20"/>
        </w:rPr>
        <w:t>We are dependent on sales to customers outside the U.S. The percentage of our total revenue represented by revenue from products</w:t>
      </w:r>
      <w:r>
        <w:rPr>
          <w:rFonts w:eastAsia="Times New Roman"/>
          <w:color w:val="000000"/>
          <w:sz w:val="20"/>
          <w:szCs w:val="20"/>
        </w:rPr>
        <w:t>, systems and services where the end consumer is located outside the U.S., including foreign military sales through the U.S. Government, was 20 percent, 21 percent, 22 percent and 23 percent in fiscal 2020, the two quarters ended January 3, 2020, and fisca</w:t>
      </w:r>
      <w:r>
        <w:rPr>
          <w:rFonts w:eastAsia="Times New Roman"/>
          <w:color w:val="000000"/>
          <w:sz w:val="20"/>
          <w:szCs w:val="20"/>
        </w:rPr>
        <w:t xml:space="preserve">l 2019 and 2018, respectively. In fiscal 2020, 32 percent of our international business was transacted in local currency. Losses resulting from currency rate fluctuations can adversely affect our results. We expect that international revenue will continue </w:t>
      </w:r>
      <w:r>
        <w:rPr>
          <w:rFonts w:eastAsia="Times New Roman"/>
          <w:color w:val="000000"/>
          <w:sz w:val="20"/>
          <w:szCs w:val="20"/>
        </w:rPr>
        <w:t xml:space="preserve">to account for a significant portion of our total revenue. Also, a significant portion of our international revenue is from, and a significant portion of our business activity is being conducted with or in, less-developed countries and sometimes countries </w:t>
      </w:r>
      <w:r>
        <w:rPr>
          <w:rFonts w:eastAsia="Times New Roman"/>
          <w:color w:val="000000"/>
          <w:sz w:val="20"/>
          <w:szCs w:val="20"/>
        </w:rPr>
        <w:t>with unstable governments, or in areas of military conflict or at military installations. Other risks of doing business internationally include:</w:t>
      </w:r>
    </w:p>
    <w:p w14:paraId="7F4838AA" w14:textId="77777777" w:rsidR="00000000" w:rsidRDefault="001A570A">
      <w:pPr>
        <w:ind w:hanging="360"/>
        <w:divId w:val="998533339"/>
        <w:rPr>
          <w:rFonts w:eastAsia="Times New Roman"/>
        </w:rPr>
      </w:pPr>
      <w:r>
        <w:rPr>
          <w:rFonts w:eastAsia="Times New Roman"/>
          <w:color w:val="000000"/>
          <w:sz w:val="20"/>
          <w:szCs w:val="20"/>
        </w:rPr>
        <w:t>•Currency exchange controls, fluctuations of currency and currency revaluations;</w:t>
      </w:r>
    </w:p>
    <w:p w14:paraId="10B2D3B0" w14:textId="77777777" w:rsidR="00000000" w:rsidRDefault="001A570A">
      <w:pPr>
        <w:ind w:hanging="360"/>
        <w:divId w:val="810367686"/>
        <w:rPr>
          <w:rFonts w:eastAsia="Times New Roman"/>
        </w:rPr>
      </w:pPr>
      <w:r>
        <w:rPr>
          <w:rFonts w:eastAsia="Times New Roman"/>
          <w:color w:val="000000"/>
          <w:sz w:val="20"/>
          <w:szCs w:val="20"/>
        </w:rPr>
        <w:t>•Laws, regulations and policie</w:t>
      </w:r>
      <w:r>
        <w:rPr>
          <w:rFonts w:eastAsia="Times New Roman"/>
          <w:color w:val="000000"/>
          <w:sz w:val="20"/>
          <w:szCs w:val="20"/>
        </w:rPr>
        <w:t>s of foreign governments relating to investments and operations, as well as U.S. laws affecting activities of U.S. companies abroad, including the Foreign Corrupt Practices Act (“FCPA”);</w:t>
      </w:r>
    </w:p>
    <w:p w14:paraId="376FB937" w14:textId="77777777" w:rsidR="00000000" w:rsidRDefault="001A570A">
      <w:pPr>
        <w:ind w:hanging="360"/>
        <w:divId w:val="1211115586"/>
        <w:rPr>
          <w:rFonts w:eastAsia="Times New Roman"/>
        </w:rPr>
      </w:pPr>
      <w:r>
        <w:rPr>
          <w:rFonts w:eastAsia="Times New Roman"/>
          <w:color w:val="000000"/>
          <w:sz w:val="20"/>
          <w:szCs w:val="20"/>
        </w:rPr>
        <w:t xml:space="preserve">•Import and export licensing requirements and regulations, including </w:t>
      </w:r>
      <w:r>
        <w:rPr>
          <w:rFonts w:eastAsia="Times New Roman"/>
          <w:color w:val="000000"/>
          <w:sz w:val="20"/>
          <w:szCs w:val="20"/>
        </w:rPr>
        <w:t>ITAR, as well as unforeseen changes in export controls and other trade regulations;</w:t>
      </w:r>
    </w:p>
    <w:p w14:paraId="5421483F" w14:textId="77777777" w:rsidR="00000000" w:rsidRDefault="001A570A">
      <w:pPr>
        <w:ind w:hanging="360"/>
        <w:divId w:val="93793290"/>
        <w:rPr>
          <w:rFonts w:eastAsia="Times New Roman"/>
        </w:rPr>
      </w:pPr>
      <w:r>
        <w:rPr>
          <w:rFonts w:eastAsia="Times New Roman"/>
          <w:color w:val="000000"/>
          <w:sz w:val="20"/>
          <w:szCs w:val="20"/>
        </w:rPr>
        <w:t xml:space="preserve">•Changes in regulatory requirements, including business or operating license requirements, imposition of tariffs or embargoes; </w:t>
      </w:r>
    </w:p>
    <w:p w14:paraId="1BDD8DDA" w14:textId="77777777" w:rsidR="00000000" w:rsidRDefault="001A570A">
      <w:pPr>
        <w:ind w:hanging="360"/>
        <w:divId w:val="221909700"/>
        <w:rPr>
          <w:rFonts w:eastAsia="Times New Roman"/>
        </w:rPr>
      </w:pPr>
      <w:r>
        <w:rPr>
          <w:rFonts w:eastAsia="Times New Roman"/>
          <w:color w:val="000000"/>
          <w:sz w:val="20"/>
          <w:szCs w:val="20"/>
        </w:rPr>
        <w:t>•Uncertainties and restrictions concerning t</w:t>
      </w:r>
      <w:r>
        <w:rPr>
          <w:rFonts w:eastAsia="Times New Roman"/>
          <w:color w:val="000000"/>
          <w:sz w:val="20"/>
          <w:szCs w:val="20"/>
        </w:rPr>
        <w:t>he availability of funding, credit or guarantees;</w:t>
      </w:r>
    </w:p>
    <w:p w14:paraId="1D97AC6E" w14:textId="77777777" w:rsidR="00000000" w:rsidRDefault="001A570A">
      <w:pPr>
        <w:ind w:hanging="360"/>
        <w:divId w:val="2063479342"/>
        <w:rPr>
          <w:rFonts w:eastAsia="Times New Roman"/>
        </w:rPr>
      </w:pPr>
      <w:r>
        <w:rPr>
          <w:rFonts w:eastAsia="Times New Roman"/>
          <w:color w:val="000000"/>
          <w:sz w:val="20"/>
          <w:szCs w:val="20"/>
        </w:rPr>
        <w:t>•Risk of non-payment or delayed payment by non-U.S. customers;</w:t>
      </w:r>
    </w:p>
    <w:p w14:paraId="5EBEAF55" w14:textId="77777777" w:rsidR="00000000" w:rsidRDefault="001A570A">
      <w:pPr>
        <w:ind w:hanging="360"/>
        <w:divId w:val="343292216"/>
        <w:rPr>
          <w:rFonts w:eastAsia="Times New Roman"/>
        </w:rPr>
      </w:pPr>
      <w:r>
        <w:rPr>
          <w:rFonts w:eastAsia="Times New Roman"/>
          <w:color w:val="000000"/>
          <w:sz w:val="20"/>
          <w:szCs w:val="20"/>
        </w:rPr>
        <w:t>•Contractual obligations to non-U.S. customers may include specific in-country purchases, investments, manufacturing agreements or financial or</w:t>
      </w:r>
      <w:r>
        <w:rPr>
          <w:rFonts w:eastAsia="Times New Roman"/>
          <w:color w:val="000000"/>
          <w:sz w:val="20"/>
          <w:szCs w:val="20"/>
        </w:rPr>
        <w:t xml:space="preserve"> other support arrangements or obligations, known as offset obligations, that may extend for many years, require teaming with local companies and result in significant penalties if not satisfied;</w:t>
      </w:r>
    </w:p>
    <w:p w14:paraId="545932A2" w14:textId="77777777" w:rsidR="00000000" w:rsidRDefault="001A570A">
      <w:pPr>
        <w:ind w:hanging="360"/>
        <w:divId w:val="890074895"/>
        <w:rPr>
          <w:rFonts w:eastAsia="Times New Roman"/>
        </w:rPr>
      </w:pPr>
      <w:r>
        <w:rPr>
          <w:rFonts w:eastAsia="Times New Roman"/>
          <w:color w:val="000000"/>
          <w:sz w:val="20"/>
          <w:szCs w:val="20"/>
        </w:rPr>
        <w:t>•Complexities and necessities of using, and disruptions invo</w:t>
      </w:r>
      <w:r>
        <w:rPr>
          <w:rFonts w:eastAsia="Times New Roman"/>
          <w:color w:val="000000"/>
          <w:sz w:val="20"/>
          <w:szCs w:val="20"/>
        </w:rPr>
        <w:t>lving, international dealers, distributors, sales representatives and consultants;</w:t>
      </w:r>
    </w:p>
    <w:p w14:paraId="7CF85A1F" w14:textId="77777777" w:rsidR="00000000" w:rsidRDefault="001A570A">
      <w:pPr>
        <w:ind w:hanging="360"/>
        <w:divId w:val="414211912"/>
        <w:rPr>
          <w:rFonts w:eastAsia="Times New Roman"/>
        </w:rPr>
      </w:pPr>
      <w:r>
        <w:rPr>
          <w:rFonts w:eastAsia="Times New Roman"/>
          <w:color w:val="000000"/>
          <w:sz w:val="20"/>
          <w:szCs w:val="20"/>
        </w:rPr>
        <w:t>•Difficulties of managing a geographically dispersed organization and culturally diverse workforces, including compliance with local laws and practices;</w:t>
      </w:r>
    </w:p>
    <w:p w14:paraId="5EA65F54" w14:textId="77777777" w:rsidR="00000000" w:rsidRDefault="001A570A">
      <w:pPr>
        <w:ind w:hanging="360"/>
        <w:divId w:val="1882209645"/>
        <w:rPr>
          <w:rFonts w:eastAsia="Times New Roman"/>
        </w:rPr>
      </w:pPr>
      <w:r>
        <w:rPr>
          <w:rFonts w:eastAsia="Times New Roman"/>
          <w:color w:val="000000"/>
          <w:sz w:val="20"/>
          <w:szCs w:val="20"/>
        </w:rPr>
        <w:t>•Difficulties with r</w:t>
      </w:r>
      <w:r>
        <w:rPr>
          <w:rFonts w:eastAsia="Times New Roman"/>
          <w:color w:val="000000"/>
          <w:sz w:val="20"/>
          <w:szCs w:val="20"/>
        </w:rPr>
        <w:t>epatriating cash generated or held abroad in a tax-efficient manner and changes in tax laws;</w:t>
      </w:r>
    </w:p>
    <w:p w14:paraId="2FA41453" w14:textId="77777777" w:rsidR="00000000" w:rsidRDefault="001A570A">
      <w:pPr>
        <w:ind w:hanging="360"/>
        <w:divId w:val="177933860"/>
        <w:rPr>
          <w:rFonts w:eastAsia="Times New Roman"/>
        </w:rPr>
      </w:pPr>
      <w:r>
        <w:rPr>
          <w:rFonts w:eastAsia="Times New Roman"/>
          <w:color w:val="000000"/>
          <w:sz w:val="20"/>
          <w:szCs w:val="20"/>
        </w:rPr>
        <w:t>•Uncertainties as to local laws and enforcement of contract and intellectual property rights and occasional requirements for onerous contract terms;</w:t>
      </w:r>
    </w:p>
    <w:p w14:paraId="44AC82D4" w14:textId="77777777" w:rsidR="00000000" w:rsidRDefault="001A570A">
      <w:pPr>
        <w:ind w:hanging="360"/>
        <w:divId w:val="1969046460"/>
        <w:rPr>
          <w:rFonts w:eastAsia="Times New Roman"/>
        </w:rPr>
      </w:pPr>
      <w:r>
        <w:rPr>
          <w:rFonts w:eastAsia="Times New Roman"/>
          <w:color w:val="000000"/>
          <w:sz w:val="20"/>
          <w:szCs w:val="20"/>
        </w:rPr>
        <w:t>•Rapid changes</w:t>
      </w:r>
      <w:r>
        <w:rPr>
          <w:rFonts w:eastAsia="Times New Roman"/>
          <w:color w:val="000000"/>
          <w:sz w:val="20"/>
          <w:szCs w:val="20"/>
        </w:rPr>
        <w:t xml:space="preserve"> in government, economic and political policies, political or civil unrest, acts of terrorism or threats of international boycotts or U.S. anti-boycott legislation; and</w:t>
      </w:r>
    </w:p>
    <w:p w14:paraId="2923CE37" w14:textId="77777777" w:rsidR="00000000" w:rsidRDefault="001A570A">
      <w:pPr>
        <w:ind w:hanging="360"/>
        <w:divId w:val="667899781"/>
        <w:rPr>
          <w:rFonts w:eastAsia="Times New Roman"/>
        </w:rPr>
      </w:pPr>
      <w:r>
        <w:rPr>
          <w:rFonts w:eastAsia="Times New Roman"/>
          <w:color w:val="000000"/>
          <w:sz w:val="20"/>
          <w:szCs w:val="20"/>
        </w:rPr>
        <w:t>•</w:t>
      </w:r>
      <w:r>
        <w:rPr>
          <w:rFonts w:eastAsia="Times New Roman"/>
          <w:color w:val="000000"/>
          <w:sz w:val="20"/>
          <w:szCs w:val="20"/>
        </w:rPr>
        <w:t>Increased risk of an incident resulting in damage or destruction to our facilities or products or resulting in injury or loss of life to our employees, subcontractors or other third parties.</w:t>
      </w:r>
    </w:p>
    <w:p w14:paraId="5DAAED98" w14:textId="77777777" w:rsidR="00000000" w:rsidRDefault="001A570A">
      <w:pPr>
        <w:divId w:val="417212210"/>
        <w:rPr>
          <w:rFonts w:eastAsia="Times New Roman"/>
        </w:rPr>
      </w:pPr>
      <w:r>
        <w:rPr>
          <w:rFonts w:eastAsia="Times New Roman"/>
          <w:b/>
          <w:bCs/>
          <w:i/>
          <w:iCs/>
          <w:color w:val="000000"/>
          <w:sz w:val="20"/>
          <w:szCs w:val="20"/>
        </w:rPr>
        <w:t>We are subject to government investigations, which could have a m</w:t>
      </w:r>
      <w:r>
        <w:rPr>
          <w:rFonts w:eastAsia="Times New Roman"/>
          <w:b/>
          <w:bCs/>
          <w:i/>
          <w:iCs/>
          <w:color w:val="000000"/>
          <w:sz w:val="20"/>
          <w:szCs w:val="20"/>
        </w:rPr>
        <w:t xml:space="preserve">aterial adverse effect on our business, financial condition, results of operations, cash flows and equity. </w:t>
      </w:r>
    </w:p>
    <w:p w14:paraId="0169C35A" w14:textId="77777777" w:rsidR="00000000" w:rsidRDefault="001A570A">
      <w:pPr>
        <w:ind w:firstLine="450"/>
        <w:divId w:val="1141771625"/>
        <w:rPr>
          <w:rFonts w:eastAsia="Times New Roman"/>
        </w:rPr>
      </w:pPr>
      <w:r>
        <w:rPr>
          <w:rFonts w:eastAsia="Times New Roman"/>
          <w:color w:val="000000"/>
          <w:sz w:val="20"/>
          <w:szCs w:val="20"/>
        </w:rPr>
        <w:t>U.S. Government contractors are subject to extensive legal and regulatory requirements, including ITAR and FCPA, and from time to time agencies of t</w:t>
      </w:r>
      <w:r>
        <w:rPr>
          <w:rFonts w:eastAsia="Times New Roman"/>
          <w:color w:val="000000"/>
          <w:sz w:val="20"/>
          <w:szCs w:val="20"/>
        </w:rPr>
        <w:t xml:space="preserve">he U.S. Government investigate whether we have been and are operating in accordance with these requirements. We may cooperate with the U.S. Government in those investigations. Under U.S. Government regulations, an indictment of L3Harris by a federal grand </w:t>
      </w:r>
      <w:r>
        <w:rPr>
          <w:rFonts w:eastAsia="Times New Roman"/>
          <w:color w:val="000000"/>
          <w:sz w:val="20"/>
          <w:szCs w:val="20"/>
        </w:rPr>
        <w:t>jury, or an administrative finding against us as to our present responsibility to be a U.S. Government contractor or subcontractor, could result in us being suspended for a period of time from eligibility for awards of new government contracts or task orde</w:t>
      </w:r>
      <w:r>
        <w:rPr>
          <w:rFonts w:eastAsia="Times New Roman"/>
          <w:color w:val="000000"/>
          <w:sz w:val="20"/>
          <w:szCs w:val="20"/>
        </w:rPr>
        <w:t xml:space="preserve">rs or in a loss of export privileges, which could have a material adverse effect on our business, financial condition, results of operations, cash flows and equity. A conviction, or an administrative finding against us that satisfies </w:t>
      </w:r>
    </w:p>
    <w:p w14:paraId="51781315" w14:textId="77777777" w:rsidR="00000000" w:rsidRDefault="001A570A">
      <w:pPr>
        <w:ind w:firstLine="450"/>
        <w:jc w:val="center"/>
        <w:divId w:val="1905412374"/>
        <w:rPr>
          <w:rFonts w:eastAsia="Times New Roman"/>
        </w:rPr>
      </w:pPr>
      <w:r>
        <w:rPr>
          <w:rFonts w:eastAsia="Times New Roman"/>
          <w:color w:val="000000"/>
          <w:sz w:val="20"/>
          <w:szCs w:val="20"/>
        </w:rPr>
        <w:t>16</w:t>
      </w:r>
    </w:p>
    <w:p w14:paraId="06810019" w14:textId="77777777" w:rsidR="00000000" w:rsidRDefault="001A570A">
      <w:pPr>
        <w:rPr>
          <w:rFonts w:eastAsia="Times New Roman"/>
        </w:rPr>
      </w:pPr>
      <w:r>
        <w:rPr>
          <w:rFonts w:eastAsia="Times New Roman"/>
        </w:rPr>
        <w:pict w14:anchorId="4F2E9AE4">
          <v:rect id="_x0000_i1043" style="width:0;height:1.5pt" o:hralign="center" o:hrstd="t" o:hr="t" fillcolor="#a0a0a0" stroked="f"/>
        </w:pict>
      </w:r>
    </w:p>
    <w:p w14:paraId="1DED7A81" w14:textId="77777777" w:rsidR="00000000" w:rsidRDefault="001A570A">
      <w:pPr>
        <w:ind w:firstLine="450"/>
        <w:divId w:val="499543187"/>
        <w:rPr>
          <w:rFonts w:eastAsia="Times New Roman"/>
        </w:rPr>
      </w:pPr>
    </w:p>
    <w:p w14:paraId="3A815BEA" w14:textId="77777777" w:rsidR="00000000" w:rsidRDefault="001A570A">
      <w:pPr>
        <w:divId w:val="1346402363"/>
        <w:rPr>
          <w:rFonts w:eastAsia="Times New Roman"/>
        </w:rPr>
      </w:pPr>
      <w:r>
        <w:rPr>
          <w:rFonts w:eastAsia="Times New Roman"/>
          <w:color w:val="000000"/>
          <w:sz w:val="20"/>
          <w:szCs w:val="20"/>
        </w:rPr>
        <w:t>the requisite level of seriousness, could result in debarment from contracting with the U.S. Government for a specific term, which could have a material adverse effect on our business, financial condition, results of operations, cash fl</w:t>
      </w:r>
      <w:r>
        <w:rPr>
          <w:rFonts w:eastAsia="Times New Roman"/>
          <w:color w:val="000000"/>
          <w:sz w:val="20"/>
          <w:szCs w:val="20"/>
        </w:rPr>
        <w:t>ows and equity.</w:t>
      </w:r>
    </w:p>
    <w:p w14:paraId="0FAFEA91" w14:textId="77777777" w:rsidR="00000000" w:rsidRDefault="001A570A">
      <w:pPr>
        <w:divId w:val="628432991"/>
        <w:rPr>
          <w:rFonts w:eastAsia="Times New Roman"/>
        </w:rPr>
      </w:pPr>
      <w:r>
        <w:rPr>
          <w:rFonts w:eastAsia="Times New Roman"/>
          <w:b/>
          <w:bCs/>
          <w:color w:val="000000"/>
          <w:sz w:val="20"/>
          <w:szCs w:val="20"/>
        </w:rPr>
        <w:t>Business and Operational Risks</w:t>
      </w:r>
    </w:p>
    <w:p w14:paraId="6AC665E2" w14:textId="77777777" w:rsidR="00000000" w:rsidRDefault="001A570A">
      <w:pPr>
        <w:divId w:val="1818722100"/>
        <w:rPr>
          <w:rFonts w:eastAsia="Times New Roman"/>
        </w:rPr>
      </w:pPr>
      <w:r>
        <w:rPr>
          <w:rFonts w:eastAsia="Times New Roman"/>
          <w:b/>
          <w:bCs/>
          <w:i/>
          <w:iCs/>
          <w:color w:val="000000"/>
          <w:sz w:val="20"/>
          <w:szCs w:val="20"/>
        </w:rPr>
        <w:t xml:space="preserve">We could be negatively impacted by a security breach, through cyber attack, cyber intrusion, insider threats or otherwise, or other significant disruption of our IT networks and related systems or of those we </w:t>
      </w:r>
      <w:r>
        <w:rPr>
          <w:rFonts w:eastAsia="Times New Roman"/>
          <w:b/>
          <w:bCs/>
          <w:i/>
          <w:iCs/>
          <w:color w:val="000000"/>
          <w:sz w:val="20"/>
          <w:szCs w:val="20"/>
        </w:rPr>
        <w:t xml:space="preserve">operate for certain of our customers. </w:t>
      </w:r>
    </w:p>
    <w:p w14:paraId="583F8B8E" w14:textId="77777777" w:rsidR="00000000" w:rsidRDefault="001A570A">
      <w:pPr>
        <w:ind w:firstLine="450"/>
        <w:divId w:val="377750372"/>
        <w:rPr>
          <w:rFonts w:eastAsia="Times New Roman"/>
        </w:rPr>
      </w:pPr>
      <w:r>
        <w:rPr>
          <w:rFonts w:eastAsia="Times New Roman"/>
          <w:color w:val="000000"/>
          <w:sz w:val="20"/>
          <w:szCs w:val="20"/>
        </w:rPr>
        <w:t>We face the risk of a security breach, whether through cyber attack, cyber intrusion or insider threat via the Internet, malware, computer viruses, attachments to e-mails, persons inside our organization or with acces</w:t>
      </w:r>
      <w:r>
        <w:rPr>
          <w:rFonts w:eastAsia="Times New Roman"/>
          <w:color w:val="000000"/>
          <w:sz w:val="20"/>
          <w:szCs w:val="20"/>
        </w:rPr>
        <w:t>s to systems inside our organization, threats to the physical security of our facilities and employees or other significant disruption of our IT networks and related systems or those of our suppliers or subcontractors. We face an added risk of a security b</w:t>
      </w:r>
      <w:r>
        <w:rPr>
          <w:rFonts w:eastAsia="Times New Roman"/>
          <w:color w:val="000000"/>
          <w:sz w:val="20"/>
          <w:szCs w:val="20"/>
        </w:rPr>
        <w:t>reach or other significant disruption of the IT networks and related systems that we develop, install, operate and maintain for certain of our customers, which may involve managing and protecting information relating to national security and other sensitiv</w:t>
      </w:r>
      <w:r>
        <w:rPr>
          <w:rFonts w:eastAsia="Times New Roman"/>
          <w:color w:val="000000"/>
          <w:sz w:val="20"/>
          <w:szCs w:val="20"/>
        </w:rPr>
        <w:t>e government functions or personally identifiable or protected health information. The risk of a security breach or disruption, particularly through cyber attack or cyber intrusion, including by computer hackers, foreign governments and cyber terrorists, i</w:t>
      </w:r>
      <w:r>
        <w:rPr>
          <w:rFonts w:eastAsia="Times New Roman"/>
          <w:color w:val="000000"/>
          <w:sz w:val="20"/>
          <w:szCs w:val="20"/>
        </w:rPr>
        <w:t xml:space="preserve">s persistent and substantial as the volume, intensity and sophistication of attempted attacks, intrusions and threats from around the world remain elevated and unlikely to diminish. As an advanced technology-based solutions provider, and particularly as a </w:t>
      </w:r>
      <w:r>
        <w:rPr>
          <w:rFonts w:eastAsia="Times New Roman"/>
          <w:color w:val="000000"/>
          <w:sz w:val="20"/>
          <w:szCs w:val="20"/>
        </w:rPr>
        <w:t>government contractor with access to national security or other sensitive government information, we face a heightened risk of a security breach or disruption from threats to gain unauthorized access to our and our customers’ proprietary or classified info</w:t>
      </w:r>
      <w:r>
        <w:rPr>
          <w:rFonts w:eastAsia="Times New Roman"/>
          <w:color w:val="000000"/>
          <w:sz w:val="20"/>
          <w:szCs w:val="20"/>
        </w:rPr>
        <w:t>rmation on our IT networks and related systems and to the IT networks and related systems that we operate and maintain for certain of our customers. These types of information and IT networks and related systems are critical to the operation of our busines</w:t>
      </w:r>
      <w:r>
        <w:rPr>
          <w:rFonts w:eastAsia="Times New Roman"/>
          <w:color w:val="000000"/>
          <w:sz w:val="20"/>
          <w:szCs w:val="20"/>
        </w:rPr>
        <w:t>s and essential to our ability to perform day-to-day operations, and, in some cases, are critical to the operations of certain of our customers. We make significant efforts to maintain the security and integrity of these types of information and IT network</w:t>
      </w:r>
      <w:r>
        <w:rPr>
          <w:rFonts w:eastAsia="Times New Roman"/>
          <w:color w:val="000000"/>
          <w:sz w:val="20"/>
          <w:szCs w:val="20"/>
        </w:rPr>
        <w:t>s and related systems and have implemented various measures to manage the risk of a security breach or disruption. Our efforts and measures have not been entirely effective in the case of every cyber security incident, but no incident has had a material ne</w:t>
      </w:r>
      <w:r>
        <w:rPr>
          <w:rFonts w:eastAsia="Times New Roman"/>
          <w:color w:val="000000"/>
          <w:sz w:val="20"/>
          <w:szCs w:val="20"/>
        </w:rPr>
        <w:t>gative impact on us to date. Even the most well protected information, networks, systems and facilities remain potentially vulnerable because attempted security breaches, particularly cyber attacks and cyber intrusions, or disruptions will occur in the fut</w:t>
      </w:r>
      <w:r>
        <w:rPr>
          <w:rFonts w:eastAsia="Times New Roman"/>
          <w:color w:val="000000"/>
          <w:sz w:val="20"/>
          <w:szCs w:val="20"/>
        </w:rPr>
        <w:t>ure, and because the techniques used in such attempts are constantly evolving and generally are not recognized until launched against a target, and in some cases are designed not to be detected and, in fact, may not be detected (for example, the SolarWinds</w:t>
      </w:r>
      <w:r>
        <w:rPr>
          <w:rFonts w:eastAsia="Times New Roman"/>
          <w:color w:val="000000"/>
          <w:sz w:val="20"/>
          <w:szCs w:val="20"/>
        </w:rPr>
        <w:t xml:space="preserve"> cyber incident). In some cases, the resources of foreign governments may be behind such attacks due to the nature of our business and the industries in which we operate. Accordingly, we may be unable to anticipate these techniques or to implement adequate</w:t>
      </w:r>
      <w:r>
        <w:rPr>
          <w:rFonts w:eastAsia="Times New Roman"/>
          <w:color w:val="000000"/>
          <w:sz w:val="20"/>
          <w:szCs w:val="20"/>
        </w:rPr>
        <w:t xml:space="preserve"> security barriers or other preventative measures. Thus, it is impossible for us to entirely mitigate this risk, and there can be no assurance that future cyber security incidents will not have a material negative impact on us. A security breach or other s</w:t>
      </w:r>
      <w:r>
        <w:rPr>
          <w:rFonts w:eastAsia="Times New Roman"/>
          <w:color w:val="000000"/>
          <w:sz w:val="20"/>
          <w:szCs w:val="20"/>
        </w:rPr>
        <w:t>ignificant disruption involving these types of information and IT networks and related systems could:</w:t>
      </w:r>
    </w:p>
    <w:p w14:paraId="18D9BB8D" w14:textId="77777777" w:rsidR="00000000" w:rsidRDefault="001A570A">
      <w:pPr>
        <w:ind w:hanging="360"/>
        <w:divId w:val="766733254"/>
        <w:rPr>
          <w:rFonts w:eastAsia="Times New Roman"/>
        </w:rPr>
      </w:pPr>
      <w:r>
        <w:rPr>
          <w:rFonts w:eastAsia="Times New Roman"/>
          <w:color w:val="000000"/>
          <w:sz w:val="20"/>
          <w:szCs w:val="20"/>
        </w:rPr>
        <w:t>•Disrupt proper functioning of these networks and systems and, therefore, our operations and/or those of certain of our customers;</w:t>
      </w:r>
    </w:p>
    <w:p w14:paraId="73FCD873" w14:textId="77777777" w:rsidR="00000000" w:rsidRDefault="001A570A">
      <w:pPr>
        <w:ind w:hanging="360"/>
        <w:divId w:val="740182329"/>
        <w:rPr>
          <w:rFonts w:eastAsia="Times New Roman"/>
        </w:rPr>
      </w:pPr>
      <w:r>
        <w:rPr>
          <w:rFonts w:eastAsia="Times New Roman"/>
          <w:color w:val="000000"/>
          <w:sz w:val="20"/>
          <w:szCs w:val="20"/>
        </w:rPr>
        <w:t>•Result in unauthorized</w:t>
      </w:r>
      <w:r>
        <w:rPr>
          <w:rFonts w:eastAsia="Times New Roman"/>
          <w:color w:val="000000"/>
          <w:sz w:val="20"/>
          <w:szCs w:val="20"/>
        </w:rPr>
        <w:t xml:space="preserve"> access to, and destruction, loss, theft, misappropriation or release of, proprietary, confidential, sensitive or otherwise valuable information of ours, our customers or our employees, including trade secrets, which could be used to compete against us or </w:t>
      </w:r>
      <w:r>
        <w:rPr>
          <w:rFonts w:eastAsia="Times New Roman"/>
          <w:color w:val="000000"/>
          <w:sz w:val="20"/>
          <w:szCs w:val="20"/>
        </w:rPr>
        <w:t>for disruptive, destructive or otherwise harmful purposes and outcomes;</w:t>
      </w:r>
    </w:p>
    <w:p w14:paraId="4608B7E0" w14:textId="77777777" w:rsidR="00000000" w:rsidRDefault="001A570A">
      <w:pPr>
        <w:ind w:hanging="360"/>
        <w:divId w:val="970210356"/>
        <w:rPr>
          <w:rFonts w:eastAsia="Times New Roman"/>
        </w:rPr>
      </w:pPr>
      <w:r>
        <w:rPr>
          <w:rFonts w:eastAsia="Times New Roman"/>
          <w:color w:val="000000"/>
          <w:sz w:val="20"/>
          <w:szCs w:val="20"/>
        </w:rPr>
        <w:t>•Compromise national security and other sensitive government functions;</w:t>
      </w:r>
    </w:p>
    <w:p w14:paraId="5782EF34" w14:textId="77777777" w:rsidR="00000000" w:rsidRDefault="001A570A">
      <w:pPr>
        <w:ind w:hanging="360"/>
        <w:divId w:val="893930302"/>
        <w:rPr>
          <w:rFonts w:eastAsia="Times New Roman"/>
        </w:rPr>
      </w:pPr>
      <w:r>
        <w:rPr>
          <w:rFonts w:eastAsia="Times New Roman"/>
          <w:color w:val="000000"/>
          <w:sz w:val="20"/>
          <w:szCs w:val="20"/>
        </w:rPr>
        <w:t>•Require significant management attention and resources to remedy damages that result;</w:t>
      </w:r>
    </w:p>
    <w:p w14:paraId="551F8E22" w14:textId="77777777" w:rsidR="00000000" w:rsidRDefault="001A570A">
      <w:pPr>
        <w:ind w:hanging="360"/>
        <w:divId w:val="675117198"/>
        <w:rPr>
          <w:rFonts w:eastAsia="Times New Roman"/>
        </w:rPr>
      </w:pPr>
      <w:r>
        <w:rPr>
          <w:rFonts w:eastAsia="Times New Roman"/>
          <w:color w:val="000000"/>
          <w:sz w:val="20"/>
          <w:szCs w:val="20"/>
        </w:rPr>
        <w:t>•Result in costs which ex</w:t>
      </w:r>
      <w:r>
        <w:rPr>
          <w:rFonts w:eastAsia="Times New Roman"/>
          <w:color w:val="000000"/>
          <w:sz w:val="20"/>
          <w:szCs w:val="20"/>
        </w:rPr>
        <w:t>ceed our insurance coverage and/or indemnification arrangements;</w:t>
      </w:r>
    </w:p>
    <w:p w14:paraId="369C8BF0" w14:textId="77777777" w:rsidR="00000000" w:rsidRDefault="001A570A">
      <w:pPr>
        <w:ind w:hanging="360"/>
        <w:divId w:val="2079475890"/>
        <w:rPr>
          <w:rFonts w:eastAsia="Times New Roman"/>
        </w:rPr>
      </w:pPr>
      <w:r>
        <w:rPr>
          <w:rFonts w:eastAsia="Times New Roman"/>
          <w:color w:val="000000"/>
          <w:sz w:val="20"/>
          <w:szCs w:val="20"/>
        </w:rPr>
        <w:t>•Subject us to claims for contract breach, damages, credits, penalties or termination; and</w:t>
      </w:r>
    </w:p>
    <w:p w14:paraId="2EB14B02" w14:textId="77777777" w:rsidR="00000000" w:rsidRDefault="001A570A">
      <w:pPr>
        <w:ind w:hanging="360"/>
        <w:divId w:val="1962419228"/>
        <w:rPr>
          <w:rFonts w:eastAsia="Times New Roman"/>
        </w:rPr>
      </w:pPr>
      <w:r>
        <w:rPr>
          <w:rFonts w:eastAsia="Times New Roman"/>
          <w:color w:val="000000"/>
          <w:sz w:val="20"/>
          <w:szCs w:val="20"/>
        </w:rPr>
        <w:t>•Damage our reputation with our customers (particularly agencies of the U.S. Government) and the gen</w:t>
      </w:r>
      <w:r>
        <w:rPr>
          <w:rFonts w:eastAsia="Times New Roman"/>
          <w:color w:val="000000"/>
          <w:sz w:val="20"/>
          <w:szCs w:val="20"/>
        </w:rPr>
        <w:t xml:space="preserve">eral public.     </w:t>
      </w:r>
    </w:p>
    <w:p w14:paraId="629756E1" w14:textId="77777777" w:rsidR="00000000" w:rsidRDefault="001A570A">
      <w:pPr>
        <w:ind w:firstLine="450"/>
        <w:divId w:val="1306933751"/>
        <w:rPr>
          <w:rFonts w:eastAsia="Times New Roman"/>
        </w:rPr>
      </w:pPr>
      <w:r>
        <w:rPr>
          <w:rFonts w:eastAsia="Times New Roman"/>
          <w:color w:val="000000"/>
          <w:sz w:val="20"/>
          <w:szCs w:val="20"/>
        </w:rPr>
        <w:t>We must also rely on the safeguards put in place by customers, suppliers, vendors, subcontractors or other third parties to minimize the impact of cyber threats, other security threats or business disruptions. These third parties may have</w:t>
      </w:r>
      <w:r>
        <w:rPr>
          <w:rFonts w:eastAsia="Times New Roman"/>
          <w:color w:val="000000"/>
          <w:sz w:val="20"/>
          <w:szCs w:val="20"/>
        </w:rPr>
        <w:t xml:space="preserve"> varying levels of cybersecurity expertise and safeguards, and their relationships with government contractors, such as us, may increase their likelihood of being targeted by the same cyber threats we face. Our commercial arrangements with these third part</w:t>
      </w:r>
      <w:r>
        <w:rPr>
          <w:rFonts w:eastAsia="Times New Roman"/>
          <w:color w:val="000000"/>
          <w:sz w:val="20"/>
          <w:szCs w:val="20"/>
        </w:rPr>
        <w:t>ies include processes designed to require that the third parties and their employees and agents agree to maintain certain standards for the storage, protection and transfer of confidential, personal and proprietary information. However, we remain at risk o</w:t>
      </w:r>
      <w:r>
        <w:rPr>
          <w:rFonts w:eastAsia="Times New Roman"/>
          <w:color w:val="000000"/>
          <w:sz w:val="20"/>
          <w:szCs w:val="20"/>
        </w:rPr>
        <w:t>f a data breach due to the intentional or unintentional non-compliance by a third party’s employee or agent, the breakdown of a third party’s data protection processes, which may not be as sophisticated as ours, or a cyber-attack on a third party’s informa</w:t>
      </w:r>
      <w:r>
        <w:rPr>
          <w:rFonts w:eastAsia="Times New Roman"/>
          <w:color w:val="000000"/>
          <w:sz w:val="20"/>
          <w:szCs w:val="20"/>
        </w:rPr>
        <w:t>tion network and systems.</w:t>
      </w:r>
    </w:p>
    <w:p w14:paraId="62ECD6B2" w14:textId="77777777" w:rsidR="00000000" w:rsidRDefault="001A570A">
      <w:pPr>
        <w:ind w:firstLine="450"/>
        <w:jc w:val="center"/>
        <w:divId w:val="1100494502"/>
        <w:rPr>
          <w:rFonts w:eastAsia="Times New Roman"/>
        </w:rPr>
      </w:pPr>
      <w:r>
        <w:rPr>
          <w:rFonts w:eastAsia="Times New Roman"/>
          <w:color w:val="000000"/>
          <w:sz w:val="20"/>
          <w:szCs w:val="20"/>
        </w:rPr>
        <w:t>17</w:t>
      </w:r>
    </w:p>
    <w:p w14:paraId="32F54627" w14:textId="77777777" w:rsidR="00000000" w:rsidRDefault="001A570A">
      <w:pPr>
        <w:rPr>
          <w:rFonts w:eastAsia="Times New Roman"/>
        </w:rPr>
      </w:pPr>
      <w:r>
        <w:rPr>
          <w:rFonts w:eastAsia="Times New Roman"/>
        </w:rPr>
        <w:pict w14:anchorId="49F90D72">
          <v:rect id="_x0000_i1044" style="width:0;height:1.5pt" o:hralign="center" o:hrstd="t" o:hr="t" fillcolor="#a0a0a0" stroked="f"/>
        </w:pict>
      </w:r>
    </w:p>
    <w:p w14:paraId="069117B2" w14:textId="77777777" w:rsidR="00000000" w:rsidRDefault="001A570A">
      <w:pPr>
        <w:ind w:firstLine="450"/>
        <w:divId w:val="1889947127"/>
        <w:rPr>
          <w:rFonts w:eastAsia="Times New Roman"/>
        </w:rPr>
      </w:pPr>
    </w:p>
    <w:p w14:paraId="0746ACC2" w14:textId="77777777" w:rsidR="00000000" w:rsidRDefault="001A570A">
      <w:pPr>
        <w:ind w:firstLine="450"/>
        <w:divId w:val="1962300325"/>
        <w:rPr>
          <w:rFonts w:eastAsia="Times New Roman"/>
        </w:rPr>
      </w:pPr>
      <w:r>
        <w:rPr>
          <w:rFonts w:eastAsia="Times New Roman"/>
          <w:color w:val="000000"/>
          <w:sz w:val="20"/>
          <w:szCs w:val="20"/>
        </w:rPr>
        <w:t>Any or all of the foregoing could have a negative impact on our business, financial condition, results of operations, cash flows and equity.</w:t>
      </w:r>
    </w:p>
    <w:p w14:paraId="3D5E3E95" w14:textId="77777777" w:rsidR="00000000" w:rsidRDefault="001A570A">
      <w:pPr>
        <w:divId w:val="279342921"/>
        <w:rPr>
          <w:rFonts w:eastAsia="Times New Roman"/>
        </w:rPr>
      </w:pPr>
      <w:r>
        <w:rPr>
          <w:rFonts w:eastAsia="Times New Roman"/>
          <w:b/>
          <w:bCs/>
          <w:i/>
          <w:iCs/>
          <w:color w:val="000000"/>
          <w:sz w:val="20"/>
          <w:szCs w:val="20"/>
        </w:rPr>
        <w:t>Our future success will depend on our ability to develop new products, system</w:t>
      </w:r>
      <w:r>
        <w:rPr>
          <w:rFonts w:eastAsia="Times New Roman"/>
          <w:b/>
          <w:bCs/>
          <w:i/>
          <w:iCs/>
          <w:color w:val="000000"/>
          <w:sz w:val="20"/>
          <w:szCs w:val="20"/>
        </w:rPr>
        <w:t>s, services and technologies that achieve market acceptance in our current and future markets.</w:t>
      </w:r>
    </w:p>
    <w:p w14:paraId="6393A521" w14:textId="77777777" w:rsidR="00000000" w:rsidRDefault="001A570A">
      <w:pPr>
        <w:ind w:firstLine="450"/>
        <w:divId w:val="1865286676"/>
        <w:rPr>
          <w:rFonts w:eastAsia="Times New Roman"/>
        </w:rPr>
      </w:pPr>
      <w:r>
        <w:rPr>
          <w:rFonts w:eastAsia="Times New Roman"/>
          <w:color w:val="000000"/>
          <w:sz w:val="20"/>
          <w:szCs w:val="20"/>
        </w:rPr>
        <w:t>Our businesses are characterized by rapidly changing technologies and evolving industry standards. Accordingly, our performance depends on a number of factors, i</w:t>
      </w:r>
      <w:r>
        <w:rPr>
          <w:rFonts w:eastAsia="Times New Roman"/>
          <w:color w:val="000000"/>
          <w:sz w:val="20"/>
          <w:szCs w:val="20"/>
        </w:rPr>
        <w:t>ncluding our ability to:</w:t>
      </w:r>
    </w:p>
    <w:p w14:paraId="3232DC60" w14:textId="77777777" w:rsidR="00000000" w:rsidRDefault="001A570A">
      <w:pPr>
        <w:ind w:hanging="360"/>
        <w:divId w:val="55050927"/>
        <w:rPr>
          <w:rFonts w:eastAsia="Times New Roman"/>
        </w:rPr>
      </w:pPr>
      <w:r>
        <w:rPr>
          <w:rFonts w:eastAsia="Times New Roman"/>
          <w:color w:val="000000"/>
          <w:sz w:val="20"/>
          <w:szCs w:val="20"/>
        </w:rPr>
        <w:t>•Identify market needs and growth opportunities;</w:t>
      </w:r>
    </w:p>
    <w:p w14:paraId="643D0C3D" w14:textId="77777777" w:rsidR="00000000" w:rsidRDefault="001A570A">
      <w:pPr>
        <w:ind w:hanging="360"/>
        <w:divId w:val="2076318541"/>
        <w:rPr>
          <w:rFonts w:eastAsia="Times New Roman"/>
        </w:rPr>
      </w:pPr>
      <w:r>
        <w:rPr>
          <w:rFonts w:eastAsia="Times New Roman"/>
          <w:color w:val="000000"/>
          <w:sz w:val="20"/>
          <w:szCs w:val="20"/>
        </w:rPr>
        <w:t>•Identify emerging technological trends in our current and target markets;</w:t>
      </w:r>
    </w:p>
    <w:p w14:paraId="150B774D" w14:textId="77777777" w:rsidR="00000000" w:rsidRDefault="001A570A">
      <w:pPr>
        <w:ind w:hanging="360"/>
        <w:divId w:val="1583485862"/>
        <w:rPr>
          <w:rFonts w:eastAsia="Times New Roman"/>
        </w:rPr>
      </w:pPr>
      <w:r>
        <w:rPr>
          <w:rFonts w:eastAsia="Times New Roman"/>
          <w:color w:val="000000"/>
          <w:sz w:val="20"/>
          <w:szCs w:val="20"/>
        </w:rPr>
        <w:t>•Identify additional uses for our existing technology to address customer needs;</w:t>
      </w:r>
    </w:p>
    <w:p w14:paraId="73EC711A" w14:textId="77777777" w:rsidR="00000000" w:rsidRDefault="001A570A">
      <w:pPr>
        <w:ind w:hanging="360"/>
        <w:divId w:val="1362052530"/>
        <w:rPr>
          <w:rFonts w:eastAsia="Times New Roman"/>
        </w:rPr>
      </w:pPr>
      <w:r>
        <w:rPr>
          <w:rFonts w:eastAsia="Times New Roman"/>
          <w:color w:val="000000"/>
          <w:sz w:val="20"/>
          <w:szCs w:val="20"/>
        </w:rPr>
        <w:t>•</w:t>
      </w:r>
      <w:r>
        <w:rPr>
          <w:rFonts w:eastAsia="Times New Roman"/>
          <w:color w:val="000000"/>
          <w:sz w:val="20"/>
          <w:szCs w:val="20"/>
        </w:rPr>
        <w:t>Develop and maintain competitive products, systems, services and technologies;</w:t>
      </w:r>
    </w:p>
    <w:p w14:paraId="50BBF21F" w14:textId="77777777" w:rsidR="00000000" w:rsidRDefault="001A570A">
      <w:pPr>
        <w:ind w:hanging="360"/>
        <w:divId w:val="1528912664"/>
        <w:rPr>
          <w:rFonts w:eastAsia="Times New Roman"/>
        </w:rPr>
      </w:pPr>
      <w:r>
        <w:rPr>
          <w:rFonts w:eastAsia="Times New Roman"/>
          <w:color w:val="000000"/>
          <w:sz w:val="20"/>
          <w:szCs w:val="20"/>
        </w:rPr>
        <w:t>•Enhance our offerings by adding innovative hardware, software or other features that differentiate our products, systems, services and technologies from those of our competitor</w:t>
      </w:r>
      <w:r>
        <w:rPr>
          <w:rFonts w:eastAsia="Times New Roman"/>
          <w:color w:val="000000"/>
          <w:sz w:val="20"/>
          <w:szCs w:val="20"/>
        </w:rPr>
        <w:t>s; </w:t>
      </w:r>
    </w:p>
    <w:p w14:paraId="55447CE1" w14:textId="77777777" w:rsidR="00000000" w:rsidRDefault="001A570A">
      <w:pPr>
        <w:ind w:hanging="360"/>
        <w:divId w:val="1191529827"/>
        <w:rPr>
          <w:rFonts w:eastAsia="Times New Roman"/>
        </w:rPr>
      </w:pPr>
      <w:r>
        <w:rPr>
          <w:rFonts w:eastAsia="Times New Roman"/>
          <w:color w:val="000000"/>
          <w:sz w:val="20"/>
          <w:szCs w:val="20"/>
        </w:rPr>
        <w:t>•Develop, manufacture and bring to market cost-effective offerings quickly;</w:t>
      </w:r>
    </w:p>
    <w:p w14:paraId="3F77B9FA" w14:textId="77777777" w:rsidR="00000000" w:rsidRDefault="001A570A">
      <w:pPr>
        <w:ind w:hanging="360"/>
        <w:divId w:val="1586769021"/>
        <w:rPr>
          <w:rFonts w:eastAsia="Times New Roman"/>
        </w:rPr>
      </w:pPr>
      <w:r>
        <w:rPr>
          <w:rFonts w:eastAsia="Times New Roman"/>
          <w:color w:val="000000"/>
          <w:sz w:val="20"/>
          <w:szCs w:val="20"/>
        </w:rPr>
        <w:t xml:space="preserve">•Enhance product designs for export and releasability to international markets; and </w:t>
      </w:r>
    </w:p>
    <w:p w14:paraId="6F26776C" w14:textId="77777777" w:rsidR="00000000" w:rsidRDefault="001A570A">
      <w:pPr>
        <w:ind w:hanging="360"/>
        <w:divId w:val="1417173325"/>
        <w:rPr>
          <w:rFonts w:eastAsia="Times New Roman"/>
        </w:rPr>
      </w:pPr>
      <w:r>
        <w:rPr>
          <w:rFonts w:eastAsia="Times New Roman"/>
          <w:color w:val="000000"/>
          <w:sz w:val="20"/>
          <w:szCs w:val="20"/>
        </w:rPr>
        <w:t>•Effectively structure our businesses to reflect the competitive environment, including thr</w:t>
      </w:r>
      <w:r>
        <w:rPr>
          <w:rFonts w:eastAsia="Times New Roman"/>
          <w:color w:val="000000"/>
          <w:sz w:val="20"/>
          <w:szCs w:val="20"/>
        </w:rPr>
        <w:t>ough the use of joint ventures, collaborative agreements and other forms of alliances.</w:t>
      </w:r>
    </w:p>
    <w:p w14:paraId="31C04EA4" w14:textId="77777777" w:rsidR="00000000" w:rsidRDefault="001A570A">
      <w:pPr>
        <w:ind w:firstLine="450"/>
        <w:divId w:val="1971401506"/>
        <w:rPr>
          <w:rFonts w:eastAsia="Times New Roman"/>
        </w:rPr>
      </w:pPr>
      <w:r>
        <w:rPr>
          <w:rFonts w:eastAsia="Times New Roman"/>
          <w:color w:val="000000"/>
          <w:sz w:val="20"/>
          <w:szCs w:val="20"/>
        </w:rPr>
        <w:t>To remain competitive, we need to continue to design, develop, manufacture, assemble, test, market and support new products, systems, services and technologies, which wi</w:t>
      </w:r>
      <w:r>
        <w:rPr>
          <w:rFonts w:eastAsia="Times New Roman"/>
          <w:color w:val="000000"/>
          <w:sz w:val="20"/>
          <w:szCs w:val="20"/>
        </w:rPr>
        <w:t>ll require the investment of significant financial resources. In the past, we have allocated substantial funds for such investments through customer funded and internal research and development, acquisitions or other teaming arrangements. This practice wil</w:t>
      </w:r>
      <w:r>
        <w:rPr>
          <w:rFonts w:eastAsia="Times New Roman"/>
          <w:color w:val="000000"/>
          <w:sz w:val="20"/>
          <w:szCs w:val="20"/>
        </w:rPr>
        <w:t>l continue to be required, but we may not be able to successfully identify new opportunities and may not have the necessary financial resources to develop new products, systems, services and technologies in a timely or cost-effective manner. Furthermore, t</w:t>
      </w:r>
      <w:r>
        <w:rPr>
          <w:rFonts w:eastAsia="Times New Roman"/>
          <w:color w:val="000000"/>
          <w:sz w:val="20"/>
          <w:szCs w:val="20"/>
        </w:rPr>
        <w:t>he need to make these expenditures could divert our attention and resources from other projects, and we cannot be sure that these expenditures ultimately will lead to the timely development of new products, systems, services or technologies. Due to the des</w:t>
      </w:r>
      <w:r>
        <w:rPr>
          <w:rFonts w:eastAsia="Times New Roman"/>
          <w:color w:val="000000"/>
          <w:sz w:val="20"/>
          <w:szCs w:val="20"/>
        </w:rPr>
        <w:t>ign complexity of some of our products, systems, services and technologies, we may experience delays in completing development and introducing new products, systems, services or technologies in the future. Any delays could result in increased costs of deve</w:t>
      </w:r>
      <w:r>
        <w:rPr>
          <w:rFonts w:eastAsia="Times New Roman"/>
          <w:color w:val="000000"/>
          <w:sz w:val="20"/>
          <w:szCs w:val="20"/>
        </w:rPr>
        <w:t>lopment or divert resources from other projects. In addition, the markets for our products, systems, services or technologies may not develop as we currently anticipate, we may not be as successful in newly identified markets as we currently anticipate, an</w:t>
      </w:r>
      <w:r>
        <w:rPr>
          <w:rFonts w:eastAsia="Times New Roman"/>
          <w:color w:val="000000"/>
          <w:sz w:val="20"/>
          <w:szCs w:val="20"/>
        </w:rPr>
        <w:t xml:space="preserve">d acquisitions, joint ventures or other teaming arrangements we may enter into to pursue developing new products, systems, services or technologies may not be successful. Failure of our products, systems, services or technologies to gain market acceptance </w:t>
      </w:r>
      <w:r>
        <w:rPr>
          <w:rFonts w:eastAsia="Times New Roman"/>
          <w:color w:val="000000"/>
          <w:sz w:val="20"/>
          <w:szCs w:val="20"/>
        </w:rPr>
        <w:t>could significantly reduce our revenue and harm our business. Furthermore, competitors may develop competing products, systems, services or technologies that gain market acceptance in advance of our products, systems, services or technologies, or competito</w:t>
      </w:r>
      <w:r>
        <w:rPr>
          <w:rFonts w:eastAsia="Times New Roman"/>
          <w:color w:val="000000"/>
          <w:sz w:val="20"/>
          <w:szCs w:val="20"/>
        </w:rPr>
        <w:t>rs may develop new products, systems, services or technologies that cause our existing products, systems, services or technologies to become non-competitive or obsolete, which could adversely affect our results of operations. The future direction of the do</w:t>
      </w:r>
      <w:r>
        <w:rPr>
          <w:rFonts w:eastAsia="Times New Roman"/>
          <w:color w:val="000000"/>
          <w:sz w:val="20"/>
          <w:szCs w:val="20"/>
        </w:rPr>
        <w:t>mestic and global economies, including its impact on customer demand, also will have a significant impact on our overall performance.</w:t>
      </w:r>
    </w:p>
    <w:p w14:paraId="3995AC57" w14:textId="77777777" w:rsidR="00000000" w:rsidRDefault="001A570A">
      <w:pPr>
        <w:divId w:val="728962559"/>
        <w:rPr>
          <w:rFonts w:eastAsia="Times New Roman"/>
        </w:rPr>
      </w:pPr>
      <w:r>
        <w:rPr>
          <w:rFonts w:eastAsia="Times New Roman"/>
          <w:b/>
          <w:bCs/>
          <w:i/>
          <w:iCs/>
          <w:color w:val="000000"/>
          <w:sz w:val="20"/>
          <w:szCs w:val="20"/>
        </w:rPr>
        <w:t xml:space="preserve">We must attract and retain key employees, and any failure to do so could seriously harm us. </w:t>
      </w:r>
    </w:p>
    <w:p w14:paraId="3E015960" w14:textId="77777777" w:rsidR="00000000" w:rsidRDefault="001A570A">
      <w:pPr>
        <w:ind w:firstLine="450"/>
        <w:divId w:val="1779718122"/>
        <w:rPr>
          <w:rFonts w:eastAsia="Times New Roman"/>
        </w:rPr>
      </w:pPr>
      <w:r>
        <w:rPr>
          <w:rFonts w:eastAsia="Times New Roman"/>
          <w:color w:val="000000"/>
          <w:sz w:val="20"/>
          <w:szCs w:val="20"/>
        </w:rPr>
        <w:t>Our future success depends to</w:t>
      </w:r>
      <w:r>
        <w:rPr>
          <w:rFonts w:eastAsia="Times New Roman"/>
          <w:color w:val="000000"/>
          <w:sz w:val="20"/>
          <w:szCs w:val="20"/>
        </w:rPr>
        <w:t xml:space="preserve"> a significant degree upon the continued contributions of our management and our ability to attract and retain highly qualified management and technical personnel, including employees who have U.S. Government security clearances, particularly clearances of</w:t>
      </w:r>
      <w:r>
        <w:rPr>
          <w:rFonts w:eastAsia="Times New Roman"/>
          <w:color w:val="000000"/>
          <w:sz w:val="20"/>
          <w:szCs w:val="20"/>
        </w:rPr>
        <w:t xml:space="preserve"> top-secret and above. To the extent that the demand for qualified personnel exceeds supply, as has been the case from time to time in recent years, we could experience higher labor, recruiting or training costs in order to attract and retain such employee</w:t>
      </w:r>
      <w:r>
        <w:rPr>
          <w:rFonts w:eastAsia="Times New Roman"/>
          <w:color w:val="000000"/>
          <w:sz w:val="20"/>
          <w:szCs w:val="20"/>
        </w:rPr>
        <w:t>s, or could experience difficulties in performing under our contracts if our needs for such employees were unmet. Failure to attract and retain such personnel would damage our future prospects.</w:t>
      </w:r>
    </w:p>
    <w:p w14:paraId="54CE948F" w14:textId="77777777" w:rsidR="00000000" w:rsidRDefault="001A570A">
      <w:pPr>
        <w:divId w:val="1369186908"/>
        <w:rPr>
          <w:rFonts w:eastAsia="Times New Roman"/>
        </w:rPr>
      </w:pPr>
      <w:r>
        <w:rPr>
          <w:rFonts w:eastAsia="Times New Roman"/>
          <w:b/>
          <w:bCs/>
          <w:i/>
          <w:iCs/>
          <w:color w:val="000000"/>
          <w:sz w:val="20"/>
          <w:szCs w:val="20"/>
        </w:rPr>
        <w:t>Some of our workforce is represented by labor unions, so a pro</w:t>
      </w:r>
      <w:r>
        <w:rPr>
          <w:rFonts w:eastAsia="Times New Roman"/>
          <w:b/>
          <w:bCs/>
          <w:i/>
          <w:iCs/>
          <w:color w:val="000000"/>
          <w:sz w:val="20"/>
          <w:szCs w:val="20"/>
        </w:rPr>
        <w:t>longed work stoppage could harm our business.</w:t>
      </w:r>
    </w:p>
    <w:p w14:paraId="1426263E" w14:textId="77777777" w:rsidR="00000000" w:rsidRDefault="001A570A">
      <w:pPr>
        <w:ind w:firstLine="450"/>
        <w:divId w:val="1116560481"/>
        <w:rPr>
          <w:rFonts w:eastAsia="Times New Roman"/>
        </w:rPr>
      </w:pPr>
      <w:r>
        <w:rPr>
          <w:rFonts w:eastAsia="Times New Roman"/>
          <w:color w:val="000000"/>
          <w:sz w:val="20"/>
          <w:szCs w:val="20"/>
        </w:rPr>
        <w:t>At January 1, 2021, approximately 3,100 of our U.S. employees, or approximately 7 percent of our employee base, were unionized. If we encounter difficulties with renegotiation or renewals of collective bargaini</w:t>
      </w:r>
      <w:r>
        <w:rPr>
          <w:rFonts w:eastAsia="Times New Roman"/>
          <w:color w:val="000000"/>
          <w:sz w:val="20"/>
          <w:szCs w:val="20"/>
        </w:rPr>
        <w:t>ng arrangements or are unsuccessful in those efforts, we could incur additional costs and experience work stoppages. Union actions at suppliers can also affect us. We cannot predict how stable our union relationships will be or whether we will be able to s</w:t>
      </w:r>
      <w:r>
        <w:rPr>
          <w:rFonts w:eastAsia="Times New Roman"/>
          <w:color w:val="000000"/>
          <w:sz w:val="20"/>
          <w:szCs w:val="20"/>
        </w:rPr>
        <w:t>uccessfully negotiate successor collective bargaining agreements without impacting our financial condition. In addition, the presence of unions may limit our flexibility in dealing with our workforce. Work stoppages could negatively impact our ability to m</w:t>
      </w:r>
      <w:r>
        <w:rPr>
          <w:rFonts w:eastAsia="Times New Roman"/>
          <w:color w:val="000000"/>
          <w:sz w:val="20"/>
          <w:szCs w:val="20"/>
        </w:rPr>
        <w:t>anufacture products or provide services on a timely basis, which could negatively impact our business, financial condition, results of operations, cash flows and equity.</w:t>
      </w:r>
    </w:p>
    <w:p w14:paraId="1695C868" w14:textId="77777777" w:rsidR="00000000" w:rsidRDefault="001A570A">
      <w:pPr>
        <w:divId w:val="729766976"/>
        <w:rPr>
          <w:rFonts w:eastAsia="Times New Roman"/>
        </w:rPr>
      </w:pPr>
      <w:r>
        <w:rPr>
          <w:rFonts w:eastAsia="Times New Roman"/>
          <w:b/>
          <w:bCs/>
          <w:i/>
          <w:iCs/>
          <w:color w:val="000000"/>
          <w:sz w:val="20"/>
          <w:szCs w:val="20"/>
        </w:rPr>
        <w:t>Disputes with our subcontractors or key suppliers, or their inability to perform or ti</w:t>
      </w:r>
      <w:r>
        <w:rPr>
          <w:rFonts w:eastAsia="Times New Roman"/>
          <w:b/>
          <w:bCs/>
          <w:i/>
          <w:iCs/>
          <w:color w:val="000000"/>
          <w:sz w:val="20"/>
          <w:szCs w:val="20"/>
        </w:rPr>
        <w:t xml:space="preserve">mely deliver our components, parts or services, could cause our products, systems or services to be produced or delivered in an untimely or unsatisfactory manner. </w:t>
      </w:r>
    </w:p>
    <w:p w14:paraId="0B35F3E2" w14:textId="77777777" w:rsidR="00000000" w:rsidRDefault="001A570A">
      <w:pPr>
        <w:ind w:firstLine="450"/>
        <w:divId w:val="754715143"/>
        <w:rPr>
          <w:rFonts w:eastAsia="Times New Roman"/>
        </w:rPr>
      </w:pPr>
      <w:r>
        <w:rPr>
          <w:rFonts w:eastAsia="Times New Roman"/>
          <w:color w:val="000000"/>
          <w:sz w:val="20"/>
          <w:szCs w:val="20"/>
        </w:rPr>
        <w:t>We engage subcontractors on many of our contracts and from time to time may have disputes wi</w:t>
      </w:r>
      <w:r>
        <w:rPr>
          <w:rFonts w:eastAsia="Times New Roman"/>
          <w:color w:val="000000"/>
          <w:sz w:val="20"/>
          <w:szCs w:val="20"/>
        </w:rPr>
        <w:t xml:space="preserve">th them, including regarding the quality and timeliness of work performed by them, customer concerns about the subcontract or subcontractor, our </w:t>
      </w:r>
    </w:p>
    <w:p w14:paraId="2FD9DE20" w14:textId="77777777" w:rsidR="00000000" w:rsidRDefault="001A570A">
      <w:pPr>
        <w:ind w:firstLine="450"/>
        <w:jc w:val="center"/>
        <w:divId w:val="1049690144"/>
        <w:rPr>
          <w:rFonts w:eastAsia="Times New Roman"/>
        </w:rPr>
      </w:pPr>
      <w:r>
        <w:rPr>
          <w:rFonts w:eastAsia="Times New Roman"/>
          <w:color w:val="000000"/>
          <w:sz w:val="20"/>
          <w:szCs w:val="20"/>
        </w:rPr>
        <w:t>18</w:t>
      </w:r>
    </w:p>
    <w:p w14:paraId="542B2DDE" w14:textId="77777777" w:rsidR="00000000" w:rsidRDefault="001A570A">
      <w:pPr>
        <w:rPr>
          <w:rFonts w:eastAsia="Times New Roman"/>
        </w:rPr>
      </w:pPr>
      <w:r>
        <w:rPr>
          <w:rFonts w:eastAsia="Times New Roman"/>
        </w:rPr>
        <w:pict w14:anchorId="7285A87A">
          <v:rect id="_x0000_i1045" style="width:0;height:1.5pt" o:hralign="center" o:hrstd="t" o:hr="t" fillcolor="#a0a0a0" stroked="f"/>
        </w:pict>
      </w:r>
    </w:p>
    <w:p w14:paraId="178B78FD" w14:textId="77777777" w:rsidR="00000000" w:rsidRDefault="001A570A">
      <w:pPr>
        <w:ind w:firstLine="450"/>
        <w:divId w:val="434592560"/>
        <w:rPr>
          <w:rFonts w:eastAsia="Times New Roman"/>
        </w:rPr>
      </w:pPr>
    </w:p>
    <w:p w14:paraId="5CAD457E" w14:textId="77777777" w:rsidR="00000000" w:rsidRDefault="001A570A">
      <w:pPr>
        <w:divId w:val="1739356432"/>
        <w:rPr>
          <w:rFonts w:eastAsia="Times New Roman"/>
        </w:rPr>
      </w:pPr>
      <w:r>
        <w:rPr>
          <w:rFonts w:eastAsia="Times New Roman"/>
          <w:color w:val="000000"/>
          <w:sz w:val="20"/>
          <w:szCs w:val="20"/>
        </w:rPr>
        <w:t>failure to extend existing task orders or issue new task orders unde</w:t>
      </w:r>
      <w:r>
        <w:rPr>
          <w:rFonts w:eastAsia="Times New Roman"/>
          <w:color w:val="000000"/>
          <w:sz w:val="20"/>
          <w:szCs w:val="20"/>
        </w:rPr>
        <w:t>r a subcontract, our hiring of the personnel of a subcontractor or vice versa or the subcontractor’s failure to comply with applicable law. In addition, there are certain parts, components and services for many of our products, systems and services that we</w:t>
      </w:r>
      <w:r>
        <w:rPr>
          <w:rFonts w:eastAsia="Times New Roman"/>
          <w:color w:val="000000"/>
          <w:sz w:val="20"/>
          <w:szCs w:val="20"/>
        </w:rPr>
        <w:t xml:space="preserve"> source from other manufacturers or vendors. Some of our suppliers, from time to time, experience financial and operational difficulties, which may impact their ability to supply the materials, components, subsystems and services that we require. Tariffs r</w:t>
      </w:r>
      <w:r>
        <w:rPr>
          <w:rFonts w:eastAsia="Times New Roman"/>
          <w:color w:val="000000"/>
          <w:sz w:val="20"/>
          <w:szCs w:val="20"/>
        </w:rPr>
        <w:t>ecently imposed on certain materials and other trade issues may create or exacerbate existing materials shortages and may result in further supplier business closures. Our supply chain could also be disrupted by external events, such as natural disasters o</w:t>
      </w:r>
      <w:r>
        <w:rPr>
          <w:rFonts w:eastAsia="Times New Roman"/>
          <w:color w:val="000000"/>
          <w:sz w:val="20"/>
          <w:szCs w:val="20"/>
        </w:rPr>
        <w:t>r other significant disruptions (including COVID-related impacts as described above under “COVID-Related Risks,” extreme weather conditions, epidemics, acts of terrorism, cyber attacks and labor disputes), governmental actions and legislative or regulatory</w:t>
      </w:r>
      <w:r>
        <w:rPr>
          <w:rFonts w:eastAsia="Times New Roman"/>
          <w:color w:val="000000"/>
          <w:sz w:val="20"/>
          <w:szCs w:val="20"/>
        </w:rPr>
        <w:t xml:space="preserve"> changes, including product certification or stewardship requirements, sourcing restrictions, product authenticity and climate change or greenhouse gas emission standards, or availability constraints from increased demand from customers. These or any furth</w:t>
      </w:r>
      <w:r>
        <w:rPr>
          <w:rFonts w:eastAsia="Times New Roman"/>
          <w:color w:val="000000"/>
          <w:sz w:val="20"/>
          <w:szCs w:val="20"/>
        </w:rPr>
        <w:t>er political or governmental developments or health concerns in countries in which we operate could result in social, economic and labor instability. Any inability to develop alternative sources of supply on a cost-effective and timely basis could material</w:t>
      </w:r>
      <w:r>
        <w:rPr>
          <w:rFonts w:eastAsia="Times New Roman"/>
          <w:color w:val="000000"/>
          <w:sz w:val="20"/>
          <w:szCs w:val="20"/>
        </w:rPr>
        <w:t>ly impair our ability to manufacture and deliver products, systems and services to our customers. We may experience disputes with our subcontractors; material supply constraints or problems; or component, subsystems or services problems in the future. Also</w:t>
      </w:r>
      <w:r>
        <w:rPr>
          <w:rFonts w:eastAsia="Times New Roman"/>
          <w:color w:val="000000"/>
          <w:sz w:val="20"/>
          <w:szCs w:val="20"/>
        </w:rPr>
        <w:t>, our subcontractors and other suppliers may not be able to acquire or maintain the quality of the materials, components, subsystems and services they supply, which might result in greater product returns, service problems and warranty claims and could har</w:t>
      </w:r>
      <w:r>
        <w:rPr>
          <w:rFonts w:eastAsia="Times New Roman"/>
          <w:color w:val="000000"/>
          <w:sz w:val="20"/>
          <w:szCs w:val="20"/>
        </w:rPr>
        <w:t xml:space="preserve">m our business, financial condition, results of operations, cash flows and equity. In addition, in connection with our government contracts, we are required to procure certain materials, components and parts, including certain microelectronics components, </w:t>
      </w:r>
      <w:r>
        <w:rPr>
          <w:rFonts w:eastAsia="Times New Roman"/>
          <w:color w:val="000000"/>
          <w:sz w:val="20"/>
          <w:szCs w:val="20"/>
        </w:rPr>
        <w:t>from supply sources approved by the U.S. Government and we rely on our subcontractors and suppliers to comply with applicable laws, regulations and other requirements regarding procurement of counterfeit, unauthorized or otherwise non-compliant parts or ma</w:t>
      </w:r>
      <w:r>
        <w:rPr>
          <w:rFonts w:eastAsia="Times New Roman"/>
          <w:color w:val="000000"/>
          <w:sz w:val="20"/>
          <w:szCs w:val="20"/>
        </w:rPr>
        <w:t>terials, including parts or materials they supply to us, and in some circumstances, we rely on their certifications as to their compliance. From time to time, there are components for which there may be only one supplier, which may be unable to meet our ne</w:t>
      </w:r>
      <w:r>
        <w:rPr>
          <w:rFonts w:eastAsia="Times New Roman"/>
          <w:color w:val="000000"/>
          <w:sz w:val="20"/>
          <w:szCs w:val="20"/>
        </w:rPr>
        <w:t>eds. Each of these subcontractor and supplier risks could have a material adverse effect on our business, financial condition, results of operations, cash flows and equity.</w:t>
      </w:r>
    </w:p>
    <w:p w14:paraId="7E4FECD4" w14:textId="77777777" w:rsidR="00000000" w:rsidRDefault="001A570A">
      <w:pPr>
        <w:divId w:val="2063096512"/>
        <w:rPr>
          <w:rFonts w:eastAsia="Times New Roman"/>
        </w:rPr>
      </w:pPr>
      <w:r>
        <w:rPr>
          <w:rFonts w:eastAsia="Times New Roman"/>
          <w:b/>
          <w:bCs/>
          <w:i/>
          <w:iCs/>
          <w:color w:val="000000"/>
          <w:sz w:val="20"/>
          <w:szCs w:val="20"/>
        </w:rPr>
        <w:t xml:space="preserve">We have significant operations in locations that could be materially and adversely </w:t>
      </w:r>
      <w:r>
        <w:rPr>
          <w:rFonts w:eastAsia="Times New Roman"/>
          <w:b/>
          <w:bCs/>
          <w:i/>
          <w:iCs/>
          <w:color w:val="000000"/>
          <w:sz w:val="20"/>
          <w:szCs w:val="20"/>
        </w:rPr>
        <w:t>impacted in the event of a natural disaster or other significant disruption.</w:t>
      </w:r>
    </w:p>
    <w:p w14:paraId="5B3D7D18" w14:textId="77777777" w:rsidR="00000000" w:rsidRDefault="001A570A">
      <w:pPr>
        <w:ind w:firstLine="450"/>
        <w:divId w:val="521940305"/>
        <w:rPr>
          <w:rFonts w:eastAsia="Times New Roman"/>
        </w:rPr>
      </w:pPr>
      <w:r>
        <w:rPr>
          <w:rFonts w:eastAsia="Times New Roman"/>
          <w:color w:val="000000"/>
          <w:sz w:val="20"/>
          <w:szCs w:val="20"/>
        </w:rPr>
        <w:t>Our corporate headquarters and significant business operations are located in Florida, which is subject to the risk of major hurricanes. Our worldwide operations and operations of</w:t>
      </w:r>
      <w:r>
        <w:rPr>
          <w:rFonts w:eastAsia="Times New Roman"/>
          <w:color w:val="000000"/>
          <w:sz w:val="20"/>
          <w:szCs w:val="20"/>
        </w:rPr>
        <w:t xml:space="preserve"> our suppliers and customers could be subject to natural disasters or other significant disruptions, including hurricanes, typhoons, tsunamis, floods, earthquakes, fires, water shortages, other extreme weather conditions, epidemics, pandemics, COVID-relate</w:t>
      </w:r>
      <w:r>
        <w:rPr>
          <w:rFonts w:eastAsia="Times New Roman"/>
          <w:color w:val="000000"/>
          <w:sz w:val="20"/>
          <w:szCs w:val="20"/>
        </w:rPr>
        <w:t xml:space="preserve">d impacts as described above under “COVID-Related Risks,” acts of terrorism, power shortages and blackouts, telecommunications failures, cyber attacks and other natural and manmade disasters or disruptions. In the event of such a natural disaster or other </w:t>
      </w:r>
      <w:r>
        <w:rPr>
          <w:rFonts w:eastAsia="Times New Roman"/>
          <w:color w:val="000000"/>
          <w:sz w:val="20"/>
          <w:szCs w:val="20"/>
        </w:rPr>
        <w:t>disruption, we could experience disruptions or interruptions to our operations or the operations of our suppliers, subcontractors, distributors, resellers or customers, including inability of employees to work; destruction of facilities; and/or loss of lif</w:t>
      </w:r>
      <w:r>
        <w:rPr>
          <w:rFonts w:eastAsia="Times New Roman"/>
          <w:color w:val="000000"/>
          <w:sz w:val="20"/>
          <w:szCs w:val="20"/>
        </w:rPr>
        <w:t>e, all of which could materially increase our costs and expenses, delay or decrease orders and revenue from our customers and have a material adverse effect on the continuity of our business and our business, financial condition, results of operations, cas</w:t>
      </w:r>
      <w:r>
        <w:rPr>
          <w:rFonts w:eastAsia="Times New Roman"/>
          <w:color w:val="000000"/>
          <w:sz w:val="20"/>
          <w:szCs w:val="20"/>
        </w:rPr>
        <w:t>h flows and equity.</w:t>
      </w:r>
    </w:p>
    <w:p w14:paraId="60F4FA20" w14:textId="77777777" w:rsidR="00000000" w:rsidRDefault="001A570A">
      <w:pPr>
        <w:divId w:val="196087625"/>
        <w:rPr>
          <w:rFonts w:eastAsia="Times New Roman"/>
        </w:rPr>
      </w:pPr>
      <w:r>
        <w:rPr>
          <w:rFonts w:eastAsia="Times New Roman"/>
          <w:b/>
          <w:bCs/>
          <w:color w:val="000000"/>
          <w:sz w:val="20"/>
          <w:szCs w:val="20"/>
        </w:rPr>
        <w:t>Financial Risks</w:t>
      </w:r>
    </w:p>
    <w:p w14:paraId="312C99DB" w14:textId="77777777" w:rsidR="00000000" w:rsidRDefault="001A570A">
      <w:pPr>
        <w:divId w:val="1774982925"/>
        <w:rPr>
          <w:rFonts w:eastAsia="Times New Roman"/>
        </w:rPr>
      </w:pPr>
      <w:r>
        <w:rPr>
          <w:rFonts w:eastAsia="Times New Roman"/>
          <w:b/>
          <w:bCs/>
          <w:i/>
          <w:iCs/>
          <w:color w:val="000000"/>
          <w:sz w:val="20"/>
          <w:szCs w:val="20"/>
        </w:rPr>
        <w:t>Changes in estimates we use in accounting for many of our programs could adversely affect our future financial results.</w:t>
      </w:r>
    </w:p>
    <w:p w14:paraId="1717468B" w14:textId="77777777" w:rsidR="00000000" w:rsidRDefault="001A570A">
      <w:pPr>
        <w:ind w:firstLine="450"/>
        <w:divId w:val="1665431003"/>
        <w:rPr>
          <w:rFonts w:eastAsia="Times New Roman"/>
        </w:rPr>
      </w:pPr>
      <w:r>
        <w:rPr>
          <w:rFonts w:eastAsia="Times New Roman"/>
          <w:color w:val="000000"/>
          <w:sz w:val="20"/>
          <w:szCs w:val="20"/>
        </w:rPr>
        <w:t>Accounting for our contracts requires judgment relative to assessing risks, including risks associat</w:t>
      </w:r>
      <w:r>
        <w:rPr>
          <w:rFonts w:eastAsia="Times New Roman"/>
          <w:color w:val="000000"/>
          <w:sz w:val="20"/>
          <w:szCs w:val="20"/>
        </w:rPr>
        <w:t>ed with customer-directed delays and reductions in scheduled deliveries, unfavorable resolutions of claims and contractual matters, and judgment associated with estimating contract revenue and costs and assumptions for schedule and technical issues. Due to</w:t>
      </w:r>
      <w:r>
        <w:rPr>
          <w:rFonts w:eastAsia="Times New Roman"/>
          <w:color w:val="000000"/>
          <w:sz w:val="20"/>
          <w:szCs w:val="20"/>
        </w:rPr>
        <w:t xml:space="preserve"> the size and nature of many of our contracts, the estimation of total revenue and cost at completion is complicated and subject to many variables. For example, we must make assumptions regarding: (i) the length of time to complete the contract because cos</w:t>
      </w:r>
      <w:r>
        <w:rPr>
          <w:rFonts w:eastAsia="Times New Roman"/>
          <w:color w:val="000000"/>
          <w:sz w:val="20"/>
          <w:szCs w:val="20"/>
        </w:rPr>
        <w:t>ts also include expected increases in wages and prices for materials; (ii) whether contracts should be accounted for as having one or more performance obligations based on the goods and services promised to the customer; (iii) incentives or penalties relat</w:t>
      </w:r>
      <w:r>
        <w:rPr>
          <w:rFonts w:eastAsia="Times New Roman"/>
          <w:color w:val="000000"/>
          <w:sz w:val="20"/>
          <w:szCs w:val="20"/>
        </w:rPr>
        <w:t>ed to performance on contracts in estimating revenue and profit rates, and recording them when there is sufficient information for us to assess anticipated performance; and (iv) estimates of award fees in estimating revenue and profit rates based on actual</w:t>
      </w:r>
      <w:r>
        <w:rPr>
          <w:rFonts w:eastAsia="Times New Roman"/>
          <w:color w:val="000000"/>
          <w:sz w:val="20"/>
          <w:szCs w:val="20"/>
        </w:rPr>
        <w:t xml:space="preserve"> and anticipated awards. Because of the significance of the judgments and estimation processes involved in accounting for our contracts, materially different amounts could be recorded if we used different assumptions or if the underlying circumstances were</w:t>
      </w:r>
      <w:r>
        <w:rPr>
          <w:rFonts w:eastAsia="Times New Roman"/>
          <w:color w:val="000000"/>
          <w:sz w:val="20"/>
          <w:szCs w:val="20"/>
        </w:rPr>
        <w:t xml:space="preserve"> to change. Changes in underlying assumptions, circumstances or estimates may adversely affect our future results of operations and financial condition. For additional information regarding our critical accounting policies and estimates applicable to our a</w:t>
      </w:r>
      <w:r>
        <w:rPr>
          <w:rFonts w:eastAsia="Times New Roman"/>
          <w:color w:val="000000"/>
          <w:sz w:val="20"/>
          <w:szCs w:val="20"/>
        </w:rPr>
        <w:t>ccounting for our contracts, see “Item 7. Management’s Discussion and Analysis of Financial Conditions and Results of Operations - Critical Accounting Policies and Estimates” of this Report.</w:t>
      </w:r>
    </w:p>
    <w:p w14:paraId="72FA101E" w14:textId="77777777" w:rsidR="00000000" w:rsidRDefault="001A570A">
      <w:pPr>
        <w:ind w:firstLine="450"/>
        <w:jc w:val="center"/>
        <w:divId w:val="1978608610"/>
        <w:rPr>
          <w:rFonts w:eastAsia="Times New Roman"/>
        </w:rPr>
      </w:pPr>
      <w:r>
        <w:rPr>
          <w:rFonts w:eastAsia="Times New Roman"/>
          <w:color w:val="000000"/>
          <w:sz w:val="20"/>
          <w:szCs w:val="20"/>
        </w:rPr>
        <w:t>19</w:t>
      </w:r>
    </w:p>
    <w:p w14:paraId="7E4955FE" w14:textId="77777777" w:rsidR="00000000" w:rsidRDefault="001A570A">
      <w:pPr>
        <w:rPr>
          <w:rFonts w:eastAsia="Times New Roman"/>
        </w:rPr>
      </w:pPr>
      <w:r>
        <w:rPr>
          <w:rFonts w:eastAsia="Times New Roman"/>
        </w:rPr>
        <w:pict w14:anchorId="0C9D36E7">
          <v:rect id="_x0000_i1046" style="width:0;height:1.5pt" o:hralign="center" o:hrstd="t" o:hr="t" fillcolor="#a0a0a0" stroked="f"/>
        </w:pict>
      </w:r>
    </w:p>
    <w:p w14:paraId="5E74DE4B" w14:textId="77777777" w:rsidR="00000000" w:rsidRDefault="001A570A">
      <w:pPr>
        <w:ind w:firstLine="450"/>
        <w:divId w:val="1594052524"/>
        <w:rPr>
          <w:rFonts w:eastAsia="Times New Roman"/>
        </w:rPr>
      </w:pPr>
    </w:p>
    <w:p w14:paraId="4480C82D" w14:textId="77777777" w:rsidR="00000000" w:rsidRDefault="001A570A">
      <w:pPr>
        <w:divId w:val="1502623845"/>
        <w:rPr>
          <w:rFonts w:eastAsia="Times New Roman"/>
        </w:rPr>
      </w:pPr>
      <w:r>
        <w:rPr>
          <w:rFonts w:eastAsia="Times New Roman"/>
          <w:b/>
          <w:bCs/>
          <w:i/>
          <w:iCs/>
          <w:color w:val="000000"/>
          <w:sz w:val="20"/>
          <w:szCs w:val="20"/>
        </w:rPr>
        <w:t>Our level of indebtednes</w:t>
      </w:r>
      <w:r>
        <w:rPr>
          <w:rFonts w:eastAsia="Times New Roman"/>
          <w:b/>
          <w:bCs/>
          <w:i/>
          <w:iCs/>
          <w:color w:val="000000"/>
          <w:sz w:val="20"/>
          <w:szCs w:val="20"/>
        </w:rPr>
        <w:t>s and our ability to make payments on or service our indebtedness and our unfunded defined benefit plans liability may materially adversely affect our financial and operating activities or our ability to incur additional debt.</w:t>
      </w:r>
    </w:p>
    <w:p w14:paraId="1B8C3387" w14:textId="77777777" w:rsidR="00000000" w:rsidRDefault="001A570A">
      <w:pPr>
        <w:ind w:firstLine="450"/>
        <w:divId w:val="77676014"/>
        <w:rPr>
          <w:rFonts w:eastAsia="Times New Roman"/>
        </w:rPr>
      </w:pPr>
      <w:r>
        <w:rPr>
          <w:rFonts w:eastAsia="Times New Roman"/>
          <w:color w:val="000000"/>
          <w:sz w:val="20"/>
          <w:szCs w:val="20"/>
        </w:rPr>
        <w:t>At January 1, 2021, we had $6</w:t>
      </w:r>
      <w:r>
        <w:rPr>
          <w:rFonts w:eastAsia="Times New Roman"/>
          <w:color w:val="000000"/>
          <w:sz w:val="20"/>
          <w:szCs w:val="20"/>
        </w:rPr>
        <w:t>.8 billion in aggregate principal amount of outstanding debt and $1.9 billion of unfunded defined benefit plans liability. These amounts may increase; however, our ability to increase our borrowings is subject to limitations imposed on us by our debt agree</w:t>
      </w:r>
      <w:r>
        <w:rPr>
          <w:rFonts w:eastAsia="Times New Roman"/>
          <w:color w:val="000000"/>
          <w:sz w:val="20"/>
          <w:szCs w:val="20"/>
        </w:rPr>
        <w:t>ments. Our ability to make payments on and to refinance our current or future indebtedness, and our ability to make contributions to our unfunded defined benefit plans liability, will depend on our ability to generate cash from operations, financings or as</w:t>
      </w:r>
      <w:r>
        <w:rPr>
          <w:rFonts w:eastAsia="Times New Roman"/>
          <w:color w:val="000000"/>
          <w:sz w:val="20"/>
          <w:szCs w:val="20"/>
        </w:rPr>
        <w:t>set sales, which may be subject to general economic, financial, competitive, legislative, regulatory and other factors that are beyond our control. If we are not able to repay or refinance our debt as it becomes due or make contributions to our unfunded de</w:t>
      </w:r>
      <w:r>
        <w:rPr>
          <w:rFonts w:eastAsia="Times New Roman"/>
          <w:color w:val="000000"/>
          <w:sz w:val="20"/>
          <w:szCs w:val="20"/>
        </w:rPr>
        <w:t>fined benefit plans liability, we may be forced to sell assets or take other disadvantageous actions, including reducing financing for working capital, capital expenditures and general corporate purposes; reducing our cash dividend rate and/or share repurc</w:t>
      </w:r>
      <w:r>
        <w:rPr>
          <w:rFonts w:eastAsia="Times New Roman"/>
          <w:color w:val="000000"/>
          <w:sz w:val="20"/>
          <w:szCs w:val="20"/>
        </w:rPr>
        <w:t>hases; or dedicating an unsustainable level of our cash flow from operations to the payment of principal and interest on our indebtedness. In addition, our ability to withstand competitive pressures and to react to changes in the defense technology industr</w:t>
      </w:r>
      <w:r>
        <w:rPr>
          <w:rFonts w:eastAsia="Times New Roman"/>
          <w:color w:val="000000"/>
          <w:sz w:val="20"/>
          <w:szCs w:val="20"/>
        </w:rPr>
        <w:t>y could be impaired. The lenders who hold such debt could also accelerate amounts due, which could potentially trigger a default or acceleration of any of our other debt.</w:t>
      </w:r>
    </w:p>
    <w:p w14:paraId="6CA178F7" w14:textId="77777777" w:rsidR="00000000" w:rsidRDefault="001A570A">
      <w:pPr>
        <w:ind w:firstLine="450"/>
        <w:divId w:val="2128114129"/>
        <w:rPr>
          <w:rFonts w:eastAsia="Times New Roman"/>
        </w:rPr>
      </w:pPr>
      <w:r>
        <w:rPr>
          <w:rFonts w:eastAsia="Times New Roman"/>
          <w:color w:val="000000"/>
          <w:sz w:val="20"/>
          <w:szCs w:val="20"/>
        </w:rPr>
        <w:t>Additionally, certain of our financial obligations and instruments, including our 201</w:t>
      </w:r>
      <w:r>
        <w:rPr>
          <w:rFonts w:eastAsia="Times New Roman"/>
          <w:color w:val="000000"/>
          <w:sz w:val="20"/>
          <w:szCs w:val="20"/>
        </w:rPr>
        <w:t xml:space="preserve">9 Credit Facility (defined below) and Floating Rate Notes due March 10, 2023, as well as financial instruments that we hold or use or may hold or use, such as interest rate swaps, are or may be made at variable interest rates that use the London interbank </w:t>
      </w:r>
      <w:r>
        <w:rPr>
          <w:rFonts w:eastAsia="Times New Roman"/>
          <w:color w:val="000000"/>
          <w:sz w:val="20"/>
          <w:szCs w:val="20"/>
        </w:rPr>
        <w:t>offered rate (“LIBOR”) (or metrics derived from or related to LIBOR) as a benchmark for establishing the applicable interest rate. The potential consequences from discontinuation, modification or reform of LIBOR, implementation of alternative reference rat</w:t>
      </w:r>
      <w:r>
        <w:rPr>
          <w:rFonts w:eastAsia="Times New Roman"/>
          <w:color w:val="000000"/>
          <w:sz w:val="20"/>
          <w:szCs w:val="20"/>
        </w:rPr>
        <w:t>es and any interest rate transition process cannot be fully predicted and may have an adverse impact on values of LIBOR-linked securities and other financial obligations or extensions of credit and may involve, among other things, increased volatility or i</w:t>
      </w:r>
      <w:r>
        <w:rPr>
          <w:rFonts w:eastAsia="Times New Roman"/>
          <w:color w:val="000000"/>
          <w:sz w:val="20"/>
          <w:szCs w:val="20"/>
        </w:rPr>
        <w:t>lliquidity in markets for instruments that rely on LIBOR, reductions in effectiveness of related transactions such as hedges, increased borrowing costs, uncertainty under applicable documentation, or difficult and costly consent processes. This could mater</w:t>
      </w:r>
      <w:r>
        <w:rPr>
          <w:rFonts w:eastAsia="Times New Roman"/>
          <w:color w:val="000000"/>
          <w:sz w:val="20"/>
          <w:szCs w:val="20"/>
        </w:rPr>
        <w:t xml:space="preserve">ially and adversely affect our results of operations, cash flows and liquidity. See </w:t>
      </w:r>
      <w:r>
        <w:rPr>
          <w:rFonts w:eastAsia="Times New Roman"/>
          <w:i/>
          <w:iCs/>
          <w:color w:val="000000"/>
          <w:sz w:val="20"/>
          <w:szCs w:val="20"/>
        </w:rPr>
        <w:t>Note 13: Credit Arrangements</w:t>
      </w:r>
      <w:r>
        <w:rPr>
          <w:rFonts w:eastAsia="Times New Roman"/>
          <w:color w:val="000000"/>
          <w:sz w:val="20"/>
          <w:szCs w:val="20"/>
        </w:rPr>
        <w:t xml:space="preserve"> in the Notes for additional information regarding our 2019 Credit Facility and </w:t>
      </w:r>
      <w:r>
        <w:rPr>
          <w:rFonts w:eastAsia="Times New Roman"/>
          <w:i/>
          <w:iCs/>
          <w:color w:val="000000"/>
          <w:sz w:val="20"/>
          <w:szCs w:val="20"/>
        </w:rPr>
        <w:t>Note 14: Debt</w:t>
      </w:r>
      <w:r>
        <w:rPr>
          <w:rFonts w:eastAsia="Times New Roman"/>
          <w:color w:val="000000"/>
          <w:sz w:val="20"/>
          <w:szCs w:val="20"/>
        </w:rPr>
        <w:t xml:space="preserve"> in the Notes for additional information regarding </w:t>
      </w:r>
      <w:r>
        <w:rPr>
          <w:rFonts w:eastAsia="Times New Roman"/>
          <w:color w:val="000000"/>
          <w:sz w:val="20"/>
          <w:szCs w:val="20"/>
        </w:rPr>
        <w:t>our Floating Rate Notes due March 10, 2023.</w:t>
      </w:r>
    </w:p>
    <w:p w14:paraId="09AA7B0B" w14:textId="77777777" w:rsidR="00000000" w:rsidRDefault="001A570A">
      <w:pPr>
        <w:divId w:val="277683415"/>
        <w:rPr>
          <w:rFonts w:eastAsia="Times New Roman"/>
        </w:rPr>
      </w:pPr>
      <w:r>
        <w:rPr>
          <w:rFonts w:eastAsia="Times New Roman"/>
          <w:b/>
          <w:bCs/>
          <w:i/>
          <w:iCs/>
          <w:color w:val="000000"/>
          <w:sz w:val="20"/>
          <w:szCs w:val="20"/>
        </w:rPr>
        <w:t>A downgrade in our credit ratings could materially adversely affect our business.</w:t>
      </w:r>
    </w:p>
    <w:p w14:paraId="6C3F0A45" w14:textId="77777777" w:rsidR="00000000" w:rsidRDefault="001A570A">
      <w:pPr>
        <w:ind w:firstLine="450"/>
        <w:divId w:val="1870022653"/>
        <w:rPr>
          <w:rFonts w:eastAsia="Times New Roman"/>
        </w:rPr>
      </w:pPr>
      <w:r>
        <w:rPr>
          <w:rFonts w:eastAsia="Times New Roman"/>
          <w:color w:val="000000"/>
          <w:sz w:val="20"/>
          <w:szCs w:val="20"/>
        </w:rPr>
        <w:t>The credit ratings assigned to our debt securities could change based on, among other things, our results of operations, financial condition, mergers, acquisitions or dispositions. These ratings are subject to ongoing evaluation by credit rating agencies a</w:t>
      </w:r>
      <w:r>
        <w:rPr>
          <w:rFonts w:eastAsia="Times New Roman"/>
          <w:color w:val="000000"/>
          <w:sz w:val="20"/>
          <w:szCs w:val="20"/>
        </w:rPr>
        <w:t>nd may be changed or withdrawn by rating agencies in the future. Moreover, these credit ratings are not recommendations to buy, sell or hold any of our debt securities. Actual or anticipated changes or downgrades in our credit ratings, including any announ</w:t>
      </w:r>
      <w:r>
        <w:rPr>
          <w:rFonts w:eastAsia="Times New Roman"/>
          <w:color w:val="000000"/>
          <w:sz w:val="20"/>
          <w:szCs w:val="20"/>
        </w:rPr>
        <w:t>cement that our ratings are under review for a downgrade or have been assigned a negative outlook, would likely increase our borrowing costs and affect our ability to incur new indebtedness or refinance our existing indebtedness, which in turn could have a</w:t>
      </w:r>
      <w:r>
        <w:rPr>
          <w:rFonts w:eastAsia="Times New Roman"/>
          <w:color w:val="000000"/>
          <w:sz w:val="20"/>
          <w:szCs w:val="20"/>
        </w:rPr>
        <w:t xml:space="preserve"> material adverse effect on our financial condition, results of operations, cash flows, equity and the market value of our common stock and outstanding debt securities.</w:t>
      </w:r>
    </w:p>
    <w:p w14:paraId="4979D886" w14:textId="77777777" w:rsidR="00000000" w:rsidRDefault="001A570A">
      <w:pPr>
        <w:divId w:val="1405373471"/>
        <w:rPr>
          <w:rFonts w:eastAsia="Times New Roman"/>
        </w:rPr>
      </w:pPr>
      <w:r>
        <w:rPr>
          <w:rFonts w:eastAsia="Times New Roman"/>
          <w:b/>
          <w:bCs/>
          <w:i/>
          <w:iCs/>
          <w:color w:val="000000"/>
          <w:sz w:val="20"/>
          <w:szCs w:val="20"/>
        </w:rPr>
        <w:t>The level of returns on defined benefit plan assets, changes in interest rates and othe</w:t>
      </w:r>
      <w:r>
        <w:rPr>
          <w:rFonts w:eastAsia="Times New Roman"/>
          <w:b/>
          <w:bCs/>
          <w:i/>
          <w:iCs/>
          <w:color w:val="000000"/>
          <w:sz w:val="20"/>
          <w:szCs w:val="20"/>
        </w:rPr>
        <w:t xml:space="preserve">r factors could materially adversely affect our financial condition, results of operations, cash flows and equity in future periods. </w:t>
      </w:r>
    </w:p>
    <w:p w14:paraId="62747667" w14:textId="77777777" w:rsidR="00000000" w:rsidRDefault="001A570A">
      <w:pPr>
        <w:ind w:firstLine="450"/>
        <w:divId w:val="1912153647"/>
        <w:rPr>
          <w:rFonts w:eastAsia="Times New Roman"/>
        </w:rPr>
      </w:pPr>
      <w:r>
        <w:rPr>
          <w:rFonts w:eastAsia="Times New Roman"/>
          <w:color w:val="000000"/>
          <w:sz w:val="20"/>
          <w:szCs w:val="20"/>
        </w:rPr>
        <w:t>A substantial portion of our current and retired employee population is covered by defined benefit pension and other postr</w:t>
      </w:r>
      <w:r>
        <w:rPr>
          <w:rFonts w:eastAsia="Times New Roman"/>
          <w:color w:val="000000"/>
          <w:sz w:val="20"/>
          <w:szCs w:val="20"/>
        </w:rPr>
        <w:t>etirement defined benefit plans (collectively, “defined benefit plans”). We may experience significant fluctuations in costs related to defined benefit plans as a result of macro-economic factors, such as interest rates, that are beyond our control. The co</w:t>
      </w:r>
      <w:r>
        <w:rPr>
          <w:rFonts w:eastAsia="Times New Roman"/>
          <w:color w:val="000000"/>
          <w:sz w:val="20"/>
          <w:szCs w:val="20"/>
        </w:rPr>
        <w:t>st of our defined benefit plans is incurred over long periods of time and involves various factors and uncertainties during those periods that can be volatile and unpredictable, including the rates of return on defined benefit plan assets, discount rates u</w:t>
      </w:r>
      <w:r>
        <w:rPr>
          <w:rFonts w:eastAsia="Times New Roman"/>
          <w:color w:val="000000"/>
          <w:sz w:val="20"/>
          <w:szCs w:val="20"/>
        </w:rPr>
        <w:t>sed to calculate liabilities and expenses, mortality of plan participants and trends for future medical costs. We develop our assumptions using relevant plan experience and expectations in conjunction with market-related data. These assumptions and other a</w:t>
      </w:r>
      <w:r>
        <w:rPr>
          <w:rFonts w:eastAsia="Times New Roman"/>
          <w:color w:val="000000"/>
          <w:sz w:val="20"/>
          <w:szCs w:val="20"/>
        </w:rPr>
        <w:t>ctuarial assumptions may change significantly due to changes in economic, legislative, and/or demographic experience or circumstances. Significant changes in key economic indicators, financial market volatility, future legislation and other governmental re</w:t>
      </w:r>
      <w:r>
        <w:rPr>
          <w:rFonts w:eastAsia="Times New Roman"/>
          <w:color w:val="000000"/>
          <w:sz w:val="20"/>
          <w:szCs w:val="20"/>
        </w:rPr>
        <w:t>gulatory actions could materially affect our financial condition, results of operations, cash flows and equity.</w:t>
      </w:r>
    </w:p>
    <w:p w14:paraId="28EF3293" w14:textId="77777777" w:rsidR="00000000" w:rsidRDefault="001A570A">
      <w:pPr>
        <w:ind w:firstLine="450"/>
        <w:divId w:val="1731883224"/>
        <w:rPr>
          <w:rFonts w:eastAsia="Times New Roman"/>
        </w:rPr>
      </w:pPr>
      <w:r>
        <w:rPr>
          <w:rFonts w:eastAsia="Times New Roman"/>
          <w:color w:val="000000"/>
          <w:sz w:val="20"/>
          <w:szCs w:val="20"/>
        </w:rPr>
        <w:t>We will make contributions to fund our defined benefit plans when considered necessary or advantageous to do so. The macro-economic factors disc</w:t>
      </w:r>
      <w:r>
        <w:rPr>
          <w:rFonts w:eastAsia="Times New Roman"/>
          <w:color w:val="000000"/>
          <w:sz w:val="20"/>
          <w:szCs w:val="20"/>
        </w:rPr>
        <w:t>ussed above, including the rates of return on defined benefit plan assets and the minimum funding requirements established by government funding or taxing authorities, or established by other agreement, may influence future funding requirements. A signific</w:t>
      </w:r>
      <w:r>
        <w:rPr>
          <w:rFonts w:eastAsia="Times New Roman"/>
          <w:color w:val="000000"/>
          <w:sz w:val="20"/>
          <w:szCs w:val="20"/>
        </w:rPr>
        <w:t>ant decline in the fair value of our plan assets, or other adverse changes to our overall defined benefit plans, could require us to make significant funding contributions and affect cash flows in future periods.</w:t>
      </w:r>
    </w:p>
    <w:p w14:paraId="7B73ED1E" w14:textId="77777777" w:rsidR="00000000" w:rsidRDefault="001A570A">
      <w:pPr>
        <w:ind w:firstLine="450"/>
        <w:divId w:val="1180705252"/>
        <w:rPr>
          <w:rFonts w:eastAsia="Times New Roman"/>
        </w:rPr>
      </w:pPr>
      <w:r>
        <w:rPr>
          <w:rFonts w:eastAsia="Times New Roman"/>
          <w:color w:val="000000"/>
          <w:sz w:val="20"/>
          <w:szCs w:val="20"/>
        </w:rPr>
        <w:t>U.S. Government Cost Accounting Standards (</w:t>
      </w:r>
      <w:r>
        <w:rPr>
          <w:rFonts w:eastAsia="Times New Roman"/>
          <w:color w:val="000000"/>
          <w:sz w:val="20"/>
          <w:szCs w:val="20"/>
        </w:rPr>
        <w:t>“CAS”) govern the extent to which postretirement costs and plan contributions are allocable to and recoverable under contracts with the U.S. Government. We expect to continue to seek reimbursement from the U.S. Government for a portion of our postretiremen</w:t>
      </w:r>
      <w:r>
        <w:rPr>
          <w:rFonts w:eastAsia="Times New Roman"/>
          <w:color w:val="000000"/>
          <w:sz w:val="20"/>
          <w:szCs w:val="20"/>
        </w:rPr>
        <w:t xml:space="preserve">t costs and plan contributions; however, pension plan cost recoveries under our U.S. Government contracts may occur in different periods from when those pension costs are </w:t>
      </w:r>
    </w:p>
    <w:p w14:paraId="295C8F30" w14:textId="77777777" w:rsidR="00000000" w:rsidRDefault="001A570A">
      <w:pPr>
        <w:ind w:firstLine="450"/>
        <w:jc w:val="center"/>
        <w:divId w:val="805314961"/>
        <w:rPr>
          <w:rFonts w:eastAsia="Times New Roman"/>
        </w:rPr>
      </w:pPr>
      <w:r>
        <w:rPr>
          <w:rFonts w:eastAsia="Times New Roman"/>
          <w:color w:val="000000"/>
          <w:sz w:val="20"/>
          <w:szCs w:val="20"/>
        </w:rPr>
        <w:t>20</w:t>
      </w:r>
    </w:p>
    <w:p w14:paraId="5EEDDE81" w14:textId="77777777" w:rsidR="00000000" w:rsidRDefault="001A570A">
      <w:pPr>
        <w:rPr>
          <w:rFonts w:eastAsia="Times New Roman"/>
        </w:rPr>
      </w:pPr>
      <w:r>
        <w:rPr>
          <w:rFonts w:eastAsia="Times New Roman"/>
        </w:rPr>
        <w:pict w14:anchorId="064FE2A9">
          <v:rect id="_x0000_i1047" style="width:0;height:1.5pt" o:hralign="center" o:hrstd="t" o:hr="t" fillcolor="#a0a0a0" stroked="f"/>
        </w:pict>
      </w:r>
    </w:p>
    <w:p w14:paraId="667DF24C" w14:textId="77777777" w:rsidR="00000000" w:rsidRDefault="001A570A">
      <w:pPr>
        <w:ind w:firstLine="450"/>
        <w:divId w:val="663776834"/>
        <w:rPr>
          <w:rFonts w:eastAsia="Times New Roman"/>
        </w:rPr>
      </w:pPr>
    </w:p>
    <w:p w14:paraId="08C53BFC" w14:textId="77777777" w:rsidR="00000000" w:rsidRDefault="001A570A">
      <w:pPr>
        <w:divId w:val="1377705331"/>
        <w:rPr>
          <w:rFonts w:eastAsia="Times New Roman"/>
        </w:rPr>
      </w:pPr>
      <w:r>
        <w:rPr>
          <w:rFonts w:eastAsia="Times New Roman"/>
          <w:color w:val="000000"/>
          <w:sz w:val="20"/>
          <w:szCs w:val="20"/>
        </w:rPr>
        <w:t>recognized for financial statement purpose</w:t>
      </w:r>
      <w:r>
        <w:rPr>
          <w:rFonts w:eastAsia="Times New Roman"/>
          <w:color w:val="000000"/>
          <w:sz w:val="20"/>
          <w:szCs w:val="20"/>
        </w:rPr>
        <w:t>s or when pension funding is made. CAS rules have been revised to partially harmonize the measurement and period of assignment of pension plan costs allocable to U.S. Government contracts and minimum required contributions under the Employee Retirement Inc</w:t>
      </w:r>
      <w:r>
        <w:rPr>
          <w:rFonts w:eastAsia="Times New Roman"/>
          <w:color w:val="000000"/>
          <w:sz w:val="20"/>
          <w:szCs w:val="20"/>
        </w:rPr>
        <w:t>ome Security Act of 1974, as amended by the Pension Protection Act of 2006. However, there is still a lag between the time when we contribute cash to our plans under pension funding rules and when we recover pension costs under CAS rules. These timing diff</w:t>
      </w:r>
      <w:r>
        <w:rPr>
          <w:rFonts w:eastAsia="Times New Roman"/>
          <w:color w:val="000000"/>
          <w:sz w:val="20"/>
          <w:szCs w:val="20"/>
        </w:rPr>
        <w:t>erences could have a material adverse effect on our cash flows.</w:t>
      </w:r>
    </w:p>
    <w:p w14:paraId="119AD504" w14:textId="77777777" w:rsidR="00000000" w:rsidRDefault="001A570A">
      <w:pPr>
        <w:divId w:val="1325010196"/>
        <w:rPr>
          <w:rFonts w:eastAsia="Times New Roman"/>
        </w:rPr>
      </w:pPr>
      <w:r>
        <w:rPr>
          <w:rFonts w:eastAsia="Times New Roman"/>
          <w:b/>
          <w:bCs/>
          <w:color w:val="000000"/>
          <w:sz w:val="20"/>
          <w:szCs w:val="20"/>
        </w:rPr>
        <w:t>Legal, Tax and Regulatory Risks</w:t>
      </w:r>
    </w:p>
    <w:p w14:paraId="7BEAC335" w14:textId="77777777" w:rsidR="00000000" w:rsidRDefault="001A570A">
      <w:pPr>
        <w:divId w:val="1241866336"/>
        <w:rPr>
          <w:rFonts w:eastAsia="Times New Roman"/>
        </w:rPr>
      </w:pPr>
      <w:r>
        <w:rPr>
          <w:rFonts w:eastAsia="Times New Roman"/>
          <w:b/>
          <w:bCs/>
          <w:i/>
          <w:iCs/>
          <w:color w:val="000000"/>
          <w:sz w:val="20"/>
          <w:szCs w:val="20"/>
        </w:rPr>
        <w:t>Changes in our effective tax rate may have an adverse effect on our results of operations.</w:t>
      </w:r>
    </w:p>
    <w:p w14:paraId="784FB067" w14:textId="77777777" w:rsidR="00000000" w:rsidRDefault="001A570A">
      <w:pPr>
        <w:ind w:firstLine="450"/>
        <w:divId w:val="1903441848"/>
        <w:rPr>
          <w:rFonts w:eastAsia="Times New Roman"/>
        </w:rPr>
      </w:pPr>
      <w:r>
        <w:rPr>
          <w:rFonts w:eastAsia="Times New Roman"/>
          <w:color w:val="000000"/>
          <w:sz w:val="20"/>
          <w:szCs w:val="20"/>
        </w:rPr>
        <w:t>Our future effective tax rate may be adversely affected by a number o</w:t>
      </w:r>
      <w:r>
        <w:rPr>
          <w:rFonts w:eastAsia="Times New Roman"/>
          <w:color w:val="000000"/>
          <w:sz w:val="20"/>
          <w:szCs w:val="20"/>
        </w:rPr>
        <w:t>f factors including:</w:t>
      </w:r>
    </w:p>
    <w:p w14:paraId="242F4BD7" w14:textId="77777777" w:rsidR="00000000" w:rsidRDefault="001A570A">
      <w:pPr>
        <w:ind w:hanging="360"/>
        <w:divId w:val="485904761"/>
        <w:rPr>
          <w:rFonts w:eastAsia="Times New Roman"/>
        </w:rPr>
      </w:pPr>
      <w:r>
        <w:rPr>
          <w:rFonts w:eastAsia="Times New Roman"/>
          <w:color w:val="000000"/>
          <w:sz w:val="20"/>
          <w:szCs w:val="20"/>
        </w:rPr>
        <w:t>•Changes in domestic or international tax laws or the interpretation of such tax laws;</w:t>
      </w:r>
    </w:p>
    <w:p w14:paraId="457D4AA7" w14:textId="77777777" w:rsidR="00000000" w:rsidRDefault="001A570A">
      <w:pPr>
        <w:ind w:hanging="360"/>
        <w:divId w:val="1027484430"/>
        <w:rPr>
          <w:rFonts w:eastAsia="Times New Roman"/>
        </w:rPr>
      </w:pPr>
      <w:r>
        <w:rPr>
          <w:rFonts w:eastAsia="Times New Roman"/>
          <w:color w:val="000000"/>
          <w:sz w:val="20"/>
          <w:szCs w:val="20"/>
        </w:rPr>
        <w:t>•The jurisdictions in which profits are determined to be earned and taxed;</w:t>
      </w:r>
    </w:p>
    <w:p w14:paraId="72A5B072" w14:textId="77777777" w:rsidR="00000000" w:rsidRDefault="001A570A">
      <w:pPr>
        <w:ind w:hanging="360"/>
        <w:divId w:val="1575314952"/>
        <w:rPr>
          <w:rFonts w:eastAsia="Times New Roman"/>
        </w:rPr>
      </w:pPr>
      <w:r>
        <w:rPr>
          <w:rFonts w:eastAsia="Times New Roman"/>
          <w:color w:val="000000"/>
          <w:sz w:val="20"/>
          <w:szCs w:val="20"/>
        </w:rPr>
        <w:t>•Adjustments to estimated taxes upon finalization of various tax returns;</w:t>
      </w:r>
    </w:p>
    <w:p w14:paraId="596F0611" w14:textId="77777777" w:rsidR="00000000" w:rsidRDefault="001A570A">
      <w:pPr>
        <w:ind w:hanging="360"/>
        <w:divId w:val="1881699737"/>
        <w:rPr>
          <w:rFonts w:eastAsia="Times New Roman"/>
        </w:rPr>
      </w:pPr>
      <w:r>
        <w:rPr>
          <w:rFonts w:eastAsia="Times New Roman"/>
          <w:color w:val="000000"/>
          <w:sz w:val="20"/>
          <w:szCs w:val="20"/>
        </w:rPr>
        <w:t>•Increases in expenses not fully deductible for tax purposes, including write-offs of acquired in-process R&amp;D and impairment of goodwill or other long-term assets in connection with mergers or acquisitions;</w:t>
      </w:r>
    </w:p>
    <w:p w14:paraId="13488F5F" w14:textId="77777777" w:rsidR="00000000" w:rsidRDefault="001A570A">
      <w:pPr>
        <w:ind w:hanging="360"/>
        <w:divId w:val="651177452"/>
        <w:rPr>
          <w:rFonts w:eastAsia="Times New Roman"/>
        </w:rPr>
      </w:pPr>
      <w:r>
        <w:rPr>
          <w:rFonts w:eastAsia="Times New Roman"/>
          <w:color w:val="000000"/>
          <w:sz w:val="20"/>
          <w:szCs w:val="20"/>
        </w:rPr>
        <w:t>•Changes in available tax credits;</w:t>
      </w:r>
    </w:p>
    <w:p w14:paraId="61B0F724" w14:textId="77777777" w:rsidR="00000000" w:rsidRDefault="001A570A">
      <w:pPr>
        <w:ind w:hanging="360"/>
        <w:divId w:val="1558392229"/>
        <w:rPr>
          <w:rFonts w:eastAsia="Times New Roman"/>
        </w:rPr>
      </w:pPr>
      <w:r>
        <w:rPr>
          <w:rFonts w:eastAsia="Times New Roman"/>
          <w:color w:val="000000"/>
          <w:sz w:val="20"/>
          <w:szCs w:val="20"/>
        </w:rPr>
        <w:t>•Changes in s</w:t>
      </w:r>
      <w:r>
        <w:rPr>
          <w:rFonts w:eastAsia="Times New Roman"/>
          <w:color w:val="000000"/>
          <w:sz w:val="20"/>
          <w:szCs w:val="20"/>
        </w:rPr>
        <w:t>hare-based compensation expense;</w:t>
      </w:r>
    </w:p>
    <w:p w14:paraId="5D0612CB" w14:textId="77777777" w:rsidR="00000000" w:rsidRDefault="001A570A">
      <w:pPr>
        <w:ind w:hanging="360"/>
        <w:divId w:val="722486581"/>
        <w:rPr>
          <w:rFonts w:eastAsia="Times New Roman"/>
        </w:rPr>
      </w:pPr>
      <w:r>
        <w:rPr>
          <w:rFonts w:eastAsia="Times New Roman"/>
          <w:color w:val="000000"/>
          <w:sz w:val="20"/>
          <w:szCs w:val="20"/>
        </w:rPr>
        <w:t>•Changes in the valuation of our deferred tax assets and liabilities; and</w:t>
      </w:r>
    </w:p>
    <w:p w14:paraId="4D0BD31B" w14:textId="77777777" w:rsidR="00000000" w:rsidRDefault="001A570A">
      <w:pPr>
        <w:ind w:hanging="360"/>
        <w:divId w:val="687409530"/>
        <w:rPr>
          <w:rFonts w:eastAsia="Times New Roman"/>
        </w:rPr>
      </w:pPr>
      <w:r>
        <w:rPr>
          <w:rFonts w:eastAsia="Times New Roman"/>
          <w:color w:val="000000"/>
          <w:sz w:val="20"/>
          <w:szCs w:val="20"/>
        </w:rPr>
        <w:t xml:space="preserve">•The resolution of issues arising from tax audits with various tax authorities. </w:t>
      </w:r>
    </w:p>
    <w:p w14:paraId="59AE9916" w14:textId="77777777" w:rsidR="00000000" w:rsidRDefault="001A570A">
      <w:pPr>
        <w:ind w:firstLine="450"/>
        <w:divId w:val="485171250"/>
        <w:rPr>
          <w:rFonts w:eastAsia="Times New Roman"/>
        </w:rPr>
      </w:pPr>
      <w:r>
        <w:rPr>
          <w:rFonts w:eastAsia="Times New Roman"/>
          <w:color w:val="000000"/>
          <w:sz w:val="20"/>
          <w:szCs w:val="20"/>
        </w:rPr>
        <w:t>For example, provisions in the Tax Cuts and Jobs Act of 2017 require</w:t>
      </w:r>
      <w:r>
        <w:rPr>
          <w:rFonts w:eastAsia="Times New Roman"/>
          <w:color w:val="000000"/>
          <w:sz w:val="20"/>
          <w:szCs w:val="20"/>
        </w:rPr>
        <w:t xml:space="preserve"> that, beginning in 2022, R&amp;D expenditures be capitalized and amortized over five years, which would result in a material increase to our cash taxes in 2022 through 2026 and establishment of a material deferred tax asset, if the provisions are not modified</w:t>
      </w:r>
      <w:r>
        <w:rPr>
          <w:rFonts w:eastAsia="Times New Roman"/>
          <w:color w:val="000000"/>
          <w:sz w:val="20"/>
          <w:szCs w:val="20"/>
        </w:rPr>
        <w:t xml:space="preserve"> or repealed before then.</w:t>
      </w:r>
    </w:p>
    <w:p w14:paraId="1A33B883" w14:textId="77777777" w:rsidR="00000000" w:rsidRDefault="001A570A">
      <w:pPr>
        <w:ind w:firstLine="450"/>
        <w:divId w:val="1015616892"/>
        <w:rPr>
          <w:rFonts w:eastAsia="Times New Roman"/>
        </w:rPr>
      </w:pPr>
      <w:r>
        <w:rPr>
          <w:rFonts w:eastAsia="Times New Roman"/>
          <w:color w:val="000000"/>
          <w:sz w:val="20"/>
          <w:szCs w:val="20"/>
        </w:rPr>
        <w:t>Any significant increase in our future effective tax rates could adversely impact our results of operations for future periods.</w:t>
      </w:r>
    </w:p>
    <w:p w14:paraId="4D3A330F" w14:textId="77777777" w:rsidR="00000000" w:rsidRDefault="001A570A">
      <w:pPr>
        <w:divId w:val="1297683898"/>
        <w:rPr>
          <w:rFonts w:eastAsia="Times New Roman"/>
        </w:rPr>
      </w:pPr>
      <w:r>
        <w:rPr>
          <w:rFonts w:eastAsia="Times New Roman"/>
          <w:b/>
          <w:bCs/>
          <w:i/>
          <w:iCs/>
          <w:color w:val="000000"/>
          <w:sz w:val="20"/>
          <w:szCs w:val="20"/>
        </w:rPr>
        <w:t>We may not be successful in obtaining the necessary export licenses to conduct certain operations abro</w:t>
      </w:r>
      <w:r>
        <w:rPr>
          <w:rFonts w:eastAsia="Times New Roman"/>
          <w:b/>
          <w:bCs/>
          <w:i/>
          <w:iCs/>
          <w:color w:val="000000"/>
          <w:sz w:val="20"/>
          <w:szCs w:val="20"/>
        </w:rPr>
        <w:t xml:space="preserve">ad, and Congress may prevent proposed sales to certain foreign governments. </w:t>
      </w:r>
    </w:p>
    <w:p w14:paraId="4CC5AC80" w14:textId="77777777" w:rsidR="00000000" w:rsidRDefault="001A570A">
      <w:pPr>
        <w:ind w:firstLine="450"/>
        <w:divId w:val="137309817"/>
        <w:rPr>
          <w:rFonts w:eastAsia="Times New Roman"/>
        </w:rPr>
      </w:pPr>
      <w:r>
        <w:rPr>
          <w:rFonts w:eastAsia="Times New Roman"/>
          <w:color w:val="000000"/>
          <w:sz w:val="20"/>
          <w:szCs w:val="20"/>
        </w:rPr>
        <w:t>We must first obtain export and other licenses and authorizations from various U.S. Government agencies before we are permitted to sell certain products and technologies outside o</w:t>
      </w:r>
      <w:r>
        <w:rPr>
          <w:rFonts w:eastAsia="Times New Roman"/>
          <w:color w:val="000000"/>
          <w:sz w:val="20"/>
          <w:szCs w:val="20"/>
        </w:rPr>
        <w:t>f the U.S. For example, the U.S. Department of State must notify Congress at least 15 to 60 days, depending on the size and location of the proposed sale, prior to authorizing certain sales of defense equipment and services to foreign governments. During t</w:t>
      </w:r>
      <w:r>
        <w:rPr>
          <w:rFonts w:eastAsia="Times New Roman"/>
          <w:color w:val="000000"/>
          <w:sz w:val="20"/>
          <w:szCs w:val="20"/>
        </w:rPr>
        <w:t>hat time, Congress may take action to block the proposed sale. We may be unsuccessful in obtaining necessary licenses or authorizations or Congress may prevent or delay certain sales. Our ability to obtain necessary licenses and authorizations timely or at</w:t>
      </w:r>
      <w:r>
        <w:rPr>
          <w:rFonts w:eastAsia="Times New Roman"/>
          <w:color w:val="000000"/>
          <w:sz w:val="20"/>
          <w:szCs w:val="20"/>
        </w:rPr>
        <w:t xml:space="preserve"> all is subject to risks and uncertainties, including changing U.S. Government policies or laws or delays in Congressional action due to geopolitical and other factors. If we are not successful in obtaining or maintaining the necessary licenses or authoriz</w:t>
      </w:r>
      <w:r>
        <w:rPr>
          <w:rFonts w:eastAsia="Times New Roman"/>
          <w:color w:val="000000"/>
          <w:sz w:val="20"/>
          <w:szCs w:val="20"/>
        </w:rPr>
        <w:t>ations in a timely manner, our sales relating to those approvals may be reversed, prevented or delayed, and any significant impairment of our ability to sell products or technologies outside of the U.S. could negatively impact our business, financial condi</w:t>
      </w:r>
      <w:r>
        <w:rPr>
          <w:rFonts w:eastAsia="Times New Roman"/>
          <w:color w:val="000000"/>
          <w:sz w:val="20"/>
          <w:szCs w:val="20"/>
        </w:rPr>
        <w:t>tion, results of operations, cash flows and equity.</w:t>
      </w:r>
    </w:p>
    <w:p w14:paraId="56779379" w14:textId="77777777" w:rsidR="00000000" w:rsidRDefault="001A570A">
      <w:pPr>
        <w:divId w:val="2145156015"/>
        <w:rPr>
          <w:rFonts w:eastAsia="Times New Roman"/>
        </w:rPr>
      </w:pPr>
      <w:r>
        <w:rPr>
          <w:rFonts w:eastAsia="Times New Roman"/>
          <w:b/>
          <w:bCs/>
          <w:i/>
          <w:iCs/>
          <w:color w:val="000000"/>
          <w:sz w:val="20"/>
          <w:szCs w:val="20"/>
        </w:rPr>
        <w:t>Our reputation and ability to do business may be impacted by the improper conduct of our employees, agents or business partners.</w:t>
      </w:r>
    </w:p>
    <w:p w14:paraId="44617527" w14:textId="77777777" w:rsidR="00000000" w:rsidRDefault="001A570A">
      <w:pPr>
        <w:ind w:firstLine="450"/>
        <w:divId w:val="271206158"/>
        <w:rPr>
          <w:rFonts w:eastAsia="Times New Roman"/>
        </w:rPr>
      </w:pPr>
      <w:r>
        <w:rPr>
          <w:rFonts w:eastAsia="Times New Roman"/>
          <w:color w:val="000000"/>
          <w:sz w:val="20"/>
          <w:szCs w:val="20"/>
        </w:rPr>
        <w:t xml:space="preserve">We have implemented compliance controls, training, policies and procedures </w:t>
      </w:r>
      <w:r>
        <w:rPr>
          <w:rFonts w:eastAsia="Times New Roman"/>
          <w:color w:val="000000"/>
          <w:sz w:val="20"/>
          <w:szCs w:val="20"/>
        </w:rPr>
        <w:t>designed to prevent and detect reckless or criminal acts from being committed by our employees, agents or business partners that would violate the laws of the jurisdictions in which we operate, including laws governing payments to government officials, suc</w:t>
      </w:r>
      <w:r>
        <w:rPr>
          <w:rFonts w:eastAsia="Times New Roman"/>
          <w:color w:val="000000"/>
          <w:sz w:val="20"/>
          <w:szCs w:val="20"/>
        </w:rPr>
        <w:t>h as the FCPA, the protection of export controlled or classified information, such as ITAR, false claims, procurement integrity, cost accounting and billing, competition, information security and data privacy and the terms of our contracts. This risk of im</w:t>
      </w:r>
      <w:r>
        <w:rPr>
          <w:rFonts w:eastAsia="Times New Roman"/>
          <w:color w:val="000000"/>
          <w:sz w:val="20"/>
          <w:szCs w:val="20"/>
        </w:rPr>
        <w:t xml:space="preserve">proper conduct may increase as we continue to grow and expand our operations. We cannot ensure, however, that our controls, training, policies and procedures will prevent or detect all such reckless or criminal acts, and we have been adversely impacted by </w:t>
      </w:r>
      <w:r>
        <w:rPr>
          <w:rFonts w:eastAsia="Times New Roman"/>
          <w:color w:val="000000"/>
          <w:sz w:val="20"/>
          <w:szCs w:val="20"/>
        </w:rPr>
        <w:t>such acts in the past. If not prevented, such acts could subject us to civil or criminal investigations, monetary and non-monetary penalties and suspension and debarment by the U.S. Government and could have a material adverse effect on our business, resul</w:t>
      </w:r>
      <w:r>
        <w:rPr>
          <w:rFonts w:eastAsia="Times New Roman"/>
          <w:color w:val="000000"/>
          <w:sz w:val="20"/>
          <w:szCs w:val="20"/>
        </w:rPr>
        <w:t>ts of operations and reputation. In addition, misconduct involving data security lapses resulting in the compromise of personal information or the improper use of our customer’s sensitive or classified information could result in remediation costs, regulat</w:t>
      </w:r>
      <w:r>
        <w:rPr>
          <w:rFonts w:eastAsia="Times New Roman"/>
          <w:color w:val="000000"/>
          <w:sz w:val="20"/>
          <w:szCs w:val="20"/>
        </w:rPr>
        <w:t xml:space="preserve">ory sanctions against us and serious harm to our reputation and could adversely impact our ability to continue to contract with the U.S. Government. </w:t>
      </w:r>
    </w:p>
    <w:p w14:paraId="69D83E18" w14:textId="77777777" w:rsidR="00000000" w:rsidRDefault="001A570A">
      <w:pPr>
        <w:divId w:val="252402822"/>
        <w:rPr>
          <w:rFonts w:eastAsia="Times New Roman"/>
        </w:rPr>
      </w:pPr>
      <w:r>
        <w:rPr>
          <w:rFonts w:eastAsia="Times New Roman"/>
          <w:b/>
          <w:bCs/>
          <w:i/>
          <w:iCs/>
          <w:color w:val="000000"/>
          <w:sz w:val="20"/>
          <w:szCs w:val="20"/>
        </w:rPr>
        <w:t>The outcome of litigation or arbitration in which we are involved from time to time is unpredictable, and an adverse decision in any such matter could have a material adverse effect on our financial condition, results of operations, cash flows and equity.</w:t>
      </w:r>
    </w:p>
    <w:p w14:paraId="27D31243" w14:textId="77777777" w:rsidR="00000000" w:rsidRDefault="001A570A">
      <w:pPr>
        <w:ind w:firstLine="450"/>
        <w:divId w:val="892426353"/>
        <w:rPr>
          <w:rFonts w:eastAsia="Times New Roman"/>
        </w:rPr>
      </w:pPr>
      <w:r>
        <w:rPr>
          <w:rFonts w:eastAsia="Times New Roman"/>
          <w:color w:val="000000"/>
          <w:sz w:val="20"/>
          <w:szCs w:val="20"/>
        </w:rPr>
        <w:t>The size, nature and complexity of our business make us susceptible to investigations, claims, disputes, enforcement actions, litigation and other legal proceedings, particularly those involving governments. From time to time, we are defendants in a number</w:t>
      </w:r>
      <w:r>
        <w:rPr>
          <w:rFonts w:eastAsia="Times New Roman"/>
          <w:color w:val="000000"/>
          <w:sz w:val="20"/>
          <w:szCs w:val="20"/>
        </w:rPr>
        <w:t xml:space="preserve"> of litigation matters and are involved in a number of arbitration matters. These actions may divert financial and </w:t>
      </w:r>
    </w:p>
    <w:p w14:paraId="67704B43" w14:textId="77777777" w:rsidR="00000000" w:rsidRDefault="001A570A">
      <w:pPr>
        <w:ind w:firstLine="450"/>
        <w:jc w:val="center"/>
        <w:divId w:val="2056659740"/>
        <w:rPr>
          <w:rFonts w:eastAsia="Times New Roman"/>
        </w:rPr>
      </w:pPr>
      <w:r>
        <w:rPr>
          <w:rFonts w:eastAsia="Times New Roman"/>
          <w:color w:val="000000"/>
          <w:sz w:val="20"/>
          <w:szCs w:val="20"/>
        </w:rPr>
        <w:t>21</w:t>
      </w:r>
    </w:p>
    <w:p w14:paraId="5A0428A6" w14:textId="77777777" w:rsidR="00000000" w:rsidRDefault="001A570A">
      <w:pPr>
        <w:rPr>
          <w:rFonts w:eastAsia="Times New Roman"/>
        </w:rPr>
      </w:pPr>
      <w:r>
        <w:rPr>
          <w:rFonts w:eastAsia="Times New Roman"/>
        </w:rPr>
        <w:pict w14:anchorId="41B71D59">
          <v:rect id="_x0000_i1048" style="width:0;height:1.5pt" o:hralign="center" o:hrstd="t" o:hr="t" fillcolor="#a0a0a0" stroked="f"/>
        </w:pict>
      </w:r>
    </w:p>
    <w:p w14:paraId="6C9843F1" w14:textId="77777777" w:rsidR="00000000" w:rsidRDefault="001A570A">
      <w:pPr>
        <w:ind w:firstLine="450"/>
        <w:divId w:val="1095370487"/>
        <w:rPr>
          <w:rFonts w:eastAsia="Times New Roman"/>
        </w:rPr>
      </w:pPr>
    </w:p>
    <w:p w14:paraId="28735403" w14:textId="77777777" w:rsidR="00000000" w:rsidRDefault="001A570A">
      <w:pPr>
        <w:divId w:val="860237626"/>
        <w:rPr>
          <w:rFonts w:eastAsia="Times New Roman"/>
        </w:rPr>
      </w:pPr>
      <w:r>
        <w:rPr>
          <w:rFonts w:eastAsia="Times New Roman"/>
          <w:color w:val="000000"/>
          <w:sz w:val="20"/>
          <w:szCs w:val="20"/>
        </w:rPr>
        <w:t xml:space="preserve">management resources that would otherwise be used to benefit our operations. The results of these </w:t>
      </w:r>
      <w:r>
        <w:rPr>
          <w:rFonts w:eastAsia="Times New Roman"/>
          <w:color w:val="000000"/>
          <w:sz w:val="20"/>
          <w:szCs w:val="20"/>
        </w:rPr>
        <w:t>or new matters may be unfavorable to us. Although we maintain insurance policies, they may not be adequate to protect us from all material judgments and expenses related to current or future claims and may not cover the conduct that is the subject of the l</w:t>
      </w:r>
      <w:r>
        <w:rPr>
          <w:rFonts w:eastAsia="Times New Roman"/>
          <w:color w:val="000000"/>
          <w:sz w:val="20"/>
          <w:szCs w:val="20"/>
        </w:rPr>
        <w:t>itigation or arbitration. Desired levels of insurance may not be available in the future at economical prices or at all. In addition, we believe that while we have valid defenses with respect to legal matters pending against us, the results of litigation o</w:t>
      </w:r>
      <w:r>
        <w:rPr>
          <w:rFonts w:eastAsia="Times New Roman"/>
          <w:color w:val="000000"/>
          <w:sz w:val="20"/>
          <w:szCs w:val="20"/>
        </w:rPr>
        <w:t>r arbitration can be difficult to predict, including litigation involving jury trials. Accordingly, our current judgment as to the likelihood of our loss (or our current estimate as to the potential range of loss, if applicable) with respect to any particu</w:t>
      </w:r>
      <w:r>
        <w:rPr>
          <w:rFonts w:eastAsia="Times New Roman"/>
          <w:color w:val="000000"/>
          <w:sz w:val="20"/>
          <w:szCs w:val="20"/>
        </w:rPr>
        <w:t>lar litigation or arbitration matter may be wrong. A significant judgment or arbitration award against us arising out of any of our current or future litigation or arbitration matters could have a material adverse effect on our business, financial conditio</w:t>
      </w:r>
      <w:r>
        <w:rPr>
          <w:rFonts w:eastAsia="Times New Roman"/>
          <w:color w:val="000000"/>
          <w:sz w:val="20"/>
          <w:szCs w:val="20"/>
        </w:rPr>
        <w:t>n, results of operations, cash flows and equity.</w:t>
      </w:r>
    </w:p>
    <w:p w14:paraId="6B6ABA73" w14:textId="77777777" w:rsidR="00000000" w:rsidRDefault="001A570A">
      <w:pPr>
        <w:divId w:val="1315447733"/>
        <w:rPr>
          <w:rFonts w:eastAsia="Times New Roman"/>
        </w:rPr>
      </w:pPr>
      <w:r>
        <w:rPr>
          <w:rFonts w:eastAsia="Times New Roman"/>
          <w:b/>
          <w:bCs/>
          <w:i/>
          <w:iCs/>
          <w:color w:val="000000"/>
          <w:sz w:val="20"/>
          <w:szCs w:val="20"/>
        </w:rPr>
        <w:t xml:space="preserve">Third parties have claimed in the past and may claim in the future that we are infringing directly or indirectly upon their intellectual property rights, and third parties may infringe upon our intellectual </w:t>
      </w:r>
      <w:r>
        <w:rPr>
          <w:rFonts w:eastAsia="Times New Roman"/>
          <w:b/>
          <w:bCs/>
          <w:i/>
          <w:iCs/>
          <w:color w:val="000000"/>
          <w:sz w:val="20"/>
          <w:szCs w:val="20"/>
        </w:rPr>
        <w:t>property rights.</w:t>
      </w:r>
    </w:p>
    <w:p w14:paraId="787FB2ED" w14:textId="77777777" w:rsidR="00000000" w:rsidRDefault="001A570A">
      <w:pPr>
        <w:ind w:firstLine="450"/>
        <w:divId w:val="1811315610"/>
        <w:rPr>
          <w:rFonts w:eastAsia="Times New Roman"/>
        </w:rPr>
      </w:pPr>
      <w:r>
        <w:rPr>
          <w:rFonts w:eastAsia="Times New Roman"/>
          <w:color w:val="000000"/>
          <w:sz w:val="20"/>
          <w:szCs w:val="20"/>
        </w:rPr>
        <w:t>Many of the markets we serve are characterized by vigorous protection and pursuit of intellectual property rights, which often has resulted in protracted and expensive litigation. Our efforts to gain awards of contracts and ensure a compet</w:t>
      </w:r>
      <w:r>
        <w:rPr>
          <w:rFonts w:eastAsia="Times New Roman"/>
          <w:color w:val="000000"/>
          <w:sz w:val="20"/>
          <w:szCs w:val="20"/>
        </w:rPr>
        <w:t xml:space="preserve">itive position in the market depends in part on our ability to ensure that our intellectual property is protected, that our intellectual property rights are not diluted or subject to misuse, and that we are able to license certain third party intellectual </w:t>
      </w:r>
      <w:r>
        <w:rPr>
          <w:rFonts w:eastAsia="Times New Roman"/>
          <w:color w:val="000000"/>
          <w:sz w:val="20"/>
          <w:szCs w:val="20"/>
        </w:rPr>
        <w:t>property on reasonable terms. Third parties have claimed in the past and may claim in the future that we are infringing directly or indirectly upon their intellectual property rights, and we may be found to be infringing or to have infringed directly or in</w:t>
      </w:r>
      <w:r>
        <w:rPr>
          <w:rFonts w:eastAsia="Times New Roman"/>
          <w:color w:val="000000"/>
          <w:sz w:val="20"/>
          <w:szCs w:val="20"/>
        </w:rPr>
        <w:t>directly upon those intellectual property rights. Claims of infringement might also require us to enter into costly royalty or license agreements. Our patents and other intellectual property may be challenged, invalidated, misappropriated or circumvented b</w:t>
      </w:r>
      <w:r>
        <w:rPr>
          <w:rFonts w:eastAsia="Times New Roman"/>
          <w:color w:val="000000"/>
          <w:sz w:val="20"/>
          <w:szCs w:val="20"/>
        </w:rPr>
        <w:t>y third parties. Moreover, we may not be able to obtain royalty or license agreements on terms acceptable to us, or at all. We also may be subject to significant damages or injunctions against development and sale of certain of our products, services and s</w:t>
      </w:r>
      <w:r>
        <w:rPr>
          <w:rFonts w:eastAsia="Times New Roman"/>
          <w:color w:val="000000"/>
          <w:sz w:val="20"/>
          <w:szCs w:val="20"/>
        </w:rPr>
        <w:t>olutions. Our success depends in large part on our proprietary technology. We rely on a combination of patents, copyrights, trademarks, trade secrets, know-how, confidentiality provisions and licensing arrangements to establish and protect our intellectual</w:t>
      </w:r>
      <w:r>
        <w:rPr>
          <w:rFonts w:eastAsia="Times New Roman"/>
          <w:color w:val="000000"/>
          <w:sz w:val="20"/>
          <w:szCs w:val="20"/>
        </w:rPr>
        <w:t xml:space="preserve"> property rights. In addition, the laws concerning intellectual property vary among nations and the protection provided to our intellectual property by the laws and courts of foreign nations may differ from those of the U.S. If we fail to successfully prot</w:t>
      </w:r>
      <w:r>
        <w:rPr>
          <w:rFonts w:eastAsia="Times New Roman"/>
          <w:color w:val="000000"/>
          <w:sz w:val="20"/>
          <w:szCs w:val="20"/>
        </w:rPr>
        <w:t>ect and enforce these rights, our competitive position could suffer. Our pending patent and trademark registration applications may not be allowed, or competitors may challenge the validity or scope of our patents or trademark registrations. In addition, o</w:t>
      </w:r>
      <w:r>
        <w:rPr>
          <w:rFonts w:eastAsia="Times New Roman"/>
          <w:color w:val="000000"/>
          <w:sz w:val="20"/>
          <w:szCs w:val="20"/>
        </w:rPr>
        <w:t>ur patents may not provide us a significant competitive advantage. We may be required to spend significant resources to monitor and enforce our intellectual property rights. Litigation to determine the scope of intellectual property rights, even if ultimat</w:t>
      </w:r>
      <w:r>
        <w:rPr>
          <w:rFonts w:eastAsia="Times New Roman"/>
          <w:color w:val="000000"/>
          <w:sz w:val="20"/>
          <w:szCs w:val="20"/>
        </w:rPr>
        <w:t>ely successful, could be costly and could divert management’s attention away from other aspects of our business. We may not be able to detect infringement, and our competitive position may be harmed before we do so. In addition, competitors may design arou</w:t>
      </w:r>
      <w:r>
        <w:rPr>
          <w:rFonts w:eastAsia="Times New Roman"/>
          <w:color w:val="000000"/>
          <w:sz w:val="20"/>
          <w:szCs w:val="20"/>
        </w:rPr>
        <w:t>nd our technology or develop competing technologies.</w:t>
      </w:r>
    </w:p>
    <w:p w14:paraId="560036B1" w14:textId="77777777" w:rsidR="00000000" w:rsidRDefault="001A570A">
      <w:pPr>
        <w:divId w:val="2107116388"/>
        <w:rPr>
          <w:rFonts w:eastAsia="Times New Roman"/>
        </w:rPr>
      </w:pPr>
      <w:r>
        <w:rPr>
          <w:rFonts w:eastAsia="Times New Roman"/>
          <w:b/>
          <w:bCs/>
          <w:i/>
          <w:iCs/>
          <w:color w:val="000000"/>
          <w:sz w:val="20"/>
          <w:szCs w:val="20"/>
        </w:rPr>
        <w:t>We face certain significant risk exposures and potential liabilities that may not be covered adequately by insurance or indemnity.</w:t>
      </w:r>
    </w:p>
    <w:p w14:paraId="613F033C" w14:textId="77777777" w:rsidR="00000000" w:rsidRDefault="001A570A">
      <w:pPr>
        <w:ind w:firstLine="450"/>
        <w:divId w:val="151609265"/>
        <w:rPr>
          <w:rFonts w:eastAsia="Times New Roman"/>
        </w:rPr>
      </w:pPr>
      <w:r>
        <w:rPr>
          <w:rFonts w:eastAsia="Times New Roman"/>
          <w:color w:val="000000"/>
          <w:sz w:val="20"/>
          <w:szCs w:val="20"/>
        </w:rPr>
        <w:t>We are exposed to liabilities that are unique to the products, systems a</w:t>
      </w:r>
      <w:r>
        <w:rPr>
          <w:rFonts w:eastAsia="Times New Roman"/>
          <w:color w:val="000000"/>
          <w:sz w:val="20"/>
          <w:szCs w:val="20"/>
        </w:rPr>
        <w:t>nd services we provide. A significant portion of our business relates to designing, developing and manufacturing advanced defense, technology and communications systems and products. New technologies associated with these systems and products may be untest</w:t>
      </w:r>
      <w:r>
        <w:rPr>
          <w:rFonts w:eastAsia="Times New Roman"/>
          <w:color w:val="000000"/>
          <w:sz w:val="20"/>
          <w:szCs w:val="20"/>
        </w:rPr>
        <w:t>ed or unproven. Components of certain defense systems and products we develop are inherently dangerous. Failures of satellites, missile systems, air traffic control systems, electronic warfare systems, space superiority systems, C5ISR systems, homeland sec</w:t>
      </w:r>
      <w:r>
        <w:rPr>
          <w:rFonts w:eastAsia="Times New Roman"/>
          <w:color w:val="000000"/>
          <w:sz w:val="20"/>
          <w:szCs w:val="20"/>
        </w:rPr>
        <w:t>urity applications and aircraft have the potential to cause loss of life and extensive property damage. Other examples of unforeseen problems that could result, either directly or indirectly, in the loss of life or property or otherwise negatively affect r</w:t>
      </w:r>
      <w:r>
        <w:rPr>
          <w:rFonts w:eastAsia="Times New Roman"/>
          <w:color w:val="000000"/>
          <w:sz w:val="20"/>
          <w:szCs w:val="20"/>
        </w:rPr>
        <w:t>evenue and profitability include loss on launch of spacecraft, premature failure of products that cannot be accessed for repair or replacement, problems with quality and workmanship, country of origin, delivery of subcontractor components or services and u</w:t>
      </w:r>
      <w:r>
        <w:rPr>
          <w:rFonts w:eastAsia="Times New Roman"/>
          <w:color w:val="000000"/>
          <w:sz w:val="20"/>
          <w:szCs w:val="20"/>
        </w:rPr>
        <w:t>nplanned degradation of product performance. In addition, problems and delays in development or delivery as a result of issues with respect to design, technology, licensing and patent rights, labor, learning curve assumptions or materials and components co</w:t>
      </w:r>
      <w:r>
        <w:rPr>
          <w:rFonts w:eastAsia="Times New Roman"/>
          <w:color w:val="000000"/>
          <w:sz w:val="20"/>
          <w:szCs w:val="20"/>
        </w:rPr>
        <w:t xml:space="preserve">uld prevent us from achieving contractual requirements. In many circumstances, we may receive indemnification from the U.S. Government. We generally do not receive indemnification from foreign governments. Although we maintain insurance for certain risks, </w:t>
      </w:r>
      <w:r>
        <w:rPr>
          <w:rFonts w:eastAsia="Times New Roman"/>
          <w:color w:val="000000"/>
          <w:sz w:val="20"/>
          <w:szCs w:val="20"/>
        </w:rPr>
        <w:t>including certain cybersecurity exposures, the amount of our insurance coverage may not be adequate to cover all claims or liabilities, and we may be forced to bear substantial costs from an accident or incident. It also is not possible for us to obtain in</w:t>
      </w:r>
      <w:r>
        <w:rPr>
          <w:rFonts w:eastAsia="Times New Roman"/>
          <w:color w:val="000000"/>
          <w:sz w:val="20"/>
          <w:szCs w:val="20"/>
        </w:rPr>
        <w:t>surance to protect against all operational risks and liabilities. Substantial claims resulting from an incident in excess of U.S. Government indemnity and our insurance coverage would harm our financial condition, results of operations, cash flows and equi</w:t>
      </w:r>
      <w:r>
        <w:rPr>
          <w:rFonts w:eastAsia="Times New Roman"/>
          <w:color w:val="000000"/>
          <w:sz w:val="20"/>
          <w:szCs w:val="20"/>
        </w:rPr>
        <w:t>ty. Other factors that may affect revenue and profits include loss of follow-on work, and, in the case of certain contracts, liquidated damages, penalties and repayment to the customer of contract cost and fee payments we previously received. Moreover, any</w:t>
      </w:r>
      <w:r>
        <w:rPr>
          <w:rFonts w:eastAsia="Times New Roman"/>
          <w:color w:val="000000"/>
          <w:sz w:val="20"/>
          <w:szCs w:val="20"/>
        </w:rPr>
        <w:t xml:space="preserve"> accident or incident for which we are liable, even if fully insured, could negatively affect our standing with our customers and the public, thereby making it more difficult for us to compete effectively, and could significantly impact the cost and availa</w:t>
      </w:r>
      <w:r>
        <w:rPr>
          <w:rFonts w:eastAsia="Times New Roman"/>
          <w:color w:val="000000"/>
          <w:sz w:val="20"/>
          <w:szCs w:val="20"/>
        </w:rPr>
        <w:t>bility of adequate insurance in the future.</w:t>
      </w:r>
    </w:p>
    <w:p w14:paraId="496BF3F5" w14:textId="77777777" w:rsidR="00000000" w:rsidRDefault="001A570A">
      <w:pPr>
        <w:ind w:firstLine="450"/>
        <w:jc w:val="center"/>
        <w:divId w:val="858617891"/>
        <w:rPr>
          <w:rFonts w:eastAsia="Times New Roman"/>
        </w:rPr>
      </w:pPr>
      <w:r>
        <w:rPr>
          <w:rFonts w:eastAsia="Times New Roman"/>
          <w:color w:val="000000"/>
          <w:sz w:val="20"/>
          <w:szCs w:val="20"/>
        </w:rPr>
        <w:t>22</w:t>
      </w:r>
    </w:p>
    <w:p w14:paraId="4D7ACBB4" w14:textId="77777777" w:rsidR="00000000" w:rsidRDefault="001A570A">
      <w:pPr>
        <w:rPr>
          <w:rFonts w:eastAsia="Times New Roman"/>
        </w:rPr>
      </w:pPr>
      <w:r>
        <w:rPr>
          <w:rFonts w:eastAsia="Times New Roman"/>
        </w:rPr>
        <w:pict w14:anchorId="28EDC2C3">
          <v:rect id="_x0000_i1049" style="width:0;height:1.5pt" o:hralign="center" o:hrstd="t" o:hr="t" fillcolor="#a0a0a0" stroked="f"/>
        </w:pict>
      </w:r>
    </w:p>
    <w:p w14:paraId="7AE5A017" w14:textId="77777777" w:rsidR="00000000" w:rsidRDefault="001A570A">
      <w:pPr>
        <w:ind w:firstLine="450"/>
        <w:divId w:val="365059542"/>
        <w:rPr>
          <w:rFonts w:eastAsia="Times New Roman"/>
        </w:rPr>
      </w:pPr>
    </w:p>
    <w:p w14:paraId="563B7B2E" w14:textId="77777777" w:rsidR="00000000" w:rsidRDefault="001A570A">
      <w:pPr>
        <w:divId w:val="1632394414"/>
        <w:rPr>
          <w:rFonts w:eastAsia="Times New Roman"/>
        </w:rPr>
      </w:pPr>
      <w:r>
        <w:rPr>
          <w:rFonts w:eastAsia="Times New Roman"/>
          <w:b/>
          <w:bCs/>
          <w:i/>
          <w:iCs/>
          <w:color w:val="000000"/>
          <w:sz w:val="20"/>
          <w:szCs w:val="20"/>
        </w:rPr>
        <w:t>Unforeseen environmental issues could have a material adverse effect on our business, financial condition, results of operations, cash flows and equity.</w:t>
      </w:r>
    </w:p>
    <w:p w14:paraId="42F1720C" w14:textId="77777777" w:rsidR="00000000" w:rsidRDefault="001A570A">
      <w:pPr>
        <w:ind w:firstLine="450"/>
        <w:divId w:val="884146302"/>
        <w:rPr>
          <w:rFonts w:eastAsia="Times New Roman"/>
        </w:rPr>
      </w:pPr>
      <w:r>
        <w:rPr>
          <w:rFonts w:eastAsia="Times New Roman"/>
          <w:color w:val="000000"/>
          <w:sz w:val="20"/>
          <w:szCs w:val="20"/>
        </w:rPr>
        <w:t>Our operations are subject to various U.S. Federal, state and local, as well as certain foreign, enviro</w:t>
      </w:r>
      <w:r>
        <w:rPr>
          <w:rFonts w:eastAsia="Times New Roman"/>
          <w:color w:val="000000"/>
          <w:sz w:val="20"/>
          <w:szCs w:val="20"/>
        </w:rPr>
        <w:t>nmental laws and regulations within the countries in which we operate relating to the discharge, storage, treatment, handling, disposal and remediation of certain materials, substances and wastes used in our operations. In addition, we could be affected by</w:t>
      </w:r>
      <w:r>
        <w:rPr>
          <w:rFonts w:eastAsia="Times New Roman"/>
          <w:color w:val="000000"/>
          <w:sz w:val="20"/>
          <w:szCs w:val="20"/>
        </w:rPr>
        <w:t xml:space="preserve"> future environmental laws or regulations, including, for example, new restrictions on materials used in our operations, or future regulations imposed or claims asserted in response to concerns over climate change, other aspects of the environment or natur</w:t>
      </w:r>
      <w:r>
        <w:rPr>
          <w:rFonts w:eastAsia="Times New Roman"/>
          <w:color w:val="000000"/>
          <w:sz w:val="20"/>
          <w:szCs w:val="20"/>
        </w:rPr>
        <w:t>al resources. Compliance with current and future environmental laws and regulations may require significant operating and capital costs. Environmental laws and regulations may authorize substantial fines and criminal sanctions as well as facility shutdowns</w:t>
      </w:r>
      <w:r>
        <w:rPr>
          <w:rFonts w:eastAsia="Times New Roman"/>
          <w:color w:val="000000"/>
          <w:sz w:val="20"/>
          <w:szCs w:val="20"/>
        </w:rPr>
        <w:t xml:space="preserve"> to address violations, and may require the installation of costly pollution control equipment or operational changes to limit emissions or discharges. We also incur, and expect to continue to incur, costs to comply with current environmental laws and regu</w:t>
      </w:r>
      <w:r>
        <w:rPr>
          <w:rFonts w:eastAsia="Times New Roman"/>
          <w:color w:val="000000"/>
          <w:sz w:val="20"/>
          <w:szCs w:val="20"/>
        </w:rPr>
        <w:t>lations related to remediation of conditions in the environment. In addition, if violations of environmental laws result in us, or in one or more of our operations, being identified as an excluded party in the U.S. Government’s System for Award Management,</w:t>
      </w:r>
      <w:r>
        <w:rPr>
          <w:rFonts w:eastAsia="Times New Roman"/>
          <w:color w:val="000000"/>
          <w:sz w:val="20"/>
          <w:szCs w:val="20"/>
        </w:rPr>
        <w:t xml:space="preserve"> then we or one or more of our operations would become ineligible to receive certain contracts, subcontracts and other benefits from the Federal government or to perform work under a government contract or subcontract. Generally, such ineligibility would c</w:t>
      </w:r>
      <w:r>
        <w:rPr>
          <w:rFonts w:eastAsia="Times New Roman"/>
          <w:color w:val="000000"/>
          <w:sz w:val="20"/>
          <w:szCs w:val="20"/>
        </w:rPr>
        <w:t>ontinue until the basis for the listing has been appropriately addressed. Developments such as the adoption of new environmental laws and regulations, stricter enforcement of existing laws and regulations, violations by us of such laws and regulations, dis</w:t>
      </w:r>
      <w:r>
        <w:rPr>
          <w:rFonts w:eastAsia="Times New Roman"/>
          <w:color w:val="000000"/>
          <w:sz w:val="20"/>
          <w:szCs w:val="20"/>
        </w:rPr>
        <w:t>covery of previously unknown or more extensive contamination, litigation involving environmental impacts, our inability to recover costs associated with any such developments under previously priced contracts, or financial insolvency of other responsible p</w:t>
      </w:r>
      <w:r>
        <w:rPr>
          <w:rFonts w:eastAsia="Times New Roman"/>
          <w:color w:val="000000"/>
          <w:sz w:val="20"/>
          <w:szCs w:val="20"/>
        </w:rPr>
        <w:t>arties could have a material adverse effect on our business, financial condition, results of operations, cash flows and equity.</w:t>
      </w:r>
    </w:p>
    <w:p w14:paraId="43B10423" w14:textId="77777777" w:rsidR="00000000" w:rsidRDefault="001A570A">
      <w:pPr>
        <w:divId w:val="1925796016"/>
        <w:rPr>
          <w:rFonts w:eastAsia="Times New Roman"/>
        </w:rPr>
      </w:pPr>
      <w:r>
        <w:rPr>
          <w:rFonts w:eastAsia="Times New Roman"/>
          <w:b/>
          <w:bCs/>
          <w:color w:val="000000"/>
          <w:sz w:val="20"/>
          <w:szCs w:val="20"/>
        </w:rPr>
        <w:t>Strategic Transactions and Investments Risks</w:t>
      </w:r>
    </w:p>
    <w:p w14:paraId="78F87B04" w14:textId="77777777" w:rsidR="00000000" w:rsidRDefault="001A570A">
      <w:pPr>
        <w:divId w:val="128671159"/>
        <w:rPr>
          <w:rFonts w:eastAsia="Times New Roman"/>
        </w:rPr>
      </w:pPr>
      <w:r>
        <w:rPr>
          <w:rFonts w:eastAsia="Times New Roman"/>
          <w:b/>
          <w:bCs/>
          <w:i/>
          <w:iCs/>
          <w:color w:val="000000"/>
          <w:sz w:val="20"/>
          <w:szCs w:val="20"/>
        </w:rPr>
        <w:t>Strategic transactions, including mergers, acquisitions</w:t>
      </w:r>
      <w:r>
        <w:rPr>
          <w:rFonts w:eastAsia="Times New Roman"/>
          <w:color w:val="000000"/>
          <w:sz w:val="20"/>
          <w:szCs w:val="20"/>
        </w:rPr>
        <w:t xml:space="preserve"> an</w:t>
      </w:r>
      <w:r>
        <w:rPr>
          <w:rFonts w:eastAsia="Times New Roman"/>
          <w:b/>
          <w:bCs/>
          <w:i/>
          <w:iCs/>
          <w:color w:val="000000"/>
          <w:sz w:val="20"/>
          <w:szCs w:val="20"/>
        </w:rPr>
        <w:t>d divestitures, involve s</w:t>
      </w:r>
      <w:r>
        <w:rPr>
          <w:rFonts w:eastAsia="Times New Roman"/>
          <w:b/>
          <w:bCs/>
          <w:i/>
          <w:iCs/>
          <w:color w:val="000000"/>
          <w:sz w:val="20"/>
          <w:szCs w:val="20"/>
        </w:rPr>
        <w:t>ignificant risks and uncertainties that could adversely affect our business, financial condition, results of operations, cash flows and equity.</w:t>
      </w:r>
    </w:p>
    <w:p w14:paraId="6F945384" w14:textId="77777777" w:rsidR="00000000" w:rsidRDefault="001A570A">
      <w:pPr>
        <w:ind w:firstLine="450"/>
        <w:divId w:val="1769083049"/>
        <w:rPr>
          <w:rFonts w:eastAsia="Times New Roman"/>
        </w:rPr>
      </w:pPr>
      <w:r>
        <w:rPr>
          <w:rFonts w:eastAsia="Times New Roman"/>
          <w:color w:val="000000"/>
          <w:sz w:val="20"/>
          <w:szCs w:val="20"/>
        </w:rPr>
        <w:t>Strategic mergers, acquisitions and divestitures we have made in the past and may make in the future present sig</w:t>
      </w:r>
      <w:r>
        <w:rPr>
          <w:rFonts w:eastAsia="Times New Roman"/>
          <w:color w:val="000000"/>
          <w:sz w:val="20"/>
          <w:szCs w:val="20"/>
        </w:rPr>
        <w:t>nificant risks and uncertainties that could adversely affect our business, financial condition, results of operations, cash flows and equity, which include:</w:t>
      </w:r>
    </w:p>
    <w:p w14:paraId="2854F3F4" w14:textId="77777777" w:rsidR="00000000" w:rsidRDefault="001A570A">
      <w:pPr>
        <w:ind w:hanging="360"/>
        <w:divId w:val="598174304"/>
        <w:rPr>
          <w:rFonts w:eastAsia="Times New Roman"/>
        </w:rPr>
      </w:pPr>
      <w:r>
        <w:rPr>
          <w:rFonts w:eastAsia="Times New Roman"/>
          <w:color w:val="000000"/>
          <w:sz w:val="20"/>
          <w:szCs w:val="20"/>
        </w:rPr>
        <w:t>•Difficulty in identifying and evaluating potential mergers and acquisitions, including the risk th</w:t>
      </w:r>
      <w:r>
        <w:rPr>
          <w:rFonts w:eastAsia="Times New Roman"/>
          <w:color w:val="000000"/>
          <w:sz w:val="20"/>
          <w:szCs w:val="20"/>
        </w:rPr>
        <w:t>at our due diligence does not identify or fully assess valuation issues, potential liabilities or other merger or acquisition risks;</w:t>
      </w:r>
    </w:p>
    <w:p w14:paraId="5E1F9B00" w14:textId="77777777" w:rsidR="00000000" w:rsidRDefault="001A570A">
      <w:pPr>
        <w:ind w:hanging="360"/>
        <w:divId w:val="2094932097"/>
        <w:rPr>
          <w:rFonts w:eastAsia="Times New Roman"/>
        </w:rPr>
      </w:pPr>
      <w:r>
        <w:rPr>
          <w:rFonts w:eastAsia="Times New Roman"/>
          <w:color w:val="000000"/>
          <w:sz w:val="20"/>
          <w:szCs w:val="20"/>
        </w:rPr>
        <w:t xml:space="preserve">•Difficulty and expense in integrating newly merged or acquired businesses and operations, including combining product and </w:t>
      </w:r>
      <w:r>
        <w:rPr>
          <w:rFonts w:eastAsia="Times New Roman"/>
          <w:color w:val="000000"/>
          <w:sz w:val="20"/>
          <w:szCs w:val="20"/>
        </w:rPr>
        <w:t xml:space="preserve">service offerings, and in entering into new markets in which we are not experienced, in an efficient and cost-effective manner while maintaining adequate standards, controls and procedures, and the risk that we encounter significant unanticipated costs or </w:t>
      </w:r>
      <w:r>
        <w:rPr>
          <w:rFonts w:eastAsia="Times New Roman"/>
          <w:color w:val="000000"/>
          <w:sz w:val="20"/>
          <w:szCs w:val="20"/>
        </w:rPr>
        <w:t>other problems associated with integration;</w:t>
      </w:r>
    </w:p>
    <w:p w14:paraId="7D8A3426" w14:textId="77777777" w:rsidR="00000000" w:rsidRDefault="001A570A">
      <w:pPr>
        <w:ind w:hanging="360"/>
        <w:divId w:val="229313173"/>
        <w:rPr>
          <w:rFonts w:eastAsia="Times New Roman"/>
        </w:rPr>
      </w:pPr>
      <w:r>
        <w:rPr>
          <w:rFonts w:eastAsia="Times New Roman"/>
          <w:color w:val="000000"/>
          <w:sz w:val="20"/>
          <w:szCs w:val="20"/>
        </w:rPr>
        <w:t>•Difficulty and expense in consolidating and rationalizing IT infrastructure, which may include multiple legacy systems from various mergers and acquisitions and integrating software code;</w:t>
      </w:r>
    </w:p>
    <w:p w14:paraId="39FF9E40" w14:textId="77777777" w:rsidR="00000000" w:rsidRDefault="001A570A">
      <w:pPr>
        <w:ind w:hanging="360"/>
        <w:divId w:val="321592928"/>
        <w:rPr>
          <w:rFonts w:eastAsia="Times New Roman"/>
        </w:rPr>
      </w:pPr>
      <w:r>
        <w:rPr>
          <w:rFonts w:eastAsia="Times New Roman"/>
          <w:color w:val="000000"/>
          <w:sz w:val="20"/>
          <w:szCs w:val="20"/>
        </w:rPr>
        <w:t>•Challenges in achievin</w:t>
      </w:r>
      <w:r>
        <w:rPr>
          <w:rFonts w:eastAsia="Times New Roman"/>
          <w:color w:val="000000"/>
          <w:sz w:val="20"/>
          <w:szCs w:val="20"/>
        </w:rPr>
        <w:t>g strategic objectives, cost savings and other expected benefits;</w:t>
      </w:r>
    </w:p>
    <w:p w14:paraId="1E66CE40" w14:textId="77777777" w:rsidR="00000000" w:rsidRDefault="001A570A">
      <w:pPr>
        <w:ind w:hanging="360"/>
        <w:divId w:val="1618490005"/>
        <w:rPr>
          <w:rFonts w:eastAsia="Times New Roman"/>
        </w:rPr>
      </w:pPr>
      <w:r>
        <w:rPr>
          <w:rFonts w:eastAsia="Times New Roman"/>
          <w:color w:val="000000"/>
          <w:sz w:val="20"/>
          <w:szCs w:val="20"/>
        </w:rPr>
        <w:t>•Risk that our markets do not evolve as anticipated and that the strategic mergers, acquisitions and divestitures do not prove to be those needed to be successful in those markets;</w:t>
      </w:r>
    </w:p>
    <w:p w14:paraId="69032E49" w14:textId="77777777" w:rsidR="00000000" w:rsidRDefault="001A570A">
      <w:pPr>
        <w:ind w:hanging="360"/>
        <w:divId w:val="372340871"/>
        <w:rPr>
          <w:rFonts w:eastAsia="Times New Roman"/>
        </w:rPr>
      </w:pPr>
      <w:r>
        <w:rPr>
          <w:rFonts w:eastAsia="Times New Roman"/>
          <w:color w:val="000000"/>
          <w:sz w:val="20"/>
          <w:szCs w:val="20"/>
        </w:rPr>
        <w:t>•Risk tha</w:t>
      </w:r>
      <w:r>
        <w:rPr>
          <w:rFonts w:eastAsia="Times New Roman"/>
          <w:color w:val="000000"/>
          <w:sz w:val="20"/>
          <w:szCs w:val="20"/>
        </w:rPr>
        <w:t>t we assume or retain, or that companies we have merged with or acquired have assumed or retained or otherwise become subject to, significant liabilities that exceed the limitations of any applicable indemnification provisions or the financial resources of</w:t>
      </w:r>
      <w:r>
        <w:rPr>
          <w:rFonts w:eastAsia="Times New Roman"/>
          <w:color w:val="000000"/>
          <w:sz w:val="20"/>
          <w:szCs w:val="20"/>
        </w:rPr>
        <w:t xml:space="preserve"> any indemnifying parties;</w:t>
      </w:r>
    </w:p>
    <w:p w14:paraId="3A1399D6" w14:textId="77777777" w:rsidR="00000000" w:rsidRDefault="001A570A">
      <w:pPr>
        <w:ind w:hanging="360"/>
        <w:divId w:val="281302930"/>
        <w:rPr>
          <w:rFonts w:eastAsia="Times New Roman"/>
        </w:rPr>
      </w:pPr>
      <w:r>
        <w:rPr>
          <w:rFonts w:eastAsia="Times New Roman"/>
          <w:color w:val="000000"/>
          <w:sz w:val="20"/>
          <w:szCs w:val="20"/>
        </w:rPr>
        <w:t>•Risk that indemnification related to businesses divested or spun off that we may be required to provide or otherwise bear may be significant and could negatively impact our business;</w:t>
      </w:r>
    </w:p>
    <w:p w14:paraId="1D016F20" w14:textId="77777777" w:rsidR="00000000" w:rsidRDefault="001A570A">
      <w:pPr>
        <w:ind w:hanging="360"/>
        <w:divId w:val="438573746"/>
        <w:rPr>
          <w:rFonts w:eastAsia="Times New Roman"/>
        </w:rPr>
      </w:pPr>
      <w:r>
        <w:rPr>
          <w:rFonts w:eastAsia="Times New Roman"/>
          <w:color w:val="000000"/>
          <w:sz w:val="20"/>
          <w:szCs w:val="20"/>
        </w:rPr>
        <w:t>•Risk that mergers, acquisitions, divestiture</w:t>
      </w:r>
      <w:r>
        <w:rPr>
          <w:rFonts w:eastAsia="Times New Roman"/>
          <w:color w:val="000000"/>
          <w:sz w:val="20"/>
          <w:szCs w:val="20"/>
        </w:rPr>
        <w:t>s, spin offs and other strategic transactions fail to qualify for the intended tax treatment for U.S. Federal income tax purposes, such as a tax-free reorganization in the case of the L3Harris Merger;</w:t>
      </w:r>
    </w:p>
    <w:p w14:paraId="5B10E3EF" w14:textId="77777777" w:rsidR="00000000" w:rsidRDefault="001A570A">
      <w:pPr>
        <w:ind w:hanging="360"/>
        <w:divId w:val="910651949"/>
        <w:rPr>
          <w:rFonts w:eastAsia="Times New Roman"/>
        </w:rPr>
      </w:pPr>
      <w:r>
        <w:rPr>
          <w:rFonts w:eastAsia="Times New Roman"/>
          <w:color w:val="000000"/>
          <w:sz w:val="20"/>
          <w:szCs w:val="20"/>
        </w:rPr>
        <w:t>•Risk that we are not able to complete strategic divest</w:t>
      </w:r>
      <w:r>
        <w:rPr>
          <w:rFonts w:eastAsia="Times New Roman"/>
          <w:color w:val="000000"/>
          <w:sz w:val="20"/>
          <w:szCs w:val="20"/>
        </w:rPr>
        <w:t>itures on satisfactory terms and conditions, including non-competition arrangements applicable to certain of our business lines, or within expected timeframes; </w:t>
      </w:r>
    </w:p>
    <w:p w14:paraId="32052257" w14:textId="77777777" w:rsidR="00000000" w:rsidRDefault="001A570A">
      <w:pPr>
        <w:ind w:hanging="360"/>
        <w:divId w:val="1390690313"/>
        <w:rPr>
          <w:rFonts w:eastAsia="Times New Roman"/>
        </w:rPr>
      </w:pPr>
      <w:r>
        <w:rPr>
          <w:rFonts w:eastAsia="Times New Roman"/>
          <w:color w:val="000000"/>
          <w:sz w:val="20"/>
          <w:szCs w:val="20"/>
        </w:rPr>
        <w:t>•</w:t>
      </w:r>
      <w:r>
        <w:rPr>
          <w:rFonts w:eastAsia="Times New Roman"/>
          <w:color w:val="000000"/>
          <w:sz w:val="20"/>
          <w:szCs w:val="20"/>
        </w:rPr>
        <w:t>Potential loss of key employees or customers of the businesses merged with or acquired or to be divested; and</w:t>
      </w:r>
    </w:p>
    <w:p w14:paraId="0A032745" w14:textId="77777777" w:rsidR="00000000" w:rsidRDefault="001A570A">
      <w:pPr>
        <w:ind w:hanging="360"/>
        <w:divId w:val="732654269"/>
        <w:rPr>
          <w:rFonts w:eastAsia="Times New Roman"/>
        </w:rPr>
      </w:pPr>
      <w:r>
        <w:rPr>
          <w:rFonts w:eastAsia="Times New Roman"/>
          <w:color w:val="000000"/>
          <w:sz w:val="20"/>
          <w:szCs w:val="20"/>
        </w:rPr>
        <w:t>•Risk of diverting the attention of senior management from our existing operations.</w:t>
      </w:r>
    </w:p>
    <w:p w14:paraId="3606365E" w14:textId="77777777" w:rsidR="00000000" w:rsidRDefault="001A570A">
      <w:pPr>
        <w:divId w:val="1920560067"/>
        <w:rPr>
          <w:rFonts w:eastAsia="Times New Roman"/>
        </w:rPr>
      </w:pPr>
      <w:r>
        <w:rPr>
          <w:rFonts w:eastAsia="Times New Roman"/>
          <w:b/>
          <w:bCs/>
          <w:i/>
          <w:iCs/>
          <w:color w:val="000000"/>
          <w:sz w:val="20"/>
          <w:szCs w:val="20"/>
        </w:rPr>
        <w:t>Changes in future business or other market conditions could ca</w:t>
      </w:r>
      <w:r>
        <w:rPr>
          <w:rFonts w:eastAsia="Times New Roman"/>
          <w:b/>
          <w:bCs/>
          <w:i/>
          <w:iCs/>
          <w:color w:val="000000"/>
          <w:sz w:val="20"/>
          <w:szCs w:val="20"/>
        </w:rPr>
        <w:t xml:space="preserve">use business investments and/or recorded goodwill or other long-term assets to become impaired, resulting in substantial losses and write-downs that would materially adversely affect our results of operations and financial condition. </w:t>
      </w:r>
    </w:p>
    <w:p w14:paraId="276085BF" w14:textId="77777777" w:rsidR="00000000" w:rsidRDefault="001A570A">
      <w:pPr>
        <w:ind w:firstLine="450"/>
        <w:divId w:val="928350156"/>
        <w:rPr>
          <w:rFonts w:eastAsia="Times New Roman"/>
        </w:rPr>
      </w:pPr>
      <w:r>
        <w:rPr>
          <w:rFonts w:eastAsia="Times New Roman"/>
          <w:color w:val="000000"/>
          <w:sz w:val="20"/>
          <w:szCs w:val="20"/>
        </w:rPr>
        <w:t>From time to time, we</w:t>
      </w:r>
      <w:r>
        <w:rPr>
          <w:rFonts w:eastAsia="Times New Roman"/>
          <w:color w:val="000000"/>
          <w:sz w:val="20"/>
          <w:szCs w:val="20"/>
        </w:rPr>
        <w:t xml:space="preserve"> acquire a minority or majority interest in a business, following careful analysis and due diligence procedures designed to achieve a desired return or strategic objective. These procedures often involve certain assumptions and judgment in determining acqu</w:t>
      </w:r>
      <w:r>
        <w:rPr>
          <w:rFonts w:eastAsia="Times New Roman"/>
          <w:color w:val="000000"/>
          <w:sz w:val="20"/>
          <w:szCs w:val="20"/>
        </w:rPr>
        <w:t xml:space="preserve">isition price. After acquisition, such assumptions and judgment may prove to have been inaccurate </w:t>
      </w:r>
    </w:p>
    <w:p w14:paraId="3CF7C2CF" w14:textId="77777777" w:rsidR="00000000" w:rsidRDefault="001A570A">
      <w:pPr>
        <w:ind w:firstLine="450"/>
        <w:jc w:val="center"/>
        <w:divId w:val="1755281709"/>
        <w:rPr>
          <w:rFonts w:eastAsia="Times New Roman"/>
        </w:rPr>
      </w:pPr>
      <w:r>
        <w:rPr>
          <w:rFonts w:eastAsia="Times New Roman"/>
          <w:color w:val="000000"/>
          <w:sz w:val="20"/>
          <w:szCs w:val="20"/>
        </w:rPr>
        <w:t>23</w:t>
      </w:r>
    </w:p>
    <w:p w14:paraId="07F9518D" w14:textId="77777777" w:rsidR="00000000" w:rsidRDefault="001A570A">
      <w:pPr>
        <w:rPr>
          <w:rFonts w:eastAsia="Times New Roman"/>
        </w:rPr>
      </w:pPr>
      <w:r>
        <w:rPr>
          <w:rFonts w:eastAsia="Times New Roman"/>
        </w:rPr>
        <w:pict w14:anchorId="44558E1A">
          <v:rect id="_x0000_i1050" style="width:0;height:1.5pt" o:hralign="center" o:hrstd="t" o:hr="t" fillcolor="#a0a0a0" stroked="f"/>
        </w:pict>
      </w:r>
    </w:p>
    <w:p w14:paraId="02BA333E" w14:textId="77777777" w:rsidR="00000000" w:rsidRDefault="001A570A">
      <w:pPr>
        <w:ind w:firstLine="450"/>
        <w:divId w:val="1703945056"/>
        <w:rPr>
          <w:rFonts w:eastAsia="Times New Roman"/>
        </w:rPr>
      </w:pPr>
    </w:p>
    <w:p w14:paraId="3C4C7AA9" w14:textId="77777777" w:rsidR="00000000" w:rsidRDefault="001A570A">
      <w:pPr>
        <w:divId w:val="2051999956"/>
        <w:rPr>
          <w:rFonts w:eastAsia="Times New Roman"/>
        </w:rPr>
      </w:pPr>
      <w:r>
        <w:rPr>
          <w:rFonts w:eastAsia="Times New Roman"/>
          <w:color w:val="000000"/>
          <w:sz w:val="20"/>
          <w:szCs w:val="20"/>
        </w:rPr>
        <w:t>and unforeseen issues could arise, which could adversely affect the anticipated returns or which are otherwise not r</w:t>
      </w:r>
      <w:r>
        <w:rPr>
          <w:rFonts w:eastAsia="Times New Roman"/>
          <w:color w:val="000000"/>
          <w:sz w:val="20"/>
          <w:szCs w:val="20"/>
        </w:rPr>
        <w:t xml:space="preserve">ecoverable as an adjustment to the purchase price. Even after careful integration efforts, actual operating results may vary significantly from initial estimates. As of January 1, 2021, we had goodwill of $18.9 billion recorded in our Consolidated Balance </w:t>
      </w:r>
      <w:r>
        <w:rPr>
          <w:rFonts w:eastAsia="Times New Roman"/>
          <w:color w:val="000000"/>
          <w:sz w:val="20"/>
          <w:szCs w:val="20"/>
        </w:rPr>
        <w:t>Sheet, the large majority of which was recorded in connection with the L3Harris Merger. We evaluate the recoverability of recorded goodwill annually, as well as when we change reporting units and when events or circumstances indicate there may be an impair</w:t>
      </w:r>
      <w:r>
        <w:rPr>
          <w:rFonts w:eastAsia="Times New Roman"/>
          <w:color w:val="000000"/>
          <w:sz w:val="20"/>
          <w:szCs w:val="20"/>
        </w:rPr>
        <w:t>ment. We test goodwill for impairment at an organizational level referred to as the reporting unit, which is our business segment level or one level below the business segment. The impairment test is based on several factors requiring judgment. Principally</w:t>
      </w:r>
      <w:r>
        <w:rPr>
          <w:rFonts w:eastAsia="Times New Roman"/>
          <w:color w:val="000000"/>
          <w:sz w:val="20"/>
          <w:szCs w:val="20"/>
        </w:rPr>
        <w:t>, a decrease in expected reporting unit cash flows or changes in market conditions may indicate potential impairment of recorded goodwill. In addition, following the L3Harris Merger, our reporting units are generally one level below the segment level and t</w:t>
      </w:r>
      <w:r>
        <w:rPr>
          <w:rFonts w:eastAsia="Times New Roman"/>
          <w:color w:val="000000"/>
          <w:sz w:val="20"/>
          <w:szCs w:val="20"/>
        </w:rPr>
        <w:t>wo of our segments are comprised of several reporting units. During fiscal 2020, we recorded non-cash charges for impairment of goodwill and other assets of $718 million related to our Commercial Aviation Solutions reporting unit due to COVID-related impac</w:t>
      </w:r>
      <w:r>
        <w:rPr>
          <w:rFonts w:eastAsia="Times New Roman"/>
          <w:color w:val="000000"/>
          <w:sz w:val="20"/>
          <w:szCs w:val="20"/>
        </w:rPr>
        <w:t>ts on global air traffic and customer operations. Allocation of goodwill to several reporting units could make it more likely that we will have additional impairment charges in the future. Because of the significance of our goodwill and other intangible as</w:t>
      </w:r>
      <w:r>
        <w:rPr>
          <w:rFonts w:eastAsia="Times New Roman"/>
          <w:color w:val="000000"/>
          <w:sz w:val="20"/>
          <w:szCs w:val="20"/>
        </w:rPr>
        <w:t>sets, any future impairment of these assets could have a material adverse effect on our results of operations and financial condition. For additional information on our accounting policies related to impairment of goodwill, see our discussion under “Critic</w:t>
      </w:r>
      <w:r>
        <w:rPr>
          <w:rFonts w:eastAsia="Times New Roman"/>
          <w:color w:val="000000"/>
          <w:sz w:val="20"/>
          <w:szCs w:val="20"/>
        </w:rPr>
        <w:t xml:space="preserve">al Accounting Policies and Estimates” in “Item 7. Management’s Discussion and Analysis of Financial Condition and Results of Operations” of this Report and </w:t>
      </w:r>
      <w:r>
        <w:rPr>
          <w:rFonts w:eastAsia="Times New Roman"/>
          <w:i/>
          <w:iCs/>
          <w:color w:val="000000"/>
          <w:sz w:val="20"/>
          <w:szCs w:val="20"/>
        </w:rPr>
        <w:t>Note 1: Significant Accounting Policies</w:t>
      </w:r>
      <w:r>
        <w:rPr>
          <w:rFonts w:eastAsia="Times New Roman"/>
          <w:color w:val="000000"/>
          <w:sz w:val="20"/>
          <w:szCs w:val="20"/>
        </w:rPr>
        <w:t xml:space="preserve"> and </w:t>
      </w:r>
      <w:r>
        <w:rPr>
          <w:rFonts w:eastAsia="Times New Roman"/>
          <w:i/>
          <w:iCs/>
          <w:color w:val="000000"/>
          <w:sz w:val="20"/>
          <w:szCs w:val="20"/>
        </w:rPr>
        <w:t>Note 10: Goodwill</w:t>
      </w:r>
      <w:r>
        <w:rPr>
          <w:rFonts w:eastAsia="Times New Roman"/>
          <w:color w:val="000000"/>
          <w:sz w:val="20"/>
          <w:szCs w:val="20"/>
        </w:rPr>
        <w:t xml:space="preserve"> in the Notes. </w:t>
      </w:r>
    </w:p>
    <w:p w14:paraId="5D0A7485" w14:textId="77777777" w:rsidR="00000000" w:rsidRDefault="001A570A">
      <w:pPr>
        <w:divId w:val="1014457080"/>
        <w:rPr>
          <w:rFonts w:eastAsia="Times New Roman"/>
        </w:rPr>
      </w:pPr>
      <w:r>
        <w:rPr>
          <w:rFonts w:eastAsia="Times New Roman"/>
          <w:b/>
          <w:bCs/>
          <w:i/>
          <w:iCs/>
          <w:color w:val="000000"/>
          <w:sz w:val="20"/>
          <w:szCs w:val="20"/>
        </w:rPr>
        <w:t xml:space="preserve">We may fail to realize </w:t>
      </w:r>
      <w:r>
        <w:rPr>
          <w:rFonts w:eastAsia="Times New Roman"/>
          <w:b/>
          <w:bCs/>
          <w:i/>
          <w:iCs/>
          <w:color w:val="000000"/>
          <w:sz w:val="20"/>
          <w:szCs w:val="20"/>
        </w:rPr>
        <w:t>all of the anticipated benefits of the L3Harris Merger or those benefits may take longer to realize than expected. We may also encounter significant difficulties in integrating the businesses.</w:t>
      </w:r>
    </w:p>
    <w:p w14:paraId="7524FBF6" w14:textId="77777777" w:rsidR="00000000" w:rsidRDefault="001A570A">
      <w:pPr>
        <w:ind w:firstLine="450"/>
        <w:divId w:val="1968391440"/>
        <w:rPr>
          <w:rFonts w:eastAsia="Times New Roman"/>
        </w:rPr>
      </w:pPr>
      <w:r>
        <w:rPr>
          <w:rFonts w:eastAsia="Times New Roman"/>
          <w:color w:val="000000"/>
          <w:sz w:val="20"/>
          <w:szCs w:val="20"/>
        </w:rPr>
        <w:t>Our ability to realize the anticipated benefits of the L3Harris</w:t>
      </w:r>
      <w:r>
        <w:rPr>
          <w:rFonts w:eastAsia="Times New Roman"/>
          <w:color w:val="000000"/>
          <w:sz w:val="20"/>
          <w:szCs w:val="20"/>
        </w:rPr>
        <w:t xml:space="preserve"> Merger will depend, to a large extent, on our ability to integrate the businesses. The combination of independent businesses is a complex, costly and time-consuming process. As a result, we will be required to devote significant management attention and r</w:t>
      </w:r>
      <w:r>
        <w:rPr>
          <w:rFonts w:eastAsia="Times New Roman"/>
          <w:color w:val="000000"/>
          <w:sz w:val="20"/>
          <w:szCs w:val="20"/>
        </w:rPr>
        <w:t>esources to integration activities. The integration process may disrupt the businesses and, if implemented ineffectively, could restrict the realization of the full benefits anticipated. The failure to meet the challenges involved in integrating the busine</w:t>
      </w:r>
      <w:r>
        <w:rPr>
          <w:rFonts w:eastAsia="Times New Roman"/>
          <w:color w:val="000000"/>
          <w:sz w:val="20"/>
          <w:szCs w:val="20"/>
        </w:rPr>
        <w:t>sses and to realize the anticipated benefits of the L3Harris Merger could cause an interruption of or a loss of momentum in our activities and could adversely affect our results of operations. In addition, the overall integration may result in material una</w:t>
      </w:r>
      <w:r>
        <w:rPr>
          <w:rFonts w:eastAsia="Times New Roman"/>
          <w:color w:val="000000"/>
          <w:sz w:val="20"/>
          <w:szCs w:val="20"/>
        </w:rPr>
        <w:t>nticipated problems, expenses, liabilities, competitive responses, loss of customer relationships and diversion of management’s attention. The difficulties of combining the operations of the companies include, among others:</w:t>
      </w:r>
    </w:p>
    <w:p w14:paraId="26E310EB" w14:textId="77777777" w:rsidR="00000000" w:rsidRDefault="001A570A">
      <w:pPr>
        <w:ind w:hanging="360"/>
        <w:divId w:val="366179940"/>
        <w:rPr>
          <w:rFonts w:eastAsia="Times New Roman"/>
        </w:rPr>
      </w:pPr>
      <w:r>
        <w:rPr>
          <w:rFonts w:eastAsia="Times New Roman"/>
          <w:color w:val="000000"/>
          <w:sz w:val="20"/>
          <w:szCs w:val="20"/>
        </w:rPr>
        <w:t>•The diversion of management’s a</w:t>
      </w:r>
      <w:r>
        <w:rPr>
          <w:rFonts w:eastAsia="Times New Roman"/>
          <w:color w:val="000000"/>
          <w:sz w:val="20"/>
          <w:szCs w:val="20"/>
        </w:rPr>
        <w:t xml:space="preserve">ttention to integration matters; </w:t>
      </w:r>
    </w:p>
    <w:p w14:paraId="700CC748" w14:textId="77777777" w:rsidR="00000000" w:rsidRDefault="001A570A">
      <w:pPr>
        <w:ind w:hanging="360"/>
        <w:divId w:val="2103060490"/>
        <w:rPr>
          <w:rFonts w:eastAsia="Times New Roman"/>
        </w:rPr>
      </w:pPr>
      <w:r>
        <w:rPr>
          <w:rFonts w:eastAsia="Times New Roman"/>
          <w:color w:val="000000"/>
          <w:sz w:val="20"/>
          <w:szCs w:val="20"/>
        </w:rPr>
        <w:t xml:space="preserve">•Difficulties in achieving anticipated cost savings, synergies, business opportunities and growth prospects; </w:t>
      </w:r>
    </w:p>
    <w:p w14:paraId="35461309" w14:textId="77777777" w:rsidR="00000000" w:rsidRDefault="001A570A">
      <w:pPr>
        <w:ind w:hanging="360"/>
        <w:divId w:val="478226817"/>
        <w:rPr>
          <w:rFonts w:eastAsia="Times New Roman"/>
        </w:rPr>
      </w:pPr>
      <w:r>
        <w:rPr>
          <w:rFonts w:eastAsia="Times New Roman"/>
          <w:color w:val="000000"/>
          <w:sz w:val="20"/>
          <w:szCs w:val="20"/>
        </w:rPr>
        <w:t xml:space="preserve">•Difficulties in the integration of operations and systems; </w:t>
      </w:r>
    </w:p>
    <w:p w14:paraId="5C55201A" w14:textId="77777777" w:rsidR="00000000" w:rsidRDefault="001A570A">
      <w:pPr>
        <w:ind w:hanging="360"/>
        <w:divId w:val="1602251324"/>
        <w:rPr>
          <w:rFonts w:eastAsia="Times New Roman"/>
        </w:rPr>
      </w:pPr>
      <w:r>
        <w:rPr>
          <w:rFonts w:eastAsia="Times New Roman"/>
          <w:color w:val="000000"/>
          <w:sz w:val="20"/>
          <w:szCs w:val="20"/>
        </w:rPr>
        <w:t>•Conforming standards, controls, procedures and acc</w:t>
      </w:r>
      <w:r>
        <w:rPr>
          <w:rFonts w:eastAsia="Times New Roman"/>
          <w:color w:val="000000"/>
          <w:sz w:val="20"/>
          <w:szCs w:val="20"/>
        </w:rPr>
        <w:t xml:space="preserve">ounting and other policies, business cultures and compensation structures between the companies; </w:t>
      </w:r>
    </w:p>
    <w:p w14:paraId="48BD6B7F" w14:textId="77777777" w:rsidR="00000000" w:rsidRDefault="001A570A">
      <w:pPr>
        <w:ind w:hanging="360"/>
        <w:divId w:val="662851054"/>
        <w:rPr>
          <w:rFonts w:eastAsia="Times New Roman"/>
        </w:rPr>
      </w:pPr>
      <w:r>
        <w:rPr>
          <w:rFonts w:eastAsia="Times New Roman"/>
          <w:color w:val="000000"/>
          <w:sz w:val="20"/>
          <w:szCs w:val="20"/>
        </w:rPr>
        <w:t xml:space="preserve">•Difficulties in the assimilation of employees; </w:t>
      </w:r>
    </w:p>
    <w:p w14:paraId="25D1D01D" w14:textId="77777777" w:rsidR="00000000" w:rsidRDefault="001A570A">
      <w:pPr>
        <w:ind w:hanging="360"/>
        <w:divId w:val="1269316785"/>
        <w:rPr>
          <w:rFonts w:eastAsia="Times New Roman"/>
        </w:rPr>
      </w:pPr>
      <w:r>
        <w:rPr>
          <w:rFonts w:eastAsia="Times New Roman"/>
          <w:color w:val="000000"/>
          <w:sz w:val="20"/>
          <w:szCs w:val="20"/>
        </w:rPr>
        <w:t xml:space="preserve">•Difficulties in managing the expanded operations of a significantly larger and more complex company; </w:t>
      </w:r>
    </w:p>
    <w:p w14:paraId="7D29AE5D" w14:textId="77777777" w:rsidR="00000000" w:rsidRDefault="001A570A">
      <w:pPr>
        <w:ind w:hanging="360"/>
        <w:divId w:val="1980452971"/>
        <w:rPr>
          <w:rFonts w:eastAsia="Times New Roman"/>
        </w:rPr>
      </w:pPr>
      <w:r>
        <w:rPr>
          <w:rFonts w:eastAsia="Times New Roman"/>
          <w:color w:val="000000"/>
          <w:sz w:val="20"/>
          <w:szCs w:val="20"/>
        </w:rPr>
        <w:t>•Diffi</w:t>
      </w:r>
      <w:r>
        <w:rPr>
          <w:rFonts w:eastAsia="Times New Roman"/>
          <w:color w:val="000000"/>
          <w:sz w:val="20"/>
          <w:szCs w:val="20"/>
        </w:rPr>
        <w:t xml:space="preserve">culties in establishing effective uniform controls, systems, procedures and policies for the combined company; </w:t>
      </w:r>
    </w:p>
    <w:p w14:paraId="43133114" w14:textId="77777777" w:rsidR="00000000" w:rsidRDefault="001A570A">
      <w:pPr>
        <w:ind w:hanging="360"/>
        <w:divId w:val="743718855"/>
        <w:rPr>
          <w:rFonts w:eastAsia="Times New Roman"/>
        </w:rPr>
      </w:pPr>
      <w:r>
        <w:rPr>
          <w:rFonts w:eastAsia="Times New Roman"/>
          <w:color w:val="000000"/>
          <w:sz w:val="20"/>
          <w:szCs w:val="20"/>
        </w:rPr>
        <w:t xml:space="preserve">•Challenges in keeping existing customers and obtaining new customers; </w:t>
      </w:r>
    </w:p>
    <w:p w14:paraId="524E9984" w14:textId="77777777" w:rsidR="00000000" w:rsidRDefault="001A570A">
      <w:pPr>
        <w:ind w:hanging="360"/>
        <w:divId w:val="1108813228"/>
        <w:rPr>
          <w:rFonts w:eastAsia="Times New Roman"/>
        </w:rPr>
      </w:pPr>
      <w:r>
        <w:rPr>
          <w:rFonts w:eastAsia="Times New Roman"/>
          <w:color w:val="000000"/>
          <w:sz w:val="20"/>
          <w:szCs w:val="20"/>
        </w:rPr>
        <w:t xml:space="preserve">•Challenges in attracting and retaining key personnel; and </w:t>
      </w:r>
    </w:p>
    <w:p w14:paraId="2C644135" w14:textId="77777777" w:rsidR="00000000" w:rsidRDefault="001A570A">
      <w:pPr>
        <w:ind w:hanging="360"/>
        <w:divId w:val="1164664274"/>
        <w:rPr>
          <w:rFonts w:eastAsia="Times New Roman"/>
        </w:rPr>
      </w:pPr>
      <w:r>
        <w:rPr>
          <w:rFonts w:eastAsia="Times New Roman"/>
          <w:color w:val="000000"/>
          <w:sz w:val="20"/>
          <w:szCs w:val="20"/>
        </w:rPr>
        <w:t>•Coordinatin</w:t>
      </w:r>
      <w:r>
        <w:rPr>
          <w:rFonts w:eastAsia="Times New Roman"/>
          <w:color w:val="000000"/>
          <w:sz w:val="20"/>
          <w:szCs w:val="20"/>
        </w:rPr>
        <w:t>g a geographically dispersed organization.</w:t>
      </w:r>
    </w:p>
    <w:p w14:paraId="1D266972" w14:textId="77777777" w:rsidR="00000000" w:rsidRDefault="001A570A">
      <w:pPr>
        <w:ind w:firstLine="450"/>
        <w:divId w:val="1977107493"/>
        <w:rPr>
          <w:rFonts w:eastAsia="Times New Roman"/>
        </w:rPr>
      </w:pPr>
      <w:r>
        <w:rPr>
          <w:rFonts w:eastAsia="Times New Roman"/>
          <w:color w:val="000000"/>
          <w:sz w:val="20"/>
          <w:szCs w:val="20"/>
        </w:rPr>
        <w:t>Many of these factors will be outside of our control and any one of them could result in increased costs, decreases in the amount of expected revenue and diversion of management’s time and energy, which could materially impact our business, financial condi</w:t>
      </w:r>
      <w:r>
        <w:rPr>
          <w:rFonts w:eastAsia="Times New Roman"/>
          <w:color w:val="000000"/>
          <w:sz w:val="20"/>
          <w:szCs w:val="20"/>
        </w:rPr>
        <w:t>tion and results of operations. In addition, even if our operations are integrated successfully, the full benefits of the L3Harris Merger may not be realized, including the synergies, cost savings or sales or growth opportunities that are expected. These b</w:t>
      </w:r>
      <w:r>
        <w:rPr>
          <w:rFonts w:eastAsia="Times New Roman"/>
          <w:color w:val="000000"/>
          <w:sz w:val="20"/>
          <w:szCs w:val="20"/>
        </w:rPr>
        <w:t>enefits may not be achieved within the anticipated time frame or at all. Further, additional unanticipated costs may be incurred in the integration. All of these factors could cause dilution to our earnings per share, decrease or delay the expected benefit</w:t>
      </w:r>
      <w:r>
        <w:rPr>
          <w:rFonts w:eastAsia="Times New Roman"/>
          <w:color w:val="000000"/>
          <w:sz w:val="20"/>
          <w:szCs w:val="20"/>
        </w:rPr>
        <w:t>s of the L3Harris Merger and negatively impact the price of our stock. As a result, we can give no assurances that the L3Harris Merger will result in the realization of the full benefits anticipated.</w:t>
      </w:r>
    </w:p>
    <w:tbl>
      <w:tblPr>
        <w:tblW w:w="2500" w:type="pct"/>
        <w:tblCellMar>
          <w:top w:w="15" w:type="dxa"/>
          <w:left w:w="15" w:type="dxa"/>
          <w:bottom w:w="15" w:type="dxa"/>
          <w:right w:w="15" w:type="dxa"/>
        </w:tblCellMar>
        <w:tblLook w:val="04A0" w:firstRow="1" w:lastRow="0" w:firstColumn="1" w:lastColumn="0" w:noHBand="0" w:noVBand="1"/>
      </w:tblPr>
      <w:tblGrid>
        <w:gridCol w:w="42"/>
        <w:gridCol w:w="911"/>
        <w:gridCol w:w="36"/>
        <w:gridCol w:w="37"/>
        <w:gridCol w:w="3091"/>
        <w:gridCol w:w="36"/>
      </w:tblGrid>
      <w:tr w:rsidR="00000000" w14:paraId="49E8E878" w14:textId="77777777">
        <w:trPr>
          <w:divId w:val="1473593076"/>
        </w:trPr>
        <w:tc>
          <w:tcPr>
            <w:tcW w:w="50" w:type="pct"/>
            <w:vAlign w:val="center"/>
            <w:hideMark/>
          </w:tcPr>
          <w:p w14:paraId="65A7F010" w14:textId="77777777" w:rsidR="00000000" w:rsidRDefault="001A570A">
            <w:pPr>
              <w:ind w:firstLine="450"/>
              <w:rPr>
                <w:rFonts w:eastAsia="Times New Roman"/>
              </w:rPr>
            </w:pPr>
          </w:p>
        </w:tc>
        <w:tc>
          <w:tcPr>
            <w:tcW w:w="1108" w:type="pct"/>
            <w:vAlign w:val="center"/>
            <w:hideMark/>
          </w:tcPr>
          <w:p w14:paraId="76B171BF" w14:textId="77777777" w:rsidR="00000000" w:rsidRDefault="001A570A">
            <w:pPr>
              <w:rPr>
                <w:rFonts w:eastAsia="Times New Roman"/>
                <w:sz w:val="20"/>
                <w:szCs w:val="20"/>
              </w:rPr>
            </w:pPr>
          </w:p>
        </w:tc>
        <w:tc>
          <w:tcPr>
            <w:tcW w:w="5" w:type="pct"/>
            <w:vAlign w:val="center"/>
            <w:hideMark/>
          </w:tcPr>
          <w:p w14:paraId="1065A7B9" w14:textId="77777777" w:rsidR="00000000" w:rsidRDefault="001A570A">
            <w:pPr>
              <w:rPr>
                <w:rFonts w:eastAsia="Times New Roman"/>
                <w:sz w:val="20"/>
                <w:szCs w:val="20"/>
              </w:rPr>
            </w:pPr>
          </w:p>
        </w:tc>
        <w:tc>
          <w:tcPr>
            <w:tcW w:w="50" w:type="pct"/>
            <w:vAlign w:val="center"/>
            <w:hideMark/>
          </w:tcPr>
          <w:p w14:paraId="26E01716" w14:textId="77777777" w:rsidR="00000000" w:rsidRDefault="001A570A">
            <w:pPr>
              <w:rPr>
                <w:rFonts w:eastAsia="Times New Roman"/>
                <w:sz w:val="20"/>
                <w:szCs w:val="20"/>
              </w:rPr>
            </w:pPr>
          </w:p>
        </w:tc>
        <w:tc>
          <w:tcPr>
            <w:tcW w:w="3781" w:type="pct"/>
            <w:vAlign w:val="center"/>
            <w:hideMark/>
          </w:tcPr>
          <w:p w14:paraId="7DE26747" w14:textId="77777777" w:rsidR="00000000" w:rsidRDefault="001A570A">
            <w:pPr>
              <w:rPr>
                <w:rFonts w:eastAsia="Times New Roman"/>
                <w:sz w:val="20"/>
                <w:szCs w:val="20"/>
              </w:rPr>
            </w:pPr>
          </w:p>
        </w:tc>
        <w:tc>
          <w:tcPr>
            <w:tcW w:w="5" w:type="pct"/>
            <w:vAlign w:val="center"/>
            <w:hideMark/>
          </w:tcPr>
          <w:p w14:paraId="71A10926" w14:textId="77777777" w:rsidR="00000000" w:rsidRDefault="001A570A">
            <w:pPr>
              <w:rPr>
                <w:rFonts w:eastAsia="Times New Roman"/>
                <w:sz w:val="20"/>
                <w:szCs w:val="20"/>
              </w:rPr>
            </w:pPr>
          </w:p>
        </w:tc>
      </w:tr>
      <w:tr w:rsidR="00000000" w14:paraId="65CB4131" w14:textId="77777777">
        <w:trPr>
          <w:divId w:val="1473593076"/>
        </w:trPr>
        <w:tc>
          <w:tcPr>
            <w:tcW w:w="0" w:type="auto"/>
            <w:gridSpan w:val="3"/>
            <w:tcMar>
              <w:top w:w="30" w:type="dxa"/>
              <w:left w:w="20" w:type="dxa"/>
              <w:bottom w:w="30" w:type="dxa"/>
              <w:right w:w="20" w:type="dxa"/>
            </w:tcMar>
            <w:hideMark/>
          </w:tcPr>
          <w:p w14:paraId="072B3291" w14:textId="77777777" w:rsidR="00000000" w:rsidRDefault="001A570A">
            <w:pPr>
              <w:rPr>
                <w:rFonts w:eastAsia="Times New Roman"/>
              </w:rPr>
            </w:pPr>
            <w:r>
              <w:rPr>
                <w:rFonts w:eastAsia="Times New Roman"/>
                <w:b/>
                <w:bCs/>
                <w:color w:val="000000"/>
                <w:sz w:val="20"/>
                <w:szCs w:val="20"/>
              </w:rPr>
              <w:t> ITEM 1B.</w:t>
            </w:r>
          </w:p>
        </w:tc>
        <w:tc>
          <w:tcPr>
            <w:tcW w:w="0" w:type="auto"/>
            <w:gridSpan w:val="3"/>
            <w:tcMar>
              <w:top w:w="30" w:type="dxa"/>
              <w:left w:w="20" w:type="dxa"/>
              <w:bottom w:w="30" w:type="dxa"/>
              <w:right w:w="20" w:type="dxa"/>
            </w:tcMar>
            <w:hideMark/>
          </w:tcPr>
          <w:p w14:paraId="1F3F9887" w14:textId="77777777" w:rsidR="00000000" w:rsidRDefault="001A570A">
            <w:pPr>
              <w:rPr>
                <w:rFonts w:eastAsia="Times New Roman"/>
              </w:rPr>
            </w:pPr>
            <w:r>
              <w:rPr>
                <w:rFonts w:eastAsia="Times New Roman"/>
                <w:b/>
                <w:bCs/>
                <w:color w:val="000000"/>
                <w:sz w:val="20"/>
                <w:szCs w:val="20"/>
              </w:rPr>
              <w:t>UNRESOLVED STAFF COMMENTS.</w:t>
            </w:r>
          </w:p>
        </w:tc>
      </w:tr>
    </w:tbl>
    <w:p w14:paraId="4190DFF3" w14:textId="77777777" w:rsidR="00000000" w:rsidRDefault="001A570A">
      <w:pPr>
        <w:ind w:firstLine="450"/>
        <w:divId w:val="515312392"/>
        <w:rPr>
          <w:rFonts w:eastAsia="Times New Roman"/>
        </w:rPr>
      </w:pPr>
      <w:r>
        <w:rPr>
          <w:rFonts w:eastAsia="Times New Roman"/>
          <w:color w:val="000000"/>
          <w:sz w:val="20"/>
          <w:szCs w:val="20"/>
        </w:rPr>
        <w:t>Not applicable.</w:t>
      </w:r>
    </w:p>
    <w:p w14:paraId="6DEC3D60" w14:textId="77777777" w:rsidR="00000000" w:rsidRDefault="001A570A">
      <w:pPr>
        <w:ind w:firstLine="450"/>
        <w:divId w:val="1079324296"/>
        <w:rPr>
          <w:rFonts w:eastAsia="Times New Roman"/>
        </w:rPr>
      </w:pPr>
      <w:r>
        <w:rPr>
          <w:rFonts w:eastAsia="Times New Roman"/>
          <w:color w:val="000000"/>
          <w:sz w:val="18"/>
          <w:szCs w:val="18"/>
        </w:rPr>
        <w:t> </w:t>
      </w:r>
    </w:p>
    <w:p w14:paraId="1AFB6C63" w14:textId="77777777" w:rsidR="00000000" w:rsidRDefault="001A570A">
      <w:pPr>
        <w:ind w:firstLine="450"/>
        <w:jc w:val="center"/>
        <w:divId w:val="1015620992"/>
        <w:rPr>
          <w:rFonts w:eastAsia="Times New Roman"/>
        </w:rPr>
      </w:pPr>
      <w:r>
        <w:rPr>
          <w:rFonts w:eastAsia="Times New Roman"/>
          <w:color w:val="000000"/>
          <w:sz w:val="20"/>
          <w:szCs w:val="20"/>
        </w:rPr>
        <w:t>24</w:t>
      </w:r>
    </w:p>
    <w:p w14:paraId="3A79C3A5" w14:textId="77777777" w:rsidR="00000000" w:rsidRDefault="001A570A">
      <w:pPr>
        <w:rPr>
          <w:rFonts w:eastAsia="Times New Roman"/>
        </w:rPr>
      </w:pPr>
      <w:r>
        <w:rPr>
          <w:rFonts w:eastAsia="Times New Roman"/>
        </w:rPr>
        <w:pict w14:anchorId="21395E6E">
          <v:rect id="_x0000_i1051" style="width:0;height:1.5pt" o:hralign="center" o:hrstd="t" o:hr="t" fillcolor="#a0a0a0" stroked="f"/>
        </w:pict>
      </w:r>
    </w:p>
    <w:p w14:paraId="6C5354D3" w14:textId="77777777" w:rsidR="00000000" w:rsidRDefault="001A570A">
      <w:pPr>
        <w:ind w:firstLine="450"/>
        <w:divId w:val="384526665"/>
        <w:rPr>
          <w:rFonts w:eastAsia="Times New Roman"/>
        </w:rPr>
      </w:pPr>
    </w:p>
    <w:tbl>
      <w:tblPr>
        <w:tblW w:w="1537"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514"/>
        <w:gridCol w:w="36"/>
      </w:tblGrid>
      <w:tr w:rsidR="00000000" w14:paraId="4636C011" w14:textId="77777777">
        <w:trPr>
          <w:divId w:val="333805939"/>
        </w:trPr>
        <w:tc>
          <w:tcPr>
            <w:tcW w:w="50" w:type="pct"/>
            <w:vAlign w:val="center"/>
            <w:hideMark/>
          </w:tcPr>
          <w:p w14:paraId="53EA1238" w14:textId="77777777" w:rsidR="00000000" w:rsidRDefault="001A570A">
            <w:pPr>
              <w:ind w:firstLine="450"/>
              <w:rPr>
                <w:rFonts w:eastAsia="Times New Roman"/>
              </w:rPr>
            </w:pPr>
          </w:p>
        </w:tc>
        <w:tc>
          <w:tcPr>
            <w:tcW w:w="1837" w:type="pct"/>
            <w:vAlign w:val="center"/>
            <w:hideMark/>
          </w:tcPr>
          <w:p w14:paraId="55C9DA04" w14:textId="77777777" w:rsidR="00000000" w:rsidRDefault="001A570A">
            <w:pPr>
              <w:rPr>
                <w:rFonts w:eastAsia="Times New Roman"/>
                <w:sz w:val="20"/>
                <w:szCs w:val="20"/>
              </w:rPr>
            </w:pPr>
          </w:p>
        </w:tc>
        <w:tc>
          <w:tcPr>
            <w:tcW w:w="5" w:type="pct"/>
            <w:vAlign w:val="center"/>
            <w:hideMark/>
          </w:tcPr>
          <w:p w14:paraId="3BBDA5F8" w14:textId="77777777" w:rsidR="00000000" w:rsidRDefault="001A570A">
            <w:pPr>
              <w:rPr>
                <w:rFonts w:eastAsia="Times New Roman"/>
                <w:sz w:val="20"/>
                <w:szCs w:val="20"/>
              </w:rPr>
            </w:pPr>
          </w:p>
        </w:tc>
        <w:tc>
          <w:tcPr>
            <w:tcW w:w="50" w:type="pct"/>
            <w:vAlign w:val="center"/>
            <w:hideMark/>
          </w:tcPr>
          <w:p w14:paraId="7594DEC0" w14:textId="77777777" w:rsidR="00000000" w:rsidRDefault="001A570A">
            <w:pPr>
              <w:rPr>
                <w:rFonts w:eastAsia="Times New Roman"/>
                <w:sz w:val="20"/>
                <w:szCs w:val="20"/>
              </w:rPr>
            </w:pPr>
          </w:p>
        </w:tc>
        <w:tc>
          <w:tcPr>
            <w:tcW w:w="3052" w:type="pct"/>
            <w:vAlign w:val="center"/>
            <w:hideMark/>
          </w:tcPr>
          <w:p w14:paraId="6B326CC6" w14:textId="77777777" w:rsidR="00000000" w:rsidRDefault="001A570A">
            <w:pPr>
              <w:rPr>
                <w:rFonts w:eastAsia="Times New Roman"/>
                <w:sz w:val="20"/>
                <w:szCs w:val="20"/>
              </w:rPr>
            </w:pPr>
          </w:p>
        </w:tc>
        <w:tc>
          <w:tcPr>
            <w:tcW w:w="5" w:type="pct"/>
            <w:vAlign w:val="center"/>
            <w:hideMark/>
          </w:tcPr>
          <w:p w14:paraId="0883E00B" w14:textId="77777777" w:rsidR="00000000" w:rsidRDefault="001A570A">
            <w:pPr>
              <w:rPr>
                <w:rFonts w:eastAsia="Times New Roman"/>
                <w:sz w:val="20"/>
                <w:szCs w:val="20"/>
              </w:rPr>
            </w:pPr>
          </w:p>
        </w:tc>
      </w:tr>
      <w:tr w:rsidR="00000000" w14:paraId="231BF4CF" w14:textId="77777777">
        <w:trPr>
          <w:divId w:val="333805939"/>
        </w:trPr>
        <w:tc>
          <w:tcPr>
            <w:tcW w:w="0" w:type="auto"/>
            <w:gridSpan w:val="3"/>
            <w:tcMar>
              <w:top w:w="30" w:type="dxa"/>
              <w:left w:w="20" w:type="dxa"/>
              <w:bottom w:w="30" w:type="dxa"/>
              <w:right w:w="20" w:type="dxa"/>
            </w:tcMar>
            <w:hideMark/>
          </w:tcPr>
          <w:p w14:paraId="3D731D40" w14:textId="77777777" w:rsidR="00000000" w:rsidRDefault="001A570A">
            <w:pPr>
              <w:rPr>
                <w:rFonts w:eastAsia="Times New Roman"/>
              </w:rPr>
            </w:pPr>
            <w:r>
              <w:rPr>
                <w:rFonts w:eastAsia="Times New Roman"/>
                <w:b/>
                <w:bCs/>
                <w:color w:val="000000"/>
                <w:sz w:val="20"/>
                <w:szCs w:val="20"/>
              </w:rPr>
              <w:t> ITEM 2.</w:t>
            </w:r>
          </w:p>
        </w:tc>
        <w:tc>
          <w:tcPr>
            <w:tcW w:w="0" w:type="auto"/>
            <w:gridSpan w:val="3"/>
            <w:tcMar>
              <w:top w:w="30" w:type="dxa"/>
              <w:left w:w="20" w:type="dxa"/>
              <w:bottom w:w="30" w:type="dxa"/>
              <w:right w:w="20" w:type="dxa"/>
            </w:tcMar>
            <w:hideMark/>
          </w:tcPr>
          <w:p w14:paraId="0435E843" w14:textId="77777777" w:rsidR="00000000" w:rsidRDefault="001A570A">
            <w:pPr>
              <w:rPr>
                <w:rFonts w:eastAsia="Times New Roman"/>
              </w:rPr>
            </w:pPr>
            <w:r>
              <w:rPr>
                <w:rFonts w:eastAsia="Times New Roman"/>
                <w:b/>
                <w:bCs/>
                <w:color w:val="000000"/>
                <w:sz w:val="20"/>
                <w:szCs w:val="20"/>
              </w:rPr>
              <w:t>PROPERTIES.</w:t>
            </w:r>
          </w:p>
        </w:tc>
      </w:tr>
    </w:tbl>
    <w:p w14:paraId="028B71F5" w14:textId="77777777" w:rsidR="00000000" w:rsidRDefault="001A570A">
      <w:pPr>
        <w:ind w:firstLine="450"/>
        <w:divId w:val="1574778313"/>
        <w:rPr>
          <w:rFonts w:eastAsia="Times New Roman"/>
        </w:rPr>
      </w:pPr>
      <w:r>
        <w:rPr>
          <w:rFonts w:eastAsia="Times New Roman"/>
          <w:color w:val="000000"/>
          <w:sz w:val="20"/>
          <w:szCs w:val="20"/>
        </w:rPr>
        <w:t>Our principal executive offices are located at owned facilities in Melbourne, Florida. As of January 1, 2021, we operated approximately 340 locations in the U.S., Europe, Canada, Australia, Asia, the Middle East and South America, consisting of approximate</w:t>
      </w:r>
      <w:r>
        <w:rPr>
          <w:rFonts w:eastAsia="Times New Roman"/>
          <w:color w:val="000000"/>
          <w:sz w:val="20"/>
          <w:szCs w:val="20"/>
        </w:rPr>
        <w:t>ly 26 million square feet of manufacturing, administrative, R&amp;D, warehousing, engineering and office space, of which we owned approximately 11 million square feet and leased approximately 15 million square feet. There are no material encumbrances on any of</w:t>
      </w:r>
      <w:r>
        <w:rPr>
          <w:rFonts w:eastAsia="Times New Roman"/>
          <w:color w:val="000000"/>
          <w:sz w:val="20"/>
          <w:szCs w:val="20"/>
        </w:rPr>
        <w:t xml:space="preserve"> our owned facilities. As of January 1, 2021, we had major operations at the following locations:</w:t>
      </w:r>
    </w:p>
    <w:p w14:paraId="3A9F85CB" w14:textId="77777777" w:rsidR="00000000" w:rsidRDefault="001A570A">
      <w:pPr>
        <w:ind w:firstLine="450"/>
        <w:divId w:val="1745105321"/>
        <w:rPr>
          <w:rFonts w:eastAsia="Times New Roman"/>
        </w:rPr>
      </w:pPr>
      <w:r>
        <w:rPr>
          <w:rFonts w:eastAsia="Times New Roman"/>
          <w:b/>
          <w:bCs/>
          <w:color w:val="000000"/>
          <w:sz w:val="20"/>
          <w:szCs w:val="20"/>
        </w:rPr>
        <w:t xml:space="preserve">Integrated Mission Systems </w:t>
      </w:r>
      <w:r>
        <w:rPr>
          <w:rFonts w:eastAsia="Times New Roman"/>
          <w:color w:val="000000"/>
          <w:sz w:val="20"/>
          <w:szCs w:val="20"/>
        </w:rPr>
        <w:t>— Greenville, Rockwall and Waco, Texas; Burlington and Mirabel, Canada; Camden, New Jersey; Mason, Ohio; Sylmar, California; Tulsa,</w:t>
      </w:r>
      <w:r>
        <w:rPr>
          <w:rFonts w:eastAsia="Times New Roman"/>
          <w:color w:val="000000"/>
          <w:sz w:val="20"/>
          <w:szCs w:val="20"/>
        </w:rPr>
        <w:t xml:space="preserve"> Oklahoma; Pittsburgh and Philadelphia, Pennsylvania; and Salt Lake City, Utah.</w:t>
      </w:r>
    </w:p>
    <w:p w14:paraId="14DC82A9" w14:textId="77777777" w:rsidR="00000000" w:rsidRDefault="001A570A">
      <w:pPr>
        <w:ind w:firstLine="450"/>
        <w:divId w:val="1159148758"/>
        <w:rPr>
          <w:rFonts w:eastAsia="Times New Roman"/>
        </w:rPr>
      </w:pPr>
      <w:r>
        <w:rPr>
          <w:rFonts w:eastAsia="Times New Roman"/>
          <w:b/>
          <w:bCs/>
          <w:color w:val="000000"/>
          <w:sz w:val="20"/>
          <w:szCs w:val="20"/>
        </w:rPr>
        <w:t>Space and Airborne Systems</w:t>
      </w:r>
      <w:r>
        <w:rPr>
          <w:rFonts w:eastAsia="Times New Roman"/>
          <w:color w:val="000000"/>
          <w:sz w:val="20"/>
          <w:szCs w:val="20"/>
        </w:rPr>
        <w:t> — Palm Bay, Malabar and Melbourne, Florida; Rochester and Amityville, New York; Clifton, New Jersey; Colorado Springs, Colorado; Van Nuys and San Die</w:t>
      </w:r>
      <w:r>
        <w:rPr>
          <w:rFonts w:eastAsia="Times New Roman"/>
          <w:color w:val="000000"/>
          <w:sz w:val="20"/>
          <w:szCs w:val="20"/>
        </w:rPr>
        <w:t xml:space="preserve">go, California; Fort Wayne, Indiana; Wilmington, Massachusetts; and Alpharetta, Georgia. </w:t>
      </w:r>
    </w:p>
    <w:p w14:paraId="6A8D4391" w14:textId="77777777" w:rsidR="00000000" w:rsidRDefault="001A570A">
      <w:pPr>
        <w:ind w:firstLine="450"/>
        <w:divId w:val="2105029163"/>
        <w:rPr>
          <w:rFonts w:eastAsia="Times New Roman"/>
        </w:rPr>
      </w:pPr>
      <w:r>
        <w:rPr>
          <w:rFonts w:eastAsia="Times New Roman"/>
          <w:b/>
          <w:bCs/>
          <w:color w:val="000000"/>
          <w:sz w:val="20"/>
          <w:szCs w:val="20"/>
        </w:rPr>
        <w:t>Communication Systems</w:t>
      </w:r>
      <w:r>
        <w:rPr>
          <w:rFonts w:eastAsia="Times New Roman"/>
          <w:color w:val="000000"/>
          <w:sz w:val="20"/>
          <w:szCs w:val="20"/>
        </w:rPr>
        <w:t> — Salt Lake City, Utah; Rochester, New York; Londonderry, New Hampshire; Lynchburg, Virginia; Tempe, Arizona; Farnborough, United Kingdom; Melbo</w:t>
      </w:r>
      <w:r>
        <w:rPr>
          <w:rFonts w:eastAsia="Times New Roman"/>
          <w:color w:val="000000"/>
          <w:sz w:val="20"/>
          <w:szCs w:val="20"/>
        </w:rPr>
        <w:t>urne, Florida; and Brisbane, Australia.</w:t>
      </w:r>
    </w:p>
    <w:p w14:paraId="4865F807" w14:textId="77777777" w:rsidR="00000000" w:rsidRDefault="001A570A">
      <w:pPr>
        <w:ind w:firstLine="450"/>
        <w:divId w:val="893811738"/>
        <w:rPr>
          <w:rFonts w:eastAsia="Times New Roman"/>
        </w:rPr>
      </w:pPr>
      <w:r>
        <w:rPr>
          <w:rFonts w:eastAsia="Times New Roman"/>
          <w:b/>
          <w:bCs/>
          <w:color w:val="000000"/>
          <w:sz w:val="20"/>
          <w:szCs w:val="20"/>
        </w:rPr>
        <w:t>Aviation Systems</w:t>
      </w:r>
      <w:r>
        <w:rPr>
          <w:rFonts w:eastAsia="Times New Roman"/>
          <w:color w:val="000000"/>
          <w:sz w:val="20"/>
          <w:szCs w:val="20"/>
        </w:rPr>
        <w:t> — Melbourne, Florida; Muskegon and Grand Rapids, Michigan; Torrance, Menlo Park and Anaheim, California; Arlington and Plano, Texas; Cincinnati, Ohio; Hauppauge, New York; Herndon, Virginia; Crawley,</w:t>
      </w:r>
      <w:r>
        <w:rPr>
          <w:rFonts w:eastAsia="Times New Roman"/>
          <w:color w:val="000000"/>
          <w:sz w:val="20"/>
          <w:szCs w:val="20"/>
        </w:rPr>
        <w:t xml:space="preserve"> United Kingdom; and Phoenix, Arizona.</w:t>
      </w:r>
    </w:p>
    <w:p w14:paraId="0AE90308" w14:textId="77777777" w:rsidR="00000000" w:rsidRDefault="001A570A">
      <w:pPr>
        <w:ind w:firstLine="450"/>
        <w:divId w:val="667489674"/>
        <w:rPr>
          <w:rFonts w:eastAsia="Times New Roman"/>
        </w:rPr>
      </w:pPr>
      <w:r>
        <w:rPr>
          <w:rFonts w:eastAsia="Times New Roman"/>
          <w:b/>
          <w:bCs/>
          <w:color w:val="000000"/>
          <w:sz w:val="20"/>
          <w:szCs w:val="20"/>
        </w:rPr>
        <w:t>Corporate</w:t>
      </w:r>
      <w:r>
        <w:rPr>
          <w:rFonts w:eastAsia="Times New Roman"/>
          <w:color w:val="000000"/>
          <w:sz w:val="20"/>
          <w:szCs w:val="20"/>
        </w:rPr>
        <w:t xml:space="preserve"> — Melbourne, Florida; and Washington, D.C. </w:t>
      </w:r>
    </w:p>
    <w:p w14:paraId="2825FF42" w14:textId="77777777" w:rsidR="00000000" w:rsidRDefault="001A570A">
      <w:pPr>
        <w:ind w:firstLine="450"/>
        <w:divId w:val="1864588373"/>
        <w:rPr>
          <w:rFonts w:eastAsia="Times New Roman"/>
        </w:rPr>
      </w:pPr>
      <w:r>
        <w:rPr>
          <w:rFonts w:eastAsia="Times New Roman"/>
          <w:color w:val="000000"/>
          <w:sz w:val="20"/>
          <w:szCs w:val="20"/>
        </w:rPr>
        <w:t>The following is a summary of the approximate floor space of our offices and facilities in productive use, by segment, at January 1, 2021:</w:t>
      </w:r>
    </w:p>
    <w:tbl>
      <w:tblPr>
        <w:tblW w:w="4899" w:type="pct"/>
        <w:tblCellMar>
          <w:top w:w="15" w:type="dxa"/>
          <w:left w:w="15" w:type="dxa"/>
          <w:bottom w:w="15" w:type="dxa"/>
          <w:right w:w="15" w:type="dxa"/>
        </w:tblCellMar>
        <w:tblLook w:val="04A0" w:firstRow="1" w:lastRow="0" w:firstColumn="1" w:lastColumn="0" w:noHBand="0" w:noVBand="1"/>
      </w:tblPr>
      <w:tblGrid>
        <w:gridCol w:w="58"/>
        <w:gridCol w:w="4890"/>
        <w:gridCol w:w="38"/>
        <w:gridCol w:w="77"/>
        <w:gridCol w:w="871"/>
        <w:gridCol w:w="36"/>
        <w:gridCol w:w="36"/>
        <w:gridCol w:w="36"/>
        <w:gridCol w:w="36"/>
        <w:gridCol w:w="77"/>
        <w:gridCol w:w="863"/>
        <w:gridCol w:w="36"/>
        <w:gridCol w:w="36"/>
        <w:gridCol w:w="36"/>
        <w:gridCol w:w="36"/>
        <w:gridCol w:w="77"/>
        <w:gridCol w:w="863"/>
        <w:gridCol w:w="36"/>
      </w:tblGrid>
      <w:tr w:rsidR="00000000" w14:paraId="47489A05" w14:textId="77777777">
        <w:trPr>
          <w:divId w:val="1208057806"/>
        </w:trPr>
        <w:tc>
          <w:tcPr>
            <w:tcW w:w="50" w:type="pct"/>
            <w:vAlign w:val="center"/>
            <w:hideMark/>
          </w:tcPr>
          <w:p w14:paraId="54BE470A" w14:textId="77777777" w:rsidR="00000000" w:rsidRDefault="001A570A">
            <w:pPr>
              <w:ind w:firstLine="450"/>
              <w:rPr>
                <w:rFonts w:eastAsia="Times New Roman"/>
              </w:rPr>
            </w:pPr>
          </w:p>
        </w:tc>
        <w:tc>
          <w:tcPr>
            <w:tcW w:w="3016" w:type="pct"/>
            <w:vAlign w:val="center"/>
            <w:hideMark/>
          </w:tcPr>
          <w:p w14:paraId="22B83016" w14:textId="77777777" w:rsidR="00000000" w:rsidRDefault="001A570A">
            <w:pPr>
              <w:rPr>
                <w:rFonts w:eastAsia="Times New Roman"/>
                <w:sz w:val="20"/>
                <w:szCs w:val="20"/>
              </w:rPr>
            </w:pPr>
          </w:p>
        </w:tc>
        <w:tc>
          <w:tcPr>
            <w:tcW w:w="5" w:type="pct"/>
            <w:vAlign w:val="center"/>
            <w:hideMark/>
          </w:tcPr>
          <w:p w14:paraId="0F199396" w14:textId="77777777" w:rsidR="00000000" w:rsidRDefault="001A570A">
            <w:pPr>
              <w:rPr>
                <w:rFonts w:eastAsia="Times New Roman"/>
                <w:sz w:val="20"/>
                <w:szCs w:val="20"/>
              </w:rPr>
            </w:pPr>
          </w:p>
        </w:tc>
        <w:tc>
          <w:tcPr>
            <w:tcW w:w="50" w:type="pct"/>
            <w:vAlign w:val="center"/>
            <w:hideMark/>
          </w:tcPr>
          <w:p w14:paraId="633FA1EE" w14:textId="77777777" w:rsidR="00000000" w:rsidRDefault="001A570A">
            <w:pPr>
              <w:rPr>
                <w:rFonts w:eastAsia="Times New Roman"/>
                <w:sz w:val="20"/>
                <w:szCs w:val="20"/>
              </w:rPr>
            </w:pPr>
          </w:p>
        </w:tc>
        <w:tc>
          <w:tcPr>
            <w:tcW w:w="560" w:type="pct"/>
            <w:vAlign w:val="center"/>
            <w:hideMark/>
          </w:tcPr>
          <w:p w14:paraId="1B340965" w14:textId="77777777" w:rsidR="00000000" w:rsidRDefault="001A570A">
            <w:pPr>
              <w:rPr>
                <w:rFonts w:eastAsia="Times New Roman"/>
                <w:sz w:val="20"/>
                <w:szCs w:val="20"/>
              </w:rPr>
            </w:pPr>
          </w:p>
        </w:tc>
        <w:tc>
          <w:tcPr>
            <w:tcW w:w="5" w:type="pct"/>
            <w:vAlign w:val="center"/>
            <w:hideMark/>
          </w:tcPr>
          <w:p w14:paraId="36592AAE" w14:textId="77777777" w:rsidR="00000000" w:rsidRDefault="001A570A">
            <w:pPr>
              <w:rPr>
                <w:rFonts w:eastAsia="Times New Roman"/>
                <w:sz w:val="20"/>
                <w:szCs w:val="20"/>
              </w:rPr>
            </w:pPr>
          </w:p>
        </w:tc>
        <w:tc>
          <w:tcPr>
            <w:tcW w:w="5" w:type="pct"/>
            <w:vAlign w:val="center"/>
            <w:hideMark/>
          </w:tcPr>
          <w:p w14:paraId="15C71786" w14:textId="77777777" w:rsidR="00000000" w:rsidRDefault="001A570A">
            <w:pPr>
              <w:rPr>
                <w:rFonts w:eastAsia="Times New Roman"/>
                <w:sz w:val="20"/>
                <w:szCs w:val="20"/>
              </w:rPr>
            </w:pPr>
          </w:p>
        </w:tc>
        <w:tc>
          <w:tcPr>
            <w:tcW w:w="26" w:type="pct"/>
            <w:vAlign w:val="center"/>
            <w:hideMark/>
          </w:tcPr>
          <w:p w14:paraId="11DE4002" w14:textId="77777777" w:rsidR="00000000" w:rsidRDefault="001A570A">
            <w:pPr>
              <w:rPr>
                <w:rFonts w:eastAsia="Times New Roman"/>
                <w:sz w:val="20"/>
                <w:szCs w:val="20"/>
              </w:rPr>
            </w:pPr>
          </w:p>
        </w:tc>
        <w:tc>
          <w:tcPr>
            <w:tcW w:w="5" w:type="pct"/>
            <w:vAlign w:val="center"/>
            <w:hideMark/>
          </w:tcPr>
          <w:p w14:paraId="164A356A" w14:textId="77777777" w:rsidR="00000000" w:rsidRDefault="001A570A">
            <w:pPr>
              <w:rPr>
                <w:rFonts w:eastAsia="Times New Roman"/>
                <w:sz w:val="20"/>
                <w:szCs w:val="20"/>
              </w:rPr>
            </w:pPr>
          </w:p>
        </w:tc>
        <w:tc>
          <w:tcPr>
            <w:tcW w:w="50" w:type="pct"/>
            <w:vAlign w:val="center"/>
            <w:hideMark/>
          </w:tcPr>
          <w:p w14:paraId="37EFEF30" w14:textId="77777777" w:rsidR="00000000" w:rsidRDefault="001A570A">
            <w:pPr>
              <w:rPr>
                <w:rFonts w:eastAsia="Times New Roman"/>
                <w:sz w:val="20"/>
                <w:szCs w:val="20"/>
              </w:rPr>
            </w:pPr>
          </w:p>
        </w:tc>
        <w:tc>
          <w:tcPr>
            <w:tcW w:w="560" w:type="pct"/>
            <w:vAlign w:val="center"/>
            <w:hideMark/>
          </w:tcPr>
          <w:p w14:paraId="0AB7C973" w14:textId="77777777" w:rsidR="00000000" w:rsidRDefault="001A570A">
            <w:pPr>
              <w:rPr>
                <w:rFonts w:eastAsia="Times New Roman"/>
                <w:sz w:val="20"/>
                <w:szCs w:val="20"/>
              </w:rPr>
            </w:pPr>
          </w:p>
        </w:tc>
        <w:tc>
          <w:tcPr>
            <w:tcW w:w="5" w:type="pct"/>
            <w:vAlign w:val="center"/>
            <w:hideMark/>
          </w:tcPr>
          <w:p w14:paraId="47B7FF6B" w14:textId="77777777" w:rsidR="00000000" w:rsidRDefault="001A570A">
            <w:pPr>
              <w:rPr>
                <w:rFonts w:eastAsia="Times New Roman"/>
                <w:sz w:val="20"/>
                <w:szCs w:val="20"/>
              </w:rPr>
            </w:pPr>
          </w:p>
        </w:tc>
        <w:tc>
          <w:tcPr>
            <w:tcW w:w="5" w:type="pct"/>
            <w:vAlign w:val="center"/>
            <w:hideMark/>
          </w:tcPr>
          <w:p w14:paraId="78CE8003" w14:textId="77777777" w:rsidR="00000000" w:rsidRDefault="001A570A">
            <w:pPr>
              <w:rPr>
                <w:rFonts w:eastAsia="Times New Roman"/>
                <w:sz w:val="20"/>
                <w:szCs w:val="20"/>
              </w:rPr>
            </w:pPr>
          </w:p>
        </w:tc>
        <w:tc>
          <w:tcPr>
            <w:tcW w:w="26" w:type="pct"/>
            <w:vAlign w:val="center"/>
            <w:hideMark/>
          </w:tcPr>
          <w:p w14:paraId="2511F29F" w14:textId="77777777" w:rsidR="00000000" w:rsidRDefault="001A570A">
            <w:pPr>
              <w:rPr>
                <w:rFonts w:eastAsia="Times New Roman"/>
                <w:sz w:val="20"/>
                <w:szCs w:val="20"/>
              </w:rPr>
            </w:pPr>
          </w:p>
        </w:tc>
        <w:tc>
          <w:tcPr>
            <w:tcW w:w="5" w:type="pct"/>
            <w:vAlign w:val="center"/>
            <w:hideMark/>
          </w:tcPr>
          <w:p w14:paraId="3C95773B" w14:textId="77777777" w:rsidR="00000000" w:rsidRDefault="001A570A">
            <w:pPr>
              <w:rPr>
                <w:rFonts w:eastAsia="Times New Roman"/>
                <w:sz w:val="20"/>
                <w:szCs w:val="20"/>
              </w:rPr>
            </w:pPr>
          </w:p>
        </w:tc>
        <w:tc>
          <w:tcPr>
            <w:tcW w:w="50" w:type="pct"/>
            <w:vAlign w:val="center"/>
            <w:hideMark/>
          </w:tcPr>
          <w:p w14:paraId="4D0BF87C" w14:textId="77777777" w:rsidR="00000000" w:rsidRDefault="001A570A">
            <w:pPr>
              <w:rPr>
                <w:rFonts w:eastAsia="Times New Roman"/>
                <w:sz w:val="20"/>
                <w:szCs w:val="20"/>
              </w:rPr>
            </w:pPr>
          </w:p>
        </w:tc>
        <w:tc>
          <w:tcPr>
            <w:tcW w:w="568" w:type="pct"/>
            <w:vAlign w:val="center"/>
            <w:hideMark/>
          </w:tcPr>
          <w:p w14:paraId="5F489605" w14:textId="77777777" w:rsidR="00000000" w:rsidRDefault="001A570A">
            <w:pPr>
              <w:rPr>
                <w:rFonts w:eastAsia="Times New Roman"/>
                <w:sz w:val="20"/>
                <w:szCs w:val="20"/>
              </w:rPr>
            </w:pPr>
          </w:p>
        </w:tc>
        <w:tc>
          <w:tcPr>
            <w:tcW w:w="5" w:type="pct"/>
            <w:vAlign w:val="center"/>
            <w:hideMark/>
          </w:tcPr>
          <w:p w14:paraId="7EB02A02" w14:textId="77777777" w:rsidR="00000000" w:rsidRDefault="001A570A">
            <w:pPr>
              <w:rPr>
                <w:rFonts w:eastAsia="Times New Roman"/>
                <w:sz w:val="20"/>
                <w:szCs w:val="20"/>
              </w:rPr>
            </w:pPr>
          </w:p>
        </w:tc>
      </w:tr>
      <w:tr w:rsidR="00000000" w14:paraId="0C241D35" w14:textId="77777777">
        <w:trPr>
          <w:divId w:val="1208057806"/>
        </w:trPr>
        <w:tc>
          <w:tcPr>
            <w:tcW w:w="0" w:type="auto"/>
            <w:gridSpan w:val="3"/>
            <w:tcMar>
              <w:top w:w="30" w:type="dxa"/>
              <w:left w:w="20" w:type="dxa"/>
              <w:bottom w:w="30" w:type="dxa"/>
              <w:right w:w="20" w:type="dxa"/>
            </w:tcMar>
            <w:vAlign w:val="bottom"/>
            <w:hideMark/>
          </w:tcPr>
          <w:p w14:paraId="47497F11"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699C936D" w14:textId="77777777" w:rsidR="00000000" w:rsidRDefault="001A570A">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Total Sq. Ft.</w:t>
            </w:r>
            <w:r>
              <w:rPr>
                <w:rFonts w:eastAsia="Times New Roman"/>
                <w:b/>
                <w:bCs/>
                <w:color w:val="000000"/>
                <w:sz w:val="16"/>
                <w:szCs w:val="16"/>
              </w:rPr>
              <w:br/>
              <w:t>Owned</w:t>
            </w:r>
          </w:p>
        </w:tc>
        <w:tc>
          <w:tcPr>
            <w:tcW w:w="0" w:type="auto"/>
            <w:gridSpan w:val="3"/>
            <w:tcMar>
              <w:top w:w="0" w:type="dxa"/>
              <w:left w:w="20" w:type="dxa"/>
              <w:bottom w:w="0" w:type="dxa"/>
              <w:right w:w="20" w:type="dxa"/>
            </w:tcMar>
            <w:vAlign w:val="center"/>
            <w:hideMark/>
          </w:tcPr>
          <w:p w14:paraId="36D0BE26"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11B93D2" w14:textId="77777777" w:rsidR="00000000" w:rsidRDefault="001A570A">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Total Sq. Ft.</w:t>
            </w:r>
            <w:r>
              <w:rPr>
                <w:rFonts w:eastAsia="Times New Roman"/>
                <w:b/>
                <w:bCs/>
                <w:color w:val="000000"/>
                <w:sz w:val="16"/>
                <w:szCs w:val="16"/>
              </w:rPr>
              <w:br/>
              <w:t>Leased</w:t>
            </w:r>
          </w:p>
        </w:tc>
        <w:tc>
          <w:tcPr>
            <w:tcW w:w="0" w:type="auto"/>
            <w:gridSpan w:val="3"/>
            <w:tcMar>
              <w:top w:w="0" w:type="dxa"/>
              <w:left w:w="20" w:type="dxa"/>
              <w:bottom w:w="0" w:type="dxa"/>
              <w:right w:w="20" w:type="dxa"/>
            </w:tcMar>
            <w:vAlign w:val="center"/>
            <w:hideMark/>
          </w:tcPr>
          <w:p w14:paraId="1A0294D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015B741" w14:textId="77777777" w:rsidR="00000000" w:rsidRDefault="001A570A">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Total</w:t>
            </w:r>
            <w:r>
              <w:rPr>
                <w:rFonts w:eastAsia="Times New Roman"/>
                <w:b/>
                <w:bCs/>
                <w:color w:val="000000"/>
                <w:sz w:val="16"/>
                <w:szCs w:val="16"/>
              </w:rPr>
              <w:br/>
              <w:t>Sq. Ft.</w:t>
            </w:r>
          </w:p>
        </w:tc>
      </w:tr>
      <w:tr w:rsidR="00000000" w14:paraId="5482EB7D" w14:textId="77777777">
        <w:trPr>
          <w:divId w:val="1208057806"/>
          <w:trHeight w:val="60"/>
        </w:trPr>
        <w:tc>
          <w:tcPr>
            <w:tcW w:w="0" w:type="auto"/>
            <w:gridSpan w:val="3"/>
            <w:tcMar>
              <w:top w:w="0" w:type="dxa"/>
              <w:left w:w="20" w:type="dxa"/>
              <w:bottom w:w="0" w:type="dxa"/>
              <w:right w:w="20" w:type="dxa"/>
            </w:tcMar>
            <w:vAlign w:val="center"/>
            <w:hideMark/>
          </w:tcPr>
          <w:p w14:paraId="60813B5D"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8CF591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598CBC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CF3D2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669FE8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56302D" w14:textId="77777777" w:rsidR="00000000" w:rsidRDefault="001A570A">
            <w:pPr>
              <w:rPr>
                <w:rFonts w:eastAsia="Times New Roman"/>
                <w:sz w:val="20"/>
                <w:szCs w:val="20"/>
              </w:rPr>
            </w:pPr>
          </w:p>
        </w:tc>
      </w:tr>
      <w:tr w:rsidR="00000000" w14:paraId="3150103C" w14:textId="77777777">
        <w:trPr>
          <w:divId w:val="1208057806"/>
        </w:trPr>
        <w:tc>
          <w:tcPr>
            <w:tcW w:w="0" w:type="auto"/>
            <w:gridSpan w:val="3"/>
            <w:shd w:val="clear" w:color="auto" w:fill="CCEEFF"/>
            <w:tcMar>
              <w:top w:w="30" w:type="dxa"/>
              <w:left w:w="20" w:type="dxa"/>
              <w:bottom w:w="30" w:type="dxa"/>
              <w:right w:w="20" w:type="dxa"/>
            </w:tcMar>
            <w:hideMark/>
          </w:tcPr>
          <w:p w14:paraId="3D90FCA4" w14:textId="77777777" w:rsidR="00000000" w:rsidRDefault="001A570A">
            <w:pPr>
              <w:rPr>
                <w:rFonts w:eastAsia="Times New Roman"/>
              </w:rPr>
            </w:pPr>
            <w:r>
              <w:rPr>
                <w:rFonts w:eastAsia="Times New Roman"/>
                <w:color w:val="000000"/>
                <w:sz w:val="20"/>
                <w:szCs w:val="20"/>
              </w:rPr>
              <w:t>Integrated Mission Systems</w:t>
            </w:r>
          </w:p>
        </w:tc>
        <w:tc>
          <w:tcPr>
            <w:tcW w:w="0" w:type="auto"/>
            <w:gridSpan w:val="2"/>
            <w:shd w:val="clear" w:color="auto" w:fill="CCEEFF"/>
            <w:tcMar>
              <w:top w:w="30" w:type="dxa"/>
              <w:left w:w="20" w:type="dxa"/>
              <w:bottom w:w="30" w:type="dxa"/>
              <w:right w:w="0" w:type="dxa"/>
            </w:tcMar>
            <w:vAlign w:val="bottom"/>
            <w:hideMark/>
          </w:tcPr>
          <w:p w14:paraId="7E38FE6F"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6B85E6E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717A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529039" w14:textId="77777777" w:rsidR="00000000" w:rsidRDefault="001A570A">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14:paraId="2E73A38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5ADE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CC59D" w14:textId="77777777" w:rsidR="00000000" w:rsidRDefault="001A570A">
            <w:pPr>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14:paraId="1636044F" w14:textId="77777777" w:rsidR="00000000" w:rsidRDefault="001A570A">
            <w:pPr>
              <w:jc w:val="right"/>
              <w:rPr>
                <w:rFonts w:eastAsia="Times New Roman"/>
              </w:rPr>
            </w:pPr>
          </w:p>
        </w:tc>
      </w:tr>
      <w:tr w:rsidR="00000000" w14:paraId="72FB8462" w14:textId="77777777">
        <w:trPr>
          <w:divId w:val="1208057806"/>
        </w:trPr>
        <w:tc>
          <w:tcPr>
            <w:tcW w:w="0" w:type="auto"/>
            <w:gridSpan w:val="3"/>
            <w:shd w:val="clear" w:color="auto" w:fill="FFFFFF"/>
            <w:tcMar>
              <w:top w:w="30" w:type="dxa"/>
              <w:left w:w="20" w:type="dxa"/>
              <w:bottom w:w="30" w:type="dxa"/>
              <w:right w:w="20" w:type="dxa"/>
            </w:tcMar>
            <w:hideMark/>
          </w:tcPr>
          <w:p w14:paraId="678B96DA"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FFFFFF"/>
            <w:tcMar>
              <w:top w:w="30" w:type="dxa"/>
              <w:left w:w="20" w:type="dxa"/>
              <w:bottom w:w="30" w:type="dxa"/>
              <w:right w:w="0" w:type="dxa"/>
            </w:tcMar>
            <w:vAlign w:val="bottom"/>
            <w:hideMark/>
          </w:tcPr>
          <w:p w14:paraId="712706DA" w14:textId="77777777" w:rsidR="00000000" w:rsidRDefault="001A570A">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013EDB5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1AC7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12CFE"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3157C53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5D0F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F0CA5" w14:textId="77777777" w:rsidR="00000000" w:rsidRDefault="001A570A">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14:paraId="56B4D927" w14:textId="77777777" w:rsidR="00000000" w:rsidRDefault="001A570A">
            <w:pPr>
              <w:jc w:val="right"/>
              <w:rPr>
                <w:rFonts w:eastAsia="Times New Roman"/>
              </w:rPr>
            </w:pPr>
          </w:p>
        </w:tc>
      </w:tr>
      <w:tr w:rsidR="00000000" w14:paraId="143B8EDC" w14:textId="77777777">
        <w:trPr>
          <w:divId w:val="1208057806"/>
        </w:trPr>
        <w:tc>
          <w:tcPr>
            <w:tcW w:w="0" w:type="auto"/>
            <w:gridSpan w:val="3"/>
            <w:shd w:val="clear" w:color="auto" w:fill="CCEEFF"/>
            <w:tcMar>
              <w:top w:w="30" w:type="dxa"/>
              <w:left w:w="20" w:type="dxa"/>
              <w:bottom w:w="30" w:type="dxa"/>
              <w:right w:w="20" w:type="dxa"/>
            </w:tcMar>
            <w:hideMark/>
          </w:tcPr>
          <w:p w14:paraId="36128DED"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14:paraId="00DB8D5A"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01CA576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84D4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0A9FD5"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34A28E9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4F30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C018C"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564445EE" w14:textId="77777777" w:rsidR="00000000" w:rsidRDefault="001A570A">
            <w:pPr>
              <w:jc w:val="right"/>
              <w:rPr>
                <w:rFonts w:eastAsia="Times New Roman"/>
              </w:rPr>
            </w:pPr>
          </w:p>
        </w:tc>
      </w:tr>
      <w:tr w:rsidR="00000000" w14:paraId="3D43B7E4" w14:textId="77777777">
        <w:trPr>
          <w:divId w:val="1208057806"/>
        </w:trPr>
        <w:tc>
          <w:tcPr>
            <w:tcW w:w="0" w:type="auto"/>
            <w:gridSpan w:val="3"/>
            <w:shd w:val="clear" w:color="auto" w:fill="FFFFFF"/>
            <w:tcMar>
              <w:top w:w="30" w:type="dxa"/>
              <w:left w:w="20" w:type="dxa"/>
              <w:bottom w:w="30" w:type="dxa"/>
              <w:right w:w="20" w:type="dxa"/>
            </w:tcMar>
            <w:hideMark/>
          </w:tcPr>
          <w:p w14:paraId="4BE447C4"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FFFFFF"/>
            <w:tcMar>
              <w:top w:w="30" w:type="dxa"/>
              <w:left w:w="20" w:type="dxa"/>
              <w:bottom w:w="30" w:type="dxa"/>
              <w:right w:w="0" w:type="dxa"/>
            </w:tcMar>
            <w:vAlign w:val="bottom"/>
            <w:hideMark/>
          </w:tcPr>
          <w:p w14:paraId="0FA20CBD"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56CF5CA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2D3D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253F57" w14:textId="77777777" w:rsidR="00000000" w:rsidRDefault="001A570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22FB9F7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2185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C6F3C" w14:textId="77777777" w:rsidR="00000000" w:rsidRDefault="001A570A">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6D144263" w14:textId="77777777" w:rsidR="00000000" w:rsidRDefault="001A570A">
            <w:pPr>
              <w:jc w:val="right"/>
              <w:rPr>
                <w:rFonts w:eastAsia="Times New Roman"/>
              </w:rPr>
            </w:pPr>
          </w:p>
        </w:tc>
      </w:tr>
      <w:tr w:rsidR="00000000" w14:paraId="3973A3F6" w14:textId="77777777">
        <w:trPr>
          <w:divId w:val="1208057806"/>
        </w:trPr>
        <w:tc>
          <w:tcPr>
            <w:tcW w:w="0" w:type="auto"/>
            <w:gridSpan w:val="3"/>
            <w:shd w:val="clear" w:color="auto" w:fill="CCEEFF"/>
            <w:tcMar>
              <w:top w:w="30" w:type="dxa"/>
              <w:left w:w="20" w:type="dxa"/>
              <w:bottom w:w="30" w:type="dxa"/>
              <w:right w:w="20" w:type="dxa"/>
            </w:tcMar>
            <w:hideMark/>
          </w:tcPr>
          <w:p w14:paraId="69F27D44" w14:textId="77777777" w:rsidR="00000000" w:rsidRDefault="001A570A">
            <w:pPr>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16BC98EF" w14:textId="77777777" w:rsidR="00000000" w:rsidRDefault="001A570A">
            <w:pPr>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5C43CCA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E4B7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16A7F" w14:textId="77777777" w:rsidR="00000000" w:rsidRDefault="001A570A">
            <w:pPr>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2D0F5D4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B6B0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4CDE5" w14:textId="77777777" w:rsidR="00000000" w:rsidRDefault="001A570A">
            <w:pPr>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371B9D70" w14:textId="77777777" w:rsidR="00000000" w:rsidRDefault="001A570A">
            <w:pPr>
              <w:jc w:val="right"/>
              <w:rPr>
                <w:rFonts w:eastAsia="Times New Roman"/>
              </w:rPr>
            </w:pPr>
          </w:p>
        </w:tc>
      </w:tr>
      <w:tr w:rsidR="00000000" w14:paraId="15E06CBF" w14:textId="77777777">
        <w:trPr>
          <w:divId w:val="1208057806"/>
        </w:trPr>
        <w:tc>
          <w:tcPr>
            <w:tcW w:w="0" w:type="auto"/>
            <w:gridSpan w:val="3"/>
            <w:shd w:val="clear" w:color="auto" w:fill="FFFFFF"/>
            <w:tcMar>
              <w:top w:w="30" w:type="dxa"/>
              <w:left w:w="20" w:type="dxa"/>
              <w:bottom w:w="30" w:type="dxa"/>
              <w:right w:w="20" w:type="dxa"/>
            </w:tcMar>
            <w:hideMark/>
          </w:tcPr>
          <w:p w14:paraId="2465D8C7" w14:textId="77777777" w:rsidR="00000000" w:rsidRDefault="001A570A">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3A1DE9" w14:textId="77777777" w:rsidR="00000000" w:rsidRDefault="001A570A">
            <w:pPr>
              <w:jc w:val="right"/>
              <w:rPr>
                <w:rFonts w:eastAsia="Times New Roman"/>
              </w:rPr>
            </w:pPr>
            <w:r>
              <w:rPr>
                <w:rFonts w:eastAsia="Times New Roman"/>
                <w:color w:val="000000"/>
                <w:sz w:val="20"/>
                <w:szCs w:val="20"/>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9A68C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1B0B8" w14:textId="77777777" w:rsidR="00000000" w:rsidRDefault="001A570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D55F4E" w14:textId="77777777" w:rsidR="00000000" w:rsidRDefault="001A570A">
            <w:pPr>
              <w:jc w:val="right"/>
              <w:rPr>
                <w:rFonts w:eastAsia="Times New Roman"/>
              </w:rPr>
            </w:pPr>
            <w:r>
              <w:rPr>
                <w:rFonts w:eastAsia="Times New Roman"/>
                <w:color w:val="000000"/>
                <w:sz w:val="20"/>
                <w:szCs w:val="20"/>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B612B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8FF74" w14:textId="77777777" w:rsidR="00000000" w:rsidRDefault="001A570A">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6CBA1E" w14:textId="77777777" w:rsidR="00000000" w:rsidRDefault="001A570A">
            <w:pPr>
              <w:jc w:val="right"/>
              <w:rPr>
                <w:rFonts w:eastAsia="Times New Roman"/>
              </w:rPr>
            </w:pPr>
            <w:r>
              <w:rPr>
                <w:rFonts w:eastAsia="Times New Roman"/>
                <w:color w:val="000000"/>
                <w:sz w:val="20"/>
                <w:szCs w:val="20"/>
              </w:rPr>
              <w:t>25.7 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2CD47C" w14:textId="77777777" w:rsidR="00000000" w:rsidRDefault="001A570A">
            <w:pPr>
              <w:jc w:val="right"/>
              <w:rPr>
                <w:rFonts w:eastAsia="Times New Roman"/>
              </w:rPr>
            </w:pPr>
          </w:p>
        </w:tc>
      </w:tr>
    </w:tbl>
    <w:p w14:paraId="5DB88ABD" w14:textId="77777777" w:rsidR="00000000" w:rsidRDefault="001A570A">
      <w:pPr>
        <w:ind w:firstLine="450"/>
        <w:divId w:val="809635610"/>
        <w:rPr>
          <w:rFonts w:eastAsia="Times New Roman"/>
        </w:rPr>
      </w:pPr>
      <w:r>
        <w:rPr>
          <w:rFonts w:eastAsia="Times New Roman"/>
          <w:color w:val="000000"/>
          <w:sz w:val="20"/>
          <w:szCs w:val="20"/>
        </w:rPr>
        <w:t>In our opinion, our facilities, whether owned or leased, are suitable and adequate for their intended purposes and have capacities adequate for current and projected needs. We frequently review our anticipated requirements for facilities and will, from tim</w:t>
      </w:r>
      <w:r>
        <w:rPr>
          <w:rFonts w:eastAsia="Times New Roman"/>
          <w:color w:val="000000"/>
          <w:sz w:val="20"/>
          <w:szCs w:val="20"/>
        </w:rPr>
        <w:t xml:space="preserve">e to time, acquire additional facilities, expand existing facilities and dispose of existing facilities or parts thereof, as management deems necessary. For more information about our lease obligations, see </w:t>
      </w:r>
      <w:r>
        <w:rPr>
          <w:rFonts w:eastAsia="Times New Roman"/>
          <w:i/>
          <w:iCs/>
          <w:color w:val="000000"/>
          <w:sz w:val="20"/>
          <w:szCs w:val="20"/>
        </w:rPr>
        <w:t>Note 19: Lease Commitments</w:t>
      </w:r>
      <w:r>
        <w:rPr>
          <w:rFonts w:eastAsia="Times New Roman"/>
          <w:color w:val="000000"/>
          <w:sz w:val="20"/>
          <w:szCs w:val="20"/>
        </w:rPr>
        <w:t xml:space="preserve"> in the Notes. Our faci</w:t>
      </w:r>
      <w:r>
        <w:rPr>
          <w:rFonts w:eastAsia="Times New Roman"/>
          <w:color w:val="000000"/>
          <w:sz w:val="20"/>
          <w:szCs w:val="20"/>
        </w:rPr>
        <w:t>lities and other properties are generally maintained in good operating condition.</w:t>
      </w:r>
    </w:p>
    <w:tbl>
      <w:tblPr>
        <w:tblW w:w="1724"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825"/>
        <w:gridCol w:w="36"/>
      </w:tblGrid>
      <w:tr w:rsidR="00000000" w14:paraId="314ED1A3" w14:textId="77777777">
        <w:trPr>
          <w:divId w:val="1486967729"/>
        </w:trPr>
        <w:tc>
          <w:tcPr>
            <w:tcW w:w="50" w:type="pct"/>
            <w:vAlign w:val="center"/>
            <w:hideMark/>
          </w:tcPr>
          <w:p w14:paraId="0BAF6D13" w14:textId="77777777" w:rsidR="00000000" w:rsidRDefault="001A570A">
            <w:pPr>
              <w:ind w:firstLine="450"/>
              <w:rPr>
                <w:rFonts w:eastAsia="Times New Roman"/>
              </w:rPr>
            </w:pPr>
          </w:p>
        </w:tc>
        <w:tc>
          <w:tcPr>
            <w:tcW w:w="1632" w:type="pct"/>
            <w:vAlign w:val="center"/>
            <w:hideMark/>
          </w:tcPr>
          <w:p w14:paraId="63F82168" w14:textId="77777777" w:rsidR="00000000" w:rsidRDefault="001A570A">
            <w:pPr>
              <w:rPr>
                <w:rFonts w:eastAsia="Times New Roman"/>
                <w:sz w:val="20"/>
                <w:szCs w:val="20"/>
              </w:rPr>
            </w:pPr>
          </w:p>
        </w:tc>
        <w:tc>
          <w:tcPr>
            <w:tcW w:w="5" w:type="pct"/>
            <w:vAlign w:val="center"/>
            <w:hideMark/>
          </w:tcPr>
          <w:p w14:paraId="412672C4" w14:textId="77777777" w:rsidR="00000000" w:rsidRDefault="001A570A">
            <w:pPr>
              <w:rPr>
                <w:rFonts w:eastAsia="Times New Roman"/>
                <w:sz w:val="20"/>
                <w:szCs w:val="20"/>
              </w:rPr>
            </w:pPr>
          </w:p>
        </w:tc>
        <w:tc>
          <w:tcPr>
            <w:tcW w:w="50" w:type="pct"/>
            <w:vAlign w:val="center"/>
            <w:hideMark/>
          </w:tcPr>
          <w:p w14:paraId="7B0D96D3" w14:textId="77777777" w:rsidR="00000000" w:rsidRDefault="001A570A">
            <w:pPr>
              <w:rPr>
                <w:rFonts w:eastAsia="Times New Roman"/>
                <w:sz w:val="20"/>
                <w:szCs w:val="20"/>
              </w:rPr>
            </w:pPr>
          </w:p>
        </w:tc>
        <w:tc>
          <w:tcPr>
            <w:tcW w:w="3257" w:type="pct"/>
            <w:vAlign w:val="center"/>
            <w:hideMark/>
          </w:tcPr>
          <w:p w14:paraId="536023BF" w14:textId="77777777" w:rsidR="00000000" w:rsidRDefault="001A570A">
            <w:pPr>
              <w:rPr>
                <w:rFonts w:eastAsia="Times New Roman"/>
                <w:sz w:val="20"/>
                <w:szCs w:val="20"/>
              </w:rPr>
            </w:pPr>
          </w:p>
        </w:tc>
        <w:tc>
          <w:tcPr>
            <w:tcW w:w="5" w:type="pct"/>
            <w:vAlign w:val="center"/>
            <w:hideMark/>
          </w:tcPr>
          <w:p w14:paraId="2A484369" w14:textId="77777777" w:rsidR="00000000" w:rsidRDefault="001A570A">
            <w:pPr>
              <w:rPr>
                <w:rFonts w:eastAsia="Times New Roman"/>
                <w:sz w:val="20"/>
                <w:szCs w:val="20"/>
              </w:rPr>
            </w:pPr>
          </w:p>
        </w:tc>
      </w:tr>
      <w:tr w:rsidR="00000000" w14:paraId="65C26283" w14:textId="77777777">
        <w:trPr>
          <w:divId w:val="1486967729"/>
        </w:trPr>
        <w:tc>
          <w:tcPr>
            <w:tcW w:w="0" w:type="auto"/>
            <w:gridSpan w:val="3"/>
            <w:tcMar>
              <w:top w:w="30" w:type="dxa"/>
              <w:left w:w="20" w:type="dxa"/>
              <w:bottom w:w="30" w:type="dxa"/>
              <w:right w:w="20" w:type="dxa"/>
            </w:tcMar>
            <w:hideMark/>
          </w:tcPr>
          <w:p w14:paraId="37CD206C" w14:textId="77777777" w:rsidR="00000000" w:rsidRDefault="001A570A">
            <w:pPr>
              <w:rPr>
                <w:rFonts w:eastAsia="Times New Roman"/>
              </w:rPr>
            </w:pPr>
            <w:r>
              <w:rPr>
                <w:rFonts w:eastAsia="Times New Roman"/>
                <w:b/>
                <w:bCs/>
                <w:color w:val="000000"/>
                <w:sz w:val="20"/>
                <w:szCs w:val="20"/>
              </w:rPr>
              <w:t> ITEM 3.</w:t>
            </w:r>
          </w:p>
        </w:tc>
        <w:tc>
          <w:tcPr>
            <w:tcW w:w="0" w:type="auto"/>
            <w:gridSpan w:val="3"/>
            <w:tcMar>
              <w:top w:w="30" w:type="dxa"/>
              <w:left w:w="20" w:type="dxa"/>
              <w:bottom w:w="30" w:type="dxa"/>
              <w:right w:w="20" w:type="dxa"/>
            </w:tcMar>
            <w:hideMark/>
          </w:tcPr>
          <w:p w14:paraId="5361B0A4" w14:textId="77777777" w:rsidR="00000000" w:rsidRDefault="001A570A">
            <w:pPr>
              <w:rPr>
                <w:rFonts w:eastAsia="Times New Roman"/>
              </w:rPr>
            </w:pPr>
            <w:r>
              <w:rPr>
                <w:rFonts w:eastAsia="Times New Roman"/>
                <w:b/>
                <w:bCs/>
                <w:color w:val="000000"/>
                <w:sz w:val="20"/>
                <w:szCs w:val="20"/>
              </w:rPr>
              <w:t>LEGAL PROCEEDINGS.</w:t>
            </w:r>
          </w:p>
        </w:tc>
      </w:tr>
    </w:tbl>
    <w:p w14:paraId="6D4A1ABF" w14:textId="77777777" w:rsidR="00000000" w:rsidRDefault="001A570A">
      <w:pPr>
        <w:ind w:firstLine="450"/>
        <w:divId w:val="1575895623"/>
        <w:rPr>
          <w:rFonts w:eastAsia="Times New Roman"/>
        </w:rPr>
      </w:pPr>
      <w:r>
        <w:rPr>
          <w:rFonts w:eastAsia="Times New Roman"/>
          <w:b/>
          <w:bCs/>
          <w:i/>
          <w:iCs/>
          <w:color w:val="000000"/>
          <w:sz w:val="20"/>
          <w:szCs w:val="20"/>
        </w:rPr>
        <w:t>General.</w:t>
      </w:r>
      <w:r>
        <w:rPr>
          <w:rFonts w:eastAsia="Times New Roman"/>
          <w:i/>
          <w:iCs/>
          <w:color w:val="000000"/>
          <w:sz w:val="20"/>
          <w:szCs w:val="20"/>
        </w:rPr>
        <w:t> </w:t>
      </w:r>
      <w:r>
        <w:rPr>
          <w:rFonts w:eastAsia="Times New Roman"/>
          <w:color w:val="000000"/>
          <w:sz w:val="20"/>
          <w:szCs w:val="20"/>
        </w:rPr>
        <w:t xml:space="preserve">From time to time, as a normal incident of the nature and kind of businesses in which we are or were engaged, various claims or charges are asserted and litigation or arbitration is commenced by or against us arising from or related to matters, including, </w:t>
      </w:r>
      <w:r>
        <w:rPr>
          <w:rFonts w:eastAsia="Times New Roman"/>
          <w:color w:val="000000"/>
          <w:sz w:val="20"/>
          <w:szCs w:val="20"/>
        </w:rPr>
        <w:t>but not limited to: product liability; personal injury; patents, trademarks, trade secrets or other intellectual property; labor and employee disputes; commercial or contractual disputes; strategic acquisitions or divestitures; the prior sale or use of for</w:t>
      </w:r>
      <w:r>
        <w:rPr>
          <w:rFonts w:eastAsia="Times New Roman"/>
          <w:color w:val="000000"/>
          <w:sz w:val="20"/>
          <w:szCs w:val="20"/>
        </w:rPr>
        <w:t xml:space="preserve">mer products allegedly containing asbestos or other restricted materials; breach of warranty; or environmental matters. Claimed amounts against us may be substantial, but may not bear any reasonable relationship to the merits of the claim or the extent of </w:t>
      </w:r>
      <w:r>
        <w:rPr>
          <w:rFonts w:eastAsia="Times New Roman"/>
          <w:color w:val="000000"/>
          <w:sz w:val="20"/>
          <w:szCs w:val="20"/>
        </w:rPr>
        <w:t>any real risk of court or arbitral awards. We record accruals for losses related to those matters against us that we consider to be probable and that can be reasonably estimated. Gain contingencies, if any, are recognized when they are realized and legal c</w:t>
      </w:r>
      <w:r>
        <w:rPr>
          <w:rFonts w:eastAsia="Times New Roman"/>
          <w:color w:val="000000"/>
          <w:sz w:val="20"/>
          <w:szCs w:val="20"/>
        </w:rPr>
        <w:t>osts generally are expensed when incurred. At January 1, 2021, our accrual for the potential resolution of lawsuits, claims or proceedings that we consider probable of being decided unfavorably to us was not material. Although it is not feasible to predict</w:t>
      </w:r>
      <w:r>
        <w:rPr>
          <w:rFonts w:eastAsia="Times New Roman"/>
          <w:color w:val="000000"/>
          <w:sz w:val="20"/>
          <w:szCs w:val="20"/>
        </w:rPr>
        <w:t xml:space="preserve"> the outcome of these matters with certainty, it is reasonably possible that some lawsuits, claims or proceedings may be disposed of or decided unfavorably to us and in excess of the amounts currently accrued. Based on available information, in the opinion</w:t>
      </w:r>
      <w:r>
        <w:rPr>
          <w:rFonts w:eastAsia="Times New Roman"/>
          <w:color w:val="000000"/>
          <w:sz w:val="20"/>
          <w:szCs w:val="20"/>
        </w:rPr>
        <w:t xml:space="preserve"> of management, settlements, arbitration awards and final judgments, if any, that are considered probable of being rendered against us in litigation or arbitration in existence at January 1, 2021 are reserved against or would not have a material adverse ef</w:t>
      </w:r>
      <w:r>
        <w:rPr>
          <w:rFonts w:eastAsia="Times New Roman"/>
          <w:color w:val="000000"/>
          <w:sz w:val="20"/>
          <w:szCs w:val="20"/>
        </w:rPr>
        <w:t>fect on our financial condition, results of operations, cash flows or equity.</w:t>
      </w:r>
    </w:p>
    <w:p w14:paraId="4EF10573" w14:textId="77777777" w:rsidR="00000000" w:rsidRDefault="001A570A">
      <w:pPr>
        <w:ind w:firstLine="450"/>
        <w:divId w:val="1201864863"/>
        <w:rPr>
          <w:rFonts w:eastAsia="Times New Roman"/>
        </w:rPr>
      </w:pPr>
      <w:r>
        <w:rPr>
          <w:rFonts w:eastAsia="Times New Roman"/>
          <w:b/>
          <w:bCs/>
          <w:i/>
          <w:iCs/>
          <w:color w:val="000000"/>
          <w:sz w:val="20"/>
          <w:szCs w:val="20"/>
        </w:rPr>
        <w:t>Tax Audits.</w:t>
      </w:r>
      <w:r>
        <w:rPr>
          <w:rFonts w:eastAsia="Times New Roman"/>
          <w:i/>
          <w:iCs/>
          <w:color w:val="000000"/>
          <w:sz w:val="20"/>
          <w:szCs w:val="20"/>
        </w:rPr>
        <w:t> </w:t>
      </w:r>
      <w:r>
        <w:rPr>
          <w:rFonts w:eastAsia="Times New Roman"/>
          <w:color w:val="000000"/>
          <w:sz w:val="20"/>
          <w:szCs w:val="20"/>
        </w:rPr>
        <w:t>Our tax filings are subject to audit by taxing authorities in jurisdictions where we conduct or conducted business. These audits may result in assessments of addition</w:t>
      </w:r>
      <w:r>
        <w:rPr>
          <w:rFonts w:eastAsia="Times New Roman"/>
          <w:color w:val="000000"/>
          <w:sz w:val="20"/>
          <w:szCs w:val="20"/>
        </w:rPr>
        <w:t xml:space="preserve">al taxes that are subsequently resolved with the authorities or </w:t>
      </w:r>
    </w:p>
    <w:p w14:paraId="0F6AF48E" w14:textId="77777777" w:rsidR="00000000" w:rsidRDefault="001A570A">
      <w:pPr>
        <w:ind w:firstLine="450"/>
        <w:jc w:val="center"/>
        <w:divId w:val="1523200848"/>
        <w:rPr>
          <w:rFonts w:eastAsia="Times New Roman"/>
        </w:rPr>
      </w:pPr>
      <w:r>
        <w:rPr>
          <w:rFonts w:eastAsia="Times New Roman"/>
          <w:color w:val="000000"/>
          <w:sz w:val="20"/>
          <w:szCs w:val="20"/>
        </w:rPr>
        <w:t>25</w:t>
      </w:r>
    </w:p>
    <w:p w14:paraId="1534B505" w14:textId="77777777" w:rsidR="00000000" w:rsidRDefault="001A570A">
      <w:pPr>
        <w:rPr>
          <w:rFonts w:eastAsia="Times New Roman"/>
        </w:rPr>
      </w:pPr>
      <w:r>
        <w:rPr>
          <w:rFonts w:eastAsia="Times New Roman"/>
        </w:rPr>
        <w:pict w14:anchorId="30E8536A">
          <v:rect id="_x0000_i1052" style="width:0;height:1.5pt" o:hralign="center" o:hrstd="t" o:hr="t" fillcolor="#a0a0a0" stroked="f"/>
        </w:pict>
      </w:r>
    </w:p>
    <w:p w14:paraId="22113498" w14:textId="77777777" w:rsidR="00000000" w:rsidRDefault="001A570A">
      <w:pPr>
        <w:ind w:firstLine="450"/>
        <w:divId w:val="1821263616"/>
        <w:rPr>
          <w:rFonts w:eastAsia="Times New Roman"/>
        </w:rPr>
      </w:pPr>
    </w:p>
    <w:p w14:paraId="091B7268" w14:textId="77777777" w:rsidR="00000000" w:rsidRDefault="001A570A">
      <w:pPr>
        <w:divId w:val="1506358529"/>
        <w:rPr>
          <w:rFonts w:eastAsia="Times New Roman"/>
        </w:rPr>
      </w:pPr>
      <w:r>
        <w:rPr>
          <w:rFonts w:eastAsia="Times New Roman"/>
          <w:color w:val="000000"/>
          <w:sz w:val="20"/>
          <w:szCs w:val="20"/>
        </w:rPr>
        <w:t xml:space="preserve">ultimately through legal proceedings. We believe we have adequately accrued for any ultimate amounts that are likely to result from these audits; however, final assessments, if any, could be different from the amounts </w:t>
      </w:r>
      <w:r>
        <w:rPr>
          <w:rFonts w:eastAsia="Times New Roman"/>
          <w:color w:val="000000"/>
          <w:sz w:val="20"/>
          <w:szCs w:val="20"/>
        </w:rPr>
        <w:t xml:space="preserve">recorded in our Consolidated Financial Statements. See </w:t>
      </w:r>
      <w:r>
        <w:rPr>
          <w:rFonts w:eastAsia="Times New Roman"/>
          <w:i/>
          <w:iCs/>
          <w:color w:val="000000"/>
          <w:sz w:val="20"/>
          <w:szCs w:val="20"/>
        </w:rPr>
        <w:t>Note 23: Income Taxes</w:t>
      </w:r>
      <w:r>
        <w:rPr>
          <w:rFonts w:eastAsia="Times New Roman"/>
          <w:color w:val="000000"/>
          <w:sz w:val="20"/>
          <w:szCs w:val="20"/>
        </w:rPr>
        <w:t xml:space="preserve"> in the Notes for additional information regarding audits and examinations by taxing authorities of our tax filings.</w:t>
      </w:r>
    </w:p>
    <w:p w14:paraId="7D00A252" w14:textId="77777777" w:rsidR="00000000" w:rsidRDefault="001A570A">
      <w:pPr>
        <w:ind w:firstLine="450"/>
        <w:divId w:val="1841968113"/>
        <w:rPr>
          <w:rFonts w:eastAsia="Times New Roman"/>
        </w:rPr>
      </w:pPr>
      <w:r>
        <w:rPr>
          <w:rFonts w:eastAsia="Times New Roman"/>
          <w:b/>
          <w:bCs/>
          <w:i/>
          <w:iCs/>
          <w:color w:val="000000"/>
          <w:sz w:val="20"/>
          <w:szCs w:val="20"/>
        </w:rPr>
        <w:t>U.S. Government Business.</w:t>
      </w:r>
      <w:r>
        <w:rPr>
          <w:rFonts w:eastAsia="Times New Roman"/>
          <w:i/>
          <w:iCs/>
          <w:color w:val="000000"/>
          <w:sz w:val="20"/>
          <w:szCs w:val="20"/>
        </w:rPr>
        <w:t> </w:t>
      </w:r>
      <w:r>
        <w:rPr>
          <w:rFonts w:eastAsia="Times New Roman"/>
          <w:color w:val="000000"/>
          <w:sz w:val="20"/>
          <w:szCs w:val="20"/>
        </w:rPr>
        <w:t>We are engaged in supplying goods and</w:t>
      </w:r>
      <w:r>
        <w:rPr>
          <w:rFonts w:eastAsia="Times New Roman"/>
          <w:color w:val="000000"/>
          <w:sz w:val="20"/>
          <w:szCs w:val="20"/>
        </w:rPr>
        <w:t xml:space="preserve"> services to various departments and agencies of the U.S. Government. We are therefore dependent on Congressional appropriations and administrative allotment of funds and may be affected by changes in U.S. Government policies. U.S. Government development a</w:t>
      </w:r>
      <w:r>
        <w:rPr>
          <w:rFonts w:eastAsia="Times New Roman"/>
          <w:color w:val="000000"/>
          <w:sz w:val="20"/>
          <w:szCs w:val="20"/>
        </w:rPr>
        <w:t>nd production contracts typically involve long lead times for design and development, are subject to significant changes in contract scheduling and may be unilaterally modified or canceled by the U.S. Government. Often these contracts call for successful d</w:t>
      </w:r>
      <w:r>
        <w:rPr>
          <w:rFonts w:eastAsia="Times New Roman"/>
          <w:color w:val="000000"/>
          <w:sz w:val="20"/>
          <w:szCs w:val="20"/>
        </w:rPr>
        <w:t>esign and production of complex and technologically advanced products or systems. We may participate in supplying goods and services to the U.S. Government as either a prime contractor or as a subcontractor to a prime contractor. Disputes may arise between</w:t>
      </w:r>
      <w:r>
        <w:rPr>
          <w:rFonts w:eastAsia="Times New Roman"/>
          <w:color w:val="000000"/>
          <w:sz w:val="20"/>
          <w:szCs w:val="20"/>
        </w:rPr>
        <w:t xml:space="preserve"> the prime contractor and the U.S. Government or between the prime contractor and its subcontractors and may result in litigation or arbitration between the contracting parties.</w:t>
      </w:r>
    </w:p>
    <w:p w14:paraId="1C6019E1" w14:textId="77777777" w:rsidR="00000000" w:rsidRDefault="001A570A">
      <w:pPr>
        <w:ind w:firstLine="450"/>
        <w:divId w:val="736166349"/>
        <w:rPr>
          <w:rFonts w:eastAsia="Times New Roman"/>
        </w:rPr>
      </w:pPr>
      <w:r>
        <w:rPr>
          <w:rFonts w:eastAsia="Times New Roman"/>
          <w:color w:val="000000"/>
          <w:sz w:val="20"/>
          <w:szCs w:val="20"/>
        </w:rPr>
        <w:t>Generally, U.S. Government contracts are subject to procurement laws and regul</w:t>
      </w:r>
      <w:r>
        <w:rPr>
          <w:rFonts w:eastAsia="Times New Roman"/>
          <w:color w:val="000000"/>
          <w:sz w:val="20"/>
          <w:szCs w:val="20"/>
        </w:rPr>
        <w:t>ations, including the FAR, which outline uniform policies and procedures for acquiring goods and services by the U.S. Government, and specific agency acquisition regulations that implement or supplement the FAR, such as the Defense Federal Acquisition Regu</w:t>
      </w:r>
      <w:r>
        <w:rPr>
          <w:rFonts w:eastAsia="Times New Roman"/>
          <w:color w:val="000000"/>
          <w:sz w:val="20"/>
          <w:szCs w:val="20"/>
        </w:rPr>
        <w:t xml:space="preserve">lation Supplement. As a U.S. Government contractor, our contract costs are audited and reviewed on a continuing basis by the Defense Contract Audit Agency (“DCAA”). The DCAA also reviews the adequacy of, and a U.S. Government contractor’s compliance with, </w:t>
      </w:r>
      <w:r>
        <w:rPr>
          <w:rFonts w:eastAsia="Times New Roman"/>
          <w:color w:val="000000"/>
          <w:sz w:val="20"/>
          <w:szCs w:val="20"/>
        </w:rPr>
        <w:t>the contractor’s business systems and policies, including the contractor’s property, estimating, compensation and management information systems. In addition to these routine audits, from time to time, we may, either individually or in conjunction with oth</w:t>
      </w:r>
      <w:r>
        <w:rPr>
          <w:rFonts w:eastAsia="Times New Roman"/>
          <w:color w:val="000000"/>
          <w:sz w:val="20"/>
          <w:szCs w:val="20"/>
        </w:rPr>
        <w:t>er U.S. Government contractors, be the subject of audits and investigations by other agencies of the U.S. Government. These audits and investigations are conducted to determine if our performance and administration of our U.S. Government contracts are comp</w:t>
      </w:r>
      <w:r>
        <w:rPr>
          <w:rFonts w:eastAsia="Times New Roman"/>
          <w:color w:val="000000"/>
          <w:sz w:val="20"/>
          <w:szCs w:val="20"/>
        </w:rPr>
        <w:t>liant with applicable contractual requirements and procurement and other applicable Federal laws and regulations, including ITAR and FCPA. These investigations may be conducted with or without our knowledge or cooperation. We are unable to predict the outc</w:t>
      </w:r>
      <w:r>
        <w:rPr>
          <w:rFonts w:eastAsia="Times New Roman"/>
          <w:color w:val="000000"/>
          <w:sz w:val="20"/>
          <w:szCs w:val="20"/>
        </w:rPr>
        <w:t>ome of such investigations or to estimate the amounts of resulting claims or other actions that could be instituted against us or our officers or employees. Under present U.S. Government procurement laws and regulations, if indicted or adjudged in violatio</w:t>
      </w:r>
      <w:r>
        <w:rPr>
          <w:rFonts w:eastAsia="Times New Roman"/>
          <w:color w:val="000000"/>
          <w:sz w:val="20"/>
          <w:szCs w:val="20"/>
        </w:rPr>
        <w:t xml:space="preserve">n of procurement or other Federal laws, a contractor, such as us, or one or more of our operating divisions or subdivisions, could be subject to fines, penalties, repayments, or compensatory or treble damages. U.S. Government regulations also provide that </w:t>
      </w:r>
      <w:r>
        <w:rPr>
          <w:rFonts w:eastAsia="Times New Roman"/>
          <w:color w:val="000000"/>
          <w:sz w:val="20"/>
          <w:szCs w:val="20"/>
        </w:rPr>
        <w:t>certain findings against a contractor may lead to suspension or debarment from eligibility for awards of new U.S. Government contracts for a period of time to be determined by the U.S. Government. Suspension or debarment would have a material adverse effec</w:t>
      </w:r>
      <w:r>
        <w:rPr>
          <w:rFonts w:eastAsia="Times New Roman"/>
          <w:color w:val="000000"/>
          <w:sz w:val="20"/>
          <w:szCs w:val="20"/>
        </w:rPr>
        <w:t>t on us because of our reliance on U.S. Government contracts. In addition, our export privileges could be suspended or revoked, which also would have a material adverse effect on us. For further discussion of risks relating to U.S. Government contracts, se</w:t>
      </w:r>
      <w:r>
        <w:rPr>
          <w:rFonts w:eastAsia="Times New Roman"/>
          <w:color w:val="000000"/>
          <w:sz w:val="20"/>
          <w:szCs w:val="20"/>
        </w:rPr>
        <w:t>e “Item 1A. Risk Factors” of this Report.</w:t>
      </w:r>
    </w:p>
    <w:p w14:paraId="2DCD8A68" w14:textId="77777777" w:rsidR="00000000" w:rsidRDefault="001A570A">
      <w:pPr>
        <w:ind w:firstLine="450"/>
        <w:divId w:val="455561072"/>
        <w:rPr>
          <w:rFonts w:eastAsia="Times New Roman"/>
        </w:rPr>
      </w:pPr>
      <w:r>
        <w:rPr>
          <w:rFonts w:eastAsia="Times New Roman"/>
          <w:b/>
          <w:bCs/>
          <w:i/>
          <w:iCs/>
          <w:color w:val="000000"/>
          <w:sz w:val="20"/>
          <w:szCs w:val="20"/>
        </w:rPr>
        <w:t>International.</w:t>
      </w:r>
      <w:r>
        <w:rPr>
          <w:rFonts w:eastAsia="Times New Roman"/>
          <w:i/>
          <w:iCs/>
          <w:color w:val="000000"/>
          <w:sz w:val="20"/>
          <w:szCs w:val="20"/>
        </w:rPr>
        <w:t> </w:t>
      </w:r>
      <w:r>
        <w:rPr>
          <w:rFonts w:eastAsia="Times New Roman"/>
          <w:color w:val="000000"/>
          <w:sz w:val="20"/>
          <w:szCs w:val="20"/>
        </w:rPr>
        <w:t>As an international company, we are, from time to time, the subject of investigations relating to our international operations, including under U.S. export control laws (such as ITAR), the FCPA and o</w:t>
      </w:r>
      <w:r>
        <w:rPr>
          <w:rFonts w:eastAsia="Times New Roman"/>
          <w:color w:val="000000"/>
          <w:sz w:val="20"/>
          <w:szCs w:val="20"/>
        </w:rPr>
        <w:t>ther similar U.S. and international laws.</w:t>
      </w:r>
    </w:p>
    <w:p w14:paraId="41437E10" w14:textId="77777777" w:rsidR="00000000" w:rsidRDefault="001A570A">
      <w:pPr>
        <w:ind w:firstLine="450"/>
        <w:divId w:val="181019374"/>
        <w:rPr>
          <w:rFonts w:eastAsia="Times New Roman"/>
        </w:rPr>
      </w:pPr>
      <w:r>
        <w:rPr>
          <w:rFonts w:eastAsia="Times New Roman"/>
          <w:color w:val="000000"/>
          <w:sz w:val="20"/>
          <w:szCs w:val="20"/>
        </w:rPr>
        <w:t>In September 2019, we reached an administrative settlement with the Department of State to resolve alleged U.S. export control regulation violations. Under the terms of the settlement we have committed to strengthe</w:t>
      </w:r>
      <w:r>
        <w:rPr>
          <w:rFonts w:eastAsia="Times New Roman"/>
          <w:color w:val="000000"/>
          <w:sz w:val="20"/>
          <w:szCs w:val="20"/>
        </w:rPr>
        <w:t>n our trade compliance program under the supervision of a special compliance officer and will pay a civil penalty of $13 million over three years (with $6.5 million suspended on the condition of use for qualified remedial compliance measures). The settleme</w:t>
      </w:r>
      <w:r>
        <w:rPr>
          <w:rFonts w:eastAsia="Times New Roman"/>
          <w:color w:val="000000"/>
          <w:sz w:val="20"/>
          <w:szCs w:val="20"/>
        </w:rPr>
        <w:t xml:space="preserve">nt did not result in any debarment or limitation on export licensing. </w:t>
      </w:r>
    </w:p>
    <w:p w14:paraId="55481430" w14:textId="77777777" w:rsidR="00000000" w:rsidRDefault="001A570A">
      <w:pPr>
        <w:ind w:firstLine="450"/>
        <w:divId w:val="590091747"/>
        <w:rPr>
          <w:rFonts w:eastAsia="Times New Roman"/>
        </w:rPr>
      </w:pPr>
      <w:r>
        <w:rPr>
          <w:rFonts w:eastAsia="Times New Roman"/>
          <w:b/>
          <w:bCs/>
          <w:i/>
          <w:iCs/>
          <w:color w:val="000000"/>
          <w:sz w:val="20"/>
          <w:szCs w:val="20"/>
        </w:rPr>
        <w:t>Environmental Matters.</w:t>
      </w:r>
      <w:r>
        <w:rPr>
          <w:rFonts w:eastAsia="Times New Roman"/>
          <w:i/>
          <w:iCs/>
          <w:color w:val="000000"/>
          <w:sz w:val="20"/>
          <w:szCs w:val="20"/>
        </w:rPr>
        <w:t> </w:t>
      </w:r>
      <w:r>
        <w:rPr>
          <w:rFonts w:eastAsia="Times New Roman"/>
          <w:color w:val="000000"/>
          <w:sz w:val="20"/>
          <w:szCs w:val="20"/>
        </w:rPr>
        <w:t>We are subject to numerous U.S. Federal, state, local and international environmental laws and regulatory requirements and are involved from time to time in inves</w:t>
      </w:r>
      <w:r>
        <w:rPr>
          <w:rFonts w:eastAsia="Times New Roman"/>
          <w:color w:val="000000"/>
          <w:sz w:val="20"/>
          <w:szCs w:val="20"/>
        </w:rPr>
        <w:t>tigations or litigation of various potential environmental issues. We or companies we have acquired are responsible, or alleged to be responsible, for environmental investigation and/or remediation of multiple sites. These sites are in various stages of in</w:t>
      </w:r>
      <w:r>
        <w:rPr>
          <w:rFonts w:eastAsia="Times New Roman"/>
          <w:color w:val="000000"/>
          <w:sz w:val="20"/>
          <w:szCs w:val="20"/>
        </w:rPr>
        <w:t>vestigation and/or remediation and in some cases our liability is considered de minimis. Notices from the U.S. Environmental Protection Agency (“EPA”) or equivalent state or international environmental agencies allege that a number of sites formerly or cur</w:t>
      </w:r>
      <w:r>
        <w:rPr>
          <w:rFonts w:eastAsia="Times New Roman"/>
          <w:color w:val="000000"/>
          <w:sz w:val="20"/>
          <w:szCs w:val="20"/>
        </w:rPr>
        <w:t>rently owned and/or operated by us or companies we have acquired, and other properties or water supplies that may be or have been impacted from those operations, contain disposed or recycled materials or wastes and require environmental investigation and/o</w:t>
      </w:r>
      <w:r>
        <w:rPr>
          <w:rFonts w:eastAsia="Times New Roman"/>
          <w:color w:val="000000"/>
          <w:sz w:val="20"/>
          <w:szCs w:val="20"/>
        </w:rPr>
        <w:t>r remediation. These sites include instances of us being identified as a potentially responsible party under the Comprehensive Environmental Response, Compensation and Liability Act (commonly known as the “Superfund Act”) and/or equivalent state and intern</w:t>
      </w:r>
      <w:r>
        <w:rPr>
          <w:rFonts w:eastAsia="Times New Roman"/>
          <w:color w:val="000000"/>
          <w:sz w:val="20"/>
          <w:szCs w:val="20"/>
        </w:rPr>
        <w:t>ational laws. For example, in June 2014, the U.S. Department of Justice, Environment and Natural Resources Division, notified several potentially responsible parties, including Exelis Inc., which we acquired on May 29, 2015 (“Exelis”), of potential respons</w:t>
      </w:r>
      <w:r>
        <w:rPr>
          <w:rFonts w:eastAsia="Times New Roman"/>
          <w:color w:val="000000"/>
          <w:sz w:val="20"/>
          <w:szCs w:val="20"/>
        </w:rPr>
        <w:t>ibility for contribution to the environmental investigation and remediation of multiple locations in Alaska. In addition, in March 2016, the EPA notified over 100 potentially responsible parties, including Exelis, of potential liability for the cost of rem</w:t>
      </w:r>
      <w:r>
        <w:rPr>
          <w:rFonts w:eastAsia="Times New Roman"/>
          <w:color w:val="000000"/>
          <w:sz w:val="20"/>
          <w:szCs w:val="20"/>
        </w:rPr>
        <w:t xml:space="preserve">ediation for the 8.3-mile stretch of the Lower Passaic River, estimated by the EPA to be $1.38 billion, but the parties’ respective allocations have not been determined. Although it is </w:t>
      </w:r>
    </w:p>
    <w:p w14:paraId="493B5040" w14:textId="77777777" w:rsidR="00000000" w:rsidRDefault="001A570A">
      <w:pPr>
        <w:ind w:firstLine="450"/>
        <w:jc w:val="center"/>
        <w:divId w:val="604462338"/>
        <w:rPr>
          <w:rFonts w:eastAsia="Times New Roman"/>
        </w:rPr>
      </w:pPr>
      <w:r>
        <w:rPr>
          <w:rFonts w:eastAsia="Times New Roman"/>
          <w:color w:val="000000"/>
          <w:sz w:val="20"/>
          <w:szCs w:val="20"/>
        </w:rPr>
        <w:t>26</w:t>
      </w:r>
    </w:p>
    <w:p w14:paraId="038286CA" w14:textId="77777777" w:rsidR="00000000" w:rsidRDefault="001A570A">
      <w:pPr>
        <w:rPr>
          <w:rFonts w:eastAsia="Times New Roman"/>
        </w:rPr>
      </w:pPr>
      <w:r>
        <w:rPr>
          <w:rFonts w:eastAsia="Times New Roman"/>
        </w:rPr>
        <w:pict w14:anchorId="5BD4DEDA">
          <v:rect id="_x0000_i1053" style="width:0;height:1.5pt" o:hralign="center" o:hrstd="t" o:hr="t" fillcolor="#a0a0a0" stroked="f"/>
        </w:pict>
      </w:r>
    </w:p>
    <w:p w14:paraId="41799733" w14:textId="77777777" w:rsidR="00000000" w:rsidRDefault="001A570A">
      <w:pPr>
        <w:ind w:firstLine="450"/>
        <w:divId w:val="1978683188"/>
        <w:rPr>
          <w:rFonts w:eastAsia="Times New Roman"/>
        </w:rPr>
      </w:pPr>
    </w:p>
    <w:p w14:paraId="70AA529F" w14:textId="77777777" w:rsidR="00000000" w:rsidRDefault="001A570A">
      <w:pPr>
        <w:divId w:val="778723588"/>
        <w:rPr>
          <w:rFonts w:eastAsia="Times New Roman"/>
        </w:rPr>
      </w:pPr>
      <w:r>
        <w:rPr>
          <w:rFonts w:eastAsia="Times New Roman"/>
          <w:color w:val="000000"/>
          <w:sz w:val="20"/>
          <w:szCs w:val="20"/>
        </w:rPr>
        <w:t xml:space="preserve">not feasible to predict the </w:t>
      </w:r>
      <w:r>
        <w:rPr>
          <w:rFonts w:eastAsia="Times New Roman"/>
          <w:color w:val="000000"/>
          <w:sz w:val="20"/>
          <w:szCs w:val="20"/>
        </w:rPr>
        <w:t>outcome of these environmental claims made against us, based on available information, in the opinion of our management, any payments we may be required to make as a result of environmental claims made against us in existence at January 1, 2021 are reserve</w:t>
      </w:r>
      <w:r>
        <w:rPr>
          <w:rFonts w:eastAsia="Times New Roman"/>
          <w:color w:val="000000"/>
          <w:sz w:val="20"/>
          <w:szCs w:val="20"/>
        </w:rPr>
        <w:t>d against, covered by insurance or would not have a material adverse effect on our financial condition, results of operations, cash flows or equity.</w:t>
      </w:r>
    </w:p>
    <w:tbl>
      <w:tblPr>
        <w:tblW w:w="2025"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2325"/>
        <w:gridCol w:w="36"/>
      </w:tblGrid>
      <w:tr w:rsidR="00000000" w14:paraId="02FAB91E" w14:textId="77777777">
        <w:trPr>
          <w:divId w:val="32005086"/>
        </w:trPr>
        <w:tc>
          <w:tcPr>
            <w:tcW w:w="50" w:type="pct"/>
            <w:vAlign w:val="center"/>
            <w:hideMark/>
          </w:tcPr>
          <w:p w14:paraId="51308875" w14:textId="77777777" w:rsidR="00000000" w:rsidRDefault="001A570A">
            <w:pPr>
              <w:rPr>
                <w:rFonts w:eastAsia="Times New Roman"/>
              </w:rPr>
            </w:pPr>
          </w:p>
        </w:tc>
        <w:tc>
          <w:tcPr>
            <w:tcW w:w="1381" w:type="pct"/>
            <w:vAlign w:val="center"/>
            <w:hideMark/>
          </w:tcPr>
          <w:p w14:paraId="4DEFE385" w14:textId="77777777" w:rsidR="00000000" w:rsidRDefault="001A570A">
            <w:pPr>
              <w:rPr>
                <w:rFonts w:eastAsia="Times New Roman"/>
                <w:sz w:val="20"/>
                <w:szCs w:val="20"/>
              </w:rPr>
            </w:pPr>
          </w:p>
        </w:tc>
        <w:tc>
          <w:tcPr>
            <w:tcW w:w="5" w:type="pct"/>
            <w:vAlign w:val="center"/>
            <w:hideMark/>
          </w:tcPr>
          <w:p w14:paraId="06F83831" w14:textId="77777777" w:rsidR="00000000" w:rsidRDefault="001A570A">
            <w:pPr>
              <w:rPr>
                <w:rFonts w:eastAsia="Times New Roman"/>
                <w:sz w:val="20"/>
                <w:szCs w:val="20"/>
              </w:rPr>
            </w:pPr>
          </w:p>
        </w:tc>
        <w:tc>
          <w:tcPr>
            <w:tcW w:w="50" w:type="pct"/>
            <w:vAlign w:val="center"/>
            <w:hideMark/>
          </w:tcPr>
          <w:p w14:paraId="7B905F3A" w14:textId="77777777" w:rsidR="00000000" w:rsidRDefault="001A570A">
            <w:pPr>
              <w:rPr>
                <w:rFonts w:eastAsia="Times New Roman"/>
                <w:sz w:val="20"/>
                <w:szCs w:val="20"/>
              </w:rPr>
            </w:pPr>
          </w:p>
        </w:tc>
        <w:tc>
          <w:tcPr>
            <w:tcW w:w="3508" w:type="pct"/>
            <w:vAlign w:val="center"/>
            <w:hideMark/>
          </w:tcPr>
          <w:p w14:paraId="6CA23372" w14:textId="77777777" w:rsidR="00000000" w:rsidRDefault="001A570A">
            <w:pPr>
              <w:rPr>
                <w:rFonts w:eastAsia="Times New Roman"/>
                <w:sz w:val="20"/>
                <w:szCs w:val="20"/>
              </w:rPr>
            </w:pPr>
          </w:p>
        </w:tc>
        <w:tc>
          <w:tcPr>
            <w:tcW w:w="5" w:type="pct"/>
            <w:vAlign w:val="center"/>
            <w:hideMark/>
          </w:tcPr>
          <w:p w14:paraId="259C9487" w14:textId="77777777" w:rsidR="00000000" w:rsidRDefault="001A570A">
            <w:pPr>
              <w:rPr>
                <w:rFonts w:eastAsia="Times New Roman"/>
                <w:sz w:val="20"/>
                <w:szCs w:val="20"/>
              </w:rPr>
            </w:pPr>
          </w:p>
        </w:tc>
      </w:tr>
      <w:tr w:rsidR="00000000" w14:paraId="4265490B" w14:textId="77777777">
        <w:trPr>
          <w:divId w:val="32005086"/>
        </w:trPr>
        <w:tc>
          <w:tcPr>
            <w:tcW w:w="0" w:type="auto"/>
            <w:gridSpan w:val="3"/>
            <w:tcMar>
              <w:top w:w="30" w:type="dxa"/>
              <w:left w:w="20" w:type="dxa"/>
              <w:bottom w:w="30" w:type="dxa"/>
              <w:right w:w="20" w:type="dxa"/>
            </w:tcMar>
            <w:vAlign w:val="bottom"/>
            <w:hideMark/>
          </w:tcPr>
          <w:p w14:paraId="679C5E9B" w14:textId="77777777" w:rsidR="00000000" w:rsidRDefault="001A570A">
            <w:pPr>
              <w:rPr>
                <w:rFonts w:eastAsia="Times New Roman"/>
              </w:rPr>
            </w:pPr>
            <w:r>
              <w:rPr>
                <w:rFonts w:eastAsia="Times New Roman"/>
                <w:b/>
                <w:bCs/>
                <w:color w:val="000000"/>
                <w:sz w:val="20"/>
                <w:szCs w:val="20"/>
              </w:rPr>
              <w:t> ITEM 4.</w:t>
            </w:r>
          </w:p>
        </w:tc>
        <w:tc>
          <w:tcPr>
            <w:tcW w:w="0" w:type="auto"/>
            <w:gridSpan w:val="3"/>
            <w:tcMar>
              <w:top w:w="30" w:type="dxa"/>
              <w:left w:w="20" w:type="dxa"/>
              <w:bottom w:w="30" w:type="dxa"/>
              <w:right w:w="20" w:type="dxa"/>
            </w:tcMar>
            <w:hideMark/>
          </w:tcPr>
          <w:p w14:paraId="74E64EAD" w14:textId="77777777" w:rsidR="00000000" w:rsidRDefault="001A570A">
            <w:pPr>
              <w:rPr>
                <w:rFonts w:eastAsia="Times New Roman"/>
              </w:rPr>
            </w:pPr>
            <w:r>
              <w:rPr>
                <w:rFonts w:eastAsia="Times New Roman"/>
                <w:b/>
                <w:bCs/>
                <w:color w:val="000000"/>
                <w:sz w:val="20"/>
                <w:szCs w:val="20"/>
              </w:rPr>
              <w:t>MINE SAFETY DISCLOSURES.</w:t>
            </w:r>
          </w:p>
        </w:tc>
      </w:tr>
    </w:tbl>
    <w:p w14:paraId="42B01120" w14:textId="77777777" w:rsidR="00000000" w:rsidRDefault="001A570A">
      <w:pPr>
        <w:ind w:firstLine="450"/>
        <w:divId w:val="1798182360"/>
        <w:rPr>
          <w:rFonts w:eastAsia="Times New Roman"/>
        </w:rPr>
      </w:pPr>
      <w:r>
        <w:rPr>
          <w:rFonts w:eastAsia="Times New Roman"/>
          <w:color w:val="000000"/>
          <w:sz w:val="20"/>
          <w:szCs w:val="20"/>
        </w:rPr>
        <w:t>Not Applicable.</w:t>
      </w:r>
    </w:p>
    <w:p w14:paraId="778DC234" w14:textId="77777777" w:rsidR="00000000" w:rsidRDefault="001A570A">
      <w:pPr>
        <w:ind w:firstLine="450"/>
        <w:jc w:val="center"/>
        <w:divId w:val="506873396"/>
        <w:rPr>
          <w:rFonts w:eastAsia="Times New Roman"/>
        </w:rPr>
      </w:pPr>
      <w:r>
        <w:rPr>
          <w:rFonts w:eastAsia="Times New Roman"/>
          <w:color w:val="000000"/>
          <w:sz w:val="20"/>
          <w:szCs w:val="20"/>
        </w:rPr>
        <w:t>27</w:t>
      </w:r>
    </w:p>
    <w:p w14:paraId="14602CF8" w14:textId="77777777" w:rsidR="00000000" w:rsidRDefault="001A570A">
      <w:pPr>
        <w:rPr>
          <w:rFonts w:eastAsia="Times New Roman"/>
        </w:rPr>
      </w:pPr>
      <w:r>
        <w:rPr>
          <w:rFonts w:eastAsia="Times New Roman"/>
        </w:rPr>
        <w:pict w14:anchorId="107626C4">
          <v:rect id="_x0000_i1054" style="width:0;height:1.5pt" o:hralign="center" o:hrstd="t" o:hr="t" fillcolor="#a0a0a0" stroked="f"/>
        </w:pict>
      </w:r>
    </w:p>
    <w:p w14:paraId="48A9E51C" w14:textId="77777777" w:rsidR="00000000" w:rsidRDefault="001A570A">
      <w:pPr>
        <w:ind w:firstLine="450"/>
        <w:divId w:val="2119567404"/>
        <w:rPr>
          <w:rFonts w:eastAsia="Times New Roman"/>
        </w:rPr>
      </w:pPr>
    </w:p>
    <w:p w14:paraId="38C733CC" w14:textId="77777777" w:rsidR="00000000" w:rsidRDefault="001A570A">
      <w:pPr>
        <w:divId w:val="1612979169"/>
        <w:rPr>
          <w:rFonts w:eastAsia="Times New Roman"/>
        </w:rPr>
      </w:pPr>
      <w:r>
        <w:rPr>
          <w:rFonts w:eastAsia="Times New Roman"/>
          <w:b/>
          <w:bCs/>
          <w:color w:val="000000"/>
          <w:sz w:val="20"/>
          <w:szCs w:val="20"/>
        </w:rPr>
        <w:t>INFORMATION ABOUT OUR EXECUTIVE OFFICERS</w:t>
      </w:r>
    </w:p>
    <w:p w14:paraId="4D1ADDAB" w14:textId="77777777" w:rsidR="00000000" w:rsidRDefault="001A570A">
      <w:pPr>
        <w:ind w:firstLine="450"/>
        <w:divId w:val="427968878"/>
        <w:rPr>
          <w:rFonts w:eastAsia="Times New Roman"/>
        </w:rPr>
      </w:pPr>
      <w:r>
        <w:rPr>
          <w:rFonts w:eastAsia="Times New Roman"/>
          <w:color w:val="000000"/>
          <w:sz w:val="20"/>
          <w:szCs w:val="20"/>
        </w:rPr>
        <w:t>The name, age, position held with us, and principal occupation and employment during at least the past five years for each of our executive officers as of February 28, 2021, were as follows:</w:t>
      </w:r>
    </w:p>
    <w:tbl>
      <w:tblPr>
        <w:tblW w:w="4985" w:type="pct"/>
        <w:tblCellMar>
          <w:top w:w="15" w:type="dxa"/>
          <w:left w:w="15" w:type="dxa"/>
          <w:bottom w:w="15" w:type="dxa"/>
          <w:right w:w="15" w:type="dxa"/>
        </w:tblCellMar>
        <w:tblLook w:val="04A0" w:firstRow="1" w:lastRow="0" w:firstColumn="1" w:lastColumn="0" w:noHBand="0" w:noVBand="1"/>
      </w:tblPr>
      <w:tblGrid>
        <w:gridCol w:w="68"/>
        <w:gridCol w:w="1802"/>
        <w:gridCol w:w="38"/>
        <w:gridCol w:w="69"/>
        <w:gridCol w:w="239"/>
        <w:gridCol w:w="36"/>
        <w:gridCol w:w="69"/>
        <w:gridCol w:w="5922"/>
        <w:gridCol w:w="38"/>
      </w:tblGrid>
      <w:tr w:rsidR="00000000" w14:paraId="099EDBC4" w14:textId="77777777">
        <w:trPr>
          <w:divId w:val="1223560478"/>
        </w:trPr>
        <w:tc>
          <w:tcPr>
            <w:tcW w:w="50" w:type="pct"/>
            <w:vAlign w:val="center"/>
            <w:hideMark/>
          </w:tcPr>
          <w:p w14:paraId="1AB6CAAE" w14:textId="77777777" w:rsidR="00000000" w:rsidRDefault="001A570A">
            <w:pPr>
              <w:ind w:firstLine="450"/>
              <w:rPr>
                <w:rFonts w:eastAsia="Times New Roman"/>
              </w:rPr>
            </w:pPr>
          </w:p>
        </w:tc>
        <w:tc>
          <w:tcPr>
            <w:tcW w:w="1097" w:type="pct"/>
            <w:vAlign w:val="center"/>
            <w:hideMark/>
          </w:tcPr>
          <w:p w14:paraId="718A3BB7" w14:textId="77777777" w:rsidR="00000000" w:rsidRDefault="001A570A">
            <w:pPr>
              <w:rPr>
                <w:rFonts w:eastAsia="Times New Roman"/>
                <w:sz w:val="20"/>
                <w:szCs w:val="20"/>
              </w:rPr>
            </w:pPr>
          </w:p>
        </w:tc>
        <w:tc>
          <w:tcPr>
            <w:tcW w:w="5" w:type="pct"/>
            <w:vAlign w:val="center"/>
            <w:hideMark/>
          </w:tcPr>
          <w:p w14:paraId="5F21D8C2" w14:textId="77777777" w:rsidR="00000000" w:rsidRDefault="001A570A">
            <w:pPr>
              <w:rPr>
                <w:rFonts w:eastAsia="Times New Roman"/>
                <w:sz w:val="20"/>
                <w:szCs w:val="20"/>
              </w:rPr>
            </w:pPr>
          </w:p>
        </w:tc>
        <w:tc>
          <w:tcPr>
            <w:tcW w:w="50" w:type="pct"/>
            <w:vAlign w:val="center"/>
            <w:hideMark/>
          </w:tcPr>
          <w:p w14:paraId="30857F4B" w14:textId="77777777" w:rsidR="00000000" w:rsidRDefault="001A570A">
            <w:pPr>
              <w:rPr>
                <w:rFonts w:eastAsia="Times New Roman"/>
                <w:sz w:val="20"/>
                <w:szCs w:val="20"/>
              </w:rPr>
            </w:pPr>
          </w:p>
        </w:tc>
        <w:tc>
          <w:tcPr>
            <w:tcW w:w="153" w:type="pct"/>
            <w:vAlign w:val="center"/>
            <w:hideMark/>
          </w:tcPr>
          <w:p w14:paraId="0C711A8B" w14:textId="77777777" w:rsidR="00000000" w:rsidRDefault="001A570A">
            <w:pPr>
              <w:rPr>
                <w:rFonts w:eastAsia="Times New Roman"/>
                <w:sz w:val="20"/>
                <w:szCs w:val="20"/>
              </w:rPr>
            </w:pPr>
          </w:p>
        </w:tc>
        <w:tc>
          <w:tcPr>
            <w:tcW w:w="5" w:type="pct"/>
            <w:vAlign w:val="center"/>
            <w:hideMark/>
          </w:tcPr>
          <w:p w14:paraId="6A14061C" w14:textId="77777777" w:rsidR="00000000" w:rsidRDefault="001A570A">
            <w:pPr>
              <w:rPr>
                <w:rFonts w:eastAsia="Times New Roman"/>
                <w:sz w:val="20"/>
                <w:szCs w:val="20"/>
              </w:rPr>
            </w:pPr>
          </w:p>
        </w:tc>
        <w:tc>
          <w:tcPr>
            <w:tcW w:w="50" w:type="pct"/>
            <w:vAlign w:val="center"/>
            <w:hideMark/>
          </w:tcPr>
          <w:p w14:paraId="1D3B422E" w14:textId="77777777" w:rsidR="00000000" w:rsidRDefault="001A570A">
            <w:pPr>
              <w:rPr>
                <w:rFonts w:eastAsia="Times New Roman"/>
                <w:sz w:val="20"/>
                <w:szCs w:val="20"/>
              </w:rPr>
            </w:pPr>
          </w:p>
        </w:tc>
        <w:tc>
          <w:tcPr>
            <w:tcW w:w="3583" w:type="pct"/>
            <w:vAlign w:val="center"/>
            <w:hideMark/>
          </w:tcPr>
          <w:p w14:paraId="0566A8AB" w14:textId="77777777" w:rsidR="00000000" w:rsidRDefault="001A570A">
            <w:pPr>
              <w:rPr>
                <w:rFonts w:eastAsia="Times New Roman"/>
                <w:sz w:val="20"/>
                <w:szCs w:val="20"/>
              </w:rPr>
            </w:pPr>
          </w:p>
        </w:tc>
        <w:tc>
          <w:tcPr>
            <w:tcW w:w="5" w:type="pct"/>
            <w:vAlign w:val="center"/>
            <w:hideMark/>
          </w:tcPr>
          <w:p w14:paraId="4E616650" w14:textId="77777777" w:rsidR="00000000" w:rsidRDefault="001A570A">
            <w:pPr>
              <w:rPr>
                <w:rFonts w:eastAsia="Times New Roman"/>
                <w:sz w:val="20"/>
                <w:szCs w:val="20"/>
              </w:rPr>
            </w:pPr>
          </w:p>
        </w:tc>
      </w:tr>
      <w:tr w:rsidR="00000000" w14:paraId="78DF7D6B" w14:textId="77777777">
        <w:trPr>
          <w:divId w:val="1223560478"/>
        </w:trPr>
        <w:tc>
          <w:tcPr>
            <w:tcW w:w="0" w:type="auto"/>
            <w:gridSpan w:val="3"/>
            <w:tcMar>
              <w:top w:w="30" w:type="dxa"/>
              <w:left w:w="20" w:type="dxa"/>
              <w:bottom w:w="30" w:type="dxa"/>
              <w:right w:w="20" w:type="dxa"/>
            </w:tcMar>
            <w:vAlign w:val="bottom"/>
            <w:hideMark/>
          </w:tcPr>
          <w:p w14:paraId="2E61935E" w14:textId="77777777" w:rsidR="00000000" w:rsidRDefault="001A570A">
            <w:pPr>
              <w:jc w:val="center"/>
              <w:rPr>
                <w:rFonts w:eastAsia="Times New Roman"/>
              </w:rPr>
            </w:pPr>
            <w:r>
              <w:rPr>
                <w:rFonts w:eastAsia="Times New Roman"/>
                <w:b/>
                <w:bCs/>
                <w:color w:val="000000"/>
                <w:sz w:val="16"/>
                <w:szCs w:val="16"/>
                <w:u w:val="single"/>
              </w:rPr>
              <w:t>Name and Age</w:t>
            </w:r>
          </w:p>
        </w:tc>
        <w:tc>
          <w:tcPr>
            <w:tcW w:w="0" w:type="auto"/>
            <w:gridSpan w:val="3"/>
            <w:tcMar>
              <w:top w:w="30" w:type="dxa"/>
              <w:left w:w="20" w:type="dxa"/>
              <w:bottom w:w="30" w:type="dxa"/>
              <w:right w:w="20" w:type="dxa"/>
            </w:tcMar>
            <w:vAlign w:val="bottom"/>
            <w:hideMark/>
          </w:tcPr>
          <w:p w14:paraId="705F5A95"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522F361" w14:textId="77777777" w:rsidR="00000000" w:rsidRDefault="001A570A">
            <w:pPr>
              <w:jc w:val="center"/>
              <w:rPr>
                <w:rFonts w:eastAsia="Times New Roman"/>
              </w:rPr>
            </w:pPr>
            <w:r>
              <w:rPr>
                <w:rFonts w:eastAsia="Times New Roman"/>
                <w:b/>
                <w:bCs/>
                <w:color w:val="000000"/>
                <w:sz w:val="16"/>
                <w:szCs w:val="16"/>
                <w:u w:val="single"/>
              </w:rPr>
              <w:t>Position Currently Held and Past Bu</w:t>
            </w:r>
            <w:r>
              <w:rPr>
                <w:rFonts w:eastAsia="Times New Roman"/>
                <w:b/>
                <w:bCs/>
                <w:color w:val="000000"/>
                <w:sz w:val="16"/>
                <w:szCs w:val="16"/>
                <w:u w:val="single"/>
              </w:rPr>
              <w:t>siness Experience</w:t>
            </w:r>
          </w:p>
        </w:tc>
      </w:tr>
      <w:tr w:rsidR="00000000" w14:paraId="66F3A109" w14:textId="77777777">
        <w:trPr>
          <w:divId w:val="1223560478"/>
        </w:trPr>
        <w:tc>
          <w:tcPr>
            <w:tcW w:w="0" w:type="auto"/>
            <w:gridSpan w:val="3"/>
            <w:tcMar>
              <w:top w:w="30" w:type="dxa"/>
              <w:left w:w="20" w:type="dxa"/>
              <w:bottom w:w="30" w:type="dxa"/>
              <w:right w:w="20" w:type="dxa"/>
            </w:tcMar>
            <w:hideMark/>
          </w:tcPr>
          <w:p w14:paraId="30DB6004" w14:textId="77777777" w:rsidR="00000000" w:rsidRDefault="001A570A">
            <w:pPr>
              <w:rPr>
                <w:rFonts w:eastAsia="Times New Roman"/>
              </w:rPr>
            </w:pPr>
            <w:r>
              <w:rPr>
                <w:rFonts w:eastAsia="Times New Roman"/>
                <w:color w:val="000000"/>
                <w:sz w:val="20"/>
                <w:szCs w:val="20"/>
              </w:rPr>
              <w:t>William M. Brown, 58</w:t>
            </w:r>
          </w:p>
        </w:tc>
        <w:tc>
          <w:tcPr>
            <w:tcW w:w="0" w:type="auto"/>
            <w:gridSpan w:val="3"/>
            <w:tcMar>
              <w:top w:w="30" w:type="dxa"/>
              <w:left w:w="20" w:type="dxa"/>
              <w:bottom w:w="30" w:type="dxa"/>
              <w:right w:w="20" w:type="dxa"/>
            </w:tcMar>
            <w:hideMark/>
          </w:tcPr>
          <w:p w14:paraId="6AFF53E4"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04234E2" w14:textId="77777777" w:rsidR="00000000" w:rsidRDefault="001A570A">
            <w:pPr>
              <w:rPr>
                <w:rFonts w:eastAsia="Times New Roman"/>
              </w:rPr>
            </w:pPr>
            <w:r>
              <w:rPr>
                <w:rFonts w:eastAsia="Times New Roman"/>
                <w:color w:val="000000"/>
                <w:sz w:val="20"/>
                <w:szCs w:val="20"/>
              </w:rPr>
              <w:t>Chairman and Chief Executive Officer since June 29, 2019. Chairman, President and Chief Executive Officer from April 2014 to June 2019. President and Chief Executive Officer from November 2011 to April 2014. Formerly with United Technologies Corporation (“</w:t>
            </w:r>
            <w:r>
              <w:rPr>
                <w:rFonts w:eastAsia="Times New Roman"/>
                <w:color w:val="000000"/>
                <w:sz w:val="20"/>
                <w:szCs w:val="20"/>
              </w:rPr>
              <w:t>UTC”), as Senior Vice President, Corporate Strategy and Development from April 2011 to October 2011; as President of UTC’s Fire &amp; Security division from 2006 to 2011; and in U.S. and international roles at UTC’s Carrier Corporation from 2000 to 2006, inclu</w:t>
            </w:r>
            <w:r>
              <w:rPr>
                <w:rFonts w:eastAsia="Times New Roman"/>
                <w:color w:val="000000"/>
                <w:sz w:val="20"/>
                <w:szCs w:val="20"/>
              </w:rPr>
              <w:t>ding President of the Carrier Asia Pacific Operations; and as Director, Corporate Strategy and Business Development from 1997 to 2000.</w:t>
            </w:r>
          </w:p>
        </w:tc>
      </w:tr>
      <w:tr w:rsidR="00000000" w14:paraId="024DCA8C" w14:textId="77777777">
        <w:trPr>
          <w:divId w:val="1223560478"/>
        </w:trPr>
        <w:tc>
          <w:tcPr>
            <w:tcW w:w="0" w:type="auto"/>
            <w:gridSpan w:val="3"/>
            <w:vAlign w:val="center"/>
            <w:hideMark/>
          </w:tcPr>
          <w:p w14:paraId="2B75B56E" w14:textId="77777777" w:rsidR="00000000" w:rsidRDefault="001A570A">
            <w:pPr>
              <w:rPr>
                <w:rFonts w:eastAsia="Times New Roman"/>
              </w:rPr>
            </w:pPr>
          </w:p>
        </w:tc>
        <w:tc>
          <w:tcPr>
            <w:tcW w:w="0" w:type="auto"/>
            <w:gridSpan w:val="3"/>
            <w:vAlign w:val="center"/>
            <w:hideMark/>
          </w:tcPr>
          <w:p w14:paraId="5DBE0AA9" w14:textId="77777777" w:rsidR="00000000" w:rsidRDefault="001A570A">
            <w:pPr>
              <w:rPr>
                <w:rFonts w:eastAsia="Times New Roman"/>
                <w:sz w:val="20"/>
                <w:szCs w:val="20"/>
              </w:rPr>
            </w:pPr>
          </w:p>
        </w:tc>
        <w:tc>
          <w:tcPr>
            <w:tcW w:w="0" w:type="auto"/>
            <w:gridSpan w:val="3"/>
            <w:vAlign w:val="center"/>
            <w:hideMark/>
          </w:tcPr>
          <w:p w14:paraId="5EABDD18" w14:textId="77777777" w:rsidR="00000000" w:rsidRDefault="001A570A">
            <w:pPr>
              <w:rPr>
                <w:rFonts w:eastAsia="Times New Roman"/>
                <w:sz w:val="20"/>
                <w:szCs w:val="20"/>
              </w:rPr>
            </w:pPr>
          </w:p>
        </w:tc>
      </w:tr>
      <w:tr w:rsidR="00000000" w14:paraId="1ABBB18B" w14:textId="77777777">
        <w:trPr>
          <w:divId w:val="1223560478"/>
        </w:trPr>
        <w:tc>
          <w:tcPr>
            <w:tcW w:w="0" w:type="auto"/>
            <w:gridSpan w:val="3"/>
            <w:vAlign w:val="center"/>
            <w:hideMark/>
          </w:tcPr>
          <w:p w14:paraId="7D6014C1" w14:textId="77777777" w:rsidR="00000000" w:rsidRDefault="001A570A">
            <w:pPr>
              <w:rPr>
                <w:rFonts w:eastAsia="Times New Roman"/>
                <w:sz w:val="20"/>
                <w:szCs w:val="20"/>
              </w:rPr>
            </w:pPr>
          </w:p>
        </w:tc>
        <w:tc>
          <w:tcPr>
            <w:tcW w:w="0" w:type="auto"/>
            <w:gridSpan w:val="3"/>
            <w:vAlign w:val="center"/>
            <w:hideMark/>
          </w:tcPr>
          <w:p w14:paraId="6A091D49" w14:textId="77777777" w:rsidR="00000000" w:rsidRDefault="001A570A">
            <w:pPr>
              <w:rPr>
                <w:rFonts w:eastAsia="Times New Roman"/>
                <w:sz w:val="20"/>
                <w:szCs w:val="20"/>
              </w:rPr>
            </w:pPr>
          </w:p>
        </w:tc>
        <w:tc>
          <w:tcPr>
            <w:tcW w:w="0" w:type="auto"/>
            <w:gridSpan w:val="3"/>
            <w:vAlign w:val="center"/>
            <w:hideMark/>
          </w:tcPr>
          <w:p w14:paraId="7AB55CF2" w14:textId="77777777" w:rsidR="00000000" w:rsidRDefault="001A570A">
            <w:pPr>
              <w:rPr>
                <w:rFonts w:eastAsia="Times New Roman"/>
                <w:sz w:val="20"/>
                <w:szCs w:val="20"/>
              </w:rPr>
            </w:pPr>
          </w:p>
        </w:tc>
      </w:tr>
      <w:tr w:rsidR="00000000" w14:paraId="5EB3C59B" w14:textId="77777777">
        <w:trPr>
          <w:divId w:val="1223560478"/>
        </w:trPr>
        <w:tc>
          <w:tcPr>
            <w:tcW w:w="0" w:type="auto"/>
            <w:gridSpan w:val="3"/>
            <w:tcMar>
              <w:top w:w="30" w:type="dxa"/>
              <w:left w:w="20" w:type="dxa"/>
              <w:bottom w:w="30" w:type="dxa"/>
              <w:right w:w="20" w:type="dxa"/>
            </w:tcMar>
            <w:hideMark/>
          </w:tcPr>
          <w:p w14:paraId="2D96DE44" w14:textId="77777777" w:rsidR="00000000" w:rsidRDefault="001A570A">
            <w:pPr>
              <w:rPr>
                <w:rFonts w:eastAsia="Times New Roman"/>
              </w:rPr>
            </w:pPr>
            <w:r>
              <w:rPr>
                <w:rFonts w:eastAsia="Times New Roman"/>
                <w:color w:val="000000"/>
                <w:sz w:val="20"/>
                <w:szCs w:val="20"/>
              </w:rPr>
              <w:t>Todd W. Gautier, 57</w:t>
            </w:r>
          </w:p>
        </w:tc>
        <w:tc>
          <w:tcPr>
            <w:tcW w:w="0" w:type="auto"/>
            <w:gridSpan w:val="3"/>
            <w:tcMar>
              <w:top w:w="30" w:type="dxa"/>
              <w:left w:w="20" w:type="dxa"/>
              <w:bottom w:w="30" w:type="dxa"/>
              <w:right w:w="20" w:type="dxa"/>
            </w:tcMar>
            <w:hideMark/>
          </w:tcPr>
          <w:p w14:paraId="0FD99619"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95FE3D2" w14:textId="77777777" w:rsidR="00000000" w:rsidRDefault="001A570A">
            <w:pPr>
              <w:rPr>
                <w:rFonts w:eastAsia="Times New Roman"/>
              </w:rPr>
            </w:pPr>
            <w:r>
              <w:rPr>
                <w:rFonts w:eastAsia="Times New Roman"/>
                <w:color w:val="000000"/>
                <w:sz w:val="20"/>
                <w:szCs w:val="20"/>
              </w:rPr>
              <w:t xml:space="preserve">President, Aviation Systems since June 29, 2019. Served with L3 as Senior Vice President and President of Electronic Systems Segment from March 2017 to June 2019; as President of Precision Engagement and Training Sector from January 2014 to March 2017; as </w:t>
            </w:r>
            <w:r>
              <w:rPr>
                <w:rFonts w:eastAsia="Times New Roman"/>
                <w:color w:val="000000"/>
                <w:sz w:val="20"/>
                <w:szCs w:val="20"/>
              </w:rPr>
              <w:t xml:space="preserve">President of Precision Engagement Sector from January 2010 to January 2014; and as Vice President of Business Development and Strategy for the Sensors and Simulation Group from January 2005 to January 2010. Before joining L3 in 2001, Mr. Gautier served in </w:t>
            </w:r>
            <w:r>
              <w:rPr>
                <w:rFonts w:eastAsia="Times New Roman"/>
                <w:color w:val="000000"/>
                <w:sz w:val="20"/>
                <w:szCs w:val="20"/>
              </w:rPr>
              <w:t xml:space="preserve">the U.S. Navy for 15 years as a Strike/Fighter Pilot. </w:t>
            </w:r>
          </w:p>
        </w:tc>
      </w:tr>
      <w:tr w:rsidR="00000000" w14:paraId="5C203F4C" w14:textId="77777777">
        <w:trPr>
          <w:divId w:val="1223560478"/>
        </w:trPr>
        <w:tc>
          <w:tcPr>
            <w:tcW w:w="0" w:type="auto"/>
            <w:gridSpan w:val="3"/>
            <w:vAlign w:val="center"/>
            <w:hideMark/>
          </w:tcPr>
          <w:p w14:paraId="31B0AEBD" w14:textId="77777777" w:rsidR="00000000" w:rsidRDefault="001A570A">
            <w:pPr>
              <w:rPr>
                <w:rFonts w:eastAsia="Times New Roman"/>
              </w:rPr>
            </w:pPr>
          </w:p>
        </w:tc>
        <w:tc>
          <w:tcPr>
            <w:tcW w:w="0" w:type="auto"/>
            <w:gridSpan w:val="3"/>
            <w:vAlign w:val="center"/>
            <w:hideMark/>
          </w:tcPr>
          <w:p w14:paraId="622C63EC" w14:textId="77777777" w:rsidR="00000000" w:rsidRDefault="001A570A">
            <w:pPr>
              <w:rPr>
                <w:rFonts w:eastAsia="Times New Roman"/>
                <w:sz w:val="20"/>
                <w:szCs w:val="20"/>
              </w:rPr>
            </w:pPr>
          </w:p>
        </w:tc>
        <w:tc>
          <w:tcPr>
            <w:tcW w:w="0" w:type="auto"/>
            <w:gridSpan w:val="3"/>
            <w:vAlign w:val="center"/>
            <w:hideMark/>
          </w:tcPr>
          <w:p w14:paraId="5C0237B7" w14:textId="77777777" w:rsidR="00000000" w:rsidRDefault="001A570A">
            <w:pPr>
              <w:rPr>
                <w:rFonts w:eastAsia="Times New Roman"/>
                <w:sz w:val="20"/>
                <w:szCs w:val="20"/>
              </w:rPr>
            </w:pPr>
          </w:p>
        </w:tc>
      </w:tr>
      <w:tr w:rsidR="00000000" w14:paraId="213AE9AF" w14:textId="77777777">
        <w:trPr>
          <w:divId w:val="1223560478"/>
        </w:trPr>
        <w:tc>
          <w:tcPr>
            <w:tcW w:w="0" w:type="auto"/>
            <w:gridSpan w:val="3"/>
            <w:tcMar>
              <w:top w:w="30" w:type="dxa"/>
              <w:left w:w="20" w:type="dxa"/>
              <w:bottom w:w="30" w:type="dxa"/>
              <w:right w:w="20" w:type="dxa"/>
            </w:tcMar>
            <w:hideMark/>
          </w:tcPr>
          <w:p w14:paraId="5C291BF4" w14:textId="77777777" w:rsidR="00000000" w:rsidRDefault="001A570A">
            <w:pPr>
              <w:rPr>
                <w:rFonts w:eastAsia="Times New Roman"/>
              </w:rPr>
            </w:pPr>
            <w:r>
              <w:rPr>
                <w:rFonts w:eastAsia="Times New Roman"/>
                <w:color w:val="000000"/>
                <w:sz w:val="20"/>
                <w:szCs w:val="20"/>
              </w:rPr>
              <w:t>James P. Girard, 44</w:t>
            </w:r>
          </w:p>
        </w:tc>
        <w:tc>
          <w:tcPr>
            <w:tcW w:w="0" w:type="auto"/>
            <w:gridSpan w:val="3"/>
            <w:tcMar>
              <w:top w:w="30" w:type="dxa"/>
              <w:left w:w="20" w:type="dxa"/>
              <w:bottom w:w="30" w:type="dxa"/>
              <w:right w:w="20" w:type="dxa"/>
            </w:tcMar>
            <w:hideMark/>
          </w:tcPr>
          <w:p w14:paraId="30223536"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B601CBB" w14:textId="77777777" w:rsidR="00000000" w:rsidRDefault="001A570A">
            <w:pPr>
              <w:rPr>
                <w:rFonts w:eastAsia="Times New Roman"/>
              </w:rPr>
            </w:pPr>
            <w:r>
              <w:rPr>
                <w:rFonts w:eastAsia="Times New Roman"/>
                <w:color w:val="000000"/>
                <w:sz w:val="20"/>
                <w:szCs w:val="20"/>
              </w:rPr>
              <w:t>Vice President and Chief Human Resources Officer since June 29, 2019. Vice President, Human Resources from July 2015 to June 2019. Vice President, Human Resources - Government Communications Systems from May 2014 to June 2015. Before joining L3Harris in Ma</w:t>
            </w:r>
            <w:r>
              <w:rPr>
                <w:rFonts w:eastAsia="Times New Roman"/>
                <w:color w:val="000000"/>
                <w:sz w:val="20"/>
                <w:szCs w:val="20"/>
              </w:rPr>
              <w:t xml:space="preserve">y 2014, Mr. Girard worked for UTC, as Vice President, Human Resources at Sikorsky Aircraft from February 2014 to April 2014; as Director, Talent Resources from November 2011 to January 2014; as Vice President, Human Resources at UTC’s Global Fire Products </w:t>
            </w:r>
            <w:r>
              <w:rPr>
                <w:rFonts w:eastAsia="Times New Roman"/>
                <w:color w:val="000000"/>
                <w:sz w:val="20"/>
                <w:szCs w:val="20"/>
              </w:rPr>
              <w:t xml:space="preserve">from June 2010 to October 2011; and served in various Human Resources roles from 1995 to 2010. </w:t>
            </w:r>
          </w:p>
        </w:tc>
      </w:tr>
      <w:tr w:rsidR="00000000" w14:paraId="272C8C32" w14:textId="77777777">
        <w:trPr>
          <w:divId w:val="1223560478"/>
        </w:trPr>
        <w:tc>
          <w:tcPr>
            <w:tcW w:w="0" w:type="auto"/>
            <w:gridSpan w:val="3"/>
            <w:vAlign w:val="center"/>
            <w:hideMark/>
          </w:tcPr>
          <w:p w14:paraId="6C239771" w14:textId="77777777" w:rsidR="00000000" w:rsidRDefault="001A570A">
            <w:pPr>
              <w:rPr>
                <w:rFonts w:eastAsia="Times New Roman"/>
              </w:rPr>
            </w:pPr>
          </w:p>
        </w:tc>
        <w:tc>
          <w:tcPr>
            <w:tcW w:w="0" w:type="auto"/>
            <w:gridSpan w:val="3"/>
            <w:vAlign w:val="center"/>
            <w:hideMark/>
          </w:tcPr>
          <w:p w14:paraId="2C75C516" w14:textId="77777777" w:rsidR="00000000" w:rsidRDefault="001A570A">
            <w:pPr>
              <w:rPr>
                <w:rFonts w:eastAsia="Times New Roman"/>
                <w:sz w:val="20"/>
                <w:szCs w:val="20"/>
              </w:rPr>
            </w:pPr>
          </w:p>
        </w:tc>
        <w:tc>
          <w:tcPr>
            <w:tcW w:w="0" w:type="auto"/>
            <w:gridSpan w:val="3"/>
            <w:vAlign w:val="center"/>
            <w:hideMark/>
          </w:tcPr>
          <w:p w14:paraId="3D169A5C" w14:textId="77777777" w:rsidR="00000000" w:rsidRDefault="001A570A">
            <w:pPr>
              <w:rPr>
                <w:rFonts w:eastAsia="Times New Roman"/>
                <w:sz w:val="20"/>
                <w:szCs w:val="20"/>
              </w:rPr>
            </w:pPr>
          </w:p>
        </w:tc>
      </w:tr>
      <w:tr w:rsidR="00000000" w14:paraId="7BA253BF" w14:textId="77777777">
        <w:trPr>
          <w:divId w:val="1223560478"/>
        </w:trPr>
        <w:tc>
          <w:tcPr>
            <w:tcW w:w="0" w:type="auto"/>
            <w:gridSpan w:val="3"/>
            <w:tcMar>
              <w:top w:w="30" w:type="dxa"/>
              <w:left w:w="20" w:type="dxa"/>
              <w:bottom w:w="30" w:type="dxa"/>
              <w:right w:w="20" w:type="dxa"/>
            </w:tcMar>
            <w:hideMark/>
          </w:tcPr>
          <w:p w14:paraId="730B2CA8" w14:textId="77777777" w:rsidR="00000000" w:rsidRDefault="001A570A">
            <w:pPr>
              <w:rPr>
                <w:rFonts w:eastAsia="Times New Roman"/>
              </w:rPr>
            </w:pPr>
            <w:r>
              <w:rPr>
                <w:rFonts w:eastAsia="Times New Roman"/>
                <w:color w:val="000000"/>
                <w:sz w:val="20"/>
                <w:szCs w:val="20"/>
              </w:rPr>
              <w:t>Christopher E. Kubasik, 59</w:t>
            </w:r>
          </w:p>
        </w:tc>
        <w:tc>
          <w:tcPr>
            <w:tcW w:w="0" w:type="auto"/>
            <w:gridSpan w:val="3"/>
            <w:tcMar>
              <w:top w:w="30" w:type="dxa"/>
              <w:left w:w="20" w:type="dxa"/>
              <w:bottom w:w="30" w:type="dxa"/>
              <w:right w:w="20" w:type="dxa"/>
            </w:tcMar>
            <w:hideMark/>
          </w:tcPr>
          <w:p w14:paraId="0EBD28B6"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09CF9561" w14:textId="77777777" w:rsidR="00000000" w:rsidRDefault="001A570A">
            <w:pPr>
              <w:rPr>
                <w:rFonts w:eastAsia="Times New Roman"/>
              </w:rPr>
            </w:pPr>
            <w:r>
              <w:rPr>
                <w:rFonts w:eastAsia="Times New Roman"/>
                <w:color w:val="000000"/>
                <w:sz w:val="20"/>
                <w:szCs w:val="20"/>
              </w:rPr>
              <w:t>Vice Chairman, President and Chief Operating Officer since June 29, 2019. Served with L3, as Chairman, Chief Exec</w:t>
            </w:r>
            <w:r>
              <w:rPr>
                <w:rFonts w:eastAsia="Times New Roman"/>
                <w:color w:val="000000"/>
                <w:sz w:val="20"/>
                <w:szCs w:val="20"/>
              </w:rPr>
              <w:t xml:space="preserve">utive Officer and President from May 2018 to June 2019; as Chief Executive Officer and President from January 2018 to May 2018; and as President and Chief Operating Officer from October 2015 to December 2017. Before joining L3 in October 2015, Mr. Kubasik </w:t>
            </w:r>
            <w:r>
              <w:rPr>
                <w:rFonts w:eastAsia="Times New Roman"/>
                <w:color w:val="000000"/>
                <w:sz w:val="20"/>
                <w:szCs w:val="20"/>
              </w:rPr>
              <w:t xml:space="preserve">worked for Seabury Advisory Group as President and Chief Executive Officer from March 2014 to October 2015; for Ackuity Advisors, Inc., as President and Chief Executive Officer from January 2013 to March 2014; and for Lockheed Martin Corporation, where he </w:t>
            </w:r>
            <w:r>
              <w:rPr>
                <w:rFonts w:eastAsia="Times New Roman"/>
                <w:color w:val="000000"/>
                <w:sz w:val="20"/>
                <w:szCs w:val="20"/>
              </w:rPr>
              <w:t xml:space="preserve">held various senior executive and finance roles from 1999 to 2012, including Vice Chairman, President and Chief Operating Officer from 2010 to 2012. </w:t>
            </w:r>
          </w:p>
        </w:tc>
      </w:tr>
      <w:tr w:rsidR="00000000" w14:paraId="1AADF7EB" w14:textId="77777777">
        <w:trPr>
          <w:divId w:val="1223560478"/>
        </w:trPr>
        <w:tc>
          <w:tcPr>
            <w:tcW w:w="0" w:type="auto"/>
            <w:gridSpan w:val="3"/>
            <w:tcMar>
              <w:top w:w="30" w:type="dxa"/>
              <w:left w:w="20" w:type="dxa"/>
              <w:bottom w:w="30" w:type="dxa"/>
              <w:right w:w="20" w:type="dxa"/>
            </w:tcMar>
            <w:hideMark/>
          </w:tcPr>
          <w:p w14:paraId="1D73B85B" w14:textId="77777777" w:rsidR="00000000" w:rsidRDefault="001A570A">
            <w:pPr>
              <w:rPr>
                <w:rFonts w:eastAsia="Times New Roman"/>
              </w:rPr>
            </w:pPr>
            <w:r>
              <w:rPr>
                <w:rFonts w:eastAsia="Times New Roman"/>
                <w:color w:val="000000"/>
                <w:sz w:val="20"/>
                <w:szCs w:val="20"/>
              </w:rPr>
              <w:t>Jesus “Jay” Malave Jr., 52</w:t>
            </w:r>
          </w:p>
        </w:tc>
        <w:tc>
          <w:tcPr>
            <w:tcW w:w="0" w:type="auto"/>
            <w:gridSpan w:val="3"/>
            <w:tcMar>
              <w:top w:w="30" w:type="dxa"/>
              <w:left w:w="20" w:type="dxa"/>
              <w:bottom w:w="30" w:type="dxa"/>
              <w:right w:w="20" w:type="dxa"/>
            </w:tcMar>
            <w:hideMark/>
          </w:tcPr>
          <w:p w14:paraId="7B74392C"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4C23D14" w14:textId="77777777" w:rsidR="00000000" w:rsidRDefault="001A570A">
            <w:pPr>
              <w:rPr>
                <w:rFonts w:eastAsia="Times New Roman"/>
              </w:rPr>
            </w:pPr>
            <w:r>
              <w:rPr>
                <w:rFonts w:eastAsia="Times New Roman"/>
                <w:color w:val="000000"/>
                <w:sz w:val="20"/>
                <w:szCs w:val="20"/>
              </w:rPr>
              <w:t>Senior Vice President and Chief Financial Officer since June 29, 2019. Before joining L3Harris, Mr. Malave worked at UTC, as Vice President and Chief Financial Officer of UTC’s Carrier Corporation from April 2018 to June 2019; as Chief Financial Officer of</w:t>
            </w:r>
            <w:r>
              <w:rPr>
                <w:rFonts w:eastAsia="Times New Roman"/>
                <w:color w:val="000000"/>
                <w:sz w:val="20"/>
                <w:szCs w:val="20"/>
              </w:rPr>
              <w:t xml:space="preserve"> UTC’s Aerospace Systems from January 2015 to April 2018; as Head of Investor Relations from June 2012 to December 2014; as Vice President, Financial Planning and Treasury at Hamilton Sundstrand, with responsibility for planning the integration of Goodrich</w:t>
            </w:r>
            <w:r>
              <w:rPr>
                <w:rFonts w:eastAsia="Times New Roman"/>
                <w:color w:val="000000"/>
                <w:sz w:val="20"/>
                <w:szCs w:val="20"/>
              </w:rPr>
              <w:t xml:space="preserve"> Corporation from May 2011 to June 2012; as Director of Investor Relations from June 2009 to May 2011; and prior to that, in other roles of increasing responsibility in financial planning and analysis, treasury and accounting.</w:t>
            </w:r>
          </w:p>
        </w:tc>
      </w:tr>
      <w:tr w:rsidR="00000000" w14:paraId="3EAA798F" w14:textId="77777777">
        <w:trPr>
          <w:divId w:val="1223560478"/>
        </w:trPr>
        <w:tc>
          <w:tcPr>
            <w:tcW w:w="0" w:type="auto"/>
            <w:gridSpan w:val="3"/>
            <w:tcMar>
              <w:top w:w="30" w:type="dxa"/>
              <w:left w:w="20" w:type="dxa"/>
              <w:bottom w:w="30" w:type="dxa"/>
              <w:right w:w="20" w:type="dxa"/>
            </w:tcMar>
            <w:hideMark/>
          </w:tcPr>
          <w:p w14:paraId="1F0CA912" w14:textId="77777777" w:rsidR="00000000" w:rsidRDefault="001A570A">
            <w:pPr>
              <w:rPr>
                <w:rFonts w:eastAsia="Times New Roman"/>
              </w:rPr>
            </w:pPr>
            <w:r>
              <w:rPr>
                <w:rFonts w:eastAsia="Times New Roman"/>
                <w:color w:val="000000"/>
                <w:sz w:val="20"/>
                <w:szCs w:val="20"/>
              </w:rPr>
              <w:t>Dana A. Mehnert, 58</w:t>
            </w:r>
          </w:p>
        </w:tc>
        <w:tc>
          <w:tcPr>
            <w:tcW w:w="0" w:type="auto"/>
            <w:gridSpan w:val="3"/>
            <w:tcMar>
              <w:top w:w="30" w:type="dxa"/>
              <w:left w:w="20" w:type="dxa"/>
              <w:bottom w:w="30" w:type="dxa"/>
              <w:right w:w="20" w:type="dxa"/>
            </w:tcMar>
            <w:hideMark/>
          </w:tcPr>
          <w:p w14:paraId="43BEE1F1"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0CEEC28E" w14:textId="77777777" w:rsidR="00000000" w:rsidRDefault="001A570A">
            <w:pPr>
              <w:rPr>
                <w:rFonts w:eastAsia="Times New Roman"/>
              </w:rPr>
            </w:pPr>
            <w:r>
              <w:rPr>
                <w:rFonts w:eastAsia="Times New Roman"/>
                <w:color w:val="000000"/>
                <w:sz w:val="20"/>
                <w:szCs w:val="20"/>
              </w:rPr>
              <w:t>President, Communication Systems since September 2018. Senior Vice President, Chief Global Business Development Officer from July 2015 to September 2018. Group President, RF Communications from May 2009 to July 2015. President, RF Communications from July</w:t>
            </w:r>
            <w:r>
              <w:rPr>
                <w:rFonts w:eastAsia="Times New Roman"/>
                <w:color w:val="000000"/>
                <w:sz w:val="20"/>
                <w:szCs w:val="20"/>
              </w:rPr>
              <w:t xml:space="preserve"> 2006 to May 2009. Mr. Mehnert joined L3Harris in 1984.</w:t>
            </w:r>
          </w:p>
        </w:tc>
      </w:tr>
      <w:tr w:rsidR="00000000" w14:paraId="1649CAE7" w14:textId="77777777">
        <w:trPr>
          <w:divId w:val="1223560478"/>
        </w:trPr>
        <w:tc>
          <w:tcPr>
            <w:tcW w:w="0" w:type="auto"/>
            <w:gridSpan w:val="3"/>
            <w:tcMar>
              <w:top w:w="30" w:type="dxa"/>
              <w:left w:w="20" w:type="dxa"/>
              <w:bottom w:w="30" w:type="dxa"/>
              <w:right w:w="20" w:type="dxa"/>
            </w:tcMar>
            <w:hideMark/>
          </w:tcPr>
          <w:p w14:paraId="2D0630BA" w14:textId="77777777" w:rsidR="00000000" w:rsidRDefault="001A570A">
            <w:pPr>
              <w:rPr>
                <w:rFonts w:eastAsia="Times New Roman"/>
              </w:rPr>
            </w:pPr>
            <w:r>
              <w:rPr>
                <w:rFonts w:eastAsia="Times New Roman"/>
                <w:color w:val="000000"/>
                <w:sz w:val="20"/>
                <w:szCs w:val="20"/>
              </w:rPr>
              <w:t>Scott T. Mikuen, 59</w:t>
            </w:r>
          </w:p>
        </w:tc>
        <w:tc>
          <w:tcPr>
            <w:tcW w:w="0" w:type="auto"/>
            <w:gridSpan w:val="3"/>
            <w:tcMar>
              <w:top w:w="30" w:type="dxa"/>
              <w:left w:w="20" w:type="dxa"/>
              <w:bottom w:w="30" w:type="dxa"/>
              <w:right w:w="20" w:type="dxa"/>
            </w:tcMar>
            <w:hideMark/>
          </w:tcPr>
          <w:p w14:paraId="618817E0"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D08D114" w14:textId="77777777" w:rsidR="00000000" w:rsidRDefault="001A570A">
            <w:pPr>
              <w:rPr>
                <w:rFonts w:eastAsia="Times New Roman"/>
              </w:rPr>
            </w:pPr>
            <w:r>
              <w:rPr>
                <w:rFonts w:eastAsia="Times New Roman"/>
                <w:color w:val="000000"/>
                <w:sz w:val="20"/>
                <w:szCs w:val="20"/>
              </w:rPr>
              <w:t>Senior Vice President, General Counsel and Secretary since February 2013. Vice President, General Counsel and Secretary from October 2010 to February 2013. Vice President, Associate General Counsel and Secretary from October 2004 to October 2010. Vice Pres</w:t>
            </w:r>
            <w:r>
              <w:rPr>
                <w:rFonts w:eastAsia="Times New Roman"/>
                <w:color w:val="000000"/>
                <w:sz w:val="20"/>
                <w:szCs w:val="20"/>
              </w:rPr>
              <w:t>ident — Counsel, Corporate and Commercial Operations and Assistant Secretary from November 2000 to October 2004. Mr. Mikuen joined L3Harris in 1996 as Finance Counsel.</w:t>
            </w:r>
          </w:p>
        </w:tc>
      </w:tr>
    </w:tbl>
    <w:p w14:paraId="27F9C335" w14:textId="77777777" w:rsidR="00000000" w:rsidRDefault="001A570A">
      <w:pPr>
        <w:ind w:firstLine="450"/>
        <w:jc w:val="center"/>
        <w:divId w:val="1011107570"/>
        <w:rPr>
          <w:rFonts w:eastAsia="Times New Roman"/>
        </w:rPr>
      </w:pPr>
      <w:r>
        <w:rPr>
          <w:rFonts w:eastAsia="Times New Roman"/>
          <w:color w:val="000000"/>
          <w:sz w:val="20"/>
          <w:szCs w:val="20"/>
        </w:rPr>
        <w:t>28</w:t>
      </w:r>
    </w:p>
    <w:p w14:paraId="33C28014" w14:textId="77777777" w:rsidR="00000000" w:rsidRDefault="001A570A">
      <w:pPr>
        <w:rPr>
          <w:rFonts w:eastAsia="Times New Roman"/>
        </w:rPr>
      </w:pPr>
      <w:r>
        <w:rPr>
          <w:rFonts w:eastAsia="Times New Roman"/>
        </w:rPr>
        <w:pict w14:anchorId="1FB9F151">
          <v:rect id="_x0000_i1055" style="width:0;height:1.5pt" o:hralign="center" o:hrstd="t" o:hr="t" fillcolor="#a0a0a0" stroked="f"/>
        </w:pict>
      </w:r>
    </w:p>
    <w:p w14:paraId="47B83F1B" w14:textId="77777777" w:rsidR="00000000" w:rsidRDefault="001A570A">
      <w:pPr>
        <w:ind w:firstLine="450"/>
        <w:divId w:val="1868332088"/>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9"/>
        <w:gridCol w:w="1803"/>
        <w:gridCol w:w="36"/>
        <w:gridCol w:w="69"/>
        <w:gridCol w:w="239"/>
        <w:gridCol w:w="36"/>
        <w:gridCol w:w="69"/>
        <w:gridCol w:w="5923"/>
        <w:gridCol w:w="37"/>
      </w:tblGrid>
      <w:tr w:rsidR="00000000" w14:paraId="3F242583" w14:textId="77777777">
        <w:trPr>
          <w:divId w:val="784691056"/>
        </w:trPr>
        <w:tc>
          <w:tcPr>
            <w:tcW w:w="50" w:type="pct"/>
            <w:vAlign w:val="center"/>
            <w:hideMark/>
          </w:tcPr>
          <w:p w14:paraId="0259BF5C" w14:textId="77777777" w:rsidR="00000000" w:rsidRDefault="001A570A">
            <w:pPr>
              <w:ind w:firstLine="450"/>
              <w:rPr>
                <w:rFonts w:eastAsia="Times New Roman"/>
              </w:rPr>
            </w:pPr>
          </w:p>
        </w:tc>
        <w:tc>
          <w:tcPr>
            <w:tcW w:w="1097" w:type="pct"/>
            <w:vAlign w:val="center"/>
            <w:hideMark/>
          </w:tcPr>
          <w:p w14:paraId="480EEA03" w14:textId="77777777" w:rsidR="00000000" w:rsidRDefault="001A570A">
            <w:pPr>
              <w:rPr>
                <w:rFonts w:eastAsia="Times New Roman"/>
                <w:sz w:val="20"/>
                <w:szCs w:val="20"/>
              </w:rPr>
            </w:pPr>
          </w:p>
        </w:tc>
        <w:tc>
          <w:tcPr>
            <w:tcW w:w="5" w:type="pct"/>
            <w:vAlign w:val="center"/>
            <w:hideMark/>
          </w:tcPr>
          <w:p w14:paraId="7F345AC4" w14:textId="77777777" w:rsidR="00000000" w:rsidRDefault="001A570A">
            <w:pPr>
              <w:rPr>
                <w:rFonts w:eastAsia="Times New Roman"/>
                <w:sz w:val="20"/>
                <w:szCs w:val="20"/>
              </w:rPr>
            </w:pPr>
          </w:p>
        </w:tc>
        <w:tc>
          <w:tcPr>
            <w:tcW w:w="50" w:type="pct"/>
            <w:vAlign w:val="center"/>
            <w:hideMark/>
          </w:tcPr>
          <w:p w14:paraId="168B14B5" w14:textId="77777777" w:rsidR="00000000" w:rsidRDefault="001A570A">
            <w:pPr>
              <w:rPr>
                <w:rFonts w:eastAsia="Times New Roman"/>
                <w:sz w:val="20"/>
                <w:szCs w:val="20"/>
              </w:rPr>
            </w:pPr>
          </w:p>
        </w:tc>
        <w:tc>
          <w:tcPr>
            <w:tcW w:w="153" w:type="pct"/>
            <w:vAlign w:val="center"/>
            <w:hideMark/>
          </w:tcPr>
          <w:p w14:paraId="70A60ED6" w14:textId="77777777" w:rsidR="00000000" w:rsidRDefault="001A570A">
            <w:pPr>
              <w:rPr>
                <w:rFonts w:eastAsia="Times New Roman"/>
                <w:sz w:val="20"/>
                <w:szCs w:val="20"/>
              </w:rPr>
            </w:pPr>
          </w:p>
        </w:tc>
        <w:tc>
          <w:tcPr>
            <w:tcW w:w="5" w:type="pct"/>
            <w:vAlign w:val="center"/>
            <w:hideMark/>
          </w:tcPr>
          <w:p w14:paraId="2D941297" w14:textId="77777777" w:rsidR="00000000" w:rsidRDefault="001A570A">
            <w:pPr>
              <w:rPr>
                <w:rFonts w:eastAsia="Times New Roman"/>
                <w:sz w:val="20"/>
                <w:szCs w:val="20"/>
              </w:rPr>
            </w:pPr>
          </w:p>
        </w:tc>
        <w:tc>
          <w:tcPr>
            <w:tcW w:w="50" w:type="pct"/>
            <w:vAlign w:val="center"/>
            <w:hideMark/>
          </w:tcPr>
          <w:p w14:paraId="249A0598" w14:textId="77777777" w:rsidR="00000000" w:rsidRDefault="001A570A">
            <w:pPr>
              <w:rPr>
                <w:rFonts w:eastAsia="Times New Roman"/>
                <w:sz w:val="20"/>
                <w:szCs w:val="20"/>
              </w:rPr>
            </w:pPr>
          </w:p>
        </w:tc>
        <w:tc>
          <w:tcPr>
            <w:tcW w:w="3583" w:type="pct"/>
            <w:vAlign w:val="center"/>
            <w:hideMark/>
          </w:tcPr>
          <w:p w14:paraId="43D570C9" w14:textId="77777777" w:rsidR="00000000" w:rsidRDefault="001A570A">
            <w:pPr>
              <w:rPr>
                <w:rFonts w:eastAsia="Times New Roman"/>
                <w:sz w:val="20"/>
                <w:szCs w:val="20"/>
              </w:rPr>
            </w:pPr>
          </w:p>
        </w:tc>
        <w:tc>
          <w:tcPr>
            <w:tcW w:w="5" w:type="pct"/>
            <w:vAlign w:val="center"/>
            <w:hideMark/>
          </w:tcPr>
          <w:p w14:paraId="6E549D51" w14:textId="77777777" w:rsidR="00000000" w:rsidRDefault="001A570A">
            <w:pPr>
              <w:rPr>
                <w:rFonts w:eastAsia="Times New Roman"/>
                <w:sz w:val="20"/>
                <w:szCs w:val="20"/>
              </w:rPr>
            </w:pPr>
          </w:p>
        </w:tc>
      </w:tr>
      <w:tr w:rsidR="00000000" w14:paraId="41C19916" w14:textId="77777777">
        <w:trPr>
          <w:divId w:val="784691056"/>
        </w:trPr>
        <w:tc>
          <w:tcPr>
            <w:tcW w:w="0" w:type="auto"/>
            <w:gridSpan w:val="3"/>
            <w:vAlign w:val="center"/>
            <w:hideMark/>
          </w:tcPr>
          <w:p w14:paraId="68BFDA72" w14:textId="77777777" w:rsidR="00000000" w:rsidRDefault="001A570A">
            <w:pPr>
              <w:rPr>
                <w:rFonts w:eastAsia="Times New Roman"/>
                <w:sz w:val="20"/>
                <w:szCs w:val="20"/>
              </w:rPr>
            </w:pPr>
          </w:p>
        </w:tc>
        <w:tc>
          <w:tcPr>
            <w:tcW w:w="0" w:type="auto"/>
            <w:gridSpan w:val="3"/>
            <w:vAlign w:val="center"/>
            <w:hideMark/>
          </w:tcPr>
          <w:p w14:paraId="232C28AC" w14:textId="77777777" w:rsidR="00000000" w:rsidRDefault="001A570A">
            <w:pPr>
              <w:rPr>
                <w:rFonts w:eastAsia="Times New Roman"/>
                <w:sz w:val="20"/>
                <w:szCs w:val="20"/>
              </w:rPr>
            </w:pPr>
          </w:p>
        </w:tc>
        <w:tc>
          <w:tcPr>
            <w:tcW w:w="0" w:type="auto"/>
            <w:gridSpan w:val="3"/>
            <w:vAlign w:val="center"/>
            <w:hideMark/>
          </w:tcPr>
          <w:p w14:paraId="70211F7B" w14:textId="77777777" w:rsidR="00000000" w:rsidRDefault="001A570A">
            <w:pPr>
              <w:rPr>
                <w:rFonts w:eastAsia="Times New Roman"/>
                <w:sz w:val="20"/>
                <w:szCs w:val="20"/>
              </w:rPr>
            </w:pPr>
          </w:p>
        </w:tc>
      </w:tr>
      <w:tr w:rsidR="00000000" w14:paraId="21F266E3" w14:textId="77777777">
        <w:trPr>
          <w:divId w:val="784691056"/>
        </w:trPr>
        <w:tc>
          <w:tcPr>
            <w:tcW w:w="0" w:type="auto"/>
            <w:gridSpan w:val="3"/>
            <w:tcMar>
              <w:top w:w="30" w:type="dxa"/>
              <w:left w:w="20" w:type="dxa"/>
              <w:bottom w:w="30" w:type="dxa"/>
              <w:right w:w="20" w:type="dxa"/>
            </w:tcMar>
            <w:hideMark/>
          </w:tcPr>
          <w:p w14:paraId="3B1AADF2" w14:textId="77777777" w:rsidR="00000000" w:rsidRDefault="001A570A">
            <w:pPr>
              <w:rPr>
                <w:rFonts w:eastAsia="Times New Roman"/>
              </w:rPr>
            </w:pPr>
            <w:r>
              <w:rPr>
                <w:rFonts w:eastAsia="Times New Roman"/>
                <w:color w:val="000000"/>
                <w:sz w:val="20"/>
                <w:szCs w:val="20"/>
              </w:rPr>
              <w:t>Sean J. Stackley, 63</w:t>
            </w:r>
          </w:p>
        </w:tc>
        <w:tc>
          <w:tcPr>
            <w:tcW w:w="0" w:type="auto"/>
            <w:gridSpan w:val="3"/>
            <w:tcMar>
              <w:top w:w="30" w:type="dxa"/>
              <w:left w:w="20" w:type="dxa"/>
              <w:bottom w:w="30" w:type="dxa"/>
              <w:right w:w="20" w:type="dxa"/>
            </w:tcMar>
            <w:hideMark/>
          </w:tcPr>
          <w:p w14:paraId="098FE54C"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05C59EA" w14:textId="77777777" w:rsidR="00000000" w:rsidRDefault="001A570A">
            <w:pPr>
              <w:rPr>
                <w:rFonts w:eastAsia="Times New Roman"/>
              </w:rPr>
            </w:pPr>
            <w:r>
              <w:rPr>
                <w:rFonts w:eastAsia="Times New Roman"/>
                <w:color w:val="000000"/>
                <w:sz w:val="20"/>
                <w:szCs w:val="20"/>
              </w:rPr>
              <w:t>President, Integrated Mission Systems since June 29, 2019. Served with L3 as Senior Vice President and President of Communications &amp; Networked Systems Segment from September 2018 to June 2019; and as Corporate Vice President, Strategic Advance Programs and</w:t>
            </w:r>
            <w:r>
              <w:rPr>
                <w:rFonts w:eastAsia="Times New Roman"/>
                <w:color w:val="000000"/>
                <w:sz w:val="20"/>
                <w:szCs w:val="20"/>
              </w:rPr>
              <w:t xml:space="preserve"> Technologies from January 2018 to September 2018. Before joining L3 in January 2018, (Hon.) Mr. Stackley spent four decades in public service, including a 27-year career with the U.S. Navy, where he most recently was Acting Secretary of the Navy from Janu</w:t>
            </w:r>
            <w:r>
              <w:rPr>
                <w:rFonts w:eastAsia="Times New Roman"/>
                <w:color w:val="000000"/>
                <w:sz w:val="20"/>
                <w:szCs w:val="20"/>
              </w:rPr>
              <w:t xml:space="preserve">ary 2017 to July 2017 and Secretary of the Navy for Research, Development and Acquisition from 2008 to 2017. </w:t>
            </w:r>
          </w:p>
        </w:tc>
      </w:tr>
      <w:tr w:rsidR="00000000" w14:paraId="0BC6CCD9" w14:textId="77777777">
        <w:trPr>
          <w:divId w:val="784691056"/>
        </w:trPr>
        <w:tc>
          <w:tcPr>
            <w:tcW w:w="0" w:type="auto"/>
            <w:gridSpan w:val="3"/>
            <w:tcMar>
              <w:top w:w="30" w:type="dxa"/>
              <w:left w:w="20" w:type="dxa"/>
              <w:bottom w:w="30" w:type="dxa"/>
              <w:right w:w="20" w:type="dxa"/>
            </w:tcMar>
            <w:hideMark/>
          </w:tcPr>
          <w:p w14:paraId="6B61D61F" w14:textId="77777777" w:rsidR="00000000" w:rsidRDefault="001A570A">
            <w:pPr>
              <w:rPr>
                <w:rFonts w:eastAsia="Times New Roman"/>
              </w:rPr>
            </w:pPr>
            <w:r>
              <w:rPr>
                <w:rFonts w:eastAsia="Times New Roman"/>
                <w:color w:val="000000"/>
                <w:sz w:val="20"/>
                <w:szCs w:val="20"/>
              </w:rPr>
              <w:t>Todd A. Taylor, 48</w:t>
            </w:r>
          </w:p>
        </w:tc>
        <w:tc>
          <w:tcPr>
            <w:tcW w:w="0" w:type="auto"/>
            <w:gridSpan w:val="3"/>
            <w:tcMar>
              <w:top w:w="30" w:type="dxa"/>
              <w:left w:w="20" w:type="dxa"/>
              <w:bottom w:w="30" w:type="dxa"/>
              <w:right w:w="20" w:type="dxa"/>
            </w:tcMar>
            <w:hideMark/>
          </w:tcPr>
          <w:p w14:paraId="2360644A"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43F43CA1" w14:textId="77777777" w:rsidR="00000000" w:rsidRDefault="001A570A">
            <w:pPr>
              <w:rPr>
                <w:rFonts w:eastAsia="Times New Roman"/>
              </w:rPr>
            </w:pPr>
            <w:r>
              <w:rPr>
                <w:rFonts w:eastAsia="Times New Roman"/>
                <w:color w:val="000000"/>
                <w:sz w:val="20"/>
                <w:szCs w:val="20"/>
              </w:rPr>
              <w:t>Vice President, Principal Accounting Officer since May 2015. Vice President from April 2015 to May 2015. Formerly wit</w:t>
            </w:r>
            <w:r>
              <w:rPr>
                <w:rFonts w:eastAsia="Times New Roman"/>
                <w:color w:val="000000"/>
                <w:sz w:val="20"/>
                <w:szCs w:val="20"/>
              </w:rPr>
              <w:t>h Molex, Inc., as Vice President, Chief Accounting Officer and Corporate Controller from September 2012 to April 2015; as Director of Finance and Corporate Controller from September 2010 to September 2012; and as Director of Accounting from June 2008 to Se</w:t>
            </w:r>
            <w:r>
              <w:rPr>
                <w:rFonts w:eastAsia="Times New Roman"/>
                <w:color w:val="000000"/>
                <w:sz w:val="20"/>
                <w:szCs w:val="20"/>
              </w:rPr>
              <w:t>ptember 2010; Before joining Molex, Mr. Taylor worked for PricewaterhouseCoopers as Internal Audit Advisory Director from March 2003 to June 2008.</w:t>
            </w:r>
          </w:p>
        </w:tc>
      </w:tr>
      <w:tr w:rsidR="00000000" w14:paraId="4C913674" w14:textId="77777777">
        <w:trPr>
          <w:divId w:val="784691056"/>
        </w:trPr>
        <w:tc>
          <w:tcPr>
            <w:tcW w:w="0" w:type="auto"/>
            <w:gridSpan w:val="3"/>
            <w:tcMar>
              <w:top w:w="30" w:type="dxa"/>
              <w:left w:w="20" w:type="dxa"/>
              <w:bottom w:w="30" w:type="dxa"/>
              <w:right w:w="20" w:type="dxa"/>
            </w:tcMar>
            <w:hideMark/>
          </w:tcPr>
          <w:p w14:paraId="64AD6AEF" w14:textId="77777777" w:rsidR="00000000" w:rsidRDefault="001A570A">
            <w:pPr>
              <w:rPr>
                <w:rFonts w:eastAsia="Times New Roman"/>
              </w:rPr>
            </w:pPr>
            <w:r>
              <w:rPr>
                <w:rFonts w:eastAsia="Times New Roman"/>
                <w:color w:val="000000"/>
                <w:sz w:val="20"/>
                <w:szCs w:val="20"/>
              </w:rPr>
              <w:t>Edward J. Zoiss, 56</w:t>
            </w:r>
          </w:p>
        </w:tc>
        <w:tc>
          <w:tcPr>
            <w:tcW w:w="0" w:type="auto"/>
            <w:gridSpan w:val="3"/>
            <w:tcMar>
              <w:top w:w="30" w:type="dxa"/>
              <w:left w:w="20" w:type="dxa"/>
              <w:bottom w:w="30" w:type="dxa"/>
              <w:right w:w="20" w:type="dxa"/>
            </w:tcMar>
            <w:hideMark/>
          </w:tcPr>
          <w:p w14:paraId="6BEC4550"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622BFCE1" w14:textId="77777777" w:rsidR="00000000" w:rsidRDefault="001A570A">
            <w:pPr>
              <w:rPr>
                <w:rFonts w:eastAsia="Times New Roman"/>
              </w:rPr>
            </w:pPr>
            <w:r>
              <w:rPr>
                <w:rFonts w:eastAsia="Times New Roman"/>
                <w:color w:val="000000"/>
                <w:sz w:val="20"/>
                <w:szCs w:val="20"/>
              </w:rPr>
              <w:t>President, Space and Airborne Systems since June 29, 2019. President, Electronic Systems from July 2015 to June 2019. Vice President and General Manager, Defense Programs, Government Communications Systems from June 2013 to July 2015. Vice President, C4ISR</w:t>
            </w:r>
            <w:r>
              <w:rPr>
                <w:rFonts w:eastAsia="Times New Roman"/>
                <w:color w:val="000000"/>
                <w:sz w:val="20"/>
                <w:szCs w:val="20"/>
              </w:rPr>
              <w:t xml:space="preserve"> Electronics, Government Communications Systems from June 2012 to June 2013; Vice President, Advanced Programs and Technology, Government Communications Systems from July 2010 to June 2012. Mr. Zoiss joined L3Harris in 1995.</w:t>
            </w:r>
          </w:p>
        </w:tc>
      </w:tr>
    </w:tbl>
    <w:p w14:paraId="79E2DD80" w14:textId="77777777" w:rsidR="00000000" w:rsidRDefault="001A570A">
      <w:pPr>
        <w:ind w:firstLine="450"/>
        <w:divId w:val="1266617243"/>
        <w:rPr>
          <w:rFonts w:eastAsia="Times New Roman"/>
        </w:rPr>
      </w:pPr>
      <w:r>
        <w:rPr>
          <w:rFonts w:eastAsia="Times New Roman"/>
          <w:color w:val="000000"/>
          <w:sz w:val="20"/>
          <w:szCs w:val="20"/>
        </w:rPr>
        <w:t>There is no family relationship between any of our executive officers or directors. There are no arrangements or understandings between any of our executive officers or directors and any other person pursuant to which any of them was appointed or elected a</w:t>
      </w:r>
      <w:r>
        <w:rPr>
          <w:rFonts w:eastAsia="Times New Roman"/>
          <w:color w:val="000000"/>
          <w:sz w:val="20"/>
          <w:szCs w:val="20"/>
        </w:rPr>
        <w:t>s an officer or director, other than arrangements or understandings with our directors or officers acting solely in their capacities as such. All of our executive officers are elected annually and serve at the pleasure of our Board of Directors.</w:t>
      </w:r>
    </w:p>
    <w:p w14:paraId="0F585DC8" w14:textId="77777777" w:rsidR="00000000" w:rsidRDefault="001A570A">
      <w:pPr>
        <w:ind w:firstLine="450"/>
        <w:jc w:val="center"/>
        <w:divId w:val="971639365"/>
        <w:rPr>
          <w:rFonts w:eastAsia="Times New Roman"/>
        </w:rPr>
      </w:pPr>
      <w:r>
        <w:rPr>
          <w:rFonts w:eastAsia="Times New Roman"/>
          <w:color w:val="000000"/>
          <w:sz w:val="20"/>
          <w:szCs w:val="20"/>
        </w:rPr>
        <w:t>29</w:t>
      </w:r>
    </w:p>
    <w:p w14:paraId="4C1272E2" w14:textId="77777777" w:rsidR="00000000" w:rsidRDefault="001A570A">
      <w:pPr>
        <w:rPr>
          <w:rFonts w:eastAsia="Times New Roman"/>
        </w:rPr>
      </w:pPr>
      <w:r>
        <w:rPr>
          <w:rFonts w:eastAsia="Times New Roman"/>
        </w:rPr>
        <w:pict w14:anchorId="3B6B682C">
          <v:rect id="_x0000_i1056" style="width:0;height:1.5pt" o:hralign="center" o:hrstd="t" o:hr="t" fillcolor="#a0a0a0" stroked="f"/>
        </w:pict>
      </w:r>
    </w:p>
    <w:p w14:paraId="7ACE2EE6" w14:textId="77777777" w:rsidR="00000000" w:rsidRDefault="001A570A">
      <w:pPr>
        <w:ind w:firstLine="450"/>
        <w:divId w:val="1005589685"/>
        <w:rPr>
          <w:rFonts w:eastAsia="Times New Roman"/>
        </w:rPr>
      </w:pPr>
    </w:p>
    <w:p w14:paraId="52EA35D9" w14:textId="77777777" w:rsidR="00000000" w:rsidRDefault="001A570A">
      <w:pPr>
        <w:ind w:firstLine="450"/>
        <w:jc w:val="center"/>
        <w:divId w:val="1981809472"/>
        <w:rPr>
          <w:rFonts w:eastAsia="Times New Roman"/>
        </w:rPr>
      </w:pPr>
      <w:r>
        <w:rPr>
          <w:rFonts w:eastAsia="Times New Roman"/>
          <w:b/>
          <w:bCs/>
          <w:color w:val="000000"/>
        </w:rPr>
        <w:t>PART II</w:t>
      </w:r>
    </w:p>
    <w:p w14:paraId="7E20AF41" w14:textId="77777777" w:rsidR="00000000" w:rsidRDefault="001A570A">
      <w:pPr>
        <w:ind w:firstLine="450"/>
        <w:divId w:val="1221526370"/>
        <w:rPr>
          <w:rFonts w:eastAsia="Times New Roman"/>
        </w:rPr>
      </w:pPr>
      <w:r>
        <w:rPr>
          <w:rFonts w:eastAsia="Times New Roman"/>
          <w:color w:val="000000"/>
          <w:sz w:val="18"/>
          <w:szCs w:val="18"/>
        </w:rPr>
        <w:t> </w:t>
      </w:r>
    </w:p>
    <w:tbl>
      <w:tblPr>
        <w:tblW w:w="4899" w:type="pct"/>
        <w:tblCellMar>
          <w:top w:w="15" w:type="dxa"/>
          <w:left w:w="15" w:type="dxa"/>
          <w:bottom w:w="15" w:type="dxa"/>
          <w:right w:w="15" w:type="dxa"/>
        </w:tblCellMar>
        <w:tblLook w:val="04A0" w:firstRow="1" w:lastRow="0" w:firstColumn="1" w:lastColumn="0" w:noHBand="0" w:noVBand="1"/>
      </w:tblPr>
      <w:tblGrid>
        <w:gridCol w:w="70"/>
        <w:gridCol w:w="859"/>
        <w:gridCol w:w="36"/>
        <w:gridCol w:w="67"/>
        <w:gridCol w:w="7070"/>
        <w:gridCol w:w="36"/>
      </w:tblGrid>
      <w:tr w:rsidR="00000000" w14:paraId="336C6056" w14:textId="77777777">
        <w:trPr>
          <w:divId w:val="750811823"/>
        </w:trPr>
        <w:tc>
          <w:tcPr>
            <w:tcW w:w="50" w:type="pct"/>
            <w:vAlign w:val="center"/>
            <w:hideMark/>
          </w:tcPr>
          <w:p w14:paraId="46F04042" w14:textId="77777777" w:rsidR="00000000" w:rsidRDefault="001A570A">
            <w:pPr>
              <w:ind w:firstLine="450"/>
              <w:rPr>
                <w:rFonts w:eastAsia="Times New Roman"/>
              </w:rPr>
            </w:pPr>
          </w:p>
        </w:tc>
        <w:tc>
          <w:tcPr>
            <w:tcW w:w="538" w:type="pct"/>
            <w:vAlign w:val="center"/>
            <w:hideMark/>
          </w:tcPr>
          <w:p w14:paraId="09DDF055" w14:textId="77777777" w:rsidR="00000000" w:rsidRDefault="001A570A">
            <w:pPr>
              <w:rPr>
                <w:rFonts w:eastAsia="Times New Roman"/>
                <w:sz w:val="20"/>
                <w:szCs w:val="20"/>
              </w:rPr>
            </w:pPr>
          </w:p>
        </w:tc>
        <w:tc>
          <w:tcPr>
            <w:tcW w:w="5" w:type="pct"/>
            <w:vAlign w:val="center"/>
            <w:hideMark/>
          </w:tcPr>
          <w:p w14:paraId="2259A3E1" w14:textId="77777777" w:rsidR="00000000" w:rsidRDefault="001A570A">
            <w:pPr>
              <w:rPr>
                <w:rFonts w:eastAsia="Times New Roman"/>
                <w:sz w:val="20"/>
                <w:szCs w:val="20"/>
              </w:rPr>
            </w:pPr>
          </w:p>
        </w:tc>
        <w:tc>
          <w:tcPr>
            <w:tcW w:w="50" w:type="pct"/>
            <w:vAlign w:val="center"/>
            <w:hideMark/>
          </w:tcPr>
          <w:p w14:paraId="63F0AEA6" w14:textId="77777777" w:rsidR="00000000" w:rsidRDefault="001A570A">
            <w:pPr>
              <w:rPr>
                <w:rFonts w:eastAsia="Times New Roman"/>
                <w:sz w:val="20"/>
                <w:szCs w:val="20"/>
              </w:rPr>
            </w:pPr>
          </w:p>
        </w:tc>
        <w:tc>
          <w:tcPr>
            <w:tcW w:w="4351" w:type="pct"/>
            <w:vAlign w:val="center"/>
            <w:hideMark/>
          </w:tcPr>
          <w:p w14:paraId="23691430" w14:textId="77777777" w:rsidR="00000000" w:rsidRDefault="001A570A">
            <w:pPr>
              <w:rPr>
                <w:rFonts w:eastAsia="Times New Roman"/>
                <w:sz w:val="20"/>
                <w:szCs w:val="20"/>
              </w:rPr>
            </w:pPr>
          </w:p>
        </w:tc>
        <w:tc>
          <w:tcPr>
            <w:tcW w:w="5" w:type="pct"/>
            <w:vAlign w:val="center"/>
            <w:hideMark/>
          </w:tcPr>
          <w:p w14:paraId="11382EE9" w14:textId="77777777" w:rsidR="00000000" w:rsidRDefault="001A570A">
            <w:pPr>
              <w:rPr>
                <w:rFonts w:eastAsia="Times New Roman"/>
                <w:sz w:val="20"/>
                <w:szCs w:val="20"/>
              </w:rPr>
            </w:pPr>
          </w:p>
        </w:tc>
      </w:tr>
      <w:tr w:rsidR="00000000" w14:paraId="5C272941" w14:textId="77777777">
        <w:trPr>
          <w:divId w:val="750811823"/>
        </w:trPr>
        <w:tc>
          <w:tcPr>
            <w:tcW w:w="0" w:type="auto"/>
            <w:gridSpan w:val="3"/>
            <w:tcMar>
              <w:top w:w="30" w:type="dxa"/>
              <w:left w:w="20" w:type="dxa"/>
              <w:bottom w:w="30" w:type="dxa"/>
              <w:right w:w="20" w:type="dxa"/>
            </w:tcMar>
            <w:hideMark/>
          </w:tcPr>
          <w:p w14:paraId="5FB885DA" w14:textId="77777777" w:rsidR="00000000" w:rsidRDefault="001A570A">
            <w:pPr>
              <w:rPr>
                <w:rFonts w:eastAsia="Times New Roman"/>
              </w:rPr>
            </w:pPr>
            <w:r>
              <w:rPr>
                <w:rFonts w:eastAsia="Times New Roman"/>
                <w:b/>
                <w:bCs/>
                <w:color w:val="000000"/>
                <w:sz w:val="20"/>
                <w:szCs w:val="20"/>
              </w:rPr>
              <w:t> ITEM 5.</w:t>
            </w:r>
          </w:p>
        </w:tc>
        <w:tc>
          <w:tcPr>
            <w:tcW w:w="0" w:type="auto"/>
            <w:gridSpan w:val="3"/>
            <w:tcMar>
              <w:top w:w="30" w:type="dxa"/>
              <w:left w:w="20" w:type="dxa"/>
              <w:bottom w:w="30" w:type="dxa"/>
              <w:right w:w="20" w:type="dxa"/>
            </w:tcMar>
            <w:hideMark/>
          </w:tcPr>
          <w:p w14:paraId="44F3E864" w14:textId="77777777" w:rsidR="00000000" w:rsidRDefault="001A570A">
            <w:pPr>
              <w:rPr>
                <w:rFonts w:eastAsia="Times New Roman"/>
              </w:rPr>
            </w:pPr>
            <w:r>
              <w:rPr>
                <w:rFonts w:eastAsia="Times New Roman"/>
                <w:b/>
                <w:bCs/>
                <w:color w:val="000000"/>
                <w:sz w:val="20"/>
                <w:szCs w:val="20"/>
              </w:rPr>
              <w:t>MARKET FOR REGISTRANT’S COMMON EQUITY, RELATED STOCKHOLDER MATTERS AND ISSUER PURCHASES OF EQUITY SECURITIES.</w:t>
            </w:r>
          </w:p>
        </w:tc>
      </w:tr>
    </w:tbl>
    <w:p w14:paraId="65669627" w14:textId="77777777" w:rsidR="00000000" w:rsidRDefault="001A570A">
      <w:pPr>
        <w:divId w:val="658314306"/>
        <w:rPr>
          <w:rFonts w:eastAsia="Times New Roman"/>
        </w:rPr>
      </w:pPr>
      <w:r>
        <w:rPr>
          <w:rFonts w:eastAsia="Times New Roman"/>
          <w:b/>
          <w:bCs/>
          <w:color w:val="000000"/>
          <w:sz w:val="20"/>
          <w:szCs w:val="20"/>
        </w:rPr>
        <w:t xml:space="preserve">Market Information </w:t>
      </w:r>
    </w:p>
    <w:p w14:paraId="2B9B3375" w14:textId="77777777" w:rsidR="00000000" w:rsidRDefault="001A570A">
      <w:pPr>
        <w:ind w:firstLine="450"/>
        <w:divId w:val="635598352"/>
        <w:rPr>
          <w:rFonts w:eastAsia="Times New Roman"/>
        </w:rPr>
      </w:pPr>
      <w:r>
        <w:rPr>
          <w:rFonts w:eastAsia="Times New Roman"/>
          <w:color w:val="000000"/>
          <w:sz w:val="20"/>
          <w:szCs w:val="20"/>
        </w:rPr>
        <w:t xml:space="preserve">Our common stock, par value $1.00 per share, is listed and traded on the NYSE, under the ticker symbol “LHX.” According to the records of our transfer agent, as of February 26, 2021, there were 10,935 holders of record of our common stock. </w:t>
      </w:r>
    </w:p>
    <w:p w14:paraId="7C11C872" w14:textId="77777777" w:rsidR="00000000" w:rsidRDefault="001A570A">
      <w:pPr>
        <w:divId w:val="1818719300"/>
        <w:rPr>
          <w:rFonts w:eastAsia="Times New Roman"/>
        </w:rPr>
      </w:pPr>
      <w:r>
        <w:rPr>
          <w:rFonts w:eastAsia="Times New Roman"/>
          <w:b/>
          <w:bCs/>
          <w:color w:val="000000"/>
          <w:sz w:val="20"/>
          <w:szCs w:val="20"/>
        </w:rPr>
        <w:t>Dividends</w:t>
      </w:r>
    </w:p>
    <w:p w14:paraId="5143BF6A" w14:textId="77777777" w:rsidR="00000000" w:rsidRDefault="001A570A">
      <w:pPr>
        <w:ind w:firstLine="450"/>
        <w:divId w:val="131366079"/>
        <w:rPr>
          <w:rFonts w:eastAsia="Times New Roman"/>
        </w:rPr>
      </w:pPr>
      <w:r>
        <w:rPr>
          <w:rFonts w:eastAsia="Times New Roman"/>
          <w:color w:val="000000"/>
          <w:sz w:val="20"/>
          <w:szCs w:val="20"/>
        </w:rPr>
        <w:t>We pa</w:t>
      </w:r>
      <w:r>
        <w:rPr>
          <w:rFonts w:eastAsia="Times New Roman"/>
          <w:color w:val="000000"/>
          <w:sz w:val="20"/>
          <w:szCs w:val="20"/>
        </w:rPr>
        <w:t>id per share cash dividends on our common stock of $.85 each quarterly period of fiscal 2020, $.75 each quarterly period of the two quarters ended January 3, 2020, $.685 each quarterly period of fiscal 2019 and $.57 each quarterly period of fiscal 2018. On</w:t>
      </w:r>
      <w:r>
        <w:rPr>
          <w:rFonts w:eastAsia="Times New Roman"/>
          <w:color w:val="000000"/>
          <w:sz w:val="20"/>
          <w:szCs w:val="20"/>
        </w:rPr>
        <w:t xml:space="preserve"> January 28, 2021, we announced that our Board of Directors increased the quarterly per share cash dividend rate on our common stock from $.85 to $1.02,</w:t>
      </w:r>
      <w:r>
        <w:rPr>
          <w:rFonts w:eastAsia="Times New Roman"/>
          <w:color w:val="FF0000"/>
          <w:sz w:val="20"/>
          <w:szCs w:val="20"/>
        </w:rPr>
        <w:t xml:space="preserve"> </w:t>
      </w:r>
      <w:r>
        <w:rPr>
          <w:rFonts w:eastAsia="Times New Roman"/>
          <w:color w:val="000000"/>
          <w:sz w:val="20"/>
          <w:szCs w:val="20"/>
        </w:rPr>
        <w:t>commencing with the dividend declared by our Board of Directors for the first quarter of fiscal 2021, f</w:t>
      </w:r>
      <w:r>
        <w:rPr>
          <w:rFonts w:eastAsia="Times New Roman"/>
          <w:color w:val="000000"/>
          <w:sz w:val="20"/>
          <w:szCs w:val="20"/>
        </w:rPr>
        <w:t>or an annualized per share cash dividend rate</w:t>
      </w:r>
      <w:r>
        <w:rPr>
          <w:rFonts w:eastAsia="Times New Roman"/>
          <w:color w:val="FF0000"/>
          <w:sz w:val="20"/>
          <w:szCs w:val="20"/>
        </w:rPr>
        <w:t xml:space="preserve"> </w:t>
      </w:r>
      <w:r>
        <w:rPr>
          <w:rFonts w:eastAsia="Times New Roman"/>
          <w:color w:val="000000"/>
          <w:sz w:val="20"/>
          <w:szCs w:val="20"/>
        </w:rPr>
        <w:t>of $4.08, which was our twentieth consecutive annual increase in our quarterly cash dividend rate. Our annualized per share cash dividend rate was $3.40 in fiscal 2020, $3.00 in the two quarters ended January 3</w:t>
      </w:r>
      <w:r>
        <w:rPr>
          <w:rFonts w:eastAsia="Times New Roman"/>
          <w:color w:val="000000"/>
          <w:sz w:val="20"/>
          <w:szCs w:val="20"/>
        </w:rPr>
        <w:t>, 2020, and $2.74 and $2.28 in fiscal 2019 and 2018, respectively. Quarterly cash dividends are typically paid in March, June, September and December. We currently expect that cash dividends will continue to be paid in the near future, but we can give no a</w:t>
      </w:r>
      <w:r>
        <w:rPr>
          <w:rFonts w:eastAsia="Times New Roman"/>
          <w:color w:val="000000"/>
          <w:sz w:val="20"/>
          <w:szCs w:val="20"/>
        </w:rPr>
        <w:t>ssurances concerning payment of future dividends or future dividend increases</w:t>
      </w:r>
      <w:r>
        <w:rPr>
          <w:rFonts w:eastAsia="Times New Roman"/>
          <w:color w:val="FF0000"/>
          <w:sz w:val="20"/>
          <w:szCs w:val="20"/>
        </w:rPr>
        <w:t xml:space="preserve">. </w:t>
      </w:r>
      <w:r>
        <w:rPr>
          <w:rFonts w:eastAsia="Times New Roman"/>
          <w:color w:val="000000"/>
          <w:sz w:val="20"/>
          <w:szCs w:val="20"/>
        </w:rPr>
        <w:t>The declaration of dividends and the amount thereof will depend on a number of factors, including our financial condition, capital requirements, cash flows, results of operation</w:t>
      </w:r>
      <w:r>
        <w:rPr>
          <w:rFonts w:eastAsia="Times New Roman"/>
          <w:color w:val="000000"/>
          <w:sz w:val="20"/>
          <w:szCs w:val="20"/>
        </w:rPr>
        <w:t xml:space="preserve">s, future business prospects and other factors our Board of Directors may deem relevant. </w:t>
      </w:r>
    </w:p>
    <w:p w14:paraId="2F13250B" w14:textId="77777777" w:rsidR="00000000" w:rsidRDefault="001A570A">
      <w:pPr>
        <w:divId w:val="1508983438"/>
        <w:rPr>
          <w:rFonts w:eastAsia="Times New Roman"/>
        </w:rPr>
      </w:pPr>
      <w:r>
        <w:rPr>
          <w:rFonts w:eastAsia="Times New Roman"/>
          <w:b/>
          <w:bCs/>
          <w:color w:val="000000"/>
          <w:sz w:val="20"/>
          <w:szCs w:val="20"/>
        </w:rPr>
        <w:t>L3Harris Stock Performance Graph</w:t>
      </w:r>
    </w:p>
    <w:p w14:paraId="0C80E12E" w14:textId="77777777" w:rsidR="00000000" w:rsidRDefault="001A570A">
      <w:pPr>
        <w:ind w:firstLine="450"/>
        <w:divId w:val="1851096291"/>
        <w:rPr>
          <w:rFonts w:eastAsia="Times New Roman"/>
        </w:rPr>
      </w:pPr>
      <w:r>
        <w:rPr>
          <w:rFonts w:eastAsia="Times New Roman"/>
          <w:i/>
          <w:iCs/>
          <w:color w:val="000000"/>
          <w:sz w:val="20"/>
          <w:szCs w:val="20"/>
        </w:rPr>
        <w:t>The following performance graph and table do not constitute soliciting material and the performance graph and table should not be dee</w:t>
      </w:r>
      <w:r>
        <w:rPr>
          <w:rFonts w:eastAsia="Times New Roman"/>
          <w:i/>
          <w:iCs/>
          <w:color w:val="000000"/>
          <w:sz w:val="20"/>
          <w:szCs w:val="20"/>
        </w:rPr>
        <w:t>med filed or incorporated by reference into any other previous or future filings by us under the Securities Act or the Exchange Act, except to the extent that we specifically incorporate the performance graph and table by reference therein.</w:t>
      </w:r>
    </w:p>
    <w:p w14:paraId="474B4E71" w14:textId="77777777" w:rsidR="00000000" w:rsidRDefault="001A570A">
      <w:pPr>
        <w:ind w:firstLine="450"/>
        <w:divId w:val="965887449"/>
        <w:rPr>
          <w:rFonts w:eastAsia="Times New Roman"/>
        </w:rPr>
      </w:pPr>
      <w:r>
        <w:rPr>
          <w:rFonts w:eastAsia="Times New Roman"/>
          <w:color w:val="000000"/>
          <w:sz w:val="20"/>
          <w:szCs w:val="20"/>
        </w:rPr>
        <w:t>The performance</w:t>
      </w:r>
      <w:r>
        <w:rPr>
          <w:rFonts w:eastAsia="Times New Roman"/>
          <w:color w:val="000000"/>
          <w:sz w:val="20"/>
          <w:szCs w:val="20"/>
        </w:rPr>
        <w:t xml:space="preserve"> graph and table below compare the 4-year fiscal period ended June 28, 2019, the Fiscal Transition Period and fiscal 2020 cumulative total shareholder return of our common stock (the common stock of Harris Corporation prior to the L3Harris Merger and the c</w:t>
      </w:r>
      <w:r>
        <w:rPr>
          <w:rFonts w:eastAsia="Times New Roman"/>
          <w:color w:val="000000"/>
          <w:sz w:val="20"/>
          <w:szCs w:val="20"/>
        </w:rPr>
        <w:t xml:space="preserve">ommon stock of L3Harris Technologies, Inc. after the L3Harris Merger) with the comparable cumulative total returns of the Standard &amp; Poor’s 500 Composite Stock Index (“S&amp;P 500”) and the Standard &amp; Poor’s 500 Aerospace &amp; Defense Index (“S&amp;P 500 Aerospace &amp; </w:t>
      </w:r>
      <w:r>
        <w:rPr>
          <w:rFonts w:eastAsia="Times New Roman"/>
          <w:color w:val="000000"/>
          <w:sz w:val="20"/>
          <w:szCs w:val="20"/>
        </w:rPr>
        <w:t>Defense”). The figures in the performance graph and table below assume an initial investment of $100 at the close of business on July 3, 2015 in L3Harris common stock, the S&amp;P 500 and the S&amp;P 500 Aerospace &amp; Defense and the reinvestment of all dividends.</w:t>
      </w:r>
    </w:p>
    <w:p w14:paraId="2F0D2FC0" w14:textId="77777777" w:rsidR="00000000" w:rsidRDefault="001A570A">
      <w:pPr>
        <w:ind w:firstLine="450"/>
        <w:divId w:val="690183267"/>
        <w:rPr>
          <w:rFonts w:eastAsia="Times New Roman"/>
        </w:rPr>
      </w:pPr>
    </w:p>
    <w:p w14:paraId="27EDA567" w14:textId="77777777" w:rsidR="00000000" w:rsidRDefault="001A570A">
      <w:pPr>
        <w:ind w:firstLine="450"/>
        <w:jc w:val="center"/>
        <w:divId w:val="1756051347"/>
        <w:rPr>
          <w:rFonts w:eastAsia="Times New Roman"/>
        </w:rPr>
      </w:pPr>
      <w:r>
        <w:rPr>
          <w:rFonts w:eastAsia="Times New Roman"/>
          <w:color w:val="000000"/>
          <w:sz w:val="20"/>
          <w:szCs w:val="20"/>
        </w:rPr>
        <w:t>30</w:t>
      </w:r>
    </w:p>
    <w:p w14:paraId="62EF3349" w14:textId="77777777" w:rsidR="00000000" w:rsidRDefault="001A570A">
      <w:pPr>
        <w:rPr>
          <w:rFonts w:eastAsia="Times New Roman"/>
        </w:rPr>
      </w:pPr>
      <w:r>
        <w:rPr>
          <w:rFonts w:eastAsia="Times New Roman"/>
        </w:rPr>
        <w:pict w14:anchorId="22883F38">
          <v:rect id="_x0000_i1057" style="width:0;height:1.5pt" o:hralign="center" o:hrstd="t" o:hr="t" fillcolor="#a0a0a0" stroked="f"/>
        </w:pict>
      </w:r>
    </w:p>
    <w:p w14:paraId="0D8F73AE" w14:textId="77777777" w:rsidR="00000000" w:rsidRDefault="001A570A">
      <w:pPr>
        <w:ind w:firstLine="450"/>
        <w:divId w:val="1779373771"/>
        <w:rPr>
          <w:rFonts w:eastAsia="Times New Roman"/>
        </w:rPr>
      </w:pPr>
    </w:p>
    <w:p w14:paraId="53558CDD" w14:textId="77777777" w:rsidR="00000000" w:rsidRDefault="001A570A">
      <w:pPr>
        <w:ind w:firstLine="450"/>
        <w:jc w:val="center"/>
        <w:divId w:val="972978326"/>
        <w:rPr>
          <w:rFonts w:eastAsia="Times New Roman"/>
        </w:rPr>
      </w:pPr>
      <w:r>
        <w:rPr>
          <w:rFonts w:ascii="Arial" w:eastAsia="Times New Roman" w:hAnsi="Arial" w:cs="Arial"/>
          <w:b/>
          <w:bCs/>
          <w:color w:val="000000"/>
          <w:sz w:val="20"/>
          <w:szCs w:val="20"/>
        </w:rPr>
        <w:t>COMPARISON OF FOUR FISCAL-YEAR (PRIOR TO L3HARRIS MERGER), FISCAL TRANSITION PERIOD AND FISCAL 2020 (AFTER L3HARRIS MERGER) CUMULATIVE TOTAL RETURN AMONG L3HARRIS, S&amp;P 500 AND S&amp;P 500 AEROSPACE &amp; DEFENSE</w:t>
      </w:r>
    </w:p>
    <w:p w14:paraId="1409CC09" w14:textId="77777777" w:rsidR="00000000" w:rsidRDefault="001A570A">
      <w:pPr>
        <w:spacing w:before="100" w:after="100"/>
        <w:ind w:firstLine="450"/>
        <w:jc w:val="center"/>
        <w:divId w:val="951858559"/>
        <w:rPr>
          <w:rFonts w:eastAsia="Times New Roman"/>
        </w:rPr>
      </w:pPr>
      <w:r>
        <w:rPr>
          <w:rFonts w:eastAsia="Times New Roman"/>
          <w:noProof/>
        </w:rPr>
        <w:drawing>
          <wp:inline distT="0" distB="0" distL="0" distR="0" wp14:anchorId="5FEE1C03" wp14:editId="4CB582AB">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576" w:type="pct"/>
        <w:jc w:val="center"/>
        <w:tblCellMar>
          <w:top w:w="15" w:type="dxa"/>
          <w:left w:w="15" w:type="dxa"/>
          <w:bottom w:w="15" w:type="dxa"/>
          <w:right w:w="15" w:type="dxa"/>
        </w:tblCellMar>
        <w:tblLook w:val="04A0" w:firstRow="1" w:lastRow="0" w:firstColumn="1" w:lastColumn="0" w:noHBand="0" w:noVBand="1"/>
      </w:tblPr>
      <w:tblGrid>
        <w:gridCol w:w="43"/>
        <w:gridCol w:w="1930"/>
        <w:gridCol w:w="37"/>
        <w:gridCol w:w="120"/>
        <w:gridCol w:w="585"/>
        <w:gridCol w:w="36"/>
        <w:gridCol w:w="120"/>
        <w:gridCol w:w="585"/>
        <w:gridCol w:w="36"/>
        <w:gridCol w:w="120"/>
        <w:gridCol w:w="571"/>
        <w:gridCol w:w="36"/>
        <w:gridCol w:w="120"/>
        <w:gridCol w:w="656"/>
        <w:gridCol w:w="36"/>
        <w:gridCol w:w="120"/>
        <w:gridCol w:w="668"/>
        <w:gridCol w:w="36"/>
        <w:gridCol w:w="121"/>
        <w:gridCol w:w="728"/>
        <w:gridCol w:w="36"/>
        <w:gridCol w:w="121"/>
        <w:gridCol w:w="705"/>
        <w:gridCol w:w="36"/>
      </w:tblGrid>
      <w:tr w:rsidR="00000000" w14:paraId="37B442C3" w14:textId="77777777">
        <w:trPr>
          <w:divId w:val="371613819"/>
          <w:jc w:val="center"/>
        </w:trPr>
        <w:tc>
          <w:tcPr>
            <w:tcW w:w="50" w:type="pct"/>
            <w:vAlign w:val="center"/>
            <w:hideMark/>
          </w:tcPr>
          <w:p w14:paraId="56E52F43" w14:textId="77777777" w:rsidR="00000000" w:rsidRDefault="001A570A">
            <w:pPr>
              <w:ind w:firstLine="450"/>
              <w:jc w:val="center"/>
              <w:rPr>
                <w:rFonts w:eastAsia="Times New Roman"/>
              </w:rPr>
            </w:pPr>
          </w:p>
        </w:tc>
        <w:tc>
          <w:tcPr>
            <w:tcW w:w="1326" w:type="pct"/>
            <w:vAlign w:val="center"/>
            <w:hideMark/>
          </w:tcPr>
          <w:p w14:paraId="31530DCF" w14:textId="77777777" w:rsidR="00000000" w:rsidRDefault="001A570A">
            <w:pPr>
              <w:rPr>
                <w:rFonts w:eastAsia="Times New Roman"/>
                <w:sz w:val="20"/>
                <w:szCs w:val="20"/>
              </w:rPr>
            </w:pPr>
          </w:p>
        </w:tc>
        <w:tc>
          <w:tcPr>
            <w:tcW w:w="5" w:type="pct"/>
            <w:vAlign w:val="center"/>
            <w:hideMark/>
          </w:tcPr>
          <w:p w14:paraId="5A458A53" w14:textId="77777777" w:rsidR="00000000" w:rsidRDefault="001A570A">
            <w:pPr>
              <w:rPr>
                <w:rFonts w:eastAsia="Times New Roman"/>
                <w:sz w:val="20"/>
                <w:szCs w:val="20"/>
              </w:rPr>
            </w:pPr>
          </w:p>
        </w:tc>
        <w:tc>
          <w:tcPr>
            <w:tcW w:w="50" w:type="pct"/>
            <w:vAlign w:val="center"/>
            <w:hideMark/>
          </w:tcPr>
          <w:p w14:paraId="38D880F9" w14:textId="77777777" w:rsidR="00000000" w:rsidRDefault="001A570A">
            <w:pPr>
              <w:rPr>
                <w:rFonts w:eastAsia="Times New Roman"/>
                <w:sz w:val="20"/>
                <w:szCs w:val="20"/>
              </w:rPr>
            </w:pPr>
          </w:p>
        </w:tc>
        <w:tc>
          <w:tcPr>
            <w:tcW w:w="423" w:type="pct"/>
            <w:vAlign w:val="center"/>
            <w:hideMark/>
          </w:tcPr>
          <w:p w14:paraId="64D89CBB" w14:textId="77777777" w:rsidR="00000000" w:rsidRDefault="001A570A">
            <w:pPr>
              <w:rPr>
                <w:rFonts w:eastAsia="Times New Roman"/>
                <w:sz w:val="20"/>
                <w:szCs w:val="20"/>
              </w:rPr>
            </w:pPr>
          </w:p>
        </w:tc>
        <w:tc>
          <w:tcPr>
            <w:tcW w:w="5" w:type="pct"/>
            <w:vAlign w:val="center"/>
            <w:hideMark/>
          </w:tcPr>
          <w:p w14:paraId="6501AEB0" w14:textId="77777777" w:rsidR="00000000" w:rsidRDefault="001A570A">
            <w:pPr>
              <w:rPr>
                <w:rFonts w:eastAsia="Times New Roman"/>
                <w:sz w:val="20"/>
                <w:szCs w:val="20"/>
              </w:rPr>
            </w:pPr>
          </w:p>
        </w:tc>
        <w:tc>
          <w:tcPr>
            <w:tcW w:w="50" w:type="pct"/>
            <w:vAlign w:val="center"/>
            <w:hideMark/>
          </w:tcPr>
          <w:p w14:paraId="0C978057" w14:textId="77777777" w:rsidR="00000000" w:rsidRDefault="001A570A">
            <w:pPr>
              <w:rPr>
                <w:rFonts w:eastAsia="Times New Roman"/>
                <w:sz w:val="20"/>
                <w:szCs w:val="20"/>
              </w:rPr>
            </w:pPr>
          </w:p>
        </w:tc>
        <w:tc>
          <w:tcPr>
            <w:tcW w:w="423" w:type="pct"/>
            <w:vAlign w:val="center"/>
            <w:hideMark/>
          </w:tcPr>
          <w:p w14:paraId="2B233A63" w14:textId="77777777" w:rsidR="00000000" w:rsidRDefault="001A570A">
            <w:pPr>
              <w:rPr>
                <w:rFonts w:eastAsia="Times New Roman"/>
                <w:sz w:val="20"/>
                <w:szCs w:val="20"/>
              </w:rPr>
            </w:pPr>
          </w:p>
        </w:tc>
        <w:tc>
          <w:tcPr>
            <w:tcW w:w="5" w:type="pct"/>
            <w:vAlign w:val="center"/>
            <w:hideMark/>
          </w:tcPr>
          <w:p w14:paraId="0183A4F6" w14:textId="77777777" w:rsidR="00000000" w:rsidRDefault="001A570A">
            <w:pPr>
              <w:rPr>
                <w:rFonts w:eastAsia="Times New Roman"/>
                <w:sz w:val="20"/>
                <w:szCs w:val="20"/>
              </w:rPr>
            </w:pPr>
          </w:p>
        </w:tc>
        <w:tc>
          <w:tcPr>
            <w:tcW w:w="50" w:type="pct"/>
            <w:vAlign w:val="center"/>
            <w:hideMark/>
          </w:tcPr>
          <w:p w14:paraId="325C1F4D" w14:textId="77777777" w:rsidR="00000000" w:rsidRDefault="001A570A">
            <w:pPr>
              <w:rPr>
                <w:rFonts w:eastAsia="Times New Roman"/>
                <w:sz w:val="20"/>
                <w:szCs w:val="20"/>
              </w:rPr>
            </w:pPr>
          </w:p>
        </w:tc>
        <w:tc>
          <w:tcPr>
            <w:tcW w:w="415" w:type="pct"/>
            <w:vAlign w:val="center"/>
            <w:hideMark/>
          </w:tcPr>
          <w:p w14:paraId="13298DB7" w14:textId="77777777" w:rsidR="00000000" w:rsidRDefault="001A570A">
            <w:pPr>
              <w:rPr>
                <w:rFonts w:eastAsia="Times New Roman"/>
                <w:sz w:val="20"/>
                <w:szCs w:val="20"/>
              </w:rPr>
            </w:pPr>
          </w:p>
        </w:tc>
        <w:tc>
          <w:tcPr>
            <w:tcW w:w="5" w:type="pct"/>
            <w:vAlign w:val="center"/>
            <w:hideMark/>
          </w:tcPr>
          <w:p w14:paraId="3C2E6210" w14:textId="77777777" w:rsidR="00000000" w:rsidRDefault="001A570A">
            <w:pPr>
              <w:rPr>
                <w:rFonts w:eastAsia="Times New Roman"/>
                <w:sz w:val="20"/>
                <w:szCs w:val="20"/>
              </w:rPr>
            </w:pPr>
          </w:p>
        </w:tc>
        <w:tc>
          <w:tcPr>
            <w:tcW w:w="50" w:type="pct"/>
            <w:vAlign w:val="center"/>
            <w:hideMark/>
          </w:tcPr>
          <w:p w14:paraId="5A74C0F6" w14:textId="77777777" w:rsidR="00000000" w:rsidRDefault="001A570A">
            <w:pPr>
              <w:rPr>
                <w:rFonts w:eastAsia="Times New Roman"/>
                <w:sz w:val="20"/>
                <w:szCs w:val="20"/>
              </w:rPr>
            </w:pPr>
          </w:p>
        </w:tc>
        <w:tc>
          <w:tcPr>
            <w:tcW w:w="470" w:type="pct"/>
            <w:vAlign w:val="center"/>
            <w:hideMark/>
          </w:tcPr>
          <w:p w14:paraId="4C1B87EA" w14:textId="77777777" w:rsidR="00000000" w:rsidRDefault="001A570A">
            <w:pPr>
              <w:rPr>
                <w:rFonts w:eastAsia="Times New Roman"/>
                <w:sz w:val="20"/>
                <w:szCs w:val="20"/>
              </w:rPr>
            </w:pPr>
          </w:p>
        </w:tc>
        <w:tc>
          <w:tcPr>
            <w:tcW w:w="5" w:type="pct"/>
            <w:vAlign w:val="center"/>
            <w:hideMark/>
          </w:tcPr>
          <w:p w14:paraId="573A0116" w14:textId="77777777" w:rsidR="00000000" w:rsidRDefault="001A570A">
            <w:pPr>
              <w:rPr>
                <w:rFonts w:eastAsia="Times New Roman"/>
                <w:sz w:val="20"/>
                <w:szCs w:val="20"/>
              </w:rPr>
            </w:pPr>
          </w:p>
        </w:tc>
        <w:tc>
          <w:tcPr>
            <w:tcW w:w="50" w:type="pct"/>
            <w:vAlign w:val="center"/>
            <w:hideMark/>
          </w:tcPr>
          <w:p w14:paraId="6748841A" w14:textId="77777777" w:rsidR="00000000" w:rsidRDefault="001A570A">
            <w:pPr>
              <w:rPr>
                <w:rFonts w:eastAsia="Times New Roman"/>
                <w:sz w:val="20"/>
                <w:szCs w:val="20"/>
              </w:rPr>
            </w:pPr>
          </w:p>
        </w:tc>
        <w:tc>
          <w:tcPr>
            <w:tcW w:w="478" w:type="pct"/>
            <w:vAlign w:val="center"/>
            <w:hideMark/>
          </w:tcPr>
          <w:p w14:paraId="6400D4DA" w14:textId="77777777" w:rsidR="00000000" w:rsidRDefault="001A570A">
            <w:pPr>
              <w:rPr>
                <w:rFonts w:eastAsia="Times New Roman"/>
                <w:sz w:val="20"/>
                <w:szCs w:val="20"/>
              </w:rPr>
            </w:pPr>
          </w:p>
        </w:tc>
        <w:tc>
          <w:tcPr>
            <w:tcW w:w="5" w:type="pct"/>
            <w:vAlign w:val="center"/>
            <w:hideMark/>
          </w:tcPr>
          <w:p w14:paraId="0EF28F42" w14:textId="77777777" w:rsidR="00000000" w:rsidRDefault="001A570A">
            <w:pPr>
              <w:rPr>
                <w:rFonts w:eastAsia="Times New Roman"/>
                <w:sz w:val="20"/>
                <w:szCs w:val="20"/>
              </w:rPr>
            </w:pPr>
          </w:p>
        </w:tc>
        <w:tc>
          <w:tcPr>
            <w:tcW w:w="50" w:type="pct"/>
            <w:vAlign w:val="center"/>
            <w:hideMark/>
          </w:tcPr>
          <w:p w14:paraId="0A6E8536" w14:textId="77777777" w:rsidR="00000000" w:rsidRDefault="001A570A">
            <w:pPr>
              <w:rPr>
                <w:rFonts w:eastAsia="Times New Roman"/>
                <w:sz w:val="20"/>
                <w:szCs w:val="20"/>
              </w:rPr>
            </w:pPr>
          </w:p>
        </w:tc>
        <w:tc>
          <w:tcPr>
            <w:tcW w:w="517" w:type="pct"/>
            <w:vAlign w:val="center"/>
            <w:hideMark/>
          </w:tcPr>
          <w:p w14:paraId="4CF91EDD" w14:textId="77777777" w:rsidR="00000000" w:rsidRDefault="001A570A">
            <w:pPr>
              <w:rPr>
                <w:rFonts w:eastAsia="Times New Roman"/>
                <w:sz w:val="20"/>
                <w:szCs w:val="20"/>
              </w:rPr>
            </w:pPr>
          </w:p>
        </w:tc>
        <w:tc>
          <w:tcPr>
            <w:tcW w:w="5" w:type="pct"/>
            <w:vAlign w:val="center"/>
            <w:hideMark/>
          </w:tcPr>
          <w:p w14:paraId="0C21F19C" w14:textId="77777777" w:rsidR="00000000" w:rsidRDefault="001A570A">
            <w:pPr>
              <w:rPr>
                <w:rFonts w:eastAsia="Times New Roman"/>
                <w:sz w:val="20"/>
                <w:szCs w:val="20"/>
              </w:rPr>
            </w:pPr>
          </w:p>
        </w:tc>
        <w:tc>
          <w:tcPr>
            <w:tcW w:w="50" w:type="pct"/>
            <w:vAlign w:val="center"/>
            <w:hideMark/>
          </w:tcPr>
          <w:p w14:paraId="0D3EA1AD" w14:textId="77777777" w:rsidR="00000000" w:rsidRDefault="001A570A">
            <w:pPr>
              <w:rPr>
                <w:rFonts w:eastAsia="Times New Roman"/>
                <w:sz w:val="20"/>
                <w:szCs w:val="20"/>
              </w:rPr>
            </w:pPr>
          </w:p>
        </w:tc>
        <w:tc>
          <w:tcPr>
            <w:tcW w:w="502" w:type="pct"/>
            <w:vAlign w:val="center"/>
            <w:hideMark/>
          </w:tcPr>
          <w:p w14:paraId="36CD1F92" w14:textId="77777777" w:rsidR="00000000" w:rsidRDefault="001A570A">
            <w:pPr>
              <w:rPr>
                <w:rFonts w:eastAsia="Times New Roman"/>
                <w:sz w:val="20"/>
                <w:szCs w:val="20"/>
              </w:rPr>
            </w:pPr>
          </w:p>
        </w:tc>
        <w:tc>
          <w:tcPr>
            <w:tcW w:w="5" w:type="pct"/>
            <w:vAlign w:val="center"/>
            <w:hideMark/>
          </w:tcPr>
          <w:p w14:paraId="764106F1" w14:textId="77777777" w:rsidR="00000000" w:rsidRDefault="001A570A">
            <w:pPr>
              <w:rPr>
                <w:rFonts w:eastAsia="Times New Roman"/>
                <w:sz w:val="20"/>
                <w:szCs w:val="20"/>
              </w:rPr>
            </w:pPr>
          </w:p>
        </w:tc>
      </w:tr>
      <w:tr w:rsidR="00000000" w14:paraId="3414B0C2" w14:textId="77777777">
        <w:trPr>
          <w:divId w:val="371613819"/>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9720C62" w14:textId="77777777" w:rsidR="00000000" w:rsidRDefault="001A570A">
            <w:pPr>
              <w:rPr>
                <w:rFonts w:eastAsia="Times New Roman"/>
              </w:rPr>
            </w:pPr>
            <w:r>
              <w:rPr>
                <w:rFonts w:eastAsia="Times New Roman"/>
                <w:b/>
                <w:bCs/>
                <w:color w:val="000000"/>
                <w:sz w:val="20"/>
                <w:szCs w:val="20"/>
              </w:rPr>
              <w:t>L3HARRIS PERIOD END</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4751C166" w14:textId="77777777" w:rsidR="00000000" w:rsidRDefault="001A570A">
            <w:pPr>
              <w:jc w:val="center"/>
              <w:rPr>
                <w:rFonts w:eastAsia="Times New Roman"/>
              </w:rPr>
            </w:pPr>
            <w:r>
              <w:rPr>
                <w:rFonts w:eastAsia="Times New Roman"/>
                <w:b/>
                <w:bCs/>
                <w:color w:val="000000"/>
                <w:sz w:val="20"/>
                <w:szCs w:val="20"/>
              </w:rPr>
              <w:t>July 3,</w:t>
            </w:r>
            <w:r>
              <w:rPr>
                <w:rFonts w:eastAsia="Times New Roman"/>
                <w:b/>
                <w:bCs/>
                <w:color w:val="000000"/>
                <w:sz w:val="20"/>
                <w:szCs w:val="20"/>
              </w:rPr>
              <w:br/>
              <w:t>2015</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6754FEE" w14:textId="77777777" w:rsidR="00000000" w:rsidRDefault="001A570A">
            <w:pPr>
              <w:jc w:val="center"/>
              <w:rPr>
                <w:rFonts w:eastAsia="Times New Roman"/>
              </w:rPr>
            </w:pPr>
            <w:r>
              <w:rPr>
                <w:rFonts w:eastAsia="Times New Roman"/>
                <w:b/>
                <w:bCs/>
                <w:color w:val="000000"/>
                <w:sz w:val="20"/>
                <w:szCs w:val="20"/>
              </w:rPr>
              <w:t>July 1,</w:t>
            </w:r>
            <w:r>
              <w:rPr>
                <w:rFonts w:eastAsia="Times New Roman"/>
                <w:b/>
                <w:bCs/>
                <w:color w:val="000000"/>
                <w:sz w:val="20"/>
                <w:szCs w:val="20"/>
              </w:rPr>
              <w:br/>
              <w:t>2016</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7D882A2F" w14:textId="77777777" w:rsidR="00000000" w:rsidRDefault="001A570A">
            <w:pPr>
              <w:jc w:val="center"/>
              <w:rPr>
                <w:rFonts w:eastAsia="Times New Roman"/>
              </w:rPr>
            </w:pPr>
            <w:r>
              <w:rPr>
                <w:rFonts w:eastAsia="Times New Roman"/>
                <w:b/>
                <w:bCs/>
                <w:color w:val="000000"/>
                <w:sz w:val="20"/>
                <w:szCs w:val="20"/>
              </w:rPr>
              <w:t>June 30,</w:t>
            </w:r>
            <w:r>
              <w:rPr>
                <w:rFonts w:eastAsia="Times New Roman"/>
                <w:b/>
                <w:bCs/>
                <w:color w:val="000000"/>
                <w:sz w:val="20"/>
                <w:szCs w:val="20"/>
              </w:rPr>
              <w:br/>
              <w:t>2017</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6BC74D46" w14:textId="77777777" w:rsidR="00000000" w:rsidRDefault="001A570A">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r>
            <w:r>
              <w:rPr>
                <w:rFonts w:eastAsia="Times New Roman"/>
                <w:b/>
                <w:bCs/>
                <w:color w:val="000000"/>
                <w:sz w:val="20"/>
                <w:szCs w:val="20"/>
              </w:rPr>
              <w:t>2018</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57EC6E8A" w14:textId="77777777" w:rsidR="00000000" w:rsidRDefault="001A570A">
            <w:pPr>
              <w:jc w:val="center"/>
              <w:rPr>
                <w:rFonts w:eastAsia="Times New Roman"/>
              </w:rPr>
            </w:pPr>
            <w:r>
              <w:rPr>
                <w:rFonts w:eastAsia="Times New Roman"/>
                <w:b/>
                <w:bCs/>
                <w:color w:val="000000"/>
                <w:sz w:val="20"/>
                <w:szCs w:val="20"/>
              </w:rPr>
              <w:t>June 28,</w:t>
            </w:r>
            <w:r>
              <w:rPr>
                <w:rFonts w:eastAsia="Times New Roman"/>
                <w:b/>
                <w:bCs/>
                <w:color w:val="000000"/>
                <w:sz w:val="20"/>
                <w:szCs w:val="20"/>
              </w:rPr>
              <w:br/>
              <w:t>2019</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4598491" w14:textId="77777777" w:rsidR="00000000" w:rsidRDefault="001A570A">
            <w:pPr>
              <w:jc w:val="center"/>
              <w:rPr>
                <w:rFonts w:eastAsia="Times New Roman"/>
              </w:rPr>
            </w:pPr>
            <w:r>
              <w:rPr>
                <w:rFonts w:eastAsia="Times New Roman"/>
                <w:b/>
                <w:bCs/>
                <w:color w:val="000000"/>
                <w:sz w:val="20"/>
                <w:szCs w:val="20"/>
              </w:rPr>
              <w:t>January 3,</w:t>
            </w:r>
            <w:r>
              <w:rPr>
                <w:rFonts w:eastAsia="Times New Roman"/>
                <w:b/>
                <w:bCs/>
                <w:color w:val="000000"/>
                <w:sz w:val="20"/>
                <w:szCs w:val="20"/>
              </w:rPr>
              <w:br/>
              <w:t>2020</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193F7FC0" w14:textId="77777777" w:rsidR="00000000" w:rsidRDefault="001A570A">
            <w:pPr>
              <w:jc w:val="center"/>
              <w:rPr>
                <w:rFonts w:eastAsia="Times New Roman"/>
              </w:rPr>
            </w:pPr>
            <w:r>
              <w:rPr>
                <w:rFonts w:eastAsia="Times New Roman"/>
                <w:b/>
                <w:bCs/>
                <w:color w:val="000000"/>
                <w:sz w:val="20"/>
                <w:szCs w:val="20"/>
              </w:rPr>
              <w:t>January 1,</w:t>
            </w:r>
            <w:r>
              <w:rPr>
                <w:rFonts w:eastAsia="Times New Roman"/>
                <w:b/>
                <w:bCs/>
                <w:color w:val="000000"/>
                <w:sz w:val="20"/>
                <w:szCs w:val="20"/>
              </w:rPr>
              <w:br/>
              <w:t>2021</w:t>
            </w:r>
          </w:p>
        </w:tc>
      </w:tr>
      <w:tr w:rsidR="00000000" w14:paraId="67C25051" w14:textId="77777777">
        <w:trPr>
          <w:divId w:val="371613819"/>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8CDCB4F" w14:textId="77777777" w:rsidR="00000000" w:rsidRDefault="001A570A">
            <w:pPr>
              <w:rPr>
                <w:rFonts w:eastAsia="Times New Roman"/>
              </w:rPr>
            </w:pPr>
            <w:r>
              <w:rPr>
                <w:rFonts w:eastAsia="Times New Roman"/>
                <w:color w:val="000000"/>
                <w:sz w:val="20"/>
                <w:szCs w:val="20"/>
              </w:rPr>
              <w:t>L3Harris Technologies, Inc.</w:t>
            </w: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29FD5E7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81D704A" w14:textId="77777777" w:rsidR="00000000" w:rsidRDefault="001A570A">
            <w:pPr>
              <w:jc w:val="right"/>
              <w:rPr>
                <w:rFonts w:eastAsia="Times New Roman"/>
              </w:rPr>
            </w:pPr>
            <w:r>
              <w:rPr>
                <w:rFonts w:eastAsia="Times New Roman"/>
                <w:color w:val="000000"/>
                <w:sz w:val="20"/>
                <w:szCs w:val="20"/>
              </w:rPr>
              <w:t>100 </w:t>
            </w:r>
          </w:p>
        </w:tc>
        <w:tc>
          <w:tcPr>
            <w:tcW w:w="0" w:type="auto"/>
            <w:tcBorders>
              <w:top w:val="single" w:sz="8" w:space="0" w:color="000000"/>
            </w:tcBorders>
            <w:tcMar>
              <w:top w:w="30" w:type="dxa"/>
              <w:left w:w="0" w:type="dxa"/>
              <w:bottom w:w="30" w:type="dxa"/>
              <w:right w:w="20" w:type="dxa"/>
            </w:tcMar>
            <w:vAlign w:val="bottom"/>
            <w:hideMark/>
          </w:tcPr>
          <w:p w14:paraId="1C69B328"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1E0ACB2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1F1FF41B" w14:textId="77777777" w:rsidR="00000000" w:rsidRDefault="001A570A">
            <w:pPr>
              <w:jc w:val="right"/>
              <w:rPr>
                <w:rFonts w:eastAsia="Times New Roman"/>
              </w:rPr>
            </w:pPr>
            <w:r>
              <w:rPr>
                <w:rFonts w:eastAsia="Times New Roman"/>
                <w:color w:val="000000"/>
                <w:sz w:val="20"/>
                <w:szCs w:val="20"/>
              </w:rPr>
              <w:t>109 </w:t>
            </w:r>
          </w:p>
        </w:tc>
        <w:tc>
          <w:tcPr>
            <w:tcW w:w="0" w:type="auto"/>
            <w:tcBorders>
              <w:top w:val="single" w:sz="8" w:space="0" w:color="000000"/>
            </w:tcBorders>
            <w:tcMar>
              <w:top w:w="30" w:type="dxa"/>
              <w:left w:w="0" w:type="dxa"/>
              <w:bottom w:w="30" w:type="dxa"/>
              <w:right w:w="20" w:type="dxa"/>
            </w:tcMar>
            <w:vAlign w:val="bottom"/>
            <w:hideMark/>
          </w:tcPr>
          <w:p w14:paraId="27E462FD"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7FB639B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0CD0BEA2" w14:textId="77777777" w:rsidR="00000000" w:rsidRDefault="001A570A">
            <w:pPr>
              <w:jc w:val="right"/>
              <w:rPr>
                <w:rFonts w:eastAsia="Times New Roman"/>
              </w:rPr>
            </w:pPr>
            <w:r>
              <w:rPr>
                <w:rFonts w:eastAsia="Times New Roman"/>
                <w:color w:val="000000"/>
                <w:sz w:val="20"/>
                <w:szCs w:val="20"/>
              </w:rPr>
              <w:t>147 </w:t>
            </w:r>
          </w:p>
        </w:tc>
        <w:tc>
          <w:tcPr>
            <w:tcW w:w="0" w:type="auto"/>
            <w:tcBorders>
              <w:top w:val="single" w:sz="8" w:space="0" w:color="000000"/>
            </w:tcBorders>
            <w:tcMar>
              <w:top w:w="30" w:type="dxa"/>
              <w:left w:w="0" w:type="dxa"/>
              <w:bottom w:w="30" w:type="dxa"/>
              <w:right w:w="20" w:type="dxa"/>
            </w:tcMar>
            <w:vAlign w:val="bottom"/>
            <w:hideMark/>
          </w:tcPr>
          <w:p w14:paraId="3F2DF34A"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60DB3EB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5600D9DA" w14:textId="77777777" w:rsidR="00000000" w:rsidRDefault="001A570A">
            <w:pPr>
              <w:jc w:val="right"/>
              <w:rPr>
                <w:rFonts w:eastAsia="Times New Roman"/>
              </w:rPr>
            </w:pPr>
            <w:r>
              <w:rPr>
                <w:rFonts w:eastAsia="Times New Roman"/>
                <w:color w:val="000000"/>
                <w:sz w:val="20"/>
                <w:szCs w:val="20"/>
              </w:rPr>
              <w:t>198 </w:t>
            </w:r>
          </w:p>
        </w:tc>
        <w:tc>
          <w:tcPr>
            <w:tcW w:w="0" w:type="auto"/>
            <w:tcBorders>
              <w:top w:val="single" w:sz="8" w:space="0" w:color="000000"/>
            </w:tcBorders>
            <w:tcMar>
              <w:top w:w="30" w:type="dxa"/>
              <w:left w:w="0" w:type="dxa"/>
              <w:bottom w:w="30" w:type="dxa"/>
              <w:right w:w="20" w:type="dxa"/>
            </w:tcMar>
            <w:vAlign w:val="bottom"/>
            <w:hideMark/>
          </w:tcPr>
          <w:p w14:paraId="79B259F5"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4A31FD1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AC6791F" w14:textId="77777777" w:rsidR="00000000" w:rsidRDefault="001A570A">
            <w:pPr>
              <w:jc w:val="right"/>
              <w:rPr>
                <w:rFonts w:eastAsia="Times New Roman"/>
              </w:rPr>
            </w:pPr>
            <w:r>
              <w:rPr>
                <w:rFonts w:eastAsia="Times New Roman"/>
                <w:color w:val="000000"/>
                <w:sz w:val="20"/>
                <w:szCs w:val="20"/>
              </w:rPr>
              <w:t>263 </w:t>
            </w:r>
          </w:p>
        </w:tc>
        <w:tc>
          <w:tcPr>
            <w:tcW w:w="0" w:type="auto"/>
            <w:tcBorders>
              <w:top w:val="single" w:sz="8" w:space="0" w:color="000000"/>
            </w:tcBorders>
            <w:tcMar>
              <w:top w:w="30" w:type="dxa"/>
              <w:left w:w="0" w:type="dxa"/>
              <w:bottom w:w="30" w:type="dxa"/>
              <w:right w:w="20" w:type="dxa"/>
            </w:tcMar>
            <w:vAlign w:val="bottom"/>
            <w:hideMark/>
          </w:tcPr>
          <w:p w14:paraId="2B219572"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426F019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379BF8A2" w14:textId="77777777" w:rsidR="00000000" w:rsidRDefault="001A570A">
            <w:pPr>
              <w:jc w:val="right"/>
              <w:rPr>
                <w:rFonts w:eastAsia="Times New Roman"/>
              </w:rPr>
            </w:pPr>
            <w:r>
              <w:rPr>
                <w:rFonts w:eastAsia="Times New Roman"/>
                <w:color w:val="000000"/>
                <w:sz w:val="20"/>
                <w:szCs w:val="20"/>
              </w:rPr>
              <w:t>295 </w:t>
            </w:r>
          </w:p>
        </w:tc>
        <w:tc>
          <w:tcPr>
            <w:tcW w:w="0" w:type="auto"/>
            <w:tcBorders>
              <w:top w:val="single" w:sz="8" w:space="0" w:color="000000"/>
            </w:tcBorders>
            <w:tcMar>
              <w:top w:w="30" w:type="dxa"/>
              <w:left w:w="0" w:type="dxa"/>
              <w:bottom w:w="30" w:type="dxa"/>
              <w:right w:w="20" w:type="dxa"/>
            </w:tcMar>
            <w:vAlign w:val="bottom"/>
            <w:hideMark/>
          </w:tcPr>
          <w:p w14:paraId="759E3A56"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5230ED2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3A05D671" w14:textId="77777777" w:rsidR="00000000" w:rsidRDefault="001A570A">
            <w:pPr>
              <w:jc w:val="right"/>
              <w:rPr>
                <w:rFonts w:eastAsia="Times New Roman"/>
              </w:rPr>
            </w:pPr>
            <w:r>
              <w:rPr>
                <w:rFonts w:eastAsia="Times New Roman"/>
                <w:color w:val="000000"/>
                <w:sz w:val="20"/>
                <w:szCs w:val="20"/>
              </w:rPr>
              <w:t>270 </w:t>
            </w:r>
          </w:p>
        </w:tc>
        <w:tc>
          <w:tcPr>
            <w:tcW w:w="0" w:type="auto"/>
            <w:tcBorders>
              <w:top w:val="single" w:sz="8" w:space="0" w:color="000000"/>
              <w:right w:val="single" w:sz="8" w:space="0" w:color="000000"/>
            </w:tcBorders>
            <w:tcMar>
              <w:top w:w="30" w:type="dxa"/>
              <w:left w:w="0" w:type="dxa"/>
              <w:bottom w:w="30" w:type="dxa"/>
              <w:right w:w="20" w:type="dxa"/>
            </w:tcMar>
            <w:vAlign w:val="bottom"/>
            <w:hideMark/>
          </w:tcPr>
          <w:p w14:paraId="0D008385" w14:textId="77777777" w:rsidR="00000000" w:rsidRDefault="001A570A">
            <w:pPr>
              <w:jc w:val="right"/>
              <w:rPr>
                <w:rFonts w:eastAsia="Times New Roman"/>
              </w:rPr>
            </w:pPr>
          </w:p>
        </w:tc>
      </w:tr>
      <w:tr w:rsidR="00000000" w14:paraId="420EC9AC" w14:textId="77777777">
        <w:trPr>
          <w:divId w:val="371613819"/>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4902CD0" w14:textId="77777777" w:rsidR="00000000" w:rsidRDefault="001A570A">
            <w:pPr>
              <w:rPr>
                <w:rFonts w:eastAsia="Times New Roman"/>
              </w:rPr>
            </w:pPr>
            <w:r>
              <w:rPr>
                <w:rFonts w:eastAsia="Times New Roman"/>
                <w:color w:val="000000"/>
                <w:sz w:val="20"/>
                <w:szCs w:val="20"/>
              </w:rPr>
              <w:t>S&amp;P 500</w:t>
            </w: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4A13E4E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8424F3B" w14:textId="77777777" w:rsidR="00000000" w:rsidRDefault="001A570A">
            <w:pPr>
              <w:jc w:val="right"/>
              <w:rPr>
                <w:rFonts w:eastAsia="Times New Roman"/>
              </w:rPr>
            </w:pPr>
            <w:r>
              <w:rPr>
                <w:rFonts w:eastAsia="Times New Roman"/>
                <w:color w:val="000000"/>
                <w:sz w:val="20"/>
                <w:szCs w:val="20"/>
              </w:rPr>
              <w:t>100 </w:t>
            </w:r>
          </w:p>
        </w:tc>
        <w:tc>
          <w:tcPr>
            <w:tcW w:w="0" w:type="auto"/>
            <w:tcBorders>
              <w:top w:val="single" w:sz="8" w:space="0" w:color="000000"/>
            </w:tcBorders>
            <w:tcMar>
              <w:top w:w="30" w:type="dxa"/>
              <w:left w:w="0" w:type="dxa"/>
              <w:bottom w:w="30" w:type="dxa"/>
              <w:right w:w="20" w:type="dxa"/>
            </w:tcMar>
            <w:vAlign w:val="bottom"/>
            <w:hideMark/>
          </w:tcPr>
          <w:p w14:paraId="22E6834C"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0047ADA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58DD1470" w14:textId="77777777" w:rsidR="00000000" w:rsidRDefault="001A570A">
            <w:pPr>
              <w:jc w:val="right"/>
              <w:rPr>
                <w:rFonts w:eastAsia="Times New Roman"/>
              </w:rPr>
            </w:pPr>
            <w:r>
              <w:rPr>
                <w:rFonts w:eastAsia="Times New Roman"/>
                <w:color w:val="000000"/>
                <w:sz w:val="20"/>
                <w:szCs w:val="20"/>
              </w:rPr>
              <w:t>104 </w:t>
            </w:r>
          </w:p>
        </w:tc>
        <w:tc>
          <w:tcPr>
            <w:tcW w:w="0" w:type="auto"/>
            <w:tcBorders>
              <w:top w:val="single" w:sz="8" w:space="0" w:color="000000"/>
            </w:tcBorders>
            <w:tcMar>
              <w:top w:w="30" w:type="dxa"/>
              <w:left w:w="0" w:type="dxa"/>
              <w:bottom w:w="30" w:type="dxa"/>
              <w:right w:w="20" w:type="dxa"/>
            </w:tcMar>
            <w:vAlign w:val="bottom"/>
            <w:hideMark/>
          </w:tcPr>
          <w:p w14:paraId="3465FECE"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47ECFF3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6A07239D" w14:textId="77777777" w:rsidR="00000000" w:rsidRDefault="001A570A">
            <w:pPr>
              <w:jc w:val="right"/>
              <w:rPr>
                <w:rFonts w:eastAsia="Times New Roman"/>
              </w:rPr>
            </w:pPr>
            <w:r>
              <w:rPr>
                <w:rFonts w:eastAsia="Times New Roman"/>
                <w:color w:val="000000"/>
                <w:sz w:val="20"/>
                <w:szCs w:val="20"/>
              </w:rPr>
              <w:t>122 </w:t>
            </w:r>
          </w:p>
        </w:tc>
        <w:tc>
          <w:tcPr>
            <w:tcW w:w="0" w:type="auto"/>
            <w:tcBorders>
              <w:top w:val="single" w:sz="8" w:space="0" w:color="000000"/>
            </w:tcBorders>
            <w:tcMar>
              <w:top w:w="30" w:type="dxa"/>
              <w:left w:w="0" w:type="dxa"/>
              <w:bottom w:w="30" w:type="dxa"/>
              <w:right w:w="20" w:type="dxa"/>
            </w:tcMar>
            <w:vAlign w:val="bottom"/>
            <w:hideMark/>
          </w:tcPr>
          <w:p w14:paraId="2EEE20F1"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00728E6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45CDB885" w14:textId="77777777" w:rsidR="00000000" w:rsidRDefault="001A570A">
            <w:pPr>
              <w:jc w:val="right"/>
              <w:rPr>
                <w:rFonts w:eastAsia="Times New Roman"/>
              </w:rPr>
            </w:pPr>
            <w:r>
              <w:rPr>
                <w:rFonts w:eastAsia="Times New Roman"/>
                <w:color w:val="000000"/>
                <w:sz w:val="20"/>
                <w:szCs w:val="20"/>
              </w:rPr>
              <w:t>139 </w:t>
            </w:r>
          </w:p>
        </w:tc>
        <w:tc>
          <w:tcPr>
            <w:tcW w:w="0" w:type="auto"/>
            <w:tcBorders>
              <w:top w:val="single" w:sz="8" w:space="0" w:color="000000"/>
            </w:tcBorders>
            <w:tcMar>
              <w:top w:w="30" w:type="dxa"/>
              <w:left w:w="0" w:type="dxa"/>
              <w:bottom w:w="30" w:type="dxa"/>
              <w:right w:w="20" w:type="dxa"/>
            </w:tcMar>
            <w:vAlign w:val="bottom"/>
            <w:hideMark/>
          </w:tcPr>
          <w:p w14:paraId="002C9B84"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4A56C3A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D9DFB45" w14:textId="77777777" w:rsidR="00000000" w:rsidRDefault="001A570A">
            <w:pPr>
              <w:jc w:val="right"/>
              <w:rPr>
                <w:rFonts w:eastAsia="Times New Roman"/>
              </w:rPr>
            </w:pPr>
            <w:r>
              <w:rPr>
                <w:rFonts w:eastAsia="Times New Roman"/>
                <w:color w:val="000000"/>
                <w:sz w:val="20"/>
                <w:szCs w:val="20"/>
              </w:rPr>
              <w:t>154 </w:t>
            </w:r>
          </w:p>
        </w:tc>
        <w:tc>
          <w:tcPr>
            <w:tcW w:w="0" w:type="auto"/>
            <w:tcBorders>
              <w:top w:val="single" w:sz="8" w:space="0" w:color="000000"/>
            </w:tcBorders>
            <w:tcMar>
              <w:top w:w="30" w:type="dxa"/>
              <w:left w:w="0" w:type="dxa"/>
              <w:bottom w:w="30" w:type="dxa"/>
              <w:right w:w="20" w:type="dxa"/>
            </w:tcMar>
            <w:vAlign w:val="bottom"/>
            <w:hideMark/>
          </w:tcPr>
          <w:p w14:paraId="30BD8778"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7202D4B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71A8682B" w14:textId="77777777" w:rsidR="00000000" w:rsidRDefault="001A570A">
            <w:pPr>
              <w:jc w:val="right"/>
              <w:rPr>
                <w:rFonts w:eastAsia="Times New Roman"/>
              </w:rPr>
            </w:pPr>
            <w:r>
              <w:rPr>
                <w:rFonts w:eastAsia="Times New Roman"/>
                <w:color w:val="000000"/>
                <w:sz w:val="20"/>
                <w:szCs w:val="20"/>
              </w:rPr>
              <w:t>171 </w:t>
            </w:r>
          </w:p>
        </w:tc>
        <w:tc>
          <w:tcPr>
            <w:tcW w:w="0" w:type="auto"/>
            <w:tcBorders>
              <w:top w:val="single" w:sz="8" w:space="0" w:color="000000"/>
            </w:tcBorders>
            <w:tcMar>
              <w:top w:w="30" w:type="dxa"/>
              <w:left w:w="0" w:type="dxa"/>
              <w:bottom w:w="30" w:type="dxa"/>
              <w:right w:w="20" w:type="dxa"/>
            </w:tcMar>
            <w:vAlign w:val="bottom"/>
            <w:hideMark/>
          </w:tcPr>
          <w:p w14:paraId="64B1303B" w14:textId="77777777" w:rsidR="00000000" w:rsidRDefault="001A570A">
            <w:pPr>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14:paraId="7C9435F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5CE6A868" w14:textId="77777777" w:rsidR="00000000" w:rsidRDefault="001A570A">
            <w:pPr>
              <w:jc w:val="right"/>
              <w:rPr>
                <w:rFonts w:eastAsia="Times New Roman"/>
              </w:rPr>
            </w:pPr>
            <w:r>
              <w:rPr>
                <w:rFonts w:eastAsia="Times New Roman"/>
                <w:color w:val="000000"/>
                <w:sz w:val="20"/>
                <w:szCs w:val="20"/>
              </w:rPr>
              <w:t>202 </w:t>
            </w:r>
          </w:p>
        </w:tc>
        <w:tc>
          <w:tcPr>
            <w:tcW w:w="0" w:type="auto"/>
            <w:tcBorders>
              <w:top w:val="single" w:sz="8" w:space="0" w:color="000000"/>
              <w:right w:val="single" w:sz="8" w:space="0" w:color="000000"/>
            </w:tcBorders>
            <w:tcMar>
              <w:top w:w="30" w:type="dxa"/>
              <w:left w:w="0" w:type="dxa"/>
              <w:bottom w:w="30" w:type="dxa"/>
              <w:right w:w="20" w:type="dxa"/>
            </w:tcMar>
            <w:vAlign w:val="bottom"/>
            <w:hideMark/>
          </w:tcPr>
          <w:p w14:paraId="17D784CF" w14:textId="77777777" w:rsidR="00000000" w:rsidRDefault="001A570A">
            <w:pPr>
              <w:jc w:val="right"/>
              <w:rPr>
                <w:rFonts w:eastAsia="Times New Roman"/>
              </w:rPr>
            </w:pPr>
          </w:p>
        </w:tc>
      </w:tr>
      <w:tr w:rsidR="00000000" w14:paraId="5B6B8232" w14:textId="77777777">
        <w:trPr>
          <w:divId w:val="371613819"/>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4C5BA878" w14:textId="77777777" w:rsidR="00000000" w:rsidRDefault="001A570A">
            <w:pPr>
              <w:rPr>
                <w:rFonts w:eastAsia="Times New Roman"/>
              </w:rPr>
            </w:pPr>
            <w:r>
              <w:rPr>
                <w:rFonts w:eastAsia="Times New Roman"/>
                <w:color w:val="000000"/>
                <w:sz w:val="20"/>
                <w:szCs w:val="20"/>
              </w:rPr>
              <w:t>S&amp;P 500 Aerospace &amp; Defense</w:t>
            </w: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735AED6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02520174" w14:textId="77777777" w:rsidR="00000000" w:rsidRDefault="001A570A">
            <w:pPr>
              <w:jc w:val="right"/>
              <w:rPr>
                <w:rFonts w:eastAsia="Times New Roman"/>
              </w:rPr>
            </w:pPr>
            <w:r>
              <w:rPr>
                <w:rFonts w:eastAsia="Times New Roman"/>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1F0E76D1" w14:textId="77777777" w:rsidR="00000000" w:rsidRDefault="001A570A">
            <w:pPr>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08F0E1D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1C1471D0" w14:textId="77777777" w:rsidR="00000000" w:rsidRDefault="001A570A">
            <w:pPr>
              <w:jc w:val="right"/>
              <w:rPr>
                <w:rFonts w:eastAsia="Times New Roman"/>
              </w:rPr>
            </w:pPr>
            <w:r>
              <w:rPr>
                <w:rFonts w:eastAsia="Times New Roman"/>
                <w:color w:val="000000"/>
                <w:sz w:val="20"/>
                <w:szCs w:val="20"/>
              </w:rPr>
              <w:t>112 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575EEC56" w14:textId="77777777" w:rsidR="00000000" w:rsidRDefault="001A570A">
            <w:pPr>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6F9D8CC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0A2EEA4B" w14:textId="77777777" w:rsidR="00000000" w:rsidRDefault="001A570A">
            <w:pPr>
              <w:jc w:val="right"/>
              <w:rPr>
                <w:rFonts w:eastAsia="Times New Roman"/>
              </w:rPr>
            </w:pPr>
            <w:r>
              <w:rPr>
                <w:rFonts w:eastAsia="Times New Roman"/>
                <w:color w:val="000000"/>
                <w:sz w:val="20"/>
                <w:szCs w:val="20"/>
              </w:rPr>
              <w:t>144 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44DEE8AE" w14:textId="77777777" w:rsidR="00000000" w:rsidRDefault="001A570A">
            <w:pPr>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3691463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7E3F47C7" w14:textId="77777777" w:rsidR="00000000" w:rsidRDefault="001A570A">
            <w:pPr>
              <w:jc w:val="right"/>
              <w:rPr>
                <w:rFonts w:eastAsia="Times New Roman"/>
              </w:rPr>
            </w:pPr>
            <w:r>
              <w:rPr>
                <w:rFonts w:eastAsia="Times New Roman"/>
                <w:color w:val="000000"/>
                <w:sz w:val="20"/>
                <w:szCs w:val="20"/>
              </w:rPr>
              <w:t>181 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5CB1860B" w14:textId="77777777" w:rsidR="00000000" w:rsidRDefault="001A570A">
            <w:pPr>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21702B7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673F408D" w14:textId="77777777" w:rsidR="00000000" w:rsidRDefault="001A570A">
            <w:pPr>
              <w:jc w:val="right"/>
              <w:rPr>
                <w:rFonts w:eastAsia="Times New Roman"/>
              </w:rPr>
            </w:pPr>
            <w:r>
              <w:rPr>
                <w:rFonts w:eastAsia="Times New Roman"/>
                <w:color w:val="000000"/>
                <w:sz w:val="20"/>
                <w:szCs w:val="20"/>
              </w:rPr>
              <w:t>200 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009C4B66" w14:textId="77777777" w:rsidR="00000000" w:rsidRDefault="001A570A">
            <w:pPr>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07054A4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70FFE899" w14:textId="77777777" w:rsidR="00000000" w:rsidRDefault="001A570A">
            <w:pPr>
              <w:jc w:val="right"/>
              <w:rPr>
                <w:rFonts w:eastAsia="Times New Roman"/>
              </w:rPr>
            </w:pPr>
            <w:r>
              <w:rPr>
                <w:rFonts w:eastAsia="Times New Roman"/>
                <w:color w:val="000000"/>
                <w:sz w:val="20"/>
                <w:szCs w:val="20"/>
              </w:rPr>
              <w:t>219 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248B3A9F" w14:textId="77777777" w:rsidR="00000000" w:rsidRDefault="001A570A">
            <w:pPr>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14:paraId="0C54996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248D4A93" w14:textId="77777777" w:rsidR="00000000" w:rsidRDefault="001A570A">
            <w:pPr>
              <w:jc w:val="right"/>
              <w:rPr>
                <w:rFonts w:eastAsia="Times New Roman"/>
              </w:rPr>
            </w:pPr>
            <w:r>
              <w:rPr>
                <w:rFonts w:eastAsia="Times New Roman"/>
                <w:color w:val="000000"/>
                <w:sz w:val="20"/>
                <w:szCs w:val="20"/>
              </w:rPr>
              <w:t>177 </w:t>
            </w:r>
          </w:p>
        </w:tc>
        <w:tc>
          <w:tcPr>
            <w:tcW w:w="0" w:type="auto"/>
            <w:tcBorders>
              <w:top w:val="single" w:sz="8" w:space="0" w:color="000000"/>
              <w:bottom w:val="single" w:sz="8" w:space="0" w:color="000000"/>
              <w:right w:val="single" w:sz="8" w:space="0" w:color="000000"/>
            </w:tcBorders>
            <w:tcMar>
              <w:top w:w="30" w:type="dxa"/>
              <w:left w:w="0" w:type="dxa"/>
              <w:bottom w:w="30" w:type="dxa"/>
              <w:right w:w="20" w:type="dxa"/>
            </w:tcMar>
            <w:vAlign w:val="bottom"/>
            <w:hideMark/>
          </w:tcPr>
          <w:p w14:paraId="5B72BA8C" w14:textId="77777777" w:rsidR="00000000" w:rsidRDefault="001A570A">
            <w:pPr>
              <w:jc w:val="right"/>
              <w:rPr>
                <w:rFonts w:eastAsia="Times New Roman"/>
              </w:rPr>
            </w:pPr>
          </w:p>
        </w:tc>
      </w:tr>
    </w:tbl>
    <w:p w14:paraId="466EA33D" w14:textId="77777777" w:rsidR="00000000" w:rsidRDefault="001A570A">
      <w:pPr>
        <w:divId w:val="1700620760"/>
        <w:rPr>
          <w:rFonts w:eastAsia="Times New Roman"/>
        </w:rPr>
      </w:pPr>
      <w:r>
        <w:rPr>
          <w:rFonts w:eastAsia="Times New Roman"/>
          <w:b/>
          <w:bCs/>
          <w:color w:val="000000"/>
          <w:sz w:val="20"/>
          <w:szCs w:val="20"/>
        </w:rPr>
        <w:t>Recent Sales of Unregistered Securities</w:t>
      </w:r>
    </w:p>
    <w:p w14:paraId="1D79244B" w14:textId="77777777" w:rsidR="00000000" w:rsidRDefault="001A570A">
      <w:pPr>
        <w:ind w:firstLine="450"/>
        <w:divId w:val="548497258"/>
        <w:rPr>
          <w:rFonts w:eastAsia="Times New Roman"/>
        </w:rPr>
      </w:pPr>
      <w:r>
        <w:rPr>
          <w:rFonts w:eastAsia="Times New Roman"/>
          <w:color w:val="000000"/>
          <w:sz w:val="20"/>
          <w:szCs w:val="20"/>
        </w:rPr>
        <w:t>During fiscal 2020, we did not issue or sell any unregistered securities.</w:t>
      </w:r>
    </w:p>
    <w:p w14:paraId="4B720F83" w14:textId="77777777" w:rsidR="00000000" w:rsidRDefault="001A570A">
      <w:pPr>
        <w:ind w:firstLine="450"/>
        <w:jc w:val="center"/>
        <w:divId w:val="1832674271"/>
        <w:rPr>
          <w:rFonts w:eastAsia="Times New Roman"/>
        </w:rPr>
      </w:pPr>
      <w:r>
        <w:rPr>
          <w:rFonts w:eastAsia="Times New Roman"/>
          <w:color w:val="000000"/>
          <w:sz w:val="20"/>
          <w:szCs w:val="20"/>
        </w:rPr>
        <w:t>31</w:t>
      </w:r>
    </w:p>
    <w:p w14:paraId="71C9EC41" w14:textId="77777777" w:rsidR="00000000" w:rsidRDefault="001A570A">
      <w:pPr>
        <w:rPr>
          <w:rFonts w:eastAsia="Times New Roman"/>
        </w:rPr>
      </w:pPr>
      <w:r>
        <w:rPr>
          <w:rFonts w:eastAsia="Times New Roman"/>
        </w:rPr>
        <w:pict w14:anchorId="6A62C351">
          <v:rect id="_x0000_i1059" style="width:0;height:1.5pt" o:hralign="center" o:hrstd="t" o:hr="t" fillcolor="#a0a0a0" stroked="f"/>
        </w:pict>
      </w:r>
    </w:p>
    <w:p w14:paraId="6A796762" w14:textId="77777777" w:rsidR="00000000" w:rsidRDefault="001A570A">
      <w:pPr>
        <w:ind w:firstLine="450"/>
        <w:divId w:val="505094890"/>
        <w:rPr>
          <w:rFonts w:eastAsia="Times New Roman"/>
        </w:rPr>
      </w:pPr>
    </w:p>
    <w:p w14:paraId="4E7FF87C" w14:textId="77777777" w:rsidR="00000000" w:rsidRDefault="001A570A">
      <w:pPr>
        <w:divId w:val="1012953024"/>
        <w:rPr>
          <w:rFonts w:eastAsia="Times New Roman"/>
        </w:rPr>
      </w:pPr>
      <w:r>
        <w:rPr>
          <w:rFonts w:eastAsia="Times New Roman"/>
          <w:b/>
          <w:bCs/>
          <w:color w:val="000000"/>
          <w:sz w:val="20"/>
          <w:szCs w:val="20"/>
        </w:rPr>
        <w:t>Issuer Purchases of Equity Securities</w:t>
      </w:r>
    </w:p>
    <w:p w14:paraId="1E6C9DBE" w14:textId="77777777" w:rsidR="00000000" w:rsidRDefault="001A570A">
      <w:pPr>
        <w:ind w:firstLine="450"/>
        <w:divId w:val="1260916046"/>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28: Subsequent Events</w:t>
      </w:r>
      <w:r>
        <w:rPr>
          <w:rFonts w:eastAsia="Times New Roman"/>
          <w:color w:val="000000"/>
          <w:sz w:val="20"/>
          <w:szCs w:val="20"/>
        </w:rPr>
        <w:t xml:space="preserve"> in the Notes, on January 28, 2021, we announced that our Board of Directors approved a new $6 billion share repurchase aut</w:t>
      </w:r>
      <w:r>
        <w:rPr>
          <w:rFonts w:eastAsia="Times New Roman"/>
          <w:color w:val="000000"/>
          <w:sz w:val="20"/>
          <w:szCs w:val="20"/>
        </w:rPr>
        <w:t>horization under our repurchase program that was in addition to the remaining unused authorization of $210 million remaining as of January 1, 2021, for a total unused authorization of $6.2 billion. We have announced that we currently expect to repurchase u</w:t>
      </w:r>
      <w:r>
        <w:rPr>
          <w:rFonts w:eastAsia="Times New Roman"/>
          <w:color w:val="000000"/>
          <w:sz w:val="20"/>
          <w:szCs w:val="20"/>
        </w:rPr>
        <w:t xml:space="preserve">p to $2.3 billion in shares under our repurchase program in fiscal 2021, exclusive of any proceeds from divestitures we may complete, but we can give no assurances regarding the level and timing of share repurchases. </w:t>
      </w:r>
    </w:p>
    <w:p w14:paraId="47EC3CB1" w14:textId="77777777" w:rsidR="00000000" w:rsidRDefault="001A570A">
      <w:pPr>
        <w:ind w:firstLine="450"/>
        <w:divId w:val="1748112860"/>
        <w:rPr>
          <w:rFonts w:eastAsia="Times New Roman"/>
        </w:rPr>
      </w:pPr>
      <w:r>
        <w:rPr>
          <w:rFonts w:eastAsia="Times New Roman"/>
          <w:color w:val="000000"/>
          <w:sz w:val="20"/>
          <w:szCs w:val="20"/>
        </w:rPr>
        <w:t>During fiscal 2020, we repurchased 12.</w:t>
      </w:r>
      <w:r>
        <w:rPr>
          <w:rFonts w:eastAsia="Times New Roman"/>
          <w:color w:val="000000"/>
          <w:sz w:val="20"/>
          <w:szCs w:val="20"/>
        </w:rPr>
        <w:t xml:space="preserve">0 million shares of our common stock under our share repurchase program for $2.3 billion at an average share price of $191.40, excluding commissions of $.02 per share. During the two quarters ended January 3, 2020, we repurchased 7.4 million shares of our </w:t>
      </w:r>
      <w:r>
        <w:rPr>
          <w:rFonts w:eastAsia="Times New Roman"/>
          <w:color w:val="000000"/>
          <w:sz w:val="20"/>
          <w:szCs w:val="20"/>
        </w:rPr>
        <w:t>common stock under our repurchase program for $1.5 billion at an average share price of $203.90, excluding commissions of $.02 per share. The level and timing of our repurchases depends on a number of factors, including our financial condition, capital req</w:t>
      </w:r>
      <w:r>
        <w:rPr>
          <w:rFonts w:eastAsia="Times New Roman"/>
          <w:color w:val="000000"/>
          <w:sz w:val="20"/>
          <w:szCs w:val="20"/>
        </w:rPr>
        <w:t>uirements, cash flows, results of operations, future business prospects, and other factors our Board of Directors and management may deem relevant. The timing, volume and nature of repurchases are subject to market conditions, applicable securities laws an</w:t>
      </w:r>
      <w:r>
        <w:rPr>
          <w:rFonts w:eastAsia="Times New Roman"/>
          <w:color w:val="000000"/>
          <w:sz w:val="20"/>
          <w:szCs w:val="20"/>
        </w:rPr>
        <w:t>d other factors and are at our discretion and may be suspended or discontinued at any time. Shares repurchased by us are cancelled and retired. The following table sets forth information with respect to repurchases by us of our common stock during the fisc</w:t>
      </w:r>
      <w:r>
        <w:rPr>
          <w:rFonts w:eastAsia="Times New Roman"/>
          <w:color w:val="000000"/>
          <w:sz w:val="20"/>
          <w:szCs w:val="20"/>
        </w:rPr>
        <w:t>al quarter ended January 1, 2021:</w:t>
      </w:r>
    </w:p>
    <w:tbl>
      <w:tblPr>
        <w:tblW w:w="4906" w:type="pct"/>
        <w:tblCellMar>
          <w:top w:w="15" w:type="dxa"/>
          <w:left w:w="15" w:type="dxa"/>
          <w:bottom w:w="15" w:type="dxa"/>
          <w:right w:w="15" w:type="dxa"/>
        </w:tblCellMar>
        <w:tblLook w:val="04A0" w:firstRow="1" w:lastRow="0" w:firstColumn="1" w:lastColumn="0" w:noHBand="0" w:noVBand="1"/>
      </w:tblPr>
      <w:tblGrid>
        <w:gridCol w:w="39"/>
        <w:gridCol w:w="2634"/>
        <w:gridCol w:w="38"/>
        <w:gridCol w:w="92"/>
        <w:gridCol w:w="1126"/>
        <w:gridCol w:w="36"/>
        <w:gridCol w:w="36"/>
        <w:gridCol w:w="36"/>
        <w:gridCol w:w="36"/>
        <w:gridCol w:w="121"/>
        <w:gridCol w:w="943"/>
        <w:gridCol w:w="36"/>
        <w:gridCol w:w="36"/>
        <w:gridCol w:w="36"/>
        <w:gridCol w:w="36"/>
        <w:gridCol w:w="104"/>
        <w:gridCol w:w="1296"/>
        <w:gridCol w:w="36"/>
        <w:gridCol w:w="36"/>
        <w:gridCol w:w="36"/>
        <w:gridCol w:w="36"/>
        <w:gridCol w:w="94"/>
        <w:gridCol w:w="1195"/>
        <w:gridCol w:w="36"/>
      </w:tblGrid>
      <w:tr w:rsidR="00000000" w14:paraId="4951F855" w14:textId="77777777">
        <w:trPr>
          <w:divId w:val="696780756"/>
        </w:trPr>
        <w:tc>
          <w:tcPr>
            <w:tcW w:w="50" w:type="pct"/>
            <w:vAlign w:val="center"/>
            <w:hideMark/>
          </w:tcPr>
          <w:p w14:paraId="4CE134C2" w14:textId="77777777" w:rsidR="00000000" w:rsidRDefault="001A570A">
            <w:pPr>
              <w:ind w:firstLine="450"/>
              <w:rPr>
                <w:rFonts w:eastAsia="Times New Roman"/>
              </w:rPr>
            </w:pPr>
          </w:p>
        </w:tc>
        <w:tc>
          <w:tcPr>
            <w:tcW w:w="2111" w:type="pct"/>
            <w:vAlign w:val="center"/>
            <w:hideMark/>
          </w:tcPr>
          <w:p w14:paraId="76B1C3E0" w14:textId="77777777" w:rsidR="00000000" w:rsidRDefault="001A570A">
            <w:pPr>
              <w:rPr>
                <w:rFonts w:eastAsia="Times New Roman"/>
                <w:sz w:val="20"/>
                <w:szCs w:val="20"/>
              </w:rPr>
            </w:pPr>
          </w:p>
        </w:tc>
        <w:tc>
          <w:tcPr>
            <w:tcW w:w="5" w:type="pct"/>
            <w:vAlign w:val="center"/>
            <w:hideMark/>
          </w:tcPr>
          <w:p w14:paraId="1CB45A91" w14:textId="77777777" w:rsidR="00000000" w:rsidRDefault="001A570A">
            <w:pPr>
              <w:rPr>
                <w:rFonts w:eastAsia="Times New Roman"/>
                <w:sz w:val="20"/>
                <w:szCs w:val="20"/>
              </w:rPr>
            </w:pPr>
          </w:p>
        </w:tc>
        <w:tc>
          <w:tcPr>
            <w:tcW w:w="50" w:type="pct"/>
            <w:vAlign w:val="center"/>
            <w:hideMark/>
          </w:tcPr>
          <w:p w14:paraId="4E033F9F" w14:textId="77777777" w:rsidR="00000000" w:rsidRDefault="001A570A">
            <w:pPr>
              <w:rPr>
                <w:rFonts w:eastAsia="Times New Roman"/>
                <w:sz w:val="20"/>
                <w:szCs w:val="20"/>
              </w:rPr>
            </w:pPr>
          </w:p>
        </w:tc>
        <w:tc>
          <w:tcPr>
            <w:tcW w:w="618" w:type="pct"/>
            <w:vAlign w:val="center"/>
            <w:hideMark/>
          </w:tcPr>
          <w:p w14:paraId="6DAC9385" w14:textId="77777777" w:rsidR="00000000" w:rsidRDefault="001A570A">
            <w:pPr>
              <w:rPr>
                <w:rFonts w:eastAsia="Times New Roman"/>
                <w:sz w:val="20"/>
                <w:szCs w:val="20"/>
              </w:rPr>
            </w:pPr>
          </w:p>
        </w:tc>
        <w:tc>
          <w:tcPr>
            <w:tcW w:w="5" w:type="pct"/>
            <w:vAlign w:val="center"/>
            <w:hideMark/>
          </w:tcPr>
          <w:p w14:paraId="10A45094" w14:textId="77777777" w:rsidR="00000000" w:rsidRDefault="001A570A">
            <w:pPr>
              <w:rPr>
                <w:rFonts w:eastAsia="Times New Roman"/>
                <w:sz w:val="20"/>
                <w:szCs w:val="20"/>
              </w:rPr>
            </w:pPr>
          </w:p>
        </w:tc>
        <w:tc>
          <w:tcPr>
            <w:tcW w:w="5" w:type="pct"/>
            <w:vAlign w:val="center"/>
            <w:hideMark/>
          </w:tcPr>
          <w:p w14:paraId="0AB3E99A" w14:textId="77777777" w:rsidR="00000000" w:rsidRDefault="001A570A">
            <w:pPr>
              <w:rPr>
                <w:rFonts w:eastAsia="Times New Roman"/>
                <w:sz w:val="20"/>
                <w:szCs w:val="20"/>
              </w:rPr>
            </w:pPr>
          </w:p>
        </w:tc>
        <w:tc>
          <w:tcPr>
            <w:tcW w:w="26" w:type="pct"/>
            <w:vAlign w:val="center"/>
            <w:hideMark/>
          </w:tcPr>
          <w:p w14:paraId="33157663" w14:textId="77777777" w:rsidR="00000000" w:rsidRDefault="001A570A">
            <w:pPr>
              <w:rPr>
                <w:rFonts w:eastAsia="Times New Roman"/>
                <w:sz w:val="20"/>
                <w:szCs w:val="20"/>
              </w:rPr>
            </w:pPr>
          </w:p>
        </w:tc>
        <w:tc>
          <w:tcPr>
            <w:tcW w:w="5" w:type="pct"/>
            <w:vAlign w:val="center"/>
            <w:hideMark/>
          </w:tcPr>
          <w:p w14:paraId="596B8BB4" w14:textId="77777777" w:rsidR="00000000" w:rsidRDefault="001A570A">
            <w:pPr>
              <w:rPr>
                <w:rFonts w:eastAsia="Times New Roman"/>
                <w:sz w:val="20"/>
                <w:szCs w:val="20"/>
              </w:rPr>
            </w:pPr>
          </w:p>
        </w:tc>
        <w:tc>
          <w:tcPr>
            <w:tcW w:w="50" w:type="pct"/>
            <w:vAlign w:val="center"/>
            <w:hideMark/>
          </w:tcPr>
          <w:p w14:paraId="0DDB6D22" w14:textId="77777777" w:rsidR="00000000" w:rsidRDefault="001A570A">
            <w:pPr>
              <w:rPr>
                <w:rFonts w:eastAsia="Times New Roman"/>
                <w:sz w:val="20"/>
                <w:szCs w:val="20"/>
              </w:rPr>
            </w:pPr>
          </w:p>
        </w:tc>
        <w:tc>
          <w:tcPr>
            <w:tcW w:w="618" w:type="pct"/>
            <w:vAlign w:val="center"/>
            <w:hideMark/>
          </w:tcPr>
          <w:p w14:paraId="35F664AE" w14:textId="77777777" w:rsidR="00000000" w:rsidRDefault="001A570A">
            <w:pPr>
              <w:rPr>
                <w:rFonts w:eastAsia="Times New Roman"/>
                <w:sz w:val="20"/>
                <w:szCs w:val="20"/>
              </w:rPr>
            </w:pPr>
          </w:p>
        </w:tc>
        <w:tc>
          <w:tcPr>
            <w:tcW w:w="5" w:type="pct"/>
            <w:vAlign w:val="center"/>
            <w:hideMark/>
          </w:tcPr>
          <w:p w14:paraId="48812AF2" w14:textId="77777777" w:rsidR="00000000" w:rsidRDefault="001A570A">
            <w:pPr>
              <w:rPr>
                <w:rFonts w:eastAsia="Times New Roman"/>
                <w:sz w:val="20"/>
                <w:szCs w:val="20"/>
              </w:rPr>
            </w:pPr>
          </w:p>
        </w:tc>
        <w:tc>
          <w:tcPr>
            <w:tcW w:w="5" w:type="pct"/>
            <w:vAlign w:val="center"/>
            <w:hideMark/>
          </w:tcPr>
          <w:p w14:paraId="1E59678C" w14:textId="77777777" w:rsidR="00000000" w:rsidRDefault="001A570A">
            <w:pPr>
              <w:rPr>
                <w:rFonts w:eastAsia="Times New Roman"/>
                <w:sz w:val="20"/>
                <w:szCs w:val="20"/>
              </w:rPr>
            </w:pPr>
          </w:p>
        </w:tc>
        <w:tc>
          <w:tcPr>
            <w:tcW w:w="26" w:type="pct"/>
            <w:vAlign w:val="center"/>
            <w:hideMark/>
          </w:tcPr>
          <w:p w14:paraId="66E63355" w14:textId="77777777" w:rsidR="00000000" w:rsidRDefault="001A570A">
            <w:pPr>
              <w:rPr>
                <w:rFonts w:eastAsia="Times New Roman"/>
                <w:sz w:val="20"/>
                <w:szCs w:val="20"/>
              </w:rPr>
            </w:pPr>
          </w:p>
        </w:tc>
        <w:tc>
          <w:tcPr>
            <w:tcW w:w="5" w:type="pct"/>
            <w:vAlign w:val="center"/>
            <w:hideMark/>
          </w:tcPr>
          <w:p w14:paraId="284C3D0A" w14:textId="77777777" w:rsidR="00000000" w:rsidRDefault="001A570A">
            <w:pPr>
              <w:rPr>
                <w:rFonts w:eastAsia="Times New Roman"/>
                <w:sz w:val="20"/>
                <w:szCs w:val="20"/>
              </w:rPr>
            </w:pPr>
          </w:p>
        </w:tc>
        <w:tc>
          <w:tcPr>
            <w:tcW w:w="50" w:type="pct"/>
            <w:vAlign w:val="center"/>
            <w:hideMark/>
          </w:tcPr>
          <w:p w14:paraId="0FCE7776" w14:textId="77777777" w:rsidR="00000000" w:rsidRDefault="001A570A">
            <w:pPr>
              <w:rPr>
                <w:rFonts w:eastAsia="Times New Roman"/>
                <w:sz w:val="20"/>
                <w:szCs w:val="20"/>
              </w:rPr>
            </w:pPr>
          </w:p>
        </w:tc>
        <w:tc>
          <w:tcPr>
            <w:tcW w:w="625" w:type="pct"/>
            <w:vAlign w:val="center"/>
            <w:hideMark/>
          </w:tcPr>
          <w:p w14:paraId="7EC9A0A3" w14:textId="77777777" w:rsidR="00000000" w:rsidRDefault="001A570A">
            <w:pPr>
              <w:rPr>
                <w:rFonts w:eastAsia="Times New Roman"/>
                <w:sz w:val="20"/>
                <w:szCs w:val="20"/>
              </w:rPr>
            </w:pPr>
          </w:p>
        </w:tc>
        <w:tc>
          <w:tcPr>
            <w:tcW w:w="5" w:type="pct"/>
            <w:vAlign w:val="center"/>
            <w:hideMark/>
          </w:tcPr>
          <w:p w14:paraId="182484F4" w14:textId="77777777" w:rsidR="00000000" w:rsidRDefault="001A570A">
            <w:pPr>
              <w:rPr>
                <w:rFonts w:eastAsia="Times New Roman"/>
                <w:sz w:val="20"/>
                <w:szCs w:val="20"/>
              </w:rPr>
            </w:pPr>
          </w:p>
        </w:tc>
        <w:tc>
          <w:tcPr>
            <w:tcW w:w="5" w:type="pct"/>
            <w:vAlign w:val="center"/>
            <w:hideMark/>
          </w:tcPr>
          <w:p w14:paraId="4C0D424E" w14:textId="77777777" w:rsidR="00000000" w:rsidRDefault="001A570A">
            <w:pPr>
              <w:rPr>
                <w:rFonts w:eastAsia="Times New Roman"/>
                <w:sz w:val="20"/>
                <w:szCs w:val="20"/>
              </w:rPr>
            </w:pPr>
          </w:p>
        </w:tc>
        <w:tc>
          <w:tcPr>
            <w:tcW w:w="26" w:type="pct"/>
            <w:vAlign w:val="center"/>
            <w:hideMark/>
          </w:tcPr>
          <w:p w14:paraId="33B596FC" w14:textId="77777777" w:rsidR="00000000" w:rsidRDefault="001A570A">
            <w:pPr>
              <w:rPr>
                <w:rFonts w:eastAsia="Times New Roman"/>
                <w:sz w:val="20"/>
                <w:szCs w:val="20"/>
              </w:rPr>
            </w:pPr>
          </w:p>
        </w:tc>
        <w:tc>
          <w:tcPr>
            <w:tcW w:w="5" w:type="pct"/>
            <w:vAlign w:val="center"/>
            <w:hideMark/>
          </w:tcPr>
          <w:p w14:paraId="586E038F" w14:textId="77777777" w:rsidR="00000000" w:rsidRDefault="001A570A">
            <w:pPr>
              <w:rPr>
                <w:rFonts w:eastAsia="Times New Roman"/>
                <w:sz w:val="20"/>
                <w:szCs w:val="20"/>
              </w:rPr>
            </w:pPr>
          </w:p>
        </w:tc>
        <w:tc>
          <w:tcPr>
            <w:tcW w:w="50" w:type="pct"/>
            <w:vAlign w:val="center"/>
            <w:hideMark/>
          </w:tcPr>
          <w:p w14:paraId="0F8B5FC4" w14:textId="77777777" w:rsidR="00000000" w:rsidRDefault="001A570A">
            <w:pPr>
              <w:rPr>
                <w:rFonts w:eastAsia="Times New Roman"/>
                <w:sz w:val="20"/>
                <w:szCs w:val="20"/>
              </w:rPr>
            </w:pPr>
          </w:p>
        </w:tc>
        <w:tc>
          <w:tcPr>
            <w:tcW w:w="640" w:type="pct"/>
            <w:vAlign w:val="center"/>
            <w:hideMark/>
          </w:tcPr>
          <w:p w14:paraId="70E59B5F" w14:textId="77777777" w:rsidR="00000000" w:rsidRDefault="001A570A">
            <w:pPr>
              <w:rPr>
                <w:rFonts w:eastAsia="Times New Roman"/>
                <w:sz w:val="20"/>
                <w:szCs w:val="20"/>
              </w:rPr>
            </w:pPr>
          </w:p>
        </w:tc>
        <w:tc>
          <w:tcPr>
            <w:tcW w:w="5" w:type="pct"/>
            <w:vAlign w:val="center"/>
            <w:hideMark/>
          </w:tcPr>
          <w:p w14:paraId="33867C0E" w14:textId="77777777" w:rsidR="00000000" w:rsidRDefault="001A570A">
            <w:pPr>
              <w:rPr>
                <w:rFonts w:eastAsia="Times New Roman"/>
                <w:sz w:val="20"/>
                <w:szCs w:val="20"/>
              </w:rPr>
            </w:pPr>
          </w:p>
        </w:tc>
      </w:tr>
      <w:tr w:rsidR="00000000" w14:paraId="105690E2" w14:textId="77777777">
        <w:trPr>
          <w:divId w:val="696780756"/>
        </w:trPr>
        <w:tc>
          <w:tcPr>
            <w:tcW w:w="0" w:type="auto"/>
            <w:gridSpan w:val="3"/>
            <w:tcMar>
              <w:top w:w="30" w:type="dxa"/>
              <w:left w:w="20" w:type="dxa"/>
              <w:bottom w:w="30" w:type="dxa"/>
              <w:right w:w="20" w:type="dxa"/>
            </w:tcMar>
            <w:vAlign w:val="bottom"/>
            <w:hideMark/>
          </w:tcPr>
          <w:p w14:paraId="68B0A726" w14:textId="77777777" w:rsidR="00000000" w:rsidRDefault="001A570A">
            <w:pP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14:paraId="5C094793" w14:textId="77777777" w:rsidR="00000000" w:rsidRDefault="001A570A">
            <w:pPr>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14:paraId="6B0BCC6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EACC0B7" w14:textId="77777777" w:rsidR="00000000" w:rsidRDefault="001A570A">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14:paraId="046A02BA"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1F74FAA" w14:textId="77777777" w:rsidR="00000000" w:rsidRDefault="001A570A">
            <w:pPr>
              <w:jc w:val="center"/>
              <w:rPr>
                <w:rFonts w:eastAsia="Times New Roman"/>
              </w:rPr>
            </w:pPr>
            <w:r>
              <w:rPr>
                <w:rFonts w:eastAsia="Times New Roman"/>
                <w:b/>
                <w:bCs/>
                <w:color w:val="000000"/>
                <w:sz w:val="16"/>
                <w:szCs w:val="16"/>
              </w:rPr>
              <w:t>Total number of</w:t>
            </w:r>
          </w:p>
          <w:p w14:paraId="37B83281" w14:textId="77777777" w:rsidR="00000000" w:rsidRDefault="001A570A">
            <w:pPr>
              <w:jc w:val="center"/>
              <w:rPr>
                <w:rFonts w:eastAsia="Times New Roman"/>
              </w:rPr>
            </w:pPr>
            <w:r>
              <w:rPr>
                <w:rFonts w:eastAsia="Times New Roman"/>
                <w:b/>
                <w:bCs/>
                <w:color w:val="000000"/>
                <w:sz w:val="16"/>
                <w:szCs w:val="16"/>
              </w:rPr>
              <w:t>shares purchased as part of publicly</w:t>
            </w:r>
          </w:p>
          <w:p w14:paraId="3076618C" w14:textId="77777777" w:rsidR="00000000" w:rsidRDefault="001A570A">
            <w:pPr>
              <w:jc w:val="center"/>
              <w:rPr>
                <w:rFonts w:eastAsia="Times New Roman"/>
              </w:rPr>
            </w:pPr>
            <w:r>
              <w:rPr>
                <w:rFonts w:eastAsia="Times New Roman"/>
                <w:b/>
                <w:bCs/>
                <w:color w:val="000000"/>
                <w:sz w:val="16"/>
                <w:szCs w:val="16"/>
              </w:rPr>
              <w:t>announced plans or program</w:t>
            </w:r>
            <w:r>
              <w:rPr>
                <w:rFonts w:eastAsia="Times New Roman"/>
                <w:b/>
                <w:bCs/>
                <w:color w:val="000000"/>
                <w:sz w:val="16"/>
                <w:szCs w:val="16"/>
              </w:rPr>
              <w:t>s</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4888F3C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8FDE54D" w14:textId="77777777" w:rsidR="00000000" w:rsidRDefault="001A570A">
            <w:pPr>
              <w:jc w:val="center"/>
              <w:rPr>
                <w:rFonts w:eastAsia="Times New Roman"/>
              </w:rPr>
            </w:pPr>
            <w:r>
              <w:rPr>
                <w:rFonts w:eastAsia="Times New Roman"/>
                <w:b/>
                <w:bCs/>
                <w:color w:val="000000"/>
                <w:sz w:val="16"/>
                <w:szCs w:val="16"/>
              </w:rPr>
              <w:t>Maximum</w:t>
            </w:r>
          </w:p>
          <w:p w14:paraId="4F528F0B" w14:textId="77777777" w:rsidR="00000000" w:rsidRDefault="001A570A">
            <w:pPr>
              <w:jc w:val="center"/>
              <w:rPr>
                <w:rFonts w:eastAsia="Times New Roman"/>
              </w:rPr>
            </w:pPr>
            <w:r>
              <w:rPr>
                <w:rFonts w:eastAsia="Times New Roman"/>
                <w:b/>
                <w:bCs/>
                <w:color w:val="000000"/>
                <w:sz w:val="16"/>
                <w:szCs w:val="16"/>
              </w:rPr>
              <w:t>approximate</w:t>
            </w:r>
          </w:p>
          <w:p w14:paraId="2D466B32" w14:textId="77777777" w:rsidR="00000000" w:rsidRDefault="001A570A">
            <w:pPr>
              <w:jc w:val="center"/>
              <w:rPr>
                <w:rFonts w:eastAsia="Times New Roman"/>
              </w:rPr>
            </w:pPr>
            <w:r>
              <w:rPr>
                <w:rFonts w:eastAsia="Times New Roman"/>
                <w:b/>
                <w:bCs/>
                <w:color w:val="000000"/>
                <w:sz w:val="16"/>
                <w:szCs w:val="16"/>
              </w:rPr>
              <w:t>dollar value</w:t>
            </w:r>
          </w:p>
          <w:p w14:paraId="018B1A9C" w14:textId="77777777" w:rsidR="00000000" w:rsidRDefault="001A570A">
            <w:pPr>
              <w:jc w:val="center"/>
              <w:rPr>
                <w:rFonts w:eastAsia="Times New Roman"/>
              </w:rPr>
            </w:pPr>
            <w:r>
              <w:rPr>
                <w:rFonts w:eastAsia="Times New Roman"/>
                <w:b/>
                <w:bCs/>
                <w:color w:val="000000"/>
                <w:sz w:val="16"/>
                <w:szCs w:val="16"/>
              </w:rPr>
              <w:t>of shares that may</w:t>
            </w:r>
          </w:p>
          <w:p w14:paraId="5088840D" w14:textId="77777777" w:rsidR="00000000" w:rsidRDefault="001A570A">
            <w:pPr>
              <w:jc w:val="center"/>
              <w:rPr>
                <w:rFonts w:eastAsia="Times New Roman"/>
              </w:rPr>
            </w:pPr>
            <w:r>
              <w:rPr>
                <w:rFonts w:eastAsia="Times New Roman"/>
                <w:b/>
                <w:bCs/>
                <w:color w:val="000000"/>
                <w:sz w:val="16"/>
                <w:szCs w:val="16"/>
              </w:rPr>
              <w:t>yet be purchased</w:t>
            </w:r>
          </w:p>
          <w:p w14:paraId="203EB51A" w14:textId="77777777" w:rsidR="00000000" w:rsidRDefault="001A570A">
            <w:pPr>
              <w:jc w:val="center"/>
              <w:rPr>
                <w:rFonts w:eastAsia="Times New Roman"/>
              </w:rPr>
            </w:pPr>
            <w:r>
              <w:rPr>
                <w:rFonts w:eastAsia="Times New Roman"/>
                <w:b/>
                <w:bCs/>
                <w:color w:val="000000"/>
                <w:sz w:val="16"/>
                <w:szCs w:val="16"/>
              </w:rPr>
              <w:t>under the plans</w:t>
            </w:r>
          </w:p>
          <w:p w14:paraId="20B6653D" w14:textId="77777777" w:rsidR="00000000" w:rsidRDefault="001A570A">
            <w:pPr>
              <w:jc w:val="center"/>
              <w:rPr>
                <w:rFonts w:eastAsia="Times New Roman"/>
              </w:rPr>
            </w:pPr>
            <w:r>
              <w:rPr>
                <w:rFonts w:eastAsia="Times New Roman"/>
                <w:b/>
                <w:bCs/>
                <w:color w:val="000000"/>
                <w:sz w:val="16"/>
                <w:szCs w:val="16"/>
              </w:rPr>
              <w:t>or program</w:t>
            </w:r>
            <w:r>
              <w:rPr>
                <w:rFonts w:eastAsia="Times New Roman"/>
                <w:b/>
                <w:bCs/>
                <w:color w:val="000000"/>
                <w:sz w:val="16"/>
                <w:szCs w:val="16"/>
              </w:rPr>
              <w:t>s</w:t>
            </w:r>
            <w:r>
              <w:rPr>
                <w:rFonts w:eastAsia="Times New Roman"/>
                <w:b/>
                <w:bCs/>
                <w:color w:val="000000"/>
                <w:sz w:val="13"/>
                <w:szCs w:val="13"/>
              </w:rPr>
              <w:t>(1</w:t>
            </w:r>
            <w:r>
              <w:rPr>
                <w:rFonts w:eastAsia="Times New Roman"/>
                <w:b/>
                <w:bCs/>
                <w:color w:val="000000"/>
                <w:sz w:val="13"/>
                <w:szCs w:val="13"/>
              </w:rPr>
              <w:t>)</w:t>
            </w:r>
          </w:p>
        </w:tc>
      </w:tr>
      <w:tr w:rsidR="00000000" w14:paraId="1CD387EF" w14:textId="77777777">
        <w:trPr>
          <w:divId w:val="696780756"/>
        </w:trPr>
        <w:tc>
          <w:tcPr>
            <w:tcW w:w="0" w:type="auto"/>
            <w:gridSpan w:val="3"/>
            <w:shd w:val="clear" w:color="auto" w:fill="CCEEFF"/>
            <w:tcMar>
              <w:top w:w="30" w:type="dxa"/>
              <w:left w:w="20" w:type="dxa"/>
              <w:bottom w:w="30" w:type="dxa"/>
              <w:right w:w="20" w:type="dxa"/>
            </w:tcMar>
            <w:hideMark/>
          </w:tcPr>
          <w:p w14:paraId="6400D8A9" w14:textId="77777777" w:rsidR="00000000" w:rsidRDefault="001A570A">
            <w:pPr>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84ABD5" w14:textId="77777777" w:rsidR="00000000" w:rsidRDefault="001A570A">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FC0B516" w14:textId="77777777" w:rsidR="00000000" w:rsidRDefault="001A570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EFFB5C" w14:textId="77777777" w:rsidR="00000000" w:rsidRDefault="001A570A">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678AE7B0" w14:textId="77777777" w:rsidR="00000000" w:rsidRDefault="001A570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E74106" w14:textId="77777777" w:rsidR="00000000" w:rsidRDefault="001A570A">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0B66737" w14:textId="77777777" w:rsidR="00000000" w:rsidRDefault="001A570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A248E6" w14:textId="77777777" w:rsidR="00000000" w:rsidRDefault="001A570A">
            <w:pPr>
              <w:rPr>
                <w:rFonts w:eastAsia="Times New Roman"/>
              </w:rPr>
            </w:pPr>
            <w:r>
              <w:rPr>
                <w:rFonts w:eastAsia="Times New Roman"/>
                <w:color w:val="000000"/>
                <w:sz w:val="16"/>
                <w:szCs w:val="16"/>
              </w:rPr>
              <w:t> </w:t>
            </w:r>
          </w:p>
        </w:tc>
      </w:tr>
      <w:tr w:rsidR="00000000" w14:paraId="74880A10" w14:textId="77777777">
        <w:trPr>
          <w:divId w:val="696780756"/>
        </w:trPr>
        <w:tc>
          <w:tcPr>
            <w:tcW w:w="0" w:type="auto"/>
            <w:gridSpan w:val="3"/>
            <w:shd w:val="clear" w:color="auto" w:fill="FFFFFF"/>
            <w:tcMar>
              <w:top w:w="30" w:type="dxa"/>
              <w:left w:w="20" w:type="dxa"/>
              <w:bottom w:w="30" w:type="dxa"/>
              <w:right w:w="20" w:type="dxa"/>
            </w:tcMar>
            <w:hideMark/>
          </w:tcPr>
          <w:p w14:paraId="7A129BE2" w14:textId="77777777" w:rsidR="00000000" w:rsidRDefault="001A570A">
            <w:pPr>
              <w:rPr>
                <w:rFonts w:eastAsia="Times New Roman"/>
              </w:rPr>
            </w:pPr>
            <w:r>
              <w:rPr>
                <w:rFonts w:eastAsia="Times New Roman"/>
                <w:color w:val="000000"/>
                <w:sz w:val="20"/>
                <w:szCs w:val="20"/>
              </w:rPr>
              <w:t>(October 3, 2020-October 30, 2020)</w:t>
            </w:r>
          </w:p>
        </w:tc>
        <w:tc>
          <w:tcPr>
            <w:tcW w:w="0" w:type="auto"/>
            <w:gridSpan w:val="3"/>
            <w:shd w:val="clear" w:color="auto" w:fill="FFFFFF"/>
            <w:tcMar>
              <w:top w:w="0" w:type="dxa"/>
              <w:left w:w="20" w:type="dxa"/>
              <w:bottom w:w="0" w:type="dxa"/>
              <w:right w:w="20" w:type="dxa"/>
            </w:tcMar>
            <w:vAlign w:val="center"/>
            <w:hideMark/>
          </w:tcPr>
          <w:p w14:paraId="36F338EB"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B671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0F91E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5D715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D1B3F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F25F7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4B2B0" w14:textId="77777777" w:rsidR="00000000" w:rsidRDefault="001A570A">
            <w:pPr>
              <w:rPr>
                <w:rFonts w:eastAsia="Times New Roman"/>
                <w:sz w:val="20"/>
                <w:szCs w:val="20"/>
              </w:rPr>
            </w:pPr>
          </w:p>
        </w:tc>
      </w:tr>
      <w:tr w:rsidR="00000000" w14:paraId="1097A049" w14:textId="77777777">
        <w:trPr>
          <w:divId w:val="696780756"/>
        </w:trPr>
        <w:tc>
          <w:tcPr>
            <w:tcW w:w="0" w:type="auto"/>
            <w:gridSpan w:val="3"/>
            <w:shd w:val="clear" w:color="auto" w:fill="CCEEFF"/>
            <w:tcMar>
              <w:top w:w="30" w:type="dxa"/>
              <w:left w:w="20" w:type="dxa"/>
              <w:bottom w:w="30" w:type="dxa"/>
              <w:right w:w="20" w:type="dxa"/>
            </w:tcMar>
            <w:vAlign w:val="bottom"/>
            <w:hideMark/>
          </w:tcPr>
          <w:p w14:paraId="21F6F8E2" w14:textId="77777777" w:rsidR="00000000" w:rsidRDefault="001A570A">
            <w:pPr>
              <w:ind w:firstLine="180"/>
              <w:divId w:val="632253601"/>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1AB6AD5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241D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EA49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1DD5B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9C3CD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D71E3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FAFA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F1601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FF6F4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DB1D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D63C6" w14:textId="77777777" w:rsidR="00000000" w:rsidRDefault="001A570A">
            <w:pPr>
              <w:jc w:val="right"/>
              <w:rPr>
                <w:rFonts w:eastAsia="Times New Roman"/>
              </w:rPr>
            </w:pPr>
            <w:r>
              <w:rPr>
                <w:rFonts w:eastAsia="Times New Roman"/>
                <w:color w:val="000000"/>
                <w:sz w:val="20"/>
                <w:szCs w:val="20"/>
              </w:rPr>
              <w:t>$650,336,263 </w:t>
            </w:r>
          </w:p>
        </w:tc>
        <w:tc>
          <w:tcPr>
            <w:tcW w:w="0" w:type="auto"/>
            <w:shd w:val="clear" w:color="auto" w:fill="CCEEFF"/>
            <w:tcMar>
              <w:top w:w="30" w:type="dxa"/>
              <w:left w:w="0" w:type="dxa"/>
              <w:bottom w:w="30" w:type="dxa"/>
              <w:right w:w="20" w:type="dxa"/>
            </w:tcMar>
            <w:vAlign w:val="bottom"/>
            <w:hideMark/>
          </w:tcPr>
          <w:p w14:paraId="1C695968" w14:textId="77777777" w:rsidR="00000000" w:rsidRDefault="001A570A">
            <w:pPr>
              <w:jc w:val="right"/>
              <w:rPr>
                <w:rFonts w:eastAsia="Times New Roman"/>
              </w:rPr>
            </w:pPr>
          </w:p>
        </w:tc>
      </w:tr>
      <w:tr w:rsidR="00000000" w14:paraId="48F1185D" w14:textId="77777777">
        <w:trPr>
          <w:divId w:val="696780756"/>
        </w:trPr>
        <w:tc>
          <w:tcPr>
            <w:tcW w:w="0" w:type="auto"/>
            <w:gridSpan w:val="3"/>
            <w:shd w:val="clear" w:color="auto" w:fill="FFFFFF"/>
            <w:tcMar>
              <w:top w:w="30" w:type="dxa"/>
              <w:left w:w="20" w:type="dxa"/>
              <w:bottom w:w="30" w:type="dxa"/>
              <w:right w:w="20" w:type="dxa"/>
            </w:tcMar>
            <w:vAlign w:val="bottom"/>
            <w:hideMark/>
          </w:tcPr>
          <w:p w14:paraId="23ECB829" w14:textId="77777777" w:rsidR="00000000" w:rsidRDefault="001A570A">
            <w:pPr>
              <w:ind w:firstLine="180"/>
              <w:divId w:val="2117433510"/>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B61B3BE" w14:textId="77777777" w:rsidR="00000000" w:rsidRDefault="001A570A">
            <w:pPr>
              <w:jc w:val="right"/>
              <w:rPr>
                <w:rFonts w:eastAsia="Times New Roman"/>
              </w:rPr>
            </w:pPr>
            <w:r>
              <w:rPr>
                <w:rFonts w:eastAsia="Times New Roman"/>
                <w:color w:val="000000"/>
                <w:sz w:val="20"/>
                <w:szCs w:val="20"/>
              </w:rPr>
              <w:t>5,652 </w:t>
            </w:r>
          </w:p>
        </w:tc>
        <w:tc>
          <w:tcPr>
            <w:tcW w:w="0" w:type="auto"/>
            <w:shd w:val="clear" w:color="auto" w:fill="FFFFFF"/>
            <w:tcMar>
              <w:top w:w="30" w:type="dxa"/>
              <w:left w:w="0" w:type="dxa"/>
              <w:bottom w:w="30" w:type="dxa"/>
              <w:right w:w="20" w:type="dxa"/>
            </w:tcMar>
            <w:vAlign w:val="bottom"/>
            <w:hideMark/>
          </w:tcPr>
          <w:p w14:paraId="7E39585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FC78A"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96FEB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B720AD" w14:textId="77777777" w:rsidR="00000000" w:rsidRDefault="001A570A">
            <w:pPr>
              <w:jc w:val="right"/>
              <w:rPr>
                <w:rFonts w:eastAsia="Times New Roman"/>
              </w:rPr>
            </w:pPr>
            <w:r>
              <w:rPr>
                <w:rFonts w:eastAsia="Times New Roman"/>
                <w:color w:val="000000"/>
                <w:sz w:val="20"/>
                <w:szCs w:val="20"/>
              </w:rPr>
              <w:t>170.67 </w:t>
            </w:r>
          </w:p>
        </w:tc>
        <w:tc>
          <w:tcPr>
            <w:tcW w:w="0" w:type="auto"/>
            <w:shd w:val="clear" w:color="auto" w:fill="FFFFFF"/>
            <w:tcMar>
              <w:top w:w="30" w:type="dxa"/>
              <w:left w:w="0" w:type="dxa"/>
              <w:bottom w:w="30" w:type="dxa"/>
              <w:right w:w="20" w:type="dxa"/>
            </w:tcMar>
            <w:vAlign w:val="bottom"/>
            <w:hideMark/>
          </w:tcPr>
          <w:p w14:paraId="7A6D77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A42C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05AC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167A1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7F98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0DDE5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182931" w14:textId="77777777" w:rsidR="00000000" w:rsidRDefault="001A570A">
            <w:pPr>
              <w:jc w:val="right"/>
              <w:rPr>
                <w:rFonts w:eastAsia="Times New Roman"/>
              </w:rPr>
            </w:pPr>
          </w:p>
        </w:tc>
      </w:tr>
      <w:tr w:rsidR="00000000" w14:paraId="221321B1" w14:textId="77777777">
        <w:trPr>
          <w:divId w:val="696780756"/>
        </w:trPr>
        <w:tc>
          <w:tcPr>
            <w:tcW w:w="0" w:type="auto"/>
            <w:gridSpan w:val="3"/>
            <w:shd w:val="clear" w:color="auto" w:fill="CCEEFF"/>
            <w:tcMar>
              <w:top w:w="30" w:type="dxa"/>
              <w:left w:w="20" w:type="dxa"/>
              <w:bottom w:w="30" w:type="dxa"/>
              <w:right w:w="20" w:type="dxa"/>
            </w:tcMar>
            <w:hideMark/>
          </w:tcPr>
          <w:p w14:paraId="64408046" w14:textId="77777777" w:rsidR="00000000" w:rsidRDefault="001A570A">
            <w:pPr>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14:paraId="1985EB21"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A017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37201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65DA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D4C1D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1C2E1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2106EB" w14:textId="77777777" w:rsidR="00000000" w:rsidRDefault="001A570A">
            <w:pPr>
              <w:rPr>
                <w:rFonts w:eastAsia="Times New Roman"/>
                <w:sz w:val="20"/>
                <w:szCs w:val="20"/>
              </w:rPr>
            </w:pPr>
          </w:p>
        </w:tc>
      </w:tr>
      <w:tr w:rsidR="00000000" w14:paraId="34958EBB" w14:textId="77777777">
        <w:trPr>
          <w:divId w:val="696780756"/>
        </w:trPr>
        <w:tc>
          <w:tcPr>
            <w:tcW w:w="0" w:type="auto"/>
            <w:gridSpan w:val="3"/>
            <w:shd w:val="clear" w:color="auto" w:fill="FFFFFF"/>
            <w:tcMar>
              <w:top w:w="30" w:type="dxa"/>
              <w:left w:w="20" w:type="dxa"/>
              <w:bottom w:w="30" w:type="dxa"/>
              <w:right w:w="20" w:type="dxa"/>
            </w:tcMar>
            <w:hideMark/>
          </w:tcPr>
          <w:p w14:paraId="53003F3E" w14:textId="77777777" w:rsidR="00000000" w:rsidRDefault="001A570A">
            <w:pPr>
              <w:rPr>
                <w:rFonts w:eastAsia="Times New Roman"/>
              </w:rPr>
            </w:pPr>
            <w:r>
              <w:rPr>
                <w:rFonts w:eastAsia="Times New Roman"/>
                <w:color w:val="000000"/>
                <w:sz w:val="20"/>
                <w:szCs w:val="20"/>
              </w:rPr>
              <w:t>(October 31, 2020-November 27, 2020)</w:t>
            </w:r>
          </w:p>
        </w:tc>
        <w:tc>
          <w:tcPr>
            <w:tcW w:w="0" w:type="auto"/>
            <w:gridSpan w:val="3"/>
            <w:shd w:val="clear" w:color="auto" w:fill="FFFFFF"/>
            <w:tcMar>
              <w:top w:w="0" w:type="dxa"/>
              <w:left w:w="20" w:type="dxa"/>
              <w:bottom w:w="0" w:type="dxa"/>
              <w:right w:w="20" w:type="dxa"/>
            </w:tcMar>
            <w:vAlign w:val="center"/>
            <w:hideMark/>
          </w:tcPr>
          <w:p w14:paraId="4B87135A"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E37C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AE2C6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EA28D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2E57A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E5E32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7690B" w14:textId="77777777" w:rsidR="00000000" w:rsidRDefault="001A570A">
            <w:pPr>
              <w:rPr>
                <w:rFonts w:eastAsia="Times New Roman"/>
                <w:sz w:val="20"/>
                <w:szCs w:val="20"/>
              </w:rPr>
            </w:pPr>
          </w:p>
        </w:tc>
      </w:tr>
      <w:tr w:rsidR="00000000" w14:paraId="752398D0" w14:textId="77777777">
        <w:trPr>
          <w:divId w:val="696780756"/>
        </w:trPr>
        <w:tc>
          <w:tcPr>
            <w:tcW w:w="0" w:type="auto"/>
            <w:gridSpan w:val="3"/>
            <w:shd w:val="clear" w:color="auto" w:fill="CCEEFF"/>
            <w:tcMar>
              <w:top w:w="30" w:type="dxa"/>
              <w:left w:w="20" w:type="dxa"/>
              <w:bottom w:w="30" w:type="dxa"/>
              <w:right w:w="20" w:type="dxa"/>
            </w:tcMar>
            <w:vAlign w:val="bottom"/>
            <w:hideMark/>
          </w:tcPr>
          <w:p w14:paraId="68917D90" w14:textId="77777777" w:rsidR="00000000" w:rsidRDefault="001A570A">
            <w:pPr>
              <w:ind w:firstLine="180"/>
              <w:divId w:val="317464586"/>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308AF127" w14:textId="77777777" w:rsidR="00000000" w:rsidRDefault="001A570A">
            <w:pPr>
              <w:jc w:val="right"/>
              <w:rPr>
                <w:rFonts w:eastAsia="Times New Roman"/>
              </w:rPr>
            </w:pPr>
            <w:r>
              <w:rPr>
                <w:rFonts w:eastAsia="Times New Roman"/>
                <w:color w:val="000000"/>
                <w:sz w:val="20"/>
                <w:szCs w:val="20"/>
              </w:rPr>
              <w:t>1,155,755 </w:t>
            </w:r>
          </w:p>
        </w:tc>
        <w:tc>
          <w:tcPr>
            <w:tcW w:w="0" w:type="auto"/>
            <w:shd w:val="clear" w:color="auto" w:fill="CCEEFF"/>
            <w:tcMar>
              <w:top w:w="30" w:type="dxa"/>
              <w:left w:w="0" w:type="dxa"/>
              <w:bottom w:w="30" w:type="dxa"/>
              <w:right w:w="20" w:type="dxa"/>
            </w:tcMar>
            <w:vAlign w:val="bottom"/>
            <w:hideMark/>
          </w:tcPr>
          <w:p w14:paraId="5D5237F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9CD8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8F9DB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A29394" w14:textId="77777777" w:rsidR="00000000" w:rsidRDefault="001A570A">
            <w:pPr>
              <w:jc w:val="right"/>
              <w:rPr>
                <w:rFonts w:eastAsia="Times New Roman"/>
              </w:rPr>
            </w:pPr>
            <w:r>
              <w:rPr>
                <w:rFonts w:eastAsia="Times New Roman"/>
                <w:color w:val="000000"/>
                <w:sz w:val="20"/>
                <w:szCs w:val="20"/>
              </w:rPr>
              <w:t>192.17 </w:t>
            </w:r>
          </w:p>
        </w:tc>
        <w:tc>
          <w:tcPr>
            <w:tcW w:w="0" w:type="auto"/>
            <w:shd w:val="clear" w:color="auto" w:fill="CCEEFF"/>
            <w:tcMar>
              <w:top w:w="30" w:type="dxa"/>
              <w:left w:w="0" w:type="dxa"/>
              <w:bottom w:w="30" w:type="dxa"/>
              <w:right w:w="20" w:type="dxa"/>
            </w:tcMar>
            <w:vAlign w:val="bottom"/>
            <w:hideMark/>
          </w:tcPr>
          <w:p w14:paraId="0A0478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530A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840EC" w14:textId="77777777" w:rsidR="00000000" w:rsidRDefault="001A570A">
            <w:pPr>
              <w:jc w:val="right"/>
              <w:rPr>
                <w:rFonts w:eastAsia="Times New Roman"/>
              </w:rPr>
            </w:pPr>
            <w:r>
              <w:rPr>
                <w:rFonts w:eastAsia="Times New Roman"/>
                <w:color w:val="000000"/>
                <w:sz w:val="20"/>
                <w:szCs w:val="20"/>
              </w:rPr>
              <w:t>1,155,755 </w:t>
            </w:r>
          </w:p>
        </w:tc>
        <w:tc>
          <w:tcPr>
            <w:tcW w:w="0" w:type="auto"/>
            <w:shd w:val="clear" w:color="auto" w:fill="CCEEFF"/>
            <w:tcMar>
              <w:top w:w="30" w:type="dxa"/>
              <w:left w:w="0" w:type="dxa"/>
              <w:bottom w:w="30" w:type="dxa"/>
              <w:right w:w="20" w:type="dxa"/>
            </w:tcMar>
            <w:vAlign w:val="bottom"/>
            <w:hideMark/>
          </w:tcPr>
          <w:p w14:paraId="265F77C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3B3B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9133F7" w14:textId="77777777" w:rsidR="00000000" w:rsidRDefault="001A570A">
            <w:pPr>
              <w:jc w:val="right"/>
              <w:rPr>
                <w:rFonts w:eastAsia="Times New Roman"/>
              </w:rPr>
            </w:pPr>
            <w:r>
              <w:rPr>
                <w:rFonts w:eastAsia="Times New Roman"/>
                <w:color w:val="000000"/>
                <w:sz w:val="20"/>
                <w:szCs w:val="20"/>
              </w:rPr>
              <w:t>$428,238,336 </w:t>
            </w:r>
          </w:p>
        </w:tc>
        <w:tc>
          <w:tcPr>
            <w:tcW w:w="0" w:type="auto"/>
            <w:shd w:val="clear" w:color="auto" w:fill="CCEEFF"/>
            <w:tcMar>
              <w:top w:w="30" w:type="dxa"/>
              <w:left w:w="0" w:type="dxa"/>
              <w:bottom w:w="30" w:type="dxa"/>
              <w:right w:w="20" w:type="dxa"/>
            </w:tcMar>
            <w:vAlign w:val="bottom"/>
            <w:hideMark/>
          </w:tcPr>
          <w:p w14:paraId="27835A15" w14:textId="77777777" w:rsidR="00000000" w:rsidRDefault="001A570A">
            <w:pPr>
              <w:jc w:val="right"/>
              <w:rPr>
                <w:rFonts w:eastAsia="Times New Roman"/>
              </w:rPr>
            </w:pPr>
          </w:p>
        </w:tc>
      </w:tr>
      <w:tr w:rsidR="00000000" w14:paraId="34BDE0F0" w14:textId="77777777">
        <w:trPr>
          <w:divId w:val="696780756"/>
        </w:trPr>
        <w:tc>
          <w:tcPr>
            <w:tcW w:w="0" w:type="auto"/>
            <w:gridSpan w:val="3"/>
            <w:vAlign w:val="center"/>
            <w:hideMark/>
          </w:tcPr>
          <w:p w14:paraId="71AA64D0" w14:textId="77777777" w:rsidR="00000000" w:rsidRDefault="001A570A">
            <w:pPr>
              <w:rPr>
                <w:rFonts w:eastAsia="Times New Roman"/>
                <w:sz w:val="20"/>
                <w:szCs w:val="20"/>
              </w:rPr>
            </w:pPr>
          </w:p>
        </w:tc>
        <w:tc>
          <w:tcPr>
            <w:tcW w:w="0" w:type="auto"/>
            <w:gridSpan w:val="3"/>
            <w:vAlign w:val="center"/>
            <w:hideMark/>
          </w:tcPr>
          <w:p w14:paraId="30EA6624" w14:textId="77777777" w:rsidR="00000000" w:rsidRDefault="001A570A">
            <w:pPr>
              <w:rPr>
                <w:rFonts w:eastAsia="Times New Roman"/>
                <w:sz w:val="20"/>
                <w:szCs w:val="20"/>
              </w:rPr>
            </w:pPr>
          </w:p>
        </w:tc>
        <w:tc>
          <w:tcPr>
            <w:tcW w:w="0" w:type="auto"/>
            <w:gridSpan w:val="3"/>
            <w:vAlign w:val="center"/>
            <w:hideMark/>
          </w:tcPr>
          <w:p w14:paraId="2B5D402E" w14:textId="77777777" w:rsidR="00000000" w:rsidRDefault="001A570A">
            <w:pPr>
              <w:rPr>
                <w:rFonts w:eastAsia="Times New Roman"/>
                <w:sz w:val="20"/>
                <w:szCs w:val="20"/>
              </w:rPr>
            </w:pPr>
          </w:p>
        </w:tc>
        <w:tc>
          <w:tcPr>
            <w:tcW w:w="0" w:type="auto"/>
            <w:gridSpan w:val="3"/>
            <w:vAlign w:val="center"/>
            <w:hideMark/>
          </w:tcPr>
          <w:p w14:paraId="3373FB08" w14:textId="77777777" w:rsidR="00000000" w:rsidRDefault="001A570A">
            <w:pPr>
              <w:rPr>
                <w:rFonts w:eastAsia="Times New Roman"/>
                <w:sz w:val="20"/>
                <w:szCs w:val="20"/>
              </w:rPr>
            </w:pPr>
          </w:p>
        </w:tc>
        <w:tc>
          <w:tcPr>
            <w:tcW w:w="0" w:type="auto"/>
            <w:gridSpan w:val="3"/>
            <w:vAlign w:val="center"/>
            <w:hideMark/>
          </w:tcPr>
          <w:p w14:paraId="03721EFA" w14:textId="77777777" w:rsidR="00000000" w:rsidRDefault="001A570A">
            <w:pPr>
              <w:rPr>
                <w:rFonts w:eastAsia="Times New Roman"/>
                <w:sz w:val="20"/>
                <w:szCs w:val="20"/>
              </w:rPr>
            </w:pPr>
          </w:p>
        </w:tc>
        <w:tc>
          <w:tcPr>
            <w:tcW w:w="0" w:type="auto"/>
            <w:gridSpan w:val="3"/>
            <w:vAlign w:val="center"/>
            <w:hideMark/>
          </w:tcPr>
          <w:p w14:paraId="4C1B11B8" w14:textId="77777777" w:rsidR="00000000" w:rsidRDefault="001A570A">
            <w:pPr>
              <w:rPr>
                <w:rFonts w:eastAsia="Times New Roman"/>
                <w:sz w:val="20"/>
                <w:szCs w:val="20"/>
              </w:rPr>
            </w:pPr>
          </w:p>
        </w:tc>
        <w:tc>
          <w:tcPr>
            <w:tcW w:w="0" w:type="auto"/>
            <w:gridSpan w:val="3"/>
            <w:vAlign w:val="center"/>
            <w:hideMark/>
          </w:tcPr>
          <w:p w14:paraId="4583A2D3" w14:textId="77777777" w:rsidR="00000000" w:rsidRDefault="001A570A">
            <w:pPr>
              <w:rPr>
                <w:rFonts w:eastAsia="Times New Roman"/>
                <w:sz w:val="20"/>
                <w:szCs w:val="20"/>
              </w:rPr>
            </w:pPr>
          </w:p>
        </w:tc>
        <w:tc>
          <w:tcPr>
            <w:tcW w:w="0" w:type="auto"/>
            <w:gridSpan w:val="3"/>
            <w:vAlign w:val="center"/>
            <w:hideMark/>
          </w:tcPr>
          <w:p w14:paraId="660A5077" w14:textId="77777777" w:rsidR="00000000" w:rsidRDefault="001A570A">
            <w:pPr>
              <w:rPr>
                <w:rFonts w:eastAsia="Times New Roman"/>
                <w:sz w:val="20"/>
                <w:szCs w:val="20"/>
              </w:rPr>
            </w:pPr>
          </w:p>
        </w:tc>
      </w:tr>
      <w:tr w:rsidR="00000000" w14:paraId="58F3FA0B" w14:textId="77777777">
        <w:trPr>
          <w:divId w:val="696780756"/>
        </w:trPr>
        <w:tc>
          <w:tcPr>
            <w:tcW w:w="0" w:type="auto"/>
            <w:gridSpan w:val="3"/>
            <w:shd w:val="clear" w:color="auto" w:fill="FFFFFF"/>
            <w:tcMar>
              <w:top w:w="30" w:type="dxa"/>
              <w:left w:w="20" w:type="dxa"/>
              <w:bottom w:w="30" w:type="dxa"/>
              <w:right w:w="20" w:type="dxa"/>
            </w:tcMar>
            <w:vAlign w:val="bottom"/>
            <w:hideMark/>
          </w:tcPr>
          <w:p w14:paraId="736B2CC1" w14:textId="77777777" w:rsidR="00000000" w:rsidRDefault="001A570A">
            <w:pPr>
              <w:ind w:firstLine="180"/>
              <w:divId w:val="90885435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1A0D295" w14:textId="77777777" w:rsidR="00000000" w:rsidRDefault="001A570A">
            <w:pPr>
              <w:jc w:val="right"/>
              <w:rPr>
                <w:rFonts w:eastAsia="Times New Roman"/>
              </w:rPr>
            </w:pPr>
            <w:r>
              <w:rPr>
                <w:rFonts w:eastAsia="Times New Roman"/>
                <w:color w:val="000000"/>
                <w:sz w:val="20"/>
                <w:szCs w:val="20"/>
              </w:rPr>
              <w:t>3,289 </w:t>
            </w:r>
          </w:p>
        </w:tc>
        <w:tc>
          <w:tcPr>
            <w:tcW w:w="0" w:type="auto"/>
            <w:shd w:val="clear" w:color="auto" w:fill="FFFFFF"/>
            <w:tcMar>
              <w:top w:w="30" w:type="dxa"/>
              <w:left w:w="0" w:type="dxa"/>
              <w:bottom w:w="30" w:type="dxa"/>
              <w:right w:w="20" w:type="dxa"/>
            </w:tcMar>
            <w:vAlign w:val="bottom"/>
            <w:hideMark/>
          </w:tcPr>
          <w:p w14:paraId="41BBA2A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CAD2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6A7C2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2950E9" w14:textId="77777777" w:rsidR="00000000" w:rsidRDefault="001A570A">
            <w:pPr>
              <w:jc w:val="right"/>
              <w:rPr>
                <w:rFonts w:eastAsia="Times New Roman"/>
              </w:rPr>
            </w:pPr>
            <w:r>
              <w:rPr>
                <w:rFonts w:eastAsia="Times New Roman"/>
                <w:color w:val="000000"/>
                <w:sz w:val="20"/>
                <w:szCs w:val="20"/>
              </w:rPr>
              <w:t>176.29 </w:t>
            </w:r>
          </w:p>
        </w:tc>
        <w:tc>
          <w:tcPr>
            <w:tcW w:w="0" w:type="auto"/>
            <w:shd w:val="clear" w:color="auto" w:fill="FFFFFF"/>
            <w:tcMar>
              <w:top w:w="30" w:type="dxa"/>
              <w:left w:w="0" w:type="dxa"/>
              <w:bottom w:w="30" w:type="dxa"/>
              <w:right w:w="20" w:type="dxa"/>
            </w:tcMar>
            <w:vAlign w:val="bottom"/>
            <w:hideMark/>
          </w:tcPr>
          <w:p w14:paraId="3811E0B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5F5A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D5A6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52531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9CD1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D558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D7E188" w14:textId="77777777" w:rsidR="00000000" w:rsidRDefault="001A570A">
            <w:pPr>
              <w:jc w:val="right"/>
              <w:rPr>
                <w:rFonts w:eastAsia="Times New Roman"/>
              </w:rPr>
            </w:pPr>
          </w:p>
        </w:tc>
      </w:tr>
      <w:tr w:rsidR="00000000" w14:paraId="36341ED9" w14:textId="77777777">
        <w:trPr>
          <w:divId w:val="696780756"/>
        </w:trPr>
        <w:tc>
          <w:tcPr>
            <w:tcW w:w="0" w:type="auto"/>
            <w:gridSpan w:val="3"/>
            <w:shd w:val="clear" w:color="auto" w:fill="CCEEFF"/>
            <w:tcMar>
              <w:top w:w="30" w:type="dxa"/>
              <w:left w:w="20" w:type="dxa"/>
              <w:bottom w:w="30" w:type="dxa"/>
              <w:right w:w="20" w:type="dxa"/>
            </w:tcMar>
            <w:hideMark/>
          </w:tcPr>
          <w:p w14:paraId="22CC5775" w14:textId="77777777" w:rsidR="00000000" w:rsidRDefault="001A570A">
            <w:pPr>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14:paraId="1443E6B8"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6D1B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D783F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EF511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067A1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8731B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B9731" w14:textId="77777777" w:rsidR="00000000" w:rsidRDefault="001A570A">
            <w:pPr>
              <w:rPr>
                <w:rFonts w:eastAsia="Times New Roman"/>
                <w:sz w:val="20"/>
                <w:szCs w:val="20"/>
              </w:rPr>
            </w:pPr>
          </w:p>
        </w:tc>
      </w:tr>
      <w:tr w:rsidR="00000000" w14:paraId="5172C3E0" w14:textId="77777777">
        <w:trPr>
          <w:divId w:val="696780756"/>
        </w:trPr>
        <w:tc>
          <w:tcPr>
            <w:tcW w:w="0" w:type="auto"/>
            <w:gridSpan w:val="3"/>
            <w:shd w:val="clear" w:color="auto" w:fill="FFFFFF"/>
            <w:tcMar>
              <w:top w:w="30" w:type="dxa"/>
              <w:left w:w="20" w:type="dxa"/>
              <w:bottom w:w="30" w:type="dxa"/>
              <w:right w:w="20" w:type="dxa"/>
            </w:tcMar>
            <w:hideMark/>
          </w:tcPr>
          <w:p w14:paraId="089041FA" w14:textId="77777777" w:rsidR="00000000" w:rsidRDefault="001A570A">
            <w:pPr>
              <w:rPr>
                <w:rFonts w:eastAsia="Times New Roman"/>
              </w:rPr>
            </w:pPr>
            <w:r>
              <w:rPr>
                <w:rFonts w:eastAsia="Times New Roman"/>
                <w:color w:val="000000"/>
                <w:sz w:val="20"/>
                <w:szCs w:val="20"/>
              </w:rPr>
              <w:t>(November 28, 2020-January 1, 2021)</w:t>
            </w:r>
          </w:p>
        </w:tc>
        <w:tc>
          <w:tcPr>
            <w:tcW w:w="0" w:type="auto"/>
            <w:gridSpan w:val="3"/>
            <w:shd w:val="clear" w:color="auto" w:fill="FFFFFF"/>
            <w:tcMar>
              <w:top w:w="0" w:type="dxa"/>
              <w:left w:w="20" w:type="dxa"/>
              <w:bottom w:w="0" w:type="dxa"/>
              <w:right w:w="20" w:type="dxa"/>
            </w:tcMar>
            <w:vAlign w:val="center"/>
            <w:hideMark/>
          </w:tcPr>
          <w:p w14:paraId="213FD0D0"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A8FD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ADABA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9F49D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E06F9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26777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29248" w14:textId="77777777" w:rsidR="00000000" w:rsidRDefault="001A570A">
            <w:pPr>
              <w:rPr>
                <w:rFonts w:eastAsia="Times New Roman"/>
                <w:sz w:val="20"/>
                <w:szCs w:val="20"/>
              </w:rPr>
            </w:pPr>
          </w:p>
        </w:tc>
      </w:tr>
      <w:tr w:rsidR="00000000" w14:paraId="59905F0D" w14:textId="77777777">
        <w:trPr>
          <w:divId w:val="696780756"/>
        </w:trPr>
        <w:tc>
          <w:tcPr>
            <w:tcW w:w="0" w:type="auto"/>
            <w:gridSpan w:val="3"/>
            <w:shd w:val="clear" w:color="auto" w:fill="CCEEFF"/>
            <w:tcMar>
              <w:top w:w="30" w:type="dxa"/>
              <w:left w:w="20" w:type="dxa"/>
              <w:bottom w:w="30" w:type="dxa"/>
              <w:right w:w="20" w:type="dxa"/>
            </w:tcMar>
            <w:vAlign w:val="bottom"/>
            <w:hideMark/>
          </w:tcPr>
          <w:p w14:paraId="3AD13B8C" w14:textId="77777777" w:rsidR="00000000" w:rsidRDefault="001A570A">
            <w:pPr>
              <w:ind w:firstLine="180"/>
              <w:divId w:val="818038454"/>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7E6352B" w14:textId="77777777" w:rsidR="00000000" w:rsidRDefault="001A570A">
            <w:pPr>
              <w:jc w:val="right"/>
              <w:rPr>
                <w:rFonts w:eastAsia="Times New Roman"/>
              </w:rPr>
            </w:pPr>
            <w:r>
              <w:rPr>
                <w:rFonts w:eastAsia="Times New Roman"/>
                <w:color w:val="000000"/>
                <w:sz w:val="20"/>
                <w:szCs w:val="20"/>
              </w:rPr>
              <w:t>1,138,598 </w:t>
            </w:r>
          </w:p>
        </w:tc>
        <w:tc>
          <w:tcPr>
            <w:tcW w:w="0" w:type="auto"/>
            <w:shd w:val="clear" w:color="auto" w:fill="CCEEFF"/>
            <w:tcMar>
              <w:top w:w="30" w:type="dxa"/>
              <w:left w:w="0" w:type="dxa"/>
              <w:bottom w:w="30" w:type="dxa"/>
              <w:right w:w="20" w:type="dxa"/>
            </w:tcMar>
            <w:vAlign w:val="bottom"/>
            <w:hideMark/>
          </w:tcPr>
          <w:p w14:paraId="259254C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B9CA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449EC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8B6366" w14:textId="77777777" w:rsidR="00000000" w:rsidRDefault="001A570A">
            <w:pPr>
              <w:jc w:val="right"/>
              <w:rPr>
                <w:rFonts w:eastAsia="Times New Roman"/>
              </w:rPr>
            </w:pPr>
            <w:r>
              <w:rPr>
                <w:rFonts w:eastAsia="Times New Roman"/>
                <w:color w:val="000000"/>
                <w:sz w:val="20"/>
                <w:szCs w:val="20"/>
              </w:rPr>
              <w:t>191.34 </w:t>
            </w:r>
          </w:p>
        </w:tc>
        <w:tc>
          <w:tcPr>
            <w:tcW w:w="0" w:type="auto"/>
            <w:shd w:val="clear" w:color="auto" w:fill="CCEEFF"/>
            <w:tcMar>
              <w:top w:w="30" w:type="dxa"/>
              <w:left w:w="0" w:type="dxa"/>
              <w:bottom w:w="30" w:type="dxa"/>
              <w:right w:w="20" w:type="dxa"/>
            </w:tcMar>
            <w:vAlign w:val="bottom"/>
            <w:hideMark/>
          </w:tcPr>
          <w:p w14:paraId="6071219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34A8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F8D6A" w14:textId="77777777" w:rsidR="00000000" w:rsidRDefault="001A570A">
            <w:pPr>
              <w:jc w:val="right"/>
              <w:rPr>
                <w:rFonts w:eastAsia="Times New Roman"/>
              </w:rPr>
            </w:pPr>
            <w:r>
              <w:rPr>
                <w:rFonts w:eastAsia="Times New Roman"/>
                <w:color w:val="000000"/>
                <w:sz w:val="20"/>
                <w:szCs w:val="20"/>
              </w:rPr>
              <w:t>1,138,598 </w:t>
            </w:r>
          </w:p>
        </w:tc>
        <w:tc>
          <w:tcPr>
            <w:tcW w:w="0" w:type="auto"/>
            <w:shd w:val="clear" w:color="auto" w:fill="CCEEFF"/>
            <w:tcMar>
              <w:top w:w="30" w:type="dxa"/>
              <w:left w:w="0" w:type="dxa"/>
              <w:bottom w:w="30" w:type="dxa"/>
              <w:right w:w="20" w:type="dxa"/>
            </w:tcMar>
            <w:vAlign w:val="bottom"/>
            <w:hideMark/>
          </w:tcPr>
          <w:p w14:paraId="7C10E9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C3CA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00586" w14:textId="77777777" w:rsidR="00000000" w:rsidRDefault="001A570A">
            <w:pPr>
              <w:jc w:val="right"/>
              <w:rPr>
                <w:rFonts w:eastAsia="Times New Roman"/>
              </w:rPr>
            </w:pPr>
            <w:r>
              <w:rPr>
                <w:rFonts w:eastAsia="Times New Roman"/>
                <w:color w:val="000000"/>
                <w:sz w:val="20"/>
                <w:szCs w:val="20"/>
              </w:rPr>
              <w:t>$210,383,051 </w:t>
            </w:r>
          </w:p>
        </w:tc>
        <w:tc>
          <w:tcPr>
            <w:tcW w:w="0" w:type="auto"/>
            <w:shd w:val="clear" w:color="auto" w:fill="CCEEFF"/>
            <w:tcMar>
              <w:top w:w="30" w:type="dxa"/>
              <w:left w:w="0" w:type="dxa"/>
              <w:bottom w:w="30" w:type="dxa"/>
              <w:right w:w="20" w:type="dxa"/>
            </w:tcMar>
            <w:vAlign w:val="bottom"/>
            <w:hideMark/>
          </w:tcPr>
          <w:p w14:paraId="7140AF42" w14:textId="77777777" w:rsidR="00000000" w:rsidRDefault="001A570A">
            <w:pPr>
              <w:jc w:val="right"/>
              <w:rPr>
                <w:rFonts w:eastAsia="Times New Roman"/>
              </w:rPr>
            </w:pPr>
          </w:p>
        </w:tc>
      </w:tr>
      <w:tr w:rsidR="00000000" w14:paraId="031D3826" w14:textId="77777777">
        <w:trPr>
          <w:divId w:val="696780756"/>
        </w:trPr>
        <w:tc>
          <w:tcPr>
            <w:tcW w:w="0" w:type="auto"/>
            <w:gridSpan w:val="3"/>
            <w:shd w:val="clear" w:color="auto" w:fill="FFFFFF"/>
            <w:tcMar>
              <w:top w:w="30" w:type="dxa"/>
              <w:left w:w="20" w:type="dxa"/>
              <w:bottom w:w="30" w:type="dxa"/>
              <w:right w:w="20" w:type="dxa"/>
            </w:tcMar>
            <w:vAlign w:val="bottom"/>
            <w:hideMark/>
          </w:tcPr>
          <w:p w14:paraId="129B5B1B" w14:textId="77777777" w:rsidR="00000000" w:rsidRDefault="001A570A">
            <w:pPr>
              <w:ind w:firstLine="180"/>
              <w:divId w:val="1375082495"/>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D02C511" w14:textId="77777777" w:rsidR="00000000" w:rsidRDefault="001A570A">
            <w:pPr>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14:paraId="1E4F081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688B6"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E7A1F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3D06CD" w14:textId="77777777" w:rsidR="00000000" w:rsidRDefault="001A570A">
            <w:pPr>
              <w:jc w:val="right"/>
              <w:rPr>
                <w:rFonts w:eastAsia="Times New Roman"/>
              </w:rPr>
            </w:pPr>
            <w:r>
              <w:rPr>
                <w:rFonts w:eastAsia="Times New Roman"/>
                <w:color w:val="000000"/>
                <w:sz w:val="20"/>
                <w:szCs w:val="20"/>
              </w:rPr>
              <w:t>189.62 </w:t>
            </w:r>
          </w:p>
        </w:tc>
        <w:tc>
          <w:tcPr>
            <w:tcW w:w="0" w:type="auto"/>
            <w:shd w:val="clear" w:color="auto" w:fill="FFFFFF"/>
            <w:tcMar>
              <w:top w:w="30" w:type="dxa"/>
              <w:left w:w="0" w:type="dxa"/>
              <w:bottom w:w="30" w:type="dxa"/>
              <w:right w:w="20" w:type="dxa"/>
            </w:tcMar>
            <w:vAlign w:val="bottom"/>
            <w:hideMark/>
          </w:tcPr>
          <w:p w14:paraId="513AB54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A01B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1CDC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AF6F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FD4C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A253D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76796D" w14:textId="77777777" w:rsidR="00000000" w:rsidRDefault="001A570A">
            <w:pPr>
              <w:jc w:val="right"/>
              <w:rPr>
                <w:rFonts w:eastAsia="Times New Roman"/>
              </w:rPr>
            </w:pPr>
          </w:p>
        </w:tc>
      </w:tr>
      <w:tr w:rsidR="00000000" w14:paraId="6C44EBB4" w14:textId="77777777">
        <w:trPr>
          <w:divId w:val="696780756"/>
        </w:trPr>
        <w:tc>
          <w:tcPr>
            <w:tcW w:w="0" w:type="auto"/>
            <w:gridSpan w:val="3"/>
            <w:shd w:val="clear" w:color="auto" w:fill="CCEEFF"/>
            <w:tcMar>
              <w:top w:w="30" w:type="dxa"/>
              <w:left w:w="20" w:type="dxa"/>
              <w:bottom w:w="30" w:type="dxa"/>
              <w:right w:w="20" w:type="dxa"/>
            </w:tcMar>
            <w:hideMark/>
          </w:tcPr>
          <w:p w14:paraId="12FFAC5A" w14:textId="77777777" w:rsidR="00000000" w:rsidRDefault="001A570A">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83A20E" w14:textId="77777777" w:rsidR="00000000" w:rsidRDefault="001A570A">
            <w:pPr>
              <w:jc w:val="right"/>
              <w:rPr>
                <w:rFonts w:eastAsia="Times New Roman"/>
              </w:rPr>
            </w:pPr>
            <w:r>
              <w:rPr>
                <w:rFonts w:eastAsia="Times New Roman"/>
                <w:color w:val="000000"/>
                <w:sz w:val="20"/>
                <w:szCs w:val="20"/>
              </w:rPr>
              <w:t>2,306,345 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ECEE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7D8A0"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BE694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D901FD" w14:textId="77777777" w:rsidR="00000000" w:rsidRDefault="001A570A">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2E07DF" w14:textId="77777777" w:rsidR="00000000" w:rsidRDefault="001A570A">
            <w:pPr>
              <w:jc w:val="right"/>
              <w:rPr>
                <w:rFonts w:eastAsia="Times New Roman"/>
              </w:rPr>
            </w:pPr>
            <w:r>
              <w:rPr>
                <w:rFonts w:eastAsia="Times New Roman"/>
                <w:color w:val="000000"/>
                <w:sz w:val="20"/>
                <w:szCs w:val="20"/>
              </w:rPr>
              <w:t>2,294,353 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F0E25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8AFE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1DC1B" w14:textId="77777777" w:rsidR="00000000" w:rsidRDefault="001A570A">
            <w:pPr>
              <w:jc w:val="right"/>
              <w:rPr>
                <w:rFonts w:eastAsia="Times New Roman"/>
              </w:rPr>
            </w:pPr>
            <w:r>
              <w:rPr>
                <w:rFonts w:eastAsia="Times New Roman"/>
                <w:color w:val="000000"/>
                <w:sz w:val="20"/>
                <w:szCs w:val="20"/>
              </w:rPr>
              <w:t>$210,383,051 </w:t>
            </w:r>
          </w:p>
        </w:tc>
        <w:tc>
          <w:tcPr>
            <w:tcW w:w="0" w:type="auto"/>
            <w:shd w:val="clear" w:color="auto" w:fill="CCEEFF"/>
            <w:tcMar>
              <w:top w:w="30" w:type="dxa"/>
              <w:left w:w="0" w:type="dxa"/>
              <w:bottom w:w="30" w:type="dxa"/>
              <w:right w:w="20" w:type="dxa"/>
            </w:tcMar>
            <w:vAlign w:val="bottom"/>
            <w:hideMark/>
          </w:tcPr>
          <w:p w14:paraId="0C95DCD1" w14:textId="77777777" w:rsidR="00000000" w:rsidRDefault="001A570A">
            <w:pPr>
              <w:jc w:val="right"/>
              <w:rPr>
                <w:rFonts w:eastAsia="Times New Roman"/>
              </w:rPr>
            </w:pPr>
          </w:p>
        </w:tc>
      </w:tr>
    </w:tbl>
    <w:p w14:paraId="2B1357EC" w14:textId="77777777" w:rsidR="00000000" w:rsidRDefault="001A570A">
      <w:pPr>
        <w:divId w:val="1425346411"/>
        <w:rPr>
          <w:rFonts w:eastAsia="Times New Roman"/>
        </w:rPr>
      </w:pPr>
      <w:r>
        <w:rPr>
          <w:rFonts w:eastAsia="Times New Roman"/>
          <w:color w:val="000000"/>
          <w:sz w:val="16"/>
          <w:szCs w:val="16"/>
        </w:rPr>
        <w:t>_______________</w:t>
      </w:r>
    </w:p>
    <w:p w14:paraId="2020B235" w14:textId="77777777" w:rsidR="00000000" w:rsidRDefault="001A570A">
      <w:pPr>
        <w:divId w:val="169302170"/>
        <w:rPr>
          <w:rFonts w:eastAsia="Times New Roman"/>
        </w:rPr>
      </w:pPr>
      <w:r>
        <w:rPr>
          <w:rFonts w:eastAsia="Times New Roman"/>
          <w:color w:val="000000"/>
          <w:sz w:val="16"/>
          <w:szCs w:val="16"/>
        </w:rPr>
        <w:t>* Periods represent our fiscal months.</w:t>
      </w:r>
    </w:p>
    <w:p w14:paraId="21615AF2" w14:textId="77777777" w:rsidR="00000000" w:rsidRDefault="001A570A">
      <w:pPr>
        <w:ind w:hanging="360"/>
        <w:divId w:val="592511295"/>
        <w:rPr>
          <w:rFonts w:eastAsia="Times New Roman"/>
        </w:rPr>
      </w:pPr>
      <w:r>
        <w:rPr>
          <w:rFonts w:eastAsia="Times New Roman"/>
          <w:color w:val="000000"/>
          <w:sz w:val="16"/>
          <w:szCs w:val="16"/>
        </w:rPr>
        <w:t>(1)On July 1, 2019, we announced that our Board of Dire</w:t>
      </w:r>
      <w:r>
        <w:rPr>
          <w:rFonts w:eastAsia="Times New Roman"/>
          <w:color w:val="000000"/>
          <w:sz w:val="16"/>
          <w:szCs w:val="16"/>
        </w:rPr>
        <w:t>ctors approved a new share repurchase program with a $4 billion share repurchase authorization replacing our prior share repurchase programs. Our repurchase program does not have an expiration date and authorizes us to repurchase shares of our common stock</w:t>
      </w:r>
      <w:r>
        <w:rPr>
          <w:rFonts w:eastAsia="Times New Roman"/>
          <w:color w:val="000000"/>
          <w:sz w:val="16"/>
          <w:szCs w:val="16"/>
        </w:rPr>
        <w:t xml:space="preserve"> through open market purchases, private transactions, transactions structured through investment banking institutions or any combination thereof. As of January 1, 2021, the remaining unused authorization under our repurchase program was $210 million (as re</w:t>
      </w:r>
      <w:r>
        <w:rPr>
          <w:rFonts w:eastAsia="Times New Roman"/>
          <w:color w:val="000000"/>
          <w:sz w:val="16"/>
          <w:szCs w:val="16"/>
        </w:rPr>
        <w:t xml:space="preserve">flected in the table above). </w:t>
      </w:r>
    </w:p>
    <w:p w14:paraId="2EEAB887" w14:textId="77777777" w:rsidR="00000000" w:rsidRDefault="001A570A">
      <w:pPr>
        <w:ind w:hanging="360"/>
        <w:divId w:val="1741823870"/>
        <w:rPr>
          <w:rFonts w:eastAsia="Times New Roman"/>
        </w:rPr>
      </w:pPr>
      <w:r>
        <w:rPr>
          <w:rFonts w:eastAsia="Times New Roman"/>
          <w:color w:val="000000"/>
          <w:sz w:val="16"/>
          <w:szCs w:val="16"/>
        </w:rPr>
        <w:t>(2)Represents a combination of (a) shares of our common stock delivered to us in satisfaction of the tax withholding obligation of holders of performance units, restricted units or restricted shares that vested during the quar</w:t>
      </w:r>
      <w:r>
        <w:rPr>
          <w:rFonts w:eastAsia="Times New Roman"/>
          <w:color w:val="000000"/>
          <w:sz w:val="16"/>
          <w:szCs w:val="16"/>
        </w:rPr>
        <w:t xml:space="preserve">ter and (b) performance units, restricted units or restricted shares returned to us upon retirement or employment termination of employees. Our equity incentive plans provide that the value of shares delivered to us to pay the exercise price of options or </w:t>
      </w:r>
      <w:r>
        <w:rPr>
          <w:rFonts w:eastAsia="Times New Roman"/>
          <w:color w:val="000000"/>
          <w:sz w:val="16"/>
          <w:szCs w:val="16"/>
        </w:rPr>
        <w:t>to cover tax withholding obligations shall be the closing price of our common stock on the date the relevant transaction occurs.</w:t>
      </w:r>
    </w:p>
    <w:p w14:paraId="7DB5D8DF" w14:textId="77777777" w:rsidR="00000000" w:rsidRDefault="001A570A">
      <w:pPr>
        <w:ind w:firstLine="450"/>
        <w:divId w:val="752891481"/>
        <w:rPr>
          <w:rFonts w:eastAsia="Times New Roman"/>
        </w:rPr>
      </w:pPr>
      <w:r>
        <w:rPr>
          <w:rFonts w:eastAsia="Times New Roman"/>
          <w:color w:val="000000"/>
          <w:sz w:val="20"/>
          <w:szCs w:val="20"/>
        </w:rPr>
        <w:t>The information required by this Item with respect to securities authorized for issuance under our equity compensation plans is</w:t>
      </w:r>
      <w:r>
        <w:rPr>
          <w:rFonts w:eastAsia="Times New Roman"/>
          <w:color w:val="000000"/>
          <w:sz w:val="20"/>
          <w:szCs w:val="20"/>
        </w:rPr>
        <w:t xml:space="preserve"> included in “Item 12. Security Ownership of Certain Beneficial Owners and Management and Related Stockholder Matters” of this Report. See </w:t>
      </w:r>
      <w:r>
        <w:rPr>
          <w:rFonts w:eastAsia="Times New Roman"/>
          <w:i/>
          <w:iCs/>
          <w:color w:val="000000"/>
          <w:sz w:val="20"/>
          <w:szCs w:val="20"/>
        </w:rPr>
        <w:t>Note 16: Stock Options and Other Share-Based Compensation</w:t>
      </w:r>
      <w:r>
        <w:rPr>
          <w:rFonts w:eastAsia="Times New Roman"/>
          <w:color w:val="000000"/>
          <w:sz w:val="20"/>
          <w:szCs w:val="20"/>
        </w:rPr>
        <w:t xml:space="preserve"> in the Notes for a general description of our share-based i</w:t>
      </w:r>
      <w:r>
        <w:rPr>
          <w:rFonts w:eastAsia="Times New Roman"/>
          <w:color w:val="000000"/>
          <w:sz w:val="20"/>
          <w:szCs w:val="20"/>
        </w:rPr>
        <w:t>ncentive plans.</w:t>
      </w:r>
    </w:p>
    <w:tbl>
      <w:tblPr>
        <w:tblW w:w="1551" w:type="pct"/>
        <w:tblCellMar>
          <w:top w:w="15" w:type="dxa"/>
          <w:left w:w="15" w:type="dxa"/>
          <w:bottom w:w="15" w:type="dxa"/>
          <w:right w:w="15" w:type="dxa"/>
        </w:tblCellMar>
        <w:tblLook w:val="04A0" w:firstRow="1" w:lastRow="0" w:firstColumn="1" w:lastColumn="0" w:noHBand="0" w:noVBand="1"/>
      </w:tblPr>
      <w:tblGrid>
        <w:gridCol w:w="37"/>
        <w:gridCol w:w="845"/>
        <w:gridCol w:w="36"/>
        <w:gridCol w:w="37"/>
        <w:gridCol w:w="1586"/>
        <w:gridCol w:w="36"/>
      </w:tblGrid>
      <w:tr w:rsidR="00000000" w14:paraId="769BE2C9" w14:textId="77777777">
        <w:trPr>
          <w:divId w:val="260722195"/>
        </w:trPr>
        <w:tc>
          <w:tcPr>
            <w:tcW w:w="50" w:type="pct"/>
            <w:vAlign w:val="center"/>
            <w:hideMark/>
          </w:tcPr>
          <w:p w14:paraId="444DEE4E" w14:textId="77777777" w:rsidR="00000000" w:rsidRDefault="001A570A">
            <w:pPr>
              <w:ind w:firstLine="450"/>
              <w:rPr>
                <w:rFonts w:eastAsia="Times New Roman"/>
              </w:rPr>
            </w:pPr>
          </w:p>
        </w:tc>
        <w:tc>
          <w:tcPr>
            <w:tcW w:w="1727" w:type="pct"/>
            <w:vAlign w:val="center"/>
            <w:hideMark/>
          </w:tcPr>
          <w:p w14:paraId="7CBBF395" w14:textId="77777777" w:rsidR="00000000" w:rsidRDefault="001A570A">
            <w:pPr>
              <w:rPr>
                <w:rFonts w:eastAsia="Times New Roman"/>
                <w:sz w:val="20"/>
                <w:szCs w:val="20"/>
              </w:rPr>
            </w:pPr>
          </w:p>
        </w:tc>
        <w:tc>
          <w:tcPr>
            <w:tcW w:w="5" w:type="pct"/>
            <w:vAlign w:val="center"/>
            <w:hideMark/>
          </w:tcPr>
          <w:p w14:paraId="517CA5BF" w14:textId="77777777" w:rsidR="00000000" w:rsidRDefault="001A570A">
            <w:pPr>
              <w:rPr>
                <w:rFonts w:eastAsia="Times New Roman"/>
                <w:sz w:val="20"/>
                <w:szCs w:val="20"/>
              </w:rPr>
            </w:pPr>
          </w:p>
        </w:tc>
        <w:tc>
          <w:tcPr>
            <w:tcW w:w="50" w:type="pct"/>
            <w:vAlign w:val="center"/>
            <w:hideMark/>
          </w:tcPr>
          <w:p w14:paraId="35EF6BBA" w14:textId="77777777" w:rsidR="00000000" w:rsidRDefault="001A570A">
            <w:pPr>
              <w:rPr>
                <w:rFonts w:eastAsia="Times New Roman"/>
                <w:sz w:val="20"/>
                <w:szCs w:val="20"/>
              </w:rPr>
            </w:pPr>
          </w:p>
        </w:tc>
        <w:tc>
          <w:tcPr>
            <w:tcW w:w="3162" w:type="pct"/>
            <w:vAlign w:val="center"/>
            <w:hideMark/>
          </w:tcPr>
          <w:p w14:paraId="3D048228" w14:textId="77777777" w:rsidR="00000000" w:rsidRDefault="001A570A">
            <w:pPr>
              <w:rPr>
                <w:rFonts w:eastAsia="Times New Roman"/>
                <w:sz w:val="20"/>
                <w:szCs w:val="20"/>
              </w:rPr>
            </w:pPr>
          </w:p>
        </w:tc>
        <w:tc>
          <w:tcPr>
            <w:tcW w:w="5" w:type="pct"/>
            <w:vAlign w:val="center"/>
            <w:hideMark/>
          </w:tcPr>
          <w:p w14:paraId="71020C39" w14:textId="77777777" w:rsidR="00000000" w:rsidRDefault="001A570A">
            <w:pPr>
              <w:rPr>
                <w:rFonts w:eastAsia="Times New Roman"/>
                <w:sz w:val="20"/>
                <w:szCs w:val="20"/>
              </w:rPr>
            </w:pPr>
          </w:p>
        </w:tc>
      </w:tr>
      <w:tr w:rsidR="00000000" w14:paraId="7C476ADE" w14:textId="77777777">
        <w:trPr>
          <w:divId w:val="260722195"/>
        </w:trPr>
        <w:tc>
          <w:tcPr>
            <w:tcW w:w="0" w:type="auto"/>
            <w:gridSpan w:val="3"/>
            <w:tcMar>
              <w:top w:w="30" w:type="dxa"/>
              <w:left w:w="20" w:type="dxa"/>
              <w:bottom w:w="30" w:type="dxa"/>
              <w:right w:w="20" w:type="dxa"/>
            </w:tcMar>
            <w:hideMark/>
          </w:tcPr>
          <w:p w14:paraId="5558316E" w14:textId="77777777" w:rsidR="00000000" w:rsidRDefault="001A570A">
            <w:pPr>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14:paraId="336D1EE8" w14:textId="77777777" w:rsidR="00000000" w:rsidRDefault="001A570A">
            <w:pPr>
              <w:rPr>
                <w:rFonts w:eastAsia="Times New Roman"/>
              </w:rPr>
            </w:pPr>
            <w:r>
              <w:rPr>
                <w:rFonts w:eastAsia="Times New Roman"/>
                <w:b/>
                <w:bCs/>
                <w:color w:val="000000"/>
                <w:sz w:val="20"/>
                <w:szCs w:val="20"/>
              </w:rPr>
              <w:t>[RESERVED.]</w:t>
            </w:r>
          </w:p>
        </w:tc>
      </w:tr>
      <w:tr w:rsidR="00000000" w14:paraId="24E553BF" w14:textId="77777777">
        <w:trPr>
          <w:divId w:val="260722195"/>
          <w:trHeight w:val="300"/>
        </w:trPr>
        <w:tc>
          <w:tcPr>
            <w:tcW w:w="0" w:type="auto"/>
            <w:gridSpan w:val="3"/>
            <w:tcMar>
              <w:top w:w="0" w:type="dxa"/>
              <w:left w:w="20" w:type="dxa"/>
              <w:bottom w:w="0" w:type="dxa"/>
              <w:right w:w="20" w:type="dxa"/>
            </w:tcMar>
            <w:vAlign w:val="center"/>
            <w:hideMark/>
          </w:tcPr>
          <w:p w14:paraId="5ADBB684"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39F5C723" w14:textId="77777777" w:rsidR="00000000" w:rsidRDefault="001A570A">
            <w:pPr>
              <w:rPr>
                <w:rFonts w:eastAsia="Times New Roman"/>
                <w:sz w:val="20"/>
                <w:szCs w:val="20"/>
              </w:rPr>
            </w:pPr>
          </w:p>
        </w:tc>
      </w:tr>
    </w:tbl>
    <w:p w14:paraId="0CCA8B8D" w14:textId="77777777" w:rsidR="00000000" w:rsidRDefault="001A570A">
      <w:pPr>
        <w:ind w:firstLine="450"/>
        <w:jc w:val="center"/>
        <w:divId w:val="1034647209"/>
        <w:rPr>
          <w:rFonts w:eastAsia="Times New Roman"/>
        </w:rPr>
      </w:pPr>
      <w:r>
        <w:rPr>
          <w:rFonts w:eastAsia="Times New Roman"/>
          <w:color w:val="000000"/>
          <w:sz w:val="20"/>
          <w:szCs w:val="20"/>
        </w:rPr>
        <w:t>32</w:t>
      </w:r>
    </w:p>
    <w:p w14:paraId="5158466F" w14:textId="77777777" w:rsidR="00000000" w:rsidRDefault="001A570A">
      <w:pPr>
        <w:rPr>
          <w:rFonts w:eastAsia="Times New Roman"/>
        </w:rPr>
      </w:pPr>
      <w:r>
        <w:rPr>
          <w:rFonts w:eastAsia="Times New Roman"/>
        </w:rPr>
        <w:pict w14:anchorId="69EBFB86">
          <v:rect id="_x0000_i1060" style="width:0;height:1.5pt" o:hralign="center" o:hrstd="t" o:hr="t" fillcolor="#a0a0a0" stroked="f"/>
        </w:pict>
      </w:r>
    </w:p>
    <w:p w14:paraId="42930297" w14:textId="77777777" w:rsidR="00000000" w:rsidRDefault="001A570A">
      <w:pPr>
        <w:ind w:firstLine="450"/>
        <w:divId w:val="899049985"/>
        <w:rPr>
          <w:rFonts w:eastAsia="Times New Roman"/>
        </w:rPr>
      </w:pPr>
    </w:p>
    <w:tbl>
      <w:tblPr>
        <w:tblW w:w="4691" w:type="pct"/>
        <w:tblCellMar>
          <w:top w:w="15" w:type="dxa"/>
          <w:left w:w="15" w:type="dxa"/>
          <w:bottom w:w="15" w:type="dxa"/>
          <w:right w:w="15" w:type="dxa"/>
        </w:tblCellMar>
        <w:tblLook w:val="04A0" w:firstRow="1" w:lastRow="0" w:firstColumn="1" w:lastColumn="0" w:noHBand="0" w:noVBand="1"/>
      </w:tblPr>
      <w:tblGrid>
        <w:gridCol w:w="70"/>
        <w:gridCol w:w="812"/>
        <w:gridCol w:w="36"/>
        <w:gridCol w:w="64"/>
        <w:gridCol w:w="6775"/>
        <w:gridCol w:w="36"/>
      </w:tblGrid>
      <w:tr w:rsidR="00000000" w14:paraId="0B368DC9" w14:textId="77777777">
        <w:trPr>
          <w:divId w:val="1886797254"/>
        </w:trPr>
        <w:tc>
          <w:tcPr>
            <w:tcW w:w="50" w:type="pct"/>
            <w:vAlign w:val="center"/>
            <w:hideMark/>
          </w:tcPr>
          <w:p w14:paraId="1CD734C6" w14:textId="77777777" w:rsidR="00000000" w:rsidRDefault="001A570A">
            <w:pPr>
              <w:ind w:firstLine="450"/>
              <w:rPr>
                <w:rFonts w:eastAsia="Times New Roman"/>
              </w:rPr>
            </w:pPr>
          </w:p>
        </w:tc>
        <w:tc>
          <w:tcPr>
            <w:tcW w:w="534" w:type="pct"/>
            <w:vAlign w:val="center"/>
            <w:hideMark/>
          </w:tcPr>
          <w:p w14:paraId="07104236" w14:textId="77777777" w:rsidR="00000000" w:rsidRDefault="001A570A">
            <w:pPr>
              <w:rPr>
                <w:rFonts w:eastAsia="Times New Roman"/>
                <w:sz w:val="20"/>
                <w:szCs w:val="20"/>
              </w:rPr>
            </w:pPr>
          </w:p>
        </w:tc>
        <w:tc>
          <w:tcPr>
            <w:tcW w:w="5" w:type="pct"/>
            <w:vAlign w:val="center"/>
            <w:hideMark/>
          </w:tcPr>
          <w:p w14:paraId="15C8C086" w14:textId="77777777" w:rsidR="00000000" w:rsidRDefault="001A570A">
            <w:pPr>
              <w:rPr>
                <w:rFonts w:eastAsia="Times New Roman"/>
                <w:sz w:val="20"/>
                <w:szCs w:val="20"/>
              </w:rPr>
            </w:pPr>
          </w:p>
        </w:tc>
        <w:tc>
          <w:tcPr>
            <w:tcW w:w="50" w:type="pct"/>
            <w:vAlign w:val="center"/>
            <w:hideMark/>
          </w:tcPr>
          <w:p w14:paraId="518EA347" w14:textId="77777777" w:rsidR="00000000" w:rsidRDefault="001A570A">
            <w:pPr>
              <w:rPr>
                <w:rFonts w:eastAsia="Times New Roman"/>
                <w:sz w:val="20"/>
                <w:szCs w:val="20"/>
              </w:rPr>
            </w:pPr>
          </w:p>
        </w:tc>
        <w:tc>
          <w:tcPr>
            <w:tcW w:w="4355" w:type="pct"/>
            <w:vAlign w:val="center"/>
            <w:hideMark/>
          </w:tcPr>
          <w:p w14:paraId="681AC963" w14:textId="77777777" w:rsidR="00000000" w:rsidRDefault="001A570A">
            <w:pPr>
              <w:rPr>
                <w:rFonts w:eastAsia="Times New Roman"/>
                <w:sz w:val="20"/>
                <w:szCs w:val="20"/>
              </w:rPr>
            </w:pPr>
          </w:p>
        </w:tc>
        <w:tc>
          <w:tcPr>
            <w:tcW w:w="5" w:type="pct"/>
            <w:vAlign w:val="center"/>
            <w:hideMark/>
          </w:tcPr>
          <w:p w14:paraId="66ACB8B3" w14:textId="77777777" w:rsidR="00000000" w:rsidRDefault="001A570A">
            <w:pPr>
              <w:rPr>
                <w:rFonts w:eastAsia="Times New Roman"/>
                <w:sz w:val="20"/>
                <w:szCs w:val="20"/>
              </w:rPr>
            </w:pPr>
          </w:p>
        </w:tc>
      </w:tr>
      <w:tr w:rsidR="00000000" w14:paraId="197E8C11" w14:textId="77777777">
        <w:trPr>
          <w:divId w:val="1886797254"/>
        </w:trPr>
        <w:tc>
          <w:tcPr>
            <w:tcW w:w="0" w:type="auto"/>
            <w:gridSpan w:val="3"/>
            <w:tcMar>
              <w:top w:w="30" w:type="dxa"/>
              <w:left w:w="20" w:type="dxa"/>
              <w:bottom w:w="30" w:type="dxa"/>
              <w:right w:w="20" w:type="dxa"/>
            </w:tcMar>
            <w:hideMark/>
          </w:tcPr>
          <w:p w14:paraId="46EA1AEE" w14:textId="77777777" w:rsidR="00000000" w:rsidRDefault="001A570A">
            <w:pPr>
              <w:rPr>
                <w:rFonts w:eastAsia="Times New Roman"/>
              </w:rPr>
            </w:pPr>
            <w:r>
              <w:rPr>
                <w:rFonts w:eastAsia="Times New Roman"/>
                <w:b/>
                <w:bCs/>
                <w:color w:val="000000"/>
                <w:sz w:val="20"/>
                <w:szCs w:val="20"/>
              </w:rPr>
              <w:t> ITEM 7.</w:t>
            </w:r>
          </w:p>
        </w:tc>
        <w:tc>
          <w:tcPr>
            <w:tcW w:w="0" w:type="auto"/>
            <w:gridSpan w:val="3"/>
            <w:tcMar>
              <w:top w:w="30" w:type="dxa"/>
              <w:left w:w="20" w:type="dxa"/>
              <w:bottom w:w="30" w:type="dxa"/>
              <w:right w:w="20" w:type="dxa"/>
            </w:tcMar>
            <w:hideMark/>
          </w:tcPr>
          <w:p w14:paraId="1E17FE2B" w14:textId="77777777" w:rsidR="00000000" w:rsidRDefault="001A570A">
            <w:pPr>
              <w:rPr>
                <w:rFonts w:eastAsia="Times New Roman"/>
              </w:rPr>
            </w:pPr>
            <w:r>
              <w:rPr>
                <w:rFonts w:eastAsia="Times New Roman"/>
                <w:b/>
                <w:bCs/>
                <w:color w:val="000000"/>
                <w:sz w:val="20"/>
                <w:szCs w:val="20"/>
              </w:rPr>
              <w:t>MANAGEMENT’S DISCUSSION AND ANALYSIS OF FINANCIAL CONDITION AND RESULTS OF OPERATIONS.</w:t>
            </w:r>
          </w:p>
        </w:tc>
      </w:tr>
    </w:tbl>
    <w:p w14:paraId="26D036DA" w14:textId="77777777" w:rsidR="00000000" w:rsidRDefault="001A570A">
      <w:pPr>
        <w:ind w:firstLine="450"/>
        <w:divId w:val="1644694886"/>
        <w:rPr>
          <w:rFonts w:eastAsia="Times New Roman"/>
        </w:rPr>
      </w:pPr>
    </w:p>
    <w:p w14:paraId="1CD51866" w14:textId="77777777" w:rsidR="00000000" w:rsidRDefault="001A570A">
      <w:pPr>
        <w:divId w:val="461004372"/>
        <w:rPr>
          <w:rFonts w:eastAsia="Times New Roman"/>
        </w:rPr>
      </w:pPr>
      <w:r>
        <w:rPr>
          <w:rFonts w:eastAsia="Times New Roman"/>
          <w:b/>
          <w:bCs/>
          <w:color w:val="000000"/>
          <w:sz w:val="20"/>
          <w:szCs w:val="20"/>
        </w:rPr>
        <w:t>OVERVIEW</w:t>
      </w:r>
    </w:p>
    <w:p w14:paraId="3615B44E" w14:textId="77777777" w:rsidR="00000000" w:rsidRDefault="001A570A">
      <w:pPr>
        <w:ind w:firstLine="450"/>
        <w:divId w:val="1871382265"/>
        <w:rPr>
          <w:rFonts w:eastAsia="Times New Roman"/>
        </w:rPr>
      </w:pPr>
      <w:r>
        <w:rPr>
          <w:rFonts w:eastAsia="Times New Roman"/>
          <w:color w:val="000000"/>
          <w:sz w:val="20"/>
          <w:szCs w:val="20"/>
        </w:rPr>
        <w:t>The following Management’s Discussion and Analysis (“MD&amp;A”</w:t>
      </w:r>
      <w:r>
        <w:rPr>
          <w:rFonts w:eastAsia="Times New Roman"/>
          <w:color w:val="000000"/>
          <w:sz w:val="20"/>
          <w:szCs w:val="20"/>
        </w:rPr>
        <w:t>) is intended to assist in an understanding of our financial condition and results of operations for the fiscal year ended January 1, 2021 compared with the four quarters ended January 3, 2020 and the two quarters ended January 3, 2020 compared with two qu</w:t>
      </w:r>
      <w:r>
        <w:rPr>
          <w:rFonts w:eastAsia="Times New Roman"/>
          <w:color w:val="000000"/>
          <w:sz w:val="20"/>
          <w:szCs w:val="20"/>
        </w:rPr>
        <w:t>arters ended December 28, 2018. For a discussion of our results for fiscal 2019 compared with fiscal 2018, see “Item 7. Management Discussion and Analysis of Financial Condition and Results of Operations” included in our Transition Report on Form 10-KT for</w:t>
      </w:r>
      <w:r>
        <w:rPr>
          <w:rFonts w:eastAsia="Times New Roman"/>
          <w:color w:val="000000"/>
          <w:sz w:val="20"/>
          <w:szCs w:val="20"/>
        </w:rPr>
        <w:t xml:space="preserve"> the Fiscal Transition Period. This MD&amp;A is provided as a supplement to, should be read in conjunction with, and is qualified in its entirety by reference to, our Consolidated Financial Statements and accompanying Notes appearing elsewhere in this Report. </w:t>
      </w:r>
      <w:r>
        <w:rPr>
          <w:rFonts w:eastAsia="Times New Roman"/>
          <w:color w:val="000000"/>
          <w:sz w:val="20"/>
          <w:szCs w:val="20"/>
        </w:rPr>
        <w:t>Except for the historical information contained herein, the discussions in this MD&amp;A contain forward-looking statements that involve risks and uncertainties. Our future results could differ materially from those discussed herein. Factors that could cause o</w:t>
      </w:r>
      <w:r>
        <w:rPr>
          <w:rFonts w:eastAsia="Times New Roman"/>
          <w:color w:val="000000"/>
          <w:sz w:val="20"/>
          <w:szCs w:val="20"/>
        </w:rPr>
        <w:t>r contribute to such differences include, but are not limited to, those discussed below in this MD&amp;A under “Forward-Looking Statements and Factors that May Affect Future Results.”</w:t>
      </w:r>
    </w:p>
    <w:p w14:paraId="79B2F776" w14:textId="77777777" w:rsidR="00000000" w:rsidRDefault="001A570A">
      <w:pPr>
        <w:ind w:firstLine="450"/>
        <w:divId w:val="25831518"/>
        <w:rPr>
          <w:rFonts w:eastAsia="Times New Roman"/>
        </w:rPr>
      </w:pPr>
      <w:r>
        <w:rPr>
          <w:rFonts w:eastAsia="Times New Roman"/>
          <w:color w:val="000000"/>
          <w:sz w:val="20"/>
          <w:szCs w:val="20"/>
        </w:rPr>
        <w:t>The following is a list of the sections of this MD&amp;A, together with our pers</w:t>
      </w:r>
      <w:r>
        <w:rPr>
          <w:rFonts w:eastAsia="Times New Roman"/>
          <w:color w:val="000000"/>
          <w:sz w:val="20"/>
          <w:szCs w:val="20"/>
        </w:rPr>
        <w:t>pective on their contents, which we hope will assist in reading these pages:</w:t>
      </w:r>
    </w:p>
    <w:p w14:paraId="61CC75FB" w14:textId="77777777" w:rsidR="00000000" w:rsidRDefault="001A570A">
      <w:pPr>
        <w:ind w:hanging="360"/>
        <w:divId w:val="780681544"/>
        <w:rPr>
          <w:rFonts w:eastAsia="Times New Roman"/>
        </w:rPr>
      </w:pPr>
      <w:r>
        <w:rPr>
          <w:rFonts w:eastAsia="Times New Roman"/>
          <w:color w:val="000000"/>
          <w:sz w:val="20"/>
          <w:szCs w:val="20"/>
        </w:rPr>
        <w:t>•</w:t>
      </w:r>
      <w:r>
        <w:rPr>
          <w:rFonts w:eastAsia="Times New Roman"/>
          <w:b/>
          <w:bCs/>
          <w:i/>
          <w:iCs/>
          <w:color w:val="000000"/>
          <w:sz w:val="20"/>
          <w:szCs w:val="20"/>
        </w:rPr>
        <w:t>Business Considerations</w:t>
      </w:r>
      <w:r>
        <w:rPr>
          <w:rFonts w:eastAsia="Times New Roman"/>
          <w:i/>
          <w:iCs/>
          <w:color w:val="000000"/>
          <w:sz w:val="20"/>
          <w:szCs w:val="20"/>
        </w:rPr>
        <w:t xml:space="preserve"> </w:t>
      </w:r>
      <w:r>
        <w:rPr>
          <w:rFonts w:eastAsia="Times New Roman"/>
          <w:color w:val="000000"/>
          <w:sz w:val="20"/>
          <w:szCs w:val="20"/>
        </w:rPr>
        <w:t>— a general description of our business; the value drivers of our business; fiscal 2020 results of operations and liquidity and capital resources key indi</w:t>
      </w:r>
      <w:r>
        <w:rPr>
          <w:rFonts w:eastAsia="Times New Roman"/>
          <w:color w:val="000000"/>
          <w:sz w:val="20"/>
          <w:szCs w:val="20"/>
        </w:rPr>
        <w:t xml:space="preserve">cators; and industry-wide opportunities, challenges and risks that are relevant to us in defense, government and commercial markets. </w:t>
      </w:r>
    </w:p>
    <w:p w14:paraId="7BD711CB" w14:textId="77777777" w:rsidR="00000000" w:rsidRDefault="001A570A">
      <w:pPr>
        <w:ind w:hanging="360"/>
        <w:divId w:val="2141997089"/>
        <w:rPr>
          <w:rFonts w:eastAsia="Times New Roman"/>
        </w:rPr>
      </w:pPr>
      <w:r>
        <w:rPr>
          <w:rFonts w:eastAsia="Times New Roman"/>
          <w:color w:val="000000"/>
          <w:sz w:val="20"/>
          <w:szCs w:val="20"/>
        </w:rPr>
        <w:t>•</w:t>
      </w:r>
      <w:r>
        <w:rPr>
          <w:rFonts w:eastAsia="Times New Roman"/>
          <w:b/>
          <w:bCs/>
          <w:i/>
          <w:iCs/>
          <w:color w:val="000000"/>
          <w:sz w:val="20"/>
          <w:szCs w:val="20"/>
        </w:rPr>
        <w:t>Operations Review</w:t>
      </w:r>
      <w:r>
        <w:rPr>
          <w:rFonts w:eastAsia="Times New Roman"/>
          <w:color w:val="000000"/>
          <w:sz w:val="20"/>
          <w:szCs w:val="20"/>
        </w:rPr>
        <w:t xml:space="preserve"> — </w:t>
      </w:r>
      <w:r>
        <w:rPr>
          <w:rFonts w:eastAsia="Times New Roman"/>
          <w:color w:val="000000"/>
          <w:sz w:val="20"/>
          <w:szCs w:val="20"/>
        </w:rPr>
        <w:t>an analysis of our consolidated results of operations and of the results in each of our business segments, to the extent the segment operating results are helpful to an understanding of our business as a whole, for the periods presented in our financial st</w:t>
      </w:r>
      <w:r>
        <w:rPr>
          <w:rFonts w:eastAsia="Times New Roman"/>
          <w:color w:val="000000"/>
          <w:sz w:val="20"/>
          <w:szCs w:val="20"/>
        </w:rPr>
        <w:t xml:space="preserve">atements. </w:t>
      </w:r>
    </w:p>
    <w:p w14:paraId="04D2A35E" w14:textId="77777777" w:rsidR="00000000" w:rsidRDefault="001A570A">
      <w:pPr>
        <w:ind w:hanging="360"/>
        <w:divId w:val="764543784"/>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Strategies</w:t>
      </w:r>
      <w:r>
        <w:rPr>
          <w:rFonts w:eastAsia="Times New Roman"/>
          <w:color w:val="000000"/>
          <w:sz w:val="20"/>
          <w:szCs w:val="20"/>
        </w:rPr>
        <w:t xml:space="preserve"> — an analysis of cash flows, funding of pension plans, common stock repurchases, dividends, capital structure and resources, contractual obligations, off-balance sheet arrangements, commerci</w:t>
      </w:r>
      <w:r>
        <w:rPr>
          <w:rFonts w:eastAsia="Times New Roman"/>
          <w:color w:val="000000"/>
          <w:sz w:val="20"/>
          <w:szCs w:val="20"/>
        </w:rPr>
        <w:t>al commitments, financial risk management, impact of foreign exchange and impact of inflation.</w:t>
      </w:r>
    </w:p>
    <w:p w14:paraId="1FD20220" w14:textId="77777777" w:rsidR="00000000" w:rsidRDefault="001A570A">
      <w:pPr>
        <w:ind w:hanging="360"/>
        <w:divId w:val="585505352"/>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Estimates</w:t>
      </w:r>
      <w:r>
        <w:rPr>
          <w:rFonts w:eastAsia="Times New Roman"/>
          <w:b/>
          <w:bCs/>
          <w:color w:val="000000"/>
          <w:sz w:val="20"/>
          <w:szCs w:val="20"/>
        </w:rPr>
        <w:t xml:space="preserve"> </w:t>
      </w:r>
      <w:r>
        <w:rPr>
          <w:rFonts w:eastAsia="Times New Roman"/>
          <w:color w:val="000000"/>
          <w:sz w:val="20"/>
          <w:szCs w:val="20"/>
        </w:rPr>
        <w:t>— a discussion of accounting policies and estimates that require the most judgment and a discussion of accounting pro</w:t>
      </w:r>
      <w:r>
        <w:rPr>
          <w:rFonts w:eastAsia="Times New Roman"/>
          <w:color w:val="000000"/>
          <w:sz w:val="20"/>
          <w:szCs w:val="20"/>
        </w:rPr>
        <w:t>nouncements that have been issued but not yet implemented by us and their potential impact on our financial condition, results of operations, cash flows and equity.</w:t>
      </w:r>
    </w:p>
    <w:p w14:paraId="56A84936" w14:textId="77777777" w:rsidR="00000000" w:rsidRDefault="001A570A">
      <w:pPr>
        <w:ind w:hanging="360"/>
        <w:divId w:val="1121651274"/>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 Factors that May Affect Future Results</w:t>
      </w:r>
      <w:r>
        <w:rPr>
          <w:rFonts w:eastAsia="Times New Roman"/>
          <w:color w:val="000000"/>
          <w:sz w:val="20"/>
          <w:szCs w:val="20"/>
        </w:rPr>
        <w:t xml:space="preserve"> — cautionary informa</w:t>
      </w:r>
      <w:r>
        <w:rPr>
          <w:rFonts w:eastAsia="Times New Roman"/>
          <w:color w:val="000000"/>
          <w:sz w:val="20"/>
          <w:szCs w:val="20"/>
        </w:rPr>
        <w:t>tion about forward-looking statements and a description of certain risks and uncertainties that could cause our actual results to differ materially from our historical results or our current expectations or projections.</w:t>
      </w:r>
    </w:p>
    <w:p w14:paraId="110D7051" w14:textId="77777777" w:rsidR="00000000" w:rsidRDefault="001A570A">
      <w:pPr>
        <w:divId w:val="1130249378"/>
        <w:rPr>
          <w:rFonts w:eastAsia="Times New Roman"/>
        </w:rPr>
      </w:pPr>
      <w:r>
        <w:rPr>
          <w:rFonts w:eastAsia="Times New Roman"/>
          <w:b/>
          <w:bCs/>
          <w:color w:val="000000"/>
          <w:sz w:val="20"/>
          <w:szCs w:val="20"/>
        </w:rPr>
        <w:t>COVID</w:t>
      </w:r>
    </w:p>
    <w:p w14:paraId="4B9A82C8" w14:textId="77777777" w:rsidR="00000000" w:rsidRDefault="001A570A">
      <w:pPr>
        <w:ind w:firstLine="450"/>
        <w:divId w:val="818376331"/>
        <w:rPr>
          <w:rFonts w:eastAsia="Times New Roman"/>
        </w:rPr>
      </w:pPr>
      <w:r>
        <w:rPr>
          <w:rFonts w:eastAsia="Times New Roman"/>
          <w:color w:val="000000"/>
          <w:sz w:val="20"/>
          <w:szCs w:val="20"/>
        </w:rPr>
        <w:t>The ongoing COVID pandemic and</w:t>
      </w:r>
      <w:r>
        <w:rPr>
          <w:rFonts w:eastAsia="Times New Roman"/>
          <w:color w:val="000000"/>
          <w:sz w:val="20"/>
          <w:szCs w:val="20"/>
        </w:rPr>
        <w:t xml:space="preserve"> attempts to contain and reduce the spread of the virus, such as mandatory closures, “shelter-in-place” orders and travel and quarantine restrictions, have caused significant disruptions and adverse effects on the U.S. and global economies, such as impacts</w:t>
      </w:r>
      <w:r>
        <w:rPr>
          <w:rFonts w:eastAsia="Times New Roman"/>
          <w:color w:val="000000"/>
          <w:sz w:val="20"/>
          <w:szCs w:val="20"/>
        </w:rPr>
        <w:t xml:space="preserve"> to supply chains, customer demand, international trade and capital markets. Our response has involved increasing our focus on keeping our employees safe while striving to maintain continuity of operations, meet customer commitments and support suppliers. </w:t>
      </w:r>
      <w:r>
        <w:rPr>
          <w:rFonts w:eastAsia="Times New Roman"/>
          <w:color w:val="000000"/>
          <w:sz w:val="20"/>
          <w:szCs w:val="20"/>
        </w:rPr>
        <w:t>For example, we instituted work-from-home (for employees who are able to work remotely) and social distancing arrangements; canceled travel and external events; procured personal protective equipment for employees; implemented health screening procedures a</w:t>
      </w:r>
      <w:r>
        <w:rPr>
          <w:rFonts w:eastAsia="Times New Roman"/>
          <w:color w:val="000000"/>
          <w:sz w:val="20"/>
          <w:szCs w:val="20"/>
        </w:rPr>
        <w:t xml:space="preserve">t all facilities; staggered work shifts, redesigned work stations, implemented stringent cleaning protocols and initiated more detailed safety precautions and protocols for on-site work, such as daily health assessments and mandatory face coverings, which </w:t>
      </w:r>
      <w:r>
        <w:rPr>
          <w:rFonts w:eastAsia="Times New Roman"/>
          <w:color w:val="000000"/>
          <w:sz w:val="20"/>
          <w:szCs w:val="20"/>
        </w:rPr>
        <w:t xml:space="preserve">currently remain in effect. We have also maintained an active dialog with key suppliers and developed plans to mitigate supply chain risks. We have allowed certain essential business travel to resume, and we continue to expect to utilize a phased approach </w:t>
      </w:r>
      <w:r>
        <w:rPr>
          <w:rFonts w:eastAsia="Times New Roman"/>
          <w:color w:val="000000"/>
          <w:sz w:val="20"/>
          <w:szCs w:val="20"/>
        </w:rPr>
        <w:t>based on local conditions for transitioning employees from work-from-home arrangements to on-site work. The U.S. Government response to COVID has included identifying the defense industrial base as a Critical Infrastructure Sector and enhancing cash flow a</w:t>
      </w:r>
      <w:r>
        <w:rPr>
          <w:rFonts w:eastAsia="Times New Roman"/>
          <w:color w:val="000000"/>
          <w:sz w:val="20"/>
          <w:szCs w:val="20"/>
        </w:rPr>
        <w:t>nd liquidity for the defense industrial base, such as by increasing progress payments and accelerating contract awards. As a part of the defense industrial base, these actions have enabled us to keep our U.S. production facilities largely operational in su</w:t>
      </w:r>
      <w:r>
        <w:rPr>
          <w:rFonts w:eastAsia="Times New Roman"/>
          <w:color w:val="000000"/>
          <w:sz w:val="20"/>
          <w:szCs w:val="20"/>
        </w:rPr>
        <w:t>pport of national security commitments to U.S. Government customers and to accelerate payments to small business suppliers, which we expect to continue while the U.S. Government’s responsive actions remain in effect.</w:t>
      </w:r>
    </w:p>
    <w:p w14:paraId="019804B5" w14:textId="77777777" w:rsidR="00000000" w:rsidRDefault="001A570A">
      <w:pPr>
        <w:ind w:firstLine="450"/>
        <w:divId w:val="1788236826"/>
        <w:rPr>
          <w:rFonts w:eastAsia="Times New Roman"/>
        </w:rPr>
      </w:pPr>
      <w:r>
        <w:rPr>
          <w:rFonts w:eastAsia="Times New Roman"/>
          <w:color w:val="000000"/>
          <w:sz w:val="20"/>
          <w:szCs w:val="20"/>
        </w:rPr>
        <w:t>Although we believe that the large perc</w:t>
      </w:r>
      <w:r>
        <w:rPr>
          <w:rFonts w:eastAsia="Times New Roman"/>
          <w:color w:val="000000"/>
          <w:sz w:val="20"/>
          <w:szCs w:val="20"/>
        </w:rPr>
        <w:t xml:space="preserve">entage of our revenue, earnings and cash flow that is derived from sales to the U.S. Government, whether directly or through prime contractors, will be relatively predictable, in part due to the responsive actions </w:t>
      </w:r>
    </w:p>
    <w:p w14:paraId="3FF94342" w14:textId="77777777" w:rsidR="00000000" w:rsidRDefault="001A570A">
      <w:pPr>
        <w:ind w:firstLine="450"/>
        <w:jc w:val="center"/>
        <w:divId w:val="2048677834"/>
        <w:rPr>
          <w:rFonts w:eastAsia="Times New Roman"/>
        </w:rPr>
      </w:pPr>
      <w:r>
        <w:rPr>
          <w:rFonts w:eastAsia="Times New Roman"/>
          <w:color w:val="000000"/>
          <w:sz w:val="20"/>
          <w:szCs w:val="20"/>
        </w:rPr>
        <w:t>33</w:t>
      </w:r>
    </w:p>
    <w:p w14:paraId="58961AF6" w14:textId="77777777" w:rsidR="00000000" w:rsidRDefault="001A570A">
      <w:pPr>
        <w:rPr>
          <w:rFonts w:eastAsia="Times New Roman"/>
        </w:rPr>
      </w:pPr>
      <w:r>
        <w:rPr>
          <w:rFonts w:eastAsia="Times New Roman"/>
        </w:rPr>
        <w:pict w14:anchorId="1D1D429C">
          <v:rect id="_x0000_i1061" style="width:0;height:1.5pt" o:hralign="center" o:hrstd="t" o:hr="t" fillcolor="#a0a0a0" stroked="f"/>
        </w:pict>
      </w:r>
    </w:p>
    <w:p w14:paraId="11952876" w14:textId="77777777" w:rsidR="00000000" w:rsidRDefault="001A570A">
      <w:pPr>
        <w:ind w:firstLine="450"/>
        <w:divId w:val="1962608946"/>
        <w:rPr>
          <w:rFonts w:eastAsia="Times New Roman"/>
        </w:rPr>
      </w:pPr>
    </w:p>
    <w:p w14:paraId="223DE939" w14:textId="77777777" w:rsidR="00000000" w:rsidRDefault="001A570A">
      <w:pPr>
        <w:divId w:val="1159271972"/>
        <w:rPr>
          <w:rFonts w:eastAsia="Times New Roman"/>
        </w:rPr>
      </w:pPr>
      <w:r>
        <w:rPr>
          <w:rFonts w:eastAsia="Times New Roman"/>
          <w:color w:val="000000"/>
          <w:sz w:val="20"/>
          <w:szCs w:val="20"/>
        </w:rPr>
        <w:t>taken by the U.S. Government described above, our commercial, international and public safety businesses are at a higher risk of adverse impacts related to COVID. For example, the severe decline in global air traffic from travel restrictions and the result</w:t>
      </w:r>
      <w:r>
        <w:rPr>
          <w:rFonts w:eastAsia="Times New Roman"/>
          <w:color w:val="000000"/>
          <w:sz w:val="20"/>
          <w:szCs w:val="20"/>
        </w:rPr>
        <w:t xml:space="preserve">ing downturn in the commercial aviation market and its impact on customer operations has significantly reduced demand for flight training, flight simulators and commercial avionics products in our Aviation Systems segment. As a result, we temporarily, and </w:t>
      </w:r>
      <w:r>
        <w:rPr>
          <w:rFonts w:eastAsia="Times New Roman"/>
          <w:color w:val="000000"/>
          <w:sz w:val="20"/>
          <w:szCs w:val="20"/>
        </w:rPr>
        <w:t>in some circumstances permanently, closed or will soon close some of our flight training facilities, initiated restructuring and other actions to align our resources with the outlook for the commercial aviation market (including workforce reduction and fac</w:t>
      </w:r>
      <w:r>
        <w:rPr>
          <w:rFonts w:eastAsia="Times New Roman"/>
          <w:color w:val="000000"/>
          <w:sz w:val="20"/>
          <w:szCs w:val="20"/>
        </w:rPr>
        <w:t>ility consolidation) and have recognized $767 million of charges for impairment of goodwill and other assets and other COVID-related impacts in fiscal 2020.</w:t>
      </w:r>
    </w:p>
    <w:p w14:paraId="3C28E595" w14:textId="77777777" w:rsidR="00000000" w:rsidRDefault="001A570A">
      <w:pPr>
        <w:ind w:firstLine="450"/>
        <w:divId w:val="2119369202"/>
        <w:rPr>
          <w:rFonts w:eastAsia="Times New Roman"/>
        </w:rPr>
      </w:pPr>
      <w:r>
        <w:rPr>
          <w:rFonts w:eastAsia="Times New Roman"/>
          <w:color w:val="000000"/>
          <w:sz w:val="20"/>
          <w:szCs w:val="20"/>
        </w:rPr>
        <w:t>The extent of these disruptions and impacts, including on our ability to perform under U.S. Governm</w:t>
      </w:r>
      <w:r>
        <w:rPr>
          <w:rFonts w:eastAsia="Times New Roman"/>
          <w:color w:val="000000"/>
          <w:sz w:val="20"/>
          <w:szCs w:val="20"/>
        </w:rPr>
        <w:t>ent contracts and other contracts within agreed timeframes and ultimately on our results of operations and cash flows, will depend on future developments, including the severity and duration of the pandemic and associated containment and mitigation actions</w:t>
      </w:r>
      <w:r>
        <w:rPr>
          <w:rFonts w:eastAsia="Times New Roman"/>
          <w:color w:val="000000"/>
          <w:sz w:val="20"/>
          <w:szCs w:val="20"/>
        </w:rPr>
        <w:t xml:space="preserve"> taken by the U.S. Government, state and local government officials and international governments, and consequences thereof, and global air traffic demand and governmental subsidies to airlines, all of which are uncertain and unpredictable.</w:t>
      </w:r>
    </w:p>
    <w:p w14:paraId="07FC4F9D" w14:textId="77777777" w:rsidR="00000000" w:rsidRDefault="001A570A">
      <w:pPr>
        <w:ind w:firstLine="450"/>
        <w:divId w:val="439839035"/>
        <w:rPr>
          <w:rFonts w:eastAsia="Times New Roman"/>
        </w:rPr>
      </w:pPr>
      <w:r>
        <w:rPr>
          <w:rFonts w:eastAsia="Times New Roman"/>
          <w:color w:val="000000"/>
          <w:sz w:val="20"/>
          <w:szCs w:val="20"/>
        </w:rPr>
        <w:t>The impact of C</w:t>
      </w:r>
      <w:r>
        <w:rPr>
          <w:rFonts w:eastAsia="Times New Roman"/>
          <w:color w:val="000000"/>
          <w:sz w:val="20"/>
          <w:szCs w:val="20"/>
        </w:rPr>
        <w:t>OVID may also exacerbate other risks discussed in Part I, “Item 1A. Risk Factors” in this Report, any of which could have a material effect on us. We continue to work with our customers, employees, suppliers, subcontractors, distributors, resellers and com</w:t>
      </w:r>
      <w:r>
        <w:rPr>
          <w:rFonts w:eastAsia="Times New Roman"/>
          <w:color w:val="000000"/>
          <w:sz w:val="20"/>
          <w:szCs w:val="20"/>
        </w:rPr>
        <w:t>munities to address the impact of the pandemic. We continue to assess possible implications to our business, supply chain and customers, and to take actions in an effort to mitigate adverse consequences. For further information regarding the impact, and th</w:t>
      </w:r>
      <w:r>
        <w:rPr>
          <w:rFonts w:eastAsia="Times New Roman"/>
          <w:color w:val="000000"/>
          <w:sz w:val="20"/>
          <w:szCs w:val="20"/>
        </w:rPr>
        <w:t>e risks of the impact, of COVID on the Company, see Part I, “Item 1A. Risk Factors” in this Report.</w:t>
      </w:r>
    </w:p>
    <w:p w14:paraId="7586DC46" w14:textId="77777777" w:rsidR="00000000" w:rsidRDefault="001A570A">
      <w:pPr>
        <w:divId w:val="621614024"/>
        <w:rPr>
          <w:rFonts w:eastAsia="Times New Roman"/>
        </w:rPr>
      </w:pPr>
      <w:r>
        <w:rPr>
          <w:rFonts w:eastAsia="Times New Roman"/>
          <w:b/>
          <w:bCs/>
          <w:color w:val="000000"/>
          <w:sz w:val="20"/>
          <w:szCs w:val="20"/>
        </w:rPr>
        <w:t>BUSINESS CONSIDERATIONS</w:t>
      </w:r>
    </w:p>
    <w:p w14:paraId="51BD6A02" w14:textId="77777777" w:rsidR="00000000" w:rsidRDefault="001A570A">
      <w:pPr>
        <w:divId w:val="1518697208"/>
        <w:rPr>
          <w:rFonts w:eastAsia="Times New Roman"/>
        </w:rPr>
      </w:pPr>
      <w:r>
        <w:rPr>
          <w:rFonts w:eastAsia="Times New Roman"/>
          <w:b/>
          <w:bCs/>
          <w:color w:val="000000"/>
          <w:sz w:val="20"/>
          <w:szCs w:val="20"/>
        </w:rPr>
        <w:t>General</w:t>
      </w:r>
    </w:p>
    <w:p w14:paraId="6A989CE0" w14:textId="77777777" w:rsidR="00000000" w:rsidRDefault="001A570A">
      <w:pPr>
        <w:ind w:firstLine="450"/>
        <w:divId w:val="760102816"/>
        <w:rPr>
          <w:rFonts w:eastAsia="Times New Roman"/>
        </w:rPr>
      </w:pPr>
      <w:r>
        <w:rPr>
          <w:rFonts w:eastAsia="Times New Roman"/>
          <w:color w:val="000000"/>
          <w:sz w:val="20"/>
          <w:szCs w:val="20"/>
        </w:rPr>
        <w:t>We generate revenue, income and cash flows by developing, manufacturing or providing, and selling advanced, technology-based</w:t>
      </w:r>
      <w:r>
        <w:rPr>
          <w:rFonts w:eastAsia="Times New Roman"/>
          <w:color w:val="000000"/>
          <w:sz w:val="20"/>
          <w:szCs w:val="20"/>
        </w:rPr>
        <w:t xml:space="preserve"> solutions that meet government and commercial customers’ mission-critical needs. We support government and commercial customers in more than 100 countries, with our largest customers being various departments and agencies of the U.S. Government and their </w:t>
      </w:r>
      <w:r>
        <w:rPr>
          <w:rFonts w:eastAsia="Times New Roman"/>
          <w:color w:val="000000"/>
          <w:sz w:val="20"/>
          <w:szCs w:val="20"/>
        </w:rPr>
        <w:t>prime contractors. Our products, systems and services have defense and civil government applications, as well as commercial applications. As of January 1, 2021, we had approximately 48,000 employees, including approximately 19,000 engineers and scientists.</w:t>
      </w:r>
      <w:r>
        <w:rPr>
          <w:rFonts w:eastAsia="Times New Roman"/>
          <w:color w:val="000000"/>
          <w:sz w:val="20"/>
          <w:szCs w:val="20"/>
        </w:rPr>
        <w:t xml:space="preserve"> We generally sell directly to our customers, and we utilize agents and intermediaries to sell and market some products and services, especially in international markets.</w:t>
      </w:r>
    </w:p>
    <w:p w14:paraId="7BC72885" w14:textId="77777777" w:rsidR="00000000" w:rsidRDefault="001A570A">
      <w:pPr>
        <w:ind w:firstLine="450"/>
        <w:divId w:val="2139061397"/>
        <w:rPr>
          <w:rFonts w:eastAsia="Times New Roman"/>
        </w:rPr>
      </w:pPr>
      <w:r>
        <w:rPr>
          <w:rFonts w:eastAsia="Times New Roman"/>
          <w:color w:val="000000"/>
          <w:sz w:val="20"/>
          <w:szCs w:val="20"/>
        </w:rPr>
        <w:t>We structure our operations primarily around the products, systems and services we se</w:t>
      </w:r>
      <w:r>
        <w:rPr>
          <w:rFonts w:eastAsia="Times New Roman"/>
          <w:color w:val="000000"/>
          <w:sz w:val="20"/>
          <w:szCs w:val="20"/>
        </w:rPr>
        <w:t>ll and the markets we serve, and we report the financial results of our continuing operations in the following four reportable segments, which are also referred to as our business segments:</w:t>
      </w:r>
    </w:p>
    <w:p w14:paraId="226A6CC8" w14:textId="77777777" w:rsidR="00000000" w:rsidRDefault="001A570A">
      <w:pPr>
        <w:ind w:hanging="360"/>
        <w:divId w:val="418067029"/>
        <w:rPr>
          <w:rFonts w:eastAsia="Times New Roman"/>
        </w:rPr>
      </w:pPr>
      <w:r>
        <w:rPr>
          <w:rFonts w:eastAsia="Times New Roman"/>
          <w:color w:val="000000"/>
          <w:sz w:val="20"/>
          <w:szCs w:val="20"/>
        </w:rPr>
        <w:t>•Integrated Mission Systems, including multi-mission ISR and commu</w:t>
      </w:r>
      <w:r>
        <w:rPr>
          <w:rFonts w:eastAsia="Times New Roman"/>
          <w:color w:val="000000"/>
          <w:sz w:val="20"/>
          <w:szCs w:val="20"/>
        </w:rPr>
        <w:t>nication systems; integrated electrical and electronic systems for maritime platforms; and advanced EO/IR solutions;</w:t>
      </w:r>
    </w:p>
    <w:p w14:paraId="67DBEEE0" w14:textId="77777777" w:rsidR="00000000" w:rsidRDefault="001A570A">
      <w:pPr>
        <w:ind w:hanging="360"/>
        <w:divId w:val="1900046906"/>
        <w:rPr>
          <w:rFonts w:eastAsia="Times New Roman"/>
        </w:rPr>
      </w:pPr>
      <w:r>
        <w:rPr>
          <w:rFonts w:eastAsia="Times New Roman"/>
          <w:color w:val="000000"/>
          <w:sz w:val="20"/>
          <w:szCs w:val="20"/>
        </w:rPr>
        <w:t>•</w:t>
      </w:r>
      <w:r>
        <w:rPr>
          <w:rFonts w:eastAsia="Times New Roman"/>
          <w:color w:val="000000"/>
          <w:sz w:val="20"/>
          <w:szCs w:val="20"/>
        </w:rPr>
        <w:t>Space and Airborne Systems, including space payloads, sensors and full-mission solutions; classified intelligence and cyber defense; mission avionics; and electronic warfare;</w:t>
      </w:r>
    </w:p>
    <w:p w14:paraId="7B67E661" w14:textId="77777777" w:rsidR="00000000" w:rsidRDefault="001A570A">
      <w:pPr>
        <w:ind w:hanging="360"/>
        <w:divId w:val="1668753439"/>
        <w:rPr>
          <w:rFonts w:eastAsia="Times New Roman"/>
        </w:rPr>
      </w:pPr>
      <w:r>
        <w:rPr>
          <w:rFonts w:eastAsia="Times New Roman"/>
          <w:color w:val="000000"/>
          <w:sz w:val="20"/>
          <w:szCs w:val="20"/>
        </w:rPr>
        <w:t>•Communication Systems, including tactical communications; broadband communicatio</w:t>
      </w:r>
      <w:r>
        <w:rPr>
          <w:rFonts w:eastAsia="Times New Roman"/>
          <w:color w:val="000000"/>
          <w:sz w:val="20"/>
          <w:szCs w:val="20"/>
        </w:rPr>
        <w:t>ns; integrated vision solutions; and public safety; and</w:t>
      </w:r>
    </w:p>
    <w:p w14:paraId="5BFE23BA" w14:textId="77777777" w:rsidR="00000000" w:rsidRDefault="001A570A">
      <w:pPr>
        <w:ind w:hanging="360"/>
        <w:divId w:val="799540069"/>
        <w:rPr>
          <w:rFonts w:eastAsia="Times New Roman"/>
        </w:rPr>
      </w:pPr>
      <w:r>
        <w:rPr>
          <w:rFonts w:eastAsia="Times New Roman"/>
          <w:color w:val="000000"/>
          <w:sz w:val="20"/>
          <w:szCs w:val="20"/>
        </w:rPr>
        <w:t>•Aviation Systems, including defense aviation; commercial aviation products; commercial and military pilot training; and mission networks for air traffic management.</w:t>
      </w:r>
    </w:p>
    <w:p w14:paraId="3FAD8697" w14:textId="77777777" w:rsidR="00000000" w:rsidRDefault="001A570A">
      <w:pPr>
        <w:ind w:firstLine="450"/>
        <w:divId w:val="1120299080"/>
        <w:rPr>
          <w:rFonts w:eastAsia="Times New Roman"/>
        </w:rPr>
      </w:pPr>
      <w:r>
        <w:rPr>
          <w:rFonts w:eastAsia="Times New Roman"/>
          <w:color w:val="000000"/>
          <w:sz w:val="20"/>
          <w:szCs w:val="20"/>
        </w:rPr>
        <w:t>During the first quarter of fiscal</w:t>
      </w:r>
      <w:r>
        <w:rPr>
          <w:rFonts w:eastAsia="Times New Roman"/>
          <w:color w:val="000000"/>
          <w:sz w:val="20"/>
          <w:szCs w:val="20"/>
        </w:rPr>
        <w:t xml:space="preserve"> 2020, we adjusted our segment reporting to better align our businesses and transferred two businesses between our Integrated Mission Systems and Space and Airborne Systems segments. The historical results, discussion and presentation of our business segme</w:t>
      </w:r>
      <w:r>
        <w:rPr>
          <w:rFonts w:eastAsia="Times New Roman"/>
          <w:color w:val="000000"/>
          <w:sz w:val="20"/>
          <w:szCs w:val="20"/>
        </w:rPr>
        <w:t>nts as set forth in this MD&amp;A reflect the impact of these changes for all periods presented in order to present segment information on a comparable basis. There is no impact on our previously reported consolidated statements of income, balance sheets, stat</w:t>
      </w:r>
      <w:r>
        <w:rPr>
          <w:rFonts w:eastAsia="Times New Roman"/>
          <w:color w:val="000000"/>
          <w:sz w:val="20"/>
          <w:szCs w:val="20"/>
        </w:rPr>
        <w:t xml:space="preserve">ements of cash flows or statements of equity resulting from these changes. </w:t>
      </w:r>
    </w:p>
    <w:p w14:paraId="7F111788" w14:textId="77777777" w:rsidR="00000000" w:rsidRDefault="001A570A">
      <w:pPr>
        <w:ind w:firstLine="450"/>
        <w:jc w:val="center"/>
        <w:divId w:val="1030690573"/>
        <w:rPr>
          <w:rFonts w:eastAsia="Times New Roman"/>
        </w:rPr>
      </w:pPr>
      <w:r>
        <w:rPr>
          <w:rFonts w:eastAsia="Times New Roman"/>
          <w:color w:val="000000"/>
          <w:sz w:val="20"/>
          <w:szCs w:val="20"/>
        </w:rPr>
        <w:t>34</w:t>
      </w:r>
    </w:p>
    <w:p w14:paraId="4DC0C3F3" w14:textId="77777777" w:rsidR="00000000" w:rsidRDefault="001A570A">
      <w:pPr>
        <w:rPr>
          <w:rFonts w:eastAsia="Times New Roman"/>
        </w:rPr>
      </w:pPr>
      <w:r>
        <w:rPr>
          <w:rFonts w:eastAsia="Times New Roman"/>
        </w:rPr>
        <w:pict w14:anchorId="069128FA">
          <v:rect id="_x0000_i1062" style="width:0;height:1.5pt" o:hralign="center" o:hrstd="t" o:hr="t" fillcolor="#a0a0a0" stroked="f"/>
        </w:pict>
      </w:r>
    </w:p>
    <w:p w14:paraId="772A31BE" w14:textId="77777777" w:rsidR="00000000" w:rsidRDefault="001A570A">
      <w:pPr>
        <w:ind w:firstLine="450"/>
        <w:divId w:val="1428042559"/>
        <w:rPr>
          <w:rFonts w:eastAsia="Times New Roman"/>
        </w:rPr>
      </w:pPr>
    </w:p>
    <w:p w14:paraId="28C33884" w14:textId="77777777" w:rsidR="00000000" w:rsidRDefault="001A570A">
      <w:pPr>
        <w:ind w:firstLine="450"/>
        <w:divId w:val="1195997168"/>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 Notes, during the Fiscal Transition Peri</w:t>
      </w:r>
      <w:r>
        <w:rPr>
          <w:rFonts w:eastAsia="Times New Roman"/>
          <w:color w:val="000000"/>
          <w:sz w:val="20"/>
          <w:szCs w:val="20"/>
        </w:rPr>
        <w:t xml:space="preserve">od and fiscal 2020, we completed the following business divestitures (which had the revenue attributable to them as set forth below): </w:t>
      </w:r>
    </w:p>
    <w:tbl>
      <w:tblPr>
        <w:tblW w:w="4928" w:type="pct"/>
        <w:tblCellMar>
          <w:top w:w="15" w:type="dxa"/>
          <w:left w:w="15" w:type="dxa"/>
          <w:bottom w:w="15" w:type="dxa"/>
          <w:right w:w="15" w:type="dxa"/>
        </w:tblCellMar>
        <w:tblLook w:val="04A0" w:firstRow="1" w:lastRow="0" w:firstColumn="1" w:lastColumn="0" w:noHBand="0" w:noVBand="1"/>
      </w:tblPr>
      <w:tblGrid>
        <w:gridCol w:w="39"/>
        <w:gridCol w:w="5582"/>
        <w:gridCol w:w="37"/>
        <w:gridCol w:w="121"/>
        <w:gridCol w:w="1071"/>
        <w:gridCol w:w="37"/>
        <w:gridCol w:w="36"/>
        <w:gridCol w:w="36"/>
        <w:gridCol w:w="36"/>
        <w:gridCol w:w="121"/>
        <w:gridCol w:w="1034"/>
        <w:gridCol w:w="36"/>
      </w:tblGrid>
      <w:tr w:rsidR="00000000" w14:paraId="6ADCF220" w14:textId="77777777">
        <w:trPr>
          <w:divId w:val="1212762814"/>
        </w:trPr>
        <w:tc>
          <w:tcPr>
            <w:tcW w:w="50" w:type="pct"/>
            <w:vAlign w:val="center"/>
            <w:hideMark/>
          </w:tcPr>
          <w:p w14:paraId="645BE868" w14:textId="77777777" w:rsidR="00000000" w:rsidRDefault="001A570A">
            <w:pPr>
              <w:ind w:firstLine="450"/>
              <w:rPr>
                <w:rFonts w:eastAsia="Times New Roman"/>
              </w:rPr>
            </w:pPr>
          </w:p>
        </w:tc>
        <w:tc>
          <w:tcPr>
            <w:tcW w:w="3436" w:type="pct"/>
            <w:vAlign w:val="center"/>
            <w:hideMark/>
          </w:tcPr>
          <w:p w14:paraId="34EFD06C" w14:textId="77777777" w:rsidR="00000000" w:rsidRDefault="001A570A">
            <w:pPr>
              <w:rPr>
                <w:rFonts w:eastAsia="Times New Roman"/>
                <w:sz w:val="20"/>
                <w:szCs w:val="20"/>
              </w:rPr>
            </w:pPr>
          </w:p>
        </w:tc>
        <w:tc>
          <w:tcPr>
            <w:tcW w:w="5" w:type="pct"/>
            <w:vAlign w:val="center"/>
            <w:hideMark/>
          </w:tcPr>
          <w:p w14:paraId="6F1B95A0" w14:textId="77777777" w:rsidR="00000000" w:rsidRDefault="001A570A">
            <w:pPr>
              <w:rPr>
                <w:rFonts w:eastAsia="Times New Roman"/>
                <w:sz w:val="20"/>
                <w:szCs w:val="20"/>
              </w:rPr>
            </w:pPr>
          </w:p>
        </w:tc>
        <w:tc>
          <w:tcPr>
            <w:tcW w:w="50" w:type="pct"/>
            <w:vAlign w:val="center"/>
            <w:hideMark/>
          </w:tcPr>
          <w:p w14:paraId="10480587" w14:textId="77777777" w:rsidR="00000000" w:rsidRDefault="001A570A">
            <w:pPr>
              <w:rPr>
                <w:rFonts w:eastAsia="Times New Roman"/>
                <w:sz w:val="20"/>
                <w:szCs w:val="20"/>
              </w:rPr>
            </w:pPr>
          </w:p>
        </w:tc>
        <w:tc>
          <w:tcPr>
            <w:tcW w:w="681" w:type="pct"/>
            <w:vAlign w:val="center"/>
            <w:hideMark/>
          </w:tcPr>
          <w:p w14:paraId="3608BCD2" w14:textId="77777777" w:rsidR="00000000" w:rsidRDefault="001A570A">
            <w:pPr>
              <w:rPr>
                <w:rFonts w:eastAsia="Times New Roman"/>
                <w:sz w:val="20"/>
                <w:szCs w:val="20"/>
              </w:rPr>
            </w:pPr>
          </w:p>
        </w:tc>
        <w:tc>
          <w:tcPr>
            <w:tcW w:w="5" w:type="pct"/>
            <w:vAlign w:val="center"/>
            <w:hideMark/>
          </w:tcPr>
          <w:p w14:paraId="0840A7A6" w14:textId="77777777" w:rsidR="00000000" w:rsidRDefault="001A570A">
            <w:pPr>
              <w:rPr>
                <w:rFonts w:eastAsia="Times New Roman"/>
                <w:sz w:val="20"/>
                <w:szCs w:val="20"/>
              </w:rPr>
            </w:pPr>
          </w:p>
        </w:tc>
        <w:tc>
          <w:tcPr>
            <w:tcW w:w="5" w:type="pct"/>
            <w:vAlign w:val="center"/>
            <w:hideMark/>
          </w:tcPr>
          <w:p w14:paraId="336C393D" w14:textId="77777777" w:rsidR="00000000" w:rsidRDefault="001A570A">
            <w:pPr>
              <w:rPr>
                <w:rFonts w:eastAsia="Times New Roman"/>
                <w:sz w:val="20"/>
                <w:szCs w:val="20"/>
              </w:rPr>
            </w:pPr>
          </w:p>
        </w:tc>
        <w:tc>
          <w:tcPr>
            <w:tcW w:w="26" w:type="pct"/>
            <w:vAlign w:val="center"/>
            <w:hideMark/>
          </w:tcPr>
          <w:p w14:paraId="59DC99E6" w14:textId="77777777" w:rsidR="00000000" w:rsidRDefault="001A570A">
            <w:pPr>
              <w:rPr>
                <w:rFonts w:eastAsia="Times New Roman"/>
                <w:sz w:val="20"/>
                <w:szCs w:val="20"/>
              </w:rPr>
            </w:pPr>
          </w:p>
        </w:tc>
        <w:tc>
          <w:tcPr>
            <w:tcW w:w="5" w:type="pct"/>
            <w:vAlign w:val="center"/>
            <w:hideMark/>
          </w:tcPr>
          <w:p w14:paraId="7F08E3FE" w14:textId="77777777" w:rsidR="00000000" w:rsidRDefault="001A570A">
            <w:pPr>
              <w:rPr>
                <w:rFonts w:eastAsia="Times New Roman"/>
                <w:sz w:val="20"/>
                <w:szCs w:val="20"/>
              </w:rPr>
            </w:pPr>
          </w:p>
        </w:tc>
        <w:tc>
          <w:tcPr>
            <w:tcW w:w="50" w:type="pct"/>
            <w:vAlign w:val="center"/>
            <w:hideMark/>
          </w:tcPr>
          <w:p w14:paraId="131F8681" w14:textId="77777777" w:rsidR="00000000" w:rsidRDefault="001A570A">
            <w:pPr>
              <w:rPr>
                <w:rFonts w:eastAsia="Times New Roman"/>
                <w:sz w:val="20"/>
                <w:szCs w:val="20"/>
              </w:rPr>
            </w:pPr>
          </w:p>
        </w:tc>
        <w:tc>
          <w:tcPr>
            <w:tcW w:w="681" w:type="pct"/>
            <w:vAlign w:val="center"/>
            <w:hideMark/>
          </w:tcPr>
          <w:p w14:paraId="3B77C6D3" w14:textId="77777777" w:rsidR="00000000" w:rsidRDefault="001A570A">
            <w:pPr>
              <w:rPr>
                <w:rFonts w:eastAsia="Times New Roman"/>
                <w:sz w:val="20"/>
                <w:szCs w:val="20"/>
              </w:rPr>
            </w:pPr>
          </w:p>
        </w:tc>
        <w:tc>
          <w:tcPr>
            <w:tcW w:w="5" w:type="pct"/>
            <w:vAlign w:val="center"/>
            <w:hideMark/>
          </w:tcPr>
          <w:p w14:paraId="7D135CD2" w14:textId="77777777" w:rsidR="00000000" w:rsidRDefault="001A570A">
            <w:pPr>
              <w:rPr>
                <w:rFonts w:eastAsia="Times New Roman"/>
                <w:sz w:val="20"/>
                <w:szCs w:val="20"/>
              </w:rPr>
            </w:pPr>
          </w:p>
        </w:tc>
      </w:tr>
      <w:tr w:rsidR="00000000" w14:paraId="51ECBE33" w14:textId="77777777">
        <w:trPr>
          <w:divId w:val="1212762814"/>
        </w:trPr>
        <w:tc>
          <w:tcPr>
            <w:tcW w:w="0" w:type="auto"/>
            <w:gridSpan w:val="3"/>
            <w:tcMar>
              <w:top w:w="0" w:type="dxa"/>
              <w:left w:w="20" w:type="dxa"/>
              <w:bottom w:w="0" w:type="dxa"/>
              <w:right w:w="20" w:type="dxa"/>
            </w:tcMar>
            <w:vAlign w:val="center"/>
            <w:hideMark/>
          </w:tcPr>
          <w:p w14:paraId="3941AFFC"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280921DA"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016470B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54562D2" w14:textId="77777777" w:rsidR="00000000" w:rsidRDefault="001A570A">
            <w:pPr>
              <w:jc w:val="center"/>
              <w:rPr>
                <w:rFonts w:eastAsia="Times New Roman"/>
              </w:rPr>
            </w:pPr>
            <w:r>
              <w:rPr>
                <w:rFonts w:eastAsia="Times New Roman"/>
                <w:b/>
                <w:bCs/>
                <w:color w:val="000000"/>
                <w:sz w:val="16"/>
                <w:szCs w:val="16"/>
              </w:rPr>
              <w:t xml:space="preserve">Four Quarters Ended </w:t>
            </w:r>
          </w:p>
        </w:tc>
      </w:tr>
      <w:tr w:rsidR="00000000" w14:paraId="0B2BFCF4" w14:textId="77777777">
        <w:trPr>
          <w:divId w:val="1212762814"/>
        </w:trPr>
        <w:tc>
          <w:tcPr>
            <w:tcW w:w="0" w:type="auto"/>
            <w:gridSpan w:val="3"/>
            <w:tcMar>
              <w:top w:w="0" w:type="dxa"/>
              <w:left w:w="20" w:type="dxa"/>
              <w:bottom w:w="0" w:type="dxa"/>
              <w:right w:w="20" w:type="dxa"/>
            </w:tcMar>
            <w:vAlign w:val="center"/>
            <w:hideMark/>
          </w:tcPr>
          <w:p w14:paraId="02497A7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EACEFC"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6613918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C211A7" w14:textId="77777777" w:rsidR="00000000" w:rsidRDefault="001A570A">
            <w:pPr>
              <w:jc w:val="center"/>
              <w:rPr>
                <w:rFonts w:eastAsia="Times New Roman"/>
              </w:rPr>
            </w:pPr>
            <w:r>
              <w:rPr>
                <w:rFonts w:eastAsia="Times New Roman"/>
                <w:b/>
                <w:bCs/>
                <w:color w:val="000000"/>
                <w:sz w:val="16"/>
                <w:szCs w:val="16"/>
              </w:rPr>
              <w:t>January 3, 2020</w:t>
            </w:r>
          </w:p>
        </w:tc>
      </w:tr>
      <w:tr w:rsidR="00000000" w14:paraId="3F242C08" w14:textId="77777777">
        <w:trPr>
          <w:divId w:val="1212762814"/>
        </w:trPr>
        <w:tc>
          <w:tcPr>
            <w:tcW w:w="0" w:type="auto"/>
            <w:gridSpan w:val="3"/>
            <w:tcMar>
              <w:top w:w="30" w:type="dxa"/>
              <w:left w:w="20" w:type="dxa"/>
              <w:bottom w:w="30" w:type="dxa"/>
              <w:right w:w="20" w:type="dxa"/>
            </w:tcMar>
            <w:vAlign w:val="bottom"/>
            <w:hideMark/>
          </w:tcPr>
          <w:p w14:paraId="3193C27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C98B81C"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59DBD25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20B748" w14:textId="77777777" w:rsidR="00000000" w:rsidRDefault="001A570A">
            <w:pPr>
              <w:jc w:val="center"/>
              <w:rPr>
                <w:rFonts w:eastAsia="Times New Roman"/>
              </w:rPr>
            </w:pPr>
            <w:r>
              <w:rPr>
                <w:rFonts w:eastAsia="Times New Roman"/>
                <w:b/>
                <w:bCs/>
                <w:color w:val="000000"/>
                <w:sz w:val="16"/>
                <w:szCs w:val="16"/>
              </w:rPr>
              <w:t>Pro Form</w:t>
            </w:r>
            <w:r>
              <w:rPr>
                <w:rFonts w:eastAsia="Times New Roman"/>
                <w:b/>
                <w:bCs/>
                <w:color w:val="000000"/>
                <w:sz w:val="16"/>
                <w:szCs w:val="16"/>
              </w:rPr>
              <w:t>a</w:t>
            </w:r>
            <w:r>
              <w:rPr>
                <w:rFonts w:eastAsia="Times New Roman"/>
                <w:b/>
                <w:bCs/>
                <w:color w:val="000000"/>
                <w:sz w:val="10"/>
                <w:szCs w:val="10"/>
              </w:rPr>
              <w:t>(6</w:t>
            </w:r>
            <w:r>
              <w:rPr>
                <w:rFonts w:eastAsia="Times New Roman"/>
                <w:b/>
                <w:bCs/>
                <w:color w:val="000000"/>
                <w:sz w:val="10"/>
                <w:szCs w:val="10"/>
              </w:rPr>
              <w:t>)</w:t>
            </w:r>
          </w:p>
        </w:tc>
      </w:tr>
      <w:tr w:rsidR="00000000" w14:paraId="5E6364CC" w14:textId="77777777">
        <w:trPr>
          <w:divId w:val="1212762814"/>
          <w:trHeight w:val="60"/>
        </w:trPr>
        <w:tc>
          <w:tcPr>
            <w:tcW w:w="0" w:type="auto"/>
            <w:gridSpan w:val="3"/>
            <w:tcMar>
              <w:top w:w="0" w:type="dxa"/>
              <w:left w:w="20" w:type="dxa"/>
              <w:bottom w:w="0" w:type="dxa"/>
              <w:right w:w="20" w:type="dxa"/>
            </w:tcMar>
            <w:vAlign w:val="center"/>
            <w:hideMark/>
          </w:tcPr>
          <w:p w14:paraId="69BA17CE"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3301F1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82491D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FC9815" w14:textId="77777777" w:rsidR="00000000" w:rsidRDefault="001A570A">
            <w:pPr>
              <w:rPr>
                <w:rFonts w:eastAsia="Times New Roman"/>
                <w:sz w:val="20"/>
                <w:szCs w:val="20"/>
              </w:rPr>
            </w:pPr>
          </w:p>
        </w:tc>
      </w:tr>
      <w:tr w:rsidR="00000000" w14:paraId="612E8D7E" w14:textId="77777777">
        <w:trPr>
          <w:divId w:val="1212762814"/>
        </w:trPr>
        <w:tc>
          <w:tcPr>
            <w:tcW w:w="0" w:type="auto"/>
            <w:gridSpan w:val="3"/>
            <w:shd w:val="clear" w:color="auto" w:fill="CCEEFF"/>
            <w:tcMar>
              <w:top w:w="30" w:type="dxa"/>
              <w:left w:w="20" w:type="dxa"/>
              <w:bottom w:w="30" w:type="dxa"/>
              <w:right w:w="20" w:type="dxa"/>
            </w:tcMar>
            <w:hideMark/>
          </w:tcPr>
          <w:p w14:paraId="261EDA06" w14:textId="77777777" w:rsidR="00000000" w:rsidRDefault="001A570A">
            <w:pPr>
              <w:ind w:hanging="180"/>
              <w:divId w:val="1499661296"/>
              <w:rPr>
                <w:rFonts w:eastAsia="Times New Roman"/>
              </w:rPr>
            </w:pPr>
            <w:r>
              <w:rPr>
                <w:rFonts w:eastAsia="Times New Roman"/>
                <w:b/>
                <w:bCs/>
                <w:color w:val="000000"/>
                <w:sz w:val="20"/>
                <w:szCs w:val="20"/>
              </w:rPr>
              <w:t>Revenue attributable to divested businesse</w:t>
            </w:r>
            <w:r>
              <w:rPr>
                <w:rFonts w:eastAsia="Times New Roman"/>
                <w:b/>
                <w:bCs/>
                <w:color w:val="000000"/>
                <w:sz w:val="20"/>
                <w:szCs w:val="20"/>
              </w:rPr>
              <w:t>s</w:t>
            </w:r>
            <w:r>
              <w:rPr>
                <w:rFonts w:eastAsia="Times New Roman"/>
                <w:b/>
                <w:bCs/>
                <w:color w:val="000000"/>
                <w:sz w:val="13"/>
                <w:szCs w:val="13"/>
              </w:rPr>
              <w:t>(1</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89EF1F3" w14:textId="77777777" w:rsidR="00000000" w:rsidRDefault="001A570A">
            <w:pPr>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49B9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C2D9E9" w14:textId="77777777" w:rsidR="00000000" w:rsidRDefault="001A570A">
            <w:pPr>
              <w:rPr>
                <w:rFonts w:eastAsia="Times New Roman"/>
                <w:sz w:val="20"/>
                <w:szCs w:val="20"/>
              </w:rPr>
            </w:pPr>
          </w:p>
        </w:tc>
      </w:tr>
      <w:tr w:rsidR="00000000" w14:paraId="34F51A28" w14:textId="77777777">
        <w:trPr>
          <w:divId w:val="1212762814"/>
        </w:trPr>
        <w:tc>
          <w:tcPr>
            <w:tcW w:w="0" w:type="auto"/>
            <w:gridSpan w:val="3"/>
            <w:shd w:val="clear" w:color="auto" w:fill="FFFFFF"/>
            <w:tcMar>
              <w:top w:w="30" w:type="dxa"/>
              <w:left w:w="20" w:type="dxa"/>
              <w:bottom w:w="30" w:type="dxa"/>
              <w:right w:w="20" w:type="dxa"/>
            </w:tcMar>
            <w:hideMark/>
          </w:tcPr>
          <w:p w14:paraId="51F71069" w14:textId="77777777" w:rsidR="00000000" w:rsidRDefault="001A570A">
            <w:pPr>
              <w:ind w:hanging="180"/>
              <w:divId w:val="439028400"/>
              <w:rPr>
                <w:rFonts w:eastAsia="Times New Roman"/>
              </w:rPr>
            </w:pPr>
            <w:r>
              <w:rPr>
                <w:rFonts w:eastAsia="Times New Roman"/>
                <w:color w:val="000000"/>
                <w:sz w:val="20"/>
                <w:szCs w:val="20"/>
              </w:rPr>
              <w:t>Harris Night Vision busines</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0E3D6CB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80FA9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19E5E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54BC6"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88ACA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53F4E1"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03E64BC3" w14:textId="77777777" w:rsidR="00000000" w:rsidRDefault="001A570A">
            <w:pPr>
              <w:jc w:val="right"/>
              <w:rPr>
                <w:rFonts w:eastAsia="Times New Roman"/>
              </w:rPr>
            </w:pPr>
          </w:p>
        </w:tc>
      </w:tr>
      <w:tr w:rsidR="00000000" w14:paraId="3371DE71" w14:textId="77777777">
        <w:trPr>
          <w:divId w:val="1212762814"/>
        </w:trPr>
        <w:tc>
          <w:tcPr>
            <w:tcW w:w="0" w:type="auto"/>
            <w:gridSpan w:val="3"/>
            <w:shd w:val="clear" w:color="auto" w:fill="CCEEFF"/>
            <w:tcMar>
              <w:top w:w="30" w:type="dxa"/>
              <w:left w:w="20" w:type="dxa"/>
              <w:bottom w:w="30" w:type="dxa"/>
              <w:right w:w="20" w:type="dxa"/>
            </w:tcMar>
            <w:hideMark/>
          </w:tcPr>
          <w:p w14:paraId="39F951B7" w14:textId="77777777" w:rsidR="00000000" w:rsidRDefault="001A570A">
            <w:pPr>
              <w:ind w:hanging="180"/>
              <w:divId w:val="2046366074"/>
              <w:rPr>
                <w:rFonts w:eastAsia="Times New Roman"/>
              </w:rPr>
            </w:pPr>
            <w:r>
              <w:rPr>
                <w:rFonts w:eastAsia="Times New Roman"/>
                <w:color w:val="000000"/>
                <w:sz w:val="20"/>
                <w:szCs w:val="20"/>
              </w:rPr>
              <w:t>Airport security and automation busines</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CC0A383" w14:textId="77777777" w:rsidR="00000000" w:rsidRDefault="001A570A">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14:paraId="754D9DB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99B5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B8B192" w14:textId="77777777" w:rsidR="00000000" w:rsidRDefault="001A570A">
            <w:pPr>
              <w:jc w:val="right"/>
              <w:rPr>
                <w:rFonts w:eastAsia="Times New Roman"/>
              </w:rPr>
            </w:pPr>
            <w:r>
              <w:rPr>
                <w:rFonts w:eastAsia="Times New Roman"/>
                <w:color w:val="000000"/>
                <w:sz w:val="20"/>
                <w:szCs w:val="20"/>
              </w:rPr>
              <w:t>495 </w:t>
            </w:r>
          </w:p>
        </w:tc>
        <w:tc>
          <w:tcPr>
            <w:tcW w:w="0" w:type="auto"/>
            <w:shd w:val="clear" w:color="auto" w:fill="CCEEFF"/>
            <w:tcMar>
              <w:top w:w="30" w:type="dxa"/>
              <w:left w:w="0" w:type="dxa"/>
              <w:bottom w:w="30" w:type="dxa"/>
              <w:right w:w="20" w:type="dxa"/>
            </w:tcMar>
            <w:vAlign w:val="bottom"/>
            <w:hideMark/>
          </w:tcPr>
          <w:p w14:paraId="7E80EF86" w14:textId="77777777" w:rsidR="00000000" w:rsidRDefault="001A570A">
            <w:pPr>
              <w:jc w:val="right"/>
              <w:rPr>
                <w:rFonts w:eastAsia="Times New Roman"/>
              </w:rPr>
            </w:pPr>
          </w:p>
        </w:tc>
      </w:tr>
      <w:tr w:rsidR="00000000" w14:paraId="6880E4FD" w14:textId="77777777">
        <w:trPr>
          <w:divId w:val="1212762814"/>
        </w:trPr>
        <w:tc>
          <w:tcPr>
            <w:tcW w:w="0" w:type="auto"/>
            <w:gridSpan w:val="3"/>
            <w:shd w:val="clear" w:color="auto" w:fill="FFFFFF"/>
            <w:tcMar>
              <w:top w:w="30" w:type="dxa"/>
              <w:left w:w="20" w:type="dxa"/>
              <w:bottom w:w="30" w:type="dxa"/>
              <w:right w:w="20" w:type="dxa"/>
            </w:tcMar>
            <w:hideMark/>
          </w:tcPr>
          <w:p w14:paraId="326F6B25" w14:textId="77777777" w:rsidR="00000000" w:rsidRDefault="001A570A">
            <w:pPr>
              <w:ind w:hanging="180"/>
              <w:divId w:val="343359942"/>
              <w:rPr>
                <w:rFonts w:eastAsia="Times New Roman"/>
              </w:rPr>
            </w:pPr>
            <w:r>
              <w:rPr>
                <w:rFonts w:eastAsia="Times New Roman"/>
                <w:color w:val="000000"/>
                <w:sz w:val="20"/>
                <w:szCs w:val="20"/>
              </w:rPr>
              <w:t>Applied Kilovolts and Analytical Instrumentation busines</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76E38F7"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5A8C43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0DBF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46243"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713A66A6" w14:textId="77777777" w:rsidR="00000000" w:rsidRDefault="001A570A">
            <w:pPr>
              <w:jc w:val="right"/>
              <w:rPr>
                <w:rFonts w:eastAsia="Times New Roman"/>
              </w:rPr>
            </w:pPr>
          </w:p>
        </w:tc>
      </w:tr>
      <w:tr w:rsidR="00000000" w14:paraId="0C5712FD" w14:textId="77777777">
        <w:trPr>
          <w:divId w:val="1212762814"/>
        </w:trPr>
        <w:tc>
          <w:tcPr>
            <w:tcW w:w="0" w:type="auto"/>
            <w:gridSpan w:val="3"/>
            <w:shd w:val="clear" w:color="auto" w:fill="CCEEFF"/>
            <w:tcMar>
              <w:top w:w="30" w:type="dxa"/>
              <w:left w:w="20" w:type="dxa"/>
              <w:bottom w:w="30" w:type="dxa"/>
              <w:right w:w="20" w:type="dxa"/>
            </w:tcMar>
            <w:hideMark/>
          </w:tcPr>
          <w:p w14:paraId="33DDB353" w14:textId="77777777" w:rsidR="00000000" w:rsidRDefault="001A570A">
            <w:pPr>
              <w:ind w:hanging="180"/>
              <w:divId w:val="1460369441"/>
              <w:rPr>
                <w:rFonts w:eastAsia="Times New Roman"/>
              </w:rPr>
            </w:pPr>
            <w:r>
              <w:rPr>
                <w:rFonts w:eastAsia="Times New Roman"/>
                <w:color w:val="000000"/>
                <w:sz w:val="20"/>
                <w:szCs w:val="20"/>
              </w:rPr>
              <w:t>EOTech busines</w:t>
            </w:r>
            <w:r>
              <w:rPr>
                <w:rFonts w:eastAsia="Times New Roman"/>
                <w:color w:val="000000"/>
                <w:sz w:val="20"/>
                <w:szCs w:val="20"/>
              </w:rPr>
              <w:t>s</w:t>
            </w:r>
            <w:r>
              <w:rPr>
                <w:rFonts w:eastAsia="Times New Roman"/>
                <w:color w:val="000000"/>
                <w:sz w:val="13"/>
                <w:szCs w:val="13"/>
              </w:rPr>
              <w:t>(5</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B3542D4" w14:textId="77777777" w:rsidR="00000000" w:rsidRDefault="001A570A">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2551AA6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27CF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810A3C" w14:textId="77777777" w:rsidR="00000000" w:rsidRDefault="001A570A">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14729F54" w14:textId="77777777" w:rsidR="00000000" w:rsidRDefault="001A570A">
            <w:pPr>
              <w:jc w:val="right"/>
              <w:rPr>
                <w:rFonts w:eastAsia="Times New Roman"/>
              </w:rPr>
            </w:pPr>
          </w:p>
        </w:tc>
      </w:tr>
      <w:tr w:rsidR="00000000" w14:paraId="747062BB" w14:textId="77777777">
        <w:trPr>
          <w:divId w:val="1212762814"/>
        </w:trPr>
        <w:tc>
          <w:tcPr>
            <w:tcW w:w="0" w:type="auto"/>
            <w:gridSpan w:val="3"/>
            <w:shd w:val="clear" w:color="auto" w:fill="FFFFFF"/>
            <w:tcMar>
              <w:top w:w="30" w:type="dxa"/>
              <w:left w:w="20" w:type="dxa"/>
              <w:bottom w:w="30" w:type="dxa"/>
              <w:right w:w="20" w:type="dxa"/>
            </w:tcMar>
            <w:vAlign w:val="bottom"/>
            <w:hideMark/>
          </w:tcPr>
          <w:p w14:paraId="0380339A" w14:textId="77777777" w:rsidR="00000000" w:rsidRDefault="001A570A">
            <w:pPr>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485D8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39FCC8" w14:textId="77777777" w:rsidR="00000000" w:rsidRDefault="001A570A">
            <w:pPr>
              <w:jc w:val="right"/>
              <w:rPr>
                <w:rFonts w:eastAsia="Times New Roman"/>
              </w:rPr>
            </w:pPr>
            <w:r>
              <w:rPr>
                <w:rFonts w:eastAsia="Times New Roman"/>
                <w:color w:val="000000"/>
                <w:sz w:val="20"/>
                <w:szCs w:val="20"/>
              </w:rPr>
              <w:t>202 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A3699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66CA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53B96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FCAA17" w14:textId="77777777" w:rsidR="00000000" w:rsidRDefault="001A570A">
            <w:pPr>
              <w:jc w:val="right"/>
              <w:rPr>
                <w:rFonts w:eastAsia="Times New Roman"/>
              </w:rPr>
            </w:pPr>
            <w:r>
              <w:rPr>
                <w:rFonts w:eastAsia="Times New Roman"/>
                <w:color w:val="000000"/>
                <w:sz w:val="20"/>
                <w:szCs w:val="20"/>
              </w:rPr>
              <w:t>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160FFF" w14:textId="77777777" w:rsidR="00000000" w:rsidRDefault="001A570A">
            <w:pPr>
              <w:jc w:val="right"/>
              <w:rPr>
                <w:rFonts w:eastAsia="Times New Roman"/>
              </w:rPr>
            </w:pPr>
          </w:p>
        </w:tc>
      </w:tr>
    </w:tbl>
    <w:p w14:paraId="16888983" w14:textId="77777777" w:rsidR="00000000" w:rsidRDefault="001A570A">
      <w:pPr>
        <w:divId w:val="2096659025"/>
        <w:rPr>
          <w:rFonts w:eastAsia="Times New Roman"/>
        </w:rPr>
      </w:pPr>
      <w:r>
        <w:rPr>
          <w:rFonts w:eastAsia="Times New Roman"/>
          <w:color w:val="000000"/>
          <w:sz w:val="16"/>
          <w:szCs w:val="16"/>
        </w:rPr>
        <w:t>______________</w:t>
      </w:r>
    </w:p>
    <w:p w14:paraId="0F101785" w14:textId="77777777" w:rsidR="00000000" w:rsidRDefault="001A570A">
      <w:pPr>
        <w:ind w:hanging="360"/>
        <w:divId w:val="841898239"/>
        <w:rPr>
          <w:rFonts w:eastAsia="Times New Roman"/>
        </w:rPr>
      </w:pPr>
      <w:r>
        <w:rPr>
          <w:rFonts w:eastAsia="Times New Roman"/>
          <w:color w:val="000000"/>
          <w:sz w:val="16"/>
          <w:szCs w:val="16"/>
        </w:rPr>
        <w:t>(1)Net of intracompany sales.</w:t>
      </w:r>
    </w:p>
    <w:p w14:paraId="7763143E" w14:textId="77777777" w:rsidR="00000000" w:rsidRDefault="001A570A">
      <w:pPr>
        <w:ind w:hanging="360"/>
        <w:divId w:val="1622612733"/>
        <w:rPr>
          <w:rFonts w:eastAsia="Times New Roman"/>
        </w:rPr>
      </w:pPr>
      <w:r>
        <w:rPr>
          <w:rFonts w:eastAsia="Times New Roman"/>
          <w:color w:val="000000"/>
          <w:sz w:val="16"/>
          <w:szCs w:val="16"/>
        </w:rPr>
        <w:t>(2)</w:t>
      </w:r>
      <w:r>
        <w:rPr>
          <w:rFonts w:eastAsia="Times New Roman"/>
          <w:color w:val="000000"/>
          <w:sz w:val="16"/>
          <w:szCs w:val="16"/>
        </w:rPr>
        <w:t>Divested on September 13, 2019, the results of which are included in “Other non-reportable business segments” through the date of divestiture.</w:t>
      </w:r>
    </w:p>
    <w:p w14:paraId="2F0C80F1" w14:textId="77777777" w:rsidR="00000000" w:rsidRDefault="001A570A">
      <w:pPr>
        <w:ind w:hanging="360"/>
        <w:divId w:val="1790120388"/>
        <w:rPr>
          <w:rFonts w:eastAsia="Times New Roman"/>
        </w:rPr>
      </w:pPr>
      <w:r>
        <w:rPr>
          <w:rFonts w:eastAsia="Times New Roman"/>
          <w:color w:val="000000"/>
          <w:sz w:val="16"/>
          <w:szCs w:val="16"/>
        </w:rPr>
        <w:t>(3)Divested on May 4, 2020, the results of which are reported as part of our Aviation Systems segment through the</w:t>
      </w:r>
      <w:r>
        <w:rPr>
          <w:rFonts w:eastAsia="Times New Roman"/>
          <w:color w:val="000000"/>
          <w:sz w:val="16"/>
          <w:szCs w:val="16"/>
        </w:rPr>
        <w:t xml:space="preserve"> date of divestiture.</w:t>
      </w:r>
    </w:p>
    <w:p w14:paraId="0DBB5F1E" w14:textId="77777777" w:rsidR="00000000" w:rsidRDefault="001A570A">
      <w:pPr>
        <w:ind w:hanging="360"/>
        <w:divId w:val="575866329"/>
        <w:rPr>
          <w:rFonts w:eastAsia="Times New Roman"/>
        </w:rPr>
      </w:pPr>
      <w:r>
        <w:rPr>
          <w:rFonts w:eastAsia="Times New Roman"/>
          <w:color w:val="000000"/>
          <w:sz w:val="16"/>
          <w:szCs w:val="16"/>
        </w:rPr>
        <w:t>(4)Divested on May 15, 2020, the results of which are reported as part of our Space and Airborne Systems segment through the date of divestiture.</w:t>
      </w:r>
    </w:p>
    <w:p w14:paraId="683CB2E6" w14:textId="77777777" w:rsidR="00000000" w:rsidRDefault="001A570A">
      <w:pPr>
        <w:ind w:hanging="360"/>
        <w:divId w:val="1877887220"/>
        <w:rPr>
          <w:rFonts w:eastAsia="Times New Roman"/>
        </w:rPr>
      </w:pPr>
      <w:r>
        <w:rPr>
          <w:rFonts w:eastAsia="Times New Roman"/>
          <w:color w:val="000000"/>
          <w:sz w:val="16"/>
          <w:szCs w:val="16"/>
        </w:rPr>
        <w:t>(5)Divested on July 31, 2020, the results of which are reported as part of our Communica</w:t>
      </w:r>
      <w:r>
        <w:rPr>
          <w:rFonts w:eastAsia="Times New Roman"/>
          <w:color w:val="000000"/>
          <w:sz w:val="16"/>
          <w:szCs w:val="16"/>
        </w:rPr>
        <w:t>tion Systems segment through the date of divestiture.</w:t>
      </w:r>
    </w:p>
    <w:p w14:paraId="7BA819D0" w14:textId="77777777" w:rsidR="00000000" w:rsidRDefault="001A570A">
      <w:pPr>
        <w:ind w:hanging="360"/>
        <w:divId w:val="1372728234"/>
        <w:rPr>
          <w:rFonts w:eastAsia="Times New Roman"/>
        </w:rPr>
      </w:pPr>
      <w:r>
        <w:rPr>
          <w:rFonts w:eastAsia="Times New Roman"/>
          <w:color w:val="000000"/>
          <w:sz w:val="16"/>
          <w:szCs w:val="16"/>
        </w:rPr>
        <w:t>(6)For information regarding the basis for the presentation of this supplemental unaudited pro forma combined income statement information, see the discussion in “Business Considerations — Value Drivers</w:t>
      </w:r>
      <w:r>
        <w:rPr>
          <w:rFonts w:eastAsia="Times New Roman"/>
          <w:color w:val="000000"/>
          <w:sz w:val="16"/>
          <w:szCs w:val="16"/>
        </w:rPr>
        <w:t>” below in this MD&amp;A.</w:t>
      </w:r>
    </w:p>
    <w:p w14:paraId="7AF32EDB" w14:textId="77777777" w:rsidR="00000000" w:rsidRDefault="001A570A">
      <w:pPr>
        <w:ind w:firstLine="450"/>
        <w:divId w:val="493028081"/>
        <w:rPr>
          <w:rFonts w:eastAsia="Times New Roman"/>
        </w:rPr>
      </w:pPr>
      <w:r>
        <w:rPr>
          <w:rFonts w:eastAsia="Times New Roman"/>
          <w:color w:val="000000"/>
          <w:sz w:val="20"/>
          <w:szCs w:val="20"/>
        </w:rPr>
        <w:t xml:space="preserve">See </w:t>
      </w:r>
      <w:r>
        <w:rPr>
          <w:rFonts w:eastAsia="Times New Roman"/>
          <w:i/>
          <w:iCs/>
          <w:color w:val="000000"/>
          <w:sz w:val="20"/>
          <w:szCs w:val="20"/>
        </w:rPr>
        <w:t>Note 25: Business Segments</w:t>
      </w:r>
      <w:r>
        <w:rPr>
          <w:rFonts w:eastAsia="Times New Roman"/>
          <w:color w:val="000000"/>
          <w:sz w:val="20"/>
          <w:szCs w:val="20"/>
        </w:rPr>
        <w:t xml:space="preserve"> in the Notes for further information regarding our business segments, including how we define segment operating income or loss. </w:t>
      </w:r>
    </w:p>
    <w:p w14:paraId="5E596FC8" w14:textId="77777777" w:rsidR="00000000" w:rsidRDefault="001A570A">
      <w:pPr>
        <w:ind w:firstLine="450"/>
        <w:divId w:val="1391348113"/>
        <w:rPr>
          <w:rFonts w:eastAsia="Times New Roman"/>
        </w:rPr>
      </w:pPr>
      <w:r>
        <w:rPr>
          <w:rFonts w:eastAsia="Times New Roman"/>
          <w:color w:val="000000"/>
          <w:sz w:val="20"/>
          <w:szCs w:val="20"/>
        </w:rPr>
        <w:t xml:space="preserve">As discussed in further detail in </w:t>
      </w:r>
      <w:r>
        <w:rPr>
          <w:rFonts w:eastAsia="Times New Roman"/>
          <w:i/>
          <w:iCs/>
          <w:color w:val="000000"/>
          <w:sz w:val="20"/>
          <w:szCs w:val="20"/>
        </w:rPr>
        <w:t>Note 4: Restructuring and Other Exit Cos</w:t>
      </w:r>
      <w:r>
        <w:rPr>
          <w:rFonts w:eastAsia="Times New Roman"/>
          <w:i/>
          <w:iCs/>
          <w:color w:val="000000"/>
          <w:sz w:val="20"/>
          <w:szCs w:val="20"/>
        </w:rPr>
        <w:t xml:space="preserve">ts </w:t>
      </w:r>
      <w:r>
        <w:rPr>
          <w:rFonts w:eastAsia="Times New Roman"/>
          <w:color w:val="000000"/>
          <w:sz w:val="20"/>
          <w:szCs w:val="20"/>
        </w:rPr>
        <w:t>and</w:t>
      </w:r>
      <w:r>
        <w:rPr>
          <w:rFonts w:eastAsia="Times New Roman"/>
          <w:i/>
          <w:iCs/>
          <w:color w:val="000000"/>
          <w:sz w:val="20"/>
          <w:szCs w:val="20"/>
        </w:rPr>
        <w:t xml:space="preserve"> Note 5: Business Combination</w:t>
      </w:r>
      <w:r>
        <w:rPr>
          <w:rFonts w:eastAsia="Times New Roman"/>
          <w:color w:val="000000"/>
          <w:sz w:val="20"/>
          <w:szCs w:val="20"/>
        </w:rPr>
        <w:t xml:space="preserve"> in the Notes, we recorded the following charges at our corporate headquarters in connection with the L3Harris Merger.</w:t>
      </w:r>
    </w:p>
    <w:tbl>
      <w:tblPr>
        <w:tblW w:w="4978" w:type="pct"/>
        <w:tblCellMar>
          <w:top w:w="15" w:type="dxa"/>
          <w:left w:w="15" w:type="dxa"/>
          <w:bottom w:w="15" w:type="dxa"/>
          <w:right w:w="15" w:type="dxa"/>
        </w:tblCellMar>
        <w:tblLook w:val="04A0" w:firstRow="1" w:lastRow="0" w:firstColumn="1" w:lastColumn="0" w:noHBand="0" w:noVBand="1"/>
      </w:tblPr>
      <w:tblGrid>
        <w:gridCol w:w="38"/>
        <w:gridCol w:w="3526"/>
        <w:gridCol w:w="36"/>
        <w:gridCol w:w="121"/>
        <w:gridCol w:w="720"/>
        <w:gridCol w:w="37"/>
        <w:gridCol w:w="36"/>
        <w:gridCol w:w="36"/>
        <w:gridCol w:w="36"/>
        <w:gridCol w:w="121"/>
        <w:gridCol w:w="776"/>
        <w:gridCol w:w="36"/>
        <w:gridCol w:w="36"/>
        <w:gridCol w:w="36"/>
        <w:gridCol w:w="36"/>
        <w:gridCol w:w="120"/>
        <w:gridCol w:w="563"/>
        <w:gridCol w:w="36"/>
        <w:gridCol w:w="36"/>
        <w:gridCol w:w="36"/>
        <w:gridCol w:w="36"/>
        <w:gridCol w:w="121"/>
        <w:gridCol w:w="670"/>
        <w:gridCol w:w="36"/>
        <w:gridCol w:w="36"/>
        <w:gridCol w:w="36"/>
        <w:gridCol w:w="36"/>
        <w:gridCol w:w="121"/>
        <w:gridCol w:w="723"/>
        <w:gridCol w:w="36"/>
      </w:tblGrid>
      <w:tr w:rsidR="00000000" w14:paraId="42ACE1AA" w14:textId="77777777">
        <w:trPr>
          <w:divId w:val="1789274877"/>
        </w:trPr>
        <w:tc>
          <w:tcPr>
            <w:tcW w:w="50" w:type="pct"/>
            <w:vAlign w:val="center"/>
            <w:hideMark/>
          </w:tcPr>
          <w:p w14:paraId="28223EF9" w14:textId="77777777" w:rsidR="00000000" w:rsidRDefault="001A570A">
            <w:pPr>
              <w:ind w:firstLine="450"/>
              <w:rPr>
                <w:rFonts w:eastAsia="Times New Roman"/>
              </w:rPr>
            </w:pPr>
          </w:p>
        </w:tc>
        <w:tc>
          <w:tcPr>
            <w:tcW w:w="2174" w:type="pct"/>
            <w:vAlign w:val="center"/>
            <w:hideMark/>
          </w:tcPr>
          <w:p w14:paraId="44D69ED6" w14:textId="77777777" w:rsidR="00000000" w:rsidRDefault="001A570A">
            <w:pPr>
              <w:rPr>
                <w:rFonts w:eastAsia="Times New Roman"/>
                <w:sz w:val="20"/>
                <w:szCs w:val="20"/>
              </w:rPr>
            </w:pPr>
          </w:p>
        </w:tc>
        <w:tc>
          <w:tcPr>
            <w:tcW w:w="5" w:type="pct"/>
            <w:vAlign w:val="center"/>
            <w:hideMark/>
          </w:tcPr>
          <w:p w14:paraId="78986369" w14:textId="77777777" w:rsidR="00000000" w:rsidRDefault="001A570A">
            <w:pPr>
              <w:rPr>
                <w:rFonts w:eastAsia="Times New Roman"/>
                <w:sz w:val="20"/>
                <w:szCs w:val="20"/>
              </w:rPr>
            </w:pPr>
          </w:p>
        </w:tc>
        <w:tc>
          <w:tcPr>
            <w:tcW w:w="50" w:type="pct"/>
            <w:vAlign w:val="center"/>
            <w:hideMark/>
          </w:tcPr>
          <w:p w14:paraId="092AB406" w14:textId="77777777" w:rsidR="00000000" w:rsidRDefault="001A570A">
            <w:pPr>
              <w:rPr>
                <w:rFonts w:eastAsia="Times New Roman"/>
                <w:sz w:val="20"/>
                <w:szCs w:val="20"/>
              </w:rPr>
            </w:pPr>
          </w:p>
        </w:tc>
        <w:tc>
          <w:tcPr>
            <w:tcW w:w="471" w:type="pct"/>
            <w:vAlign w:val="center"/>
            <w:hideMark/>
          </w:tcPr>
          <w:p w14:paraId="46490DD7" w14:textId="77777777" w:rsidR="00000000" w:rsidRDefault="001A570A">
            <w:pPr>
              <w:rPr>
                <w:rFonts w:eastAsia="Times New Roman"/>
                <w:sz w:val="20"/>
                <w:szCs w:val="20"/>
              </w:rPr>
            </w:pPr>
          </w:p>
        </w:tc>
        <w:tc>
          <w:tcPr>
            <w:tcW w:w="5" w:type="pct"/>
            <w:vAlign w:val="center"/>
            <w:hideMark/>
          </w:tcPr>
          <w:p w14:paraId="7BA4CBC4" w14:textId="77777777" w:rsidR="00000000" w:rsidRDefault="001A570A">
            <w:pPr>
              <w:rPr>
                <w:rFonts w:eastAsia="Times New Roman"/>
                <w:sz w:val="20"/>
                <w:szCs w:val="20"/>
              </w:rPr>
            </w:pPr>
          </w:p>
        </w:tc>
        <w:tc>
          <w:tcPr>
            <w:tcW w:w="5" w:type="pct"/>
            <w:vAlign w:val="center"/>
            <w:hideMark/>
          </w:tcPr>
          <w:p w14:paraId="7C2A1629" w14:textId="77777777" w:rsidR="00000000" w:rsidRDefault="001A570A">
            <w:pPr>
              <w:rPr>
                <w:rFonts w:eastAsia="Times New Roman"/>
                <w:sz w:val="20"/>
                <w:szCs w:val="20"/>
              </w:rPr>
            </w:pPr>
          </w:p>
        </w:tc>
        <w:tc>
          <w:tcPr>
            <w:tcW w:w="26" w:type="pct"/>
            <w:vAlign w:val="center"/>
            <w:hideMark/>
          </w:tcPr>
          <w:p w14:paraId="75A11BC0" w14:textId="77777777" w:rsidR="00000000" w:rsidRDefault="001A570A">
            <w:pPr>
              <w:rPr>
                <w:rFonts w:eastAsia="Times New Roman"/>
                <w:sz w:val="20"/>
                <w:szCs w:val="20"/>
              </w:rPr>
            </w:pPr>
          </w:p>
        </w:tc>
        <w:tc>
          <w:tcPr>
            <w:tcW w:w="5" w:type="pct"/>
            <w:vAlign w:val="center"/>
            <w:hideMark/>
          </w:tcPr>
          <w:p w14:paraId="40B29481" w14:textId="77777777" w:rsidR="00000000" w:rsidRDefault="001A570A">
            <w:pPr>
              <w:rPr>
                <w:rFonts w:eastAsia="Times New Roman"/>
                <w:sz w:val="20"/>
                <w:szCs w:val="20"/>
              </w:rPr>
            </w:pPr>
          </w:p>
        </w:tc>
        <w:tc>
          <w:tcPr>
            <w:tcW w:w="50" w:type="pct"/>
            <w:vAlign w:val="center"/>
            <w:hideMark/>
          </w:tcPr>
          <w:p w14:paraId="1DF7E72A" w14:textId="77777777" w:rsidR="00000000" w:rsidRDefault="001A570A">
            <w:pPr>
              <w:rPr>
                <w:rFonts w:eastAsia="Times New Roman"/>
                <w:sz w:val="20"/>
                <w:szCs w:val="20"/>
              </w:rPr>
            </w:pPr>
          </w:p>
        </w:tc>
        <w:tc>
          <w:tcPr>
            <w:tcW w:w="471" w:type="pct"/>
            <w:vAlign w:val="center"/>
            <w:hideMark/>
          </w:tcPr>
          <w:p w14:paraId="4A6C08FA" w14:textId="77777777" w:rsidR="00000000" w:rsidRDefault="001A570A">
            <w:pPr>
              <w:rPr>
                <w:rFonts w:eastAsia="Times New Roman"/>
                <w:sz w:val="20"/>
                <w:szCs w:val="20"/>
              </w:rPr>
            </w:pPr>
          </w:p>
        </w:tc>
        <w:tc>
          <w:tcPr>
            <w:tcW w:w="5" w:type="pct"/>
            <w:vAlign w:val="center"/>
            <w:hideMark/>
          </w:tcPr>
          <w:p w14:paraId="2DA14D0B" w14:textId="77777777" w:rsidR="00000000" w:rsidRDefault="001A570A">
            <w:pPr>
              <w:rPr>
                <w:rFonts w:eastAsia="Times New Roman"/>
                <w:sz w:val="20"/>
                <w:szCs w:val="20"/>
              </w:rPr>
            </w:pPr>
          </w:p>
        </w:tc>
        <w:tc>
          <w:tcPr>
            <w:tcW w:w="5" w:type="pct"/>
            <w:vAlign w:val="center"/>
            <w:hideMark/>
          </w:tcPr>
          <w:p w14:paraId="201559E4" w14:textId="77777777" w:rsidR="00000000" w:rsidRDefault="001A570A">
            <w:pPr>
              <w:rPr>
                <w:rFonts w:eastAsia="Times New Roman"/>
                <w:sz w:val="20"/>
                <w:szCs w:val="20"/>
              </w:rPr>
            </w:pPr>
          </w:p>
        </w:tc>
        <w:tc>
          <w:tcPr>
            <w:tcW w:w="26" w:type="pct"/>
            <w:vAlign w:val="center"/>
            <w:hideMark/>
          </w:tcPr>
          <w:p w14:paraId="6E2650D3" w14:textId="77777777" w:rsidR="00000000" w:rsidRDefault="001A570A">
            <w:pPr>
              <w:rPr>
                <w:rFonts w:eastAsia="Times New Roman"/>
                <w:sz w:val="20"/>
                <w:szCs w:val="20"/>
              </w:rPr>
            </w:pPr>
          </w:p>
        </w:tc>
        <w:tc>
          <w:tcPr>
            <w:tcW w:w="5" w:type="pct"/>
            <w:vAlign w:val="center"/>
            <w:hideMark/>
          </w:tcPr>
          <w:p w14:paraId="4EF7960E" w14:textId="77777777" w:rsidR="00000000" w:rsidRDefault="001A570A">
            <w:pPr>
              <w:rPr>
                <w:rFonts w:eastAsia="Times New Roman"/>
                <w:sz w:val="20"/>
                <w:szCs w:val="20"/>
              </w:rPr>
            </w:pPr>
          </w:p>
        </w:tc>
        <w:tc>
          <w:tcPr>
            <w:tcW w:w="50" w:type="pct"/>
            <w:vAlign w:val="center"/>
            <w:hideMark/>
          </w:tcPr>
          <w:p w14:paraId="0B44640A" w14:textId="77777777" w:rsidR="00000000" w:rsidRDefault="001A570A">
            <w:pPr>
              <w:rPr>
                <w:rFonts w:eastAsia="Times New Roman"/>
                <w:sz w:val="20"/>
                <w:szCs w:val="20"/>
              </w:rPr>
            </w:pPr>
          </w:p>
        </w:tc>
        <w:tc>
          <w:tcPr>
            <w:tcW w:w="471" w:type="pct"/>
            <w:vAlign w:val="center"/>
            <w:hideMark/>
          </w:tcPr>
          <w:p w14:paraId="59BE9C03" w14:textId="77777777" w:rsidR="00000000" w:rsidRDefault="001A570A">
            <w:pPr>
              <w:rPr>
                <w:rFonts w:eastAsia="Times New Roman"/>
                <w:sz w:val="20"/>
                <w:szCs w:val="20"/>
              </w:rPr>
            </w:pPr>
          </w:p>
        </w:tc>
        <w:tc>
          <w:tcPr>
            <w:tcW w:w="5" w:type="pct"/>
            <w:vAlign w:val="center"/>
            <w:hideMark/>
          </w:tcPr>
          <w:p w14:paraId="00740AC4" w14:textId="77777777" w:rsidR="00000000" w:rsidRDefault="001A570A">
            <w:pPr>
              <w:rPr>
                <w:rFonts w:eastAsia="Times New Roman"/>
                <w:sz w:val="20"/>
                <w:szCs w:val="20"/>
              </w:rPr>
            </w:pPr>
          </w:p>
        </w:tc>
        <w:tc>
          <w:tcPr>
            <w:tcW w:w="5" w:type="pct"/>
            <w:vAlign w:val="center"/>
            <w:hideMark/>
          </w:tcPr>
          <w:p w14:paraId="7ECDB55A" w14:textId="77777777" w:rsidR="00000000" w:rsidRDefault="001A570A">
            <w:pPr>
              <w:rPr>
                <w:rFonts w:eastAsia="Times New Roman"/>
                <w:sz w:val="20"/>
                <w:szCs w:val="20"/>
              </w:rPr>
            </w:pPr>
          </w:p>
        </w:tc>
        <w:tc>
          <w:tcPr>
            <w:tcW w:w="26" w:type="pct"/>
            <w:vAlign w:val="center"/>
            <w:hideMark/>
          </w:tcPr>
          <w:p w14:paraId="34B327B9" w14:textId="77777777" w:rsidR="00000000" w:rsidRDefault="001A570A">
            <w:pPr>
              <w:rPr>
                <w:rFonts w:eastAsia="Times New Roman"/>
                <w:sz w:val="20"/>
                <w:szCs w:val="20"/>
              </w:rPr>
            </w:pPr>
          </w:p>
        </w:tc>
        <w:tc>
          <w:tcPr>
            <w:tcW w:w="5" w:type="pct"/>
            <w:vAlign w:val="center"/>
            <w:hideMark/>
          </w:tcPr>
          <w:p w14:paraId="5807A41F" w14:textId="77777777" w:rsidR="00000000" w:rsidRDefault="001A570A">
            <w:pPr>
              <w:rPr>
                <w:rFonts w:eastAsia="Times New Roman"/>
                <w:sz w:val="20"/>
                <w:szCs w:val="20"/>
              </w:rPr>
            </w:pPr>
          </w:p>
        </w:tc>
        <w:tc>
          <w:tcPr>
            <w:tcW w:w="50" w:type="pct"/>
            <w:vAlign w:val="center"/>
            <w:hideMark/>
          </w:tcPr>
          <w:p w14:paraId="383010C7" w14:textId="77777777" w:rsidR="00000000" w:rsidRDefault="001A570A">
            <w:pPr>
              <w:rPr>
                <w:rFonts w:eastAsia="Times New Roman"/>
                <w:sz w:val="20"/>
                <w:szCs w:val="20"/>
              </w:rPr>
            </w:pPr>
          </w:p>
        </w:tc>
        <w:tc>
          <w:tcPr>
            <w:tcW w:w="471" w:type="pct"/>
            <w:vAlign w:val="center"/>
            <w:hideMark/>
          </w:tcPr>
          <w:p w14:paraId="27008221" w14:textId="77777777" w:rsidR="00000000" w:rsidRDefault="001A570A">
            <w:pPr>
              <w:rPr>
                <w:rFonts w:eastAsia="Times New Roman"/>
                <w:sz w:val="20"/>
                <w:szCs w:val="20"/>
              </w:rPr>
            </w:pPr>
          </w:p>
        </w:tc>
        <w:tc>
          <w:tcPr>
            <w:tcW w:w="5" w:type="pct"/>
            <w:vAlign w:val="center"/>
            <w:hideMark/>
          </w:tcPr>
          <w:p w14:paraId="598CEBAD" w14:textId="77777777" w:rsidR="00000000" w:rsidRDefault="001A570A">
            <w:pPr>
              <w:rPr>
                <w:rFonts w:eastAsia="Times New Roman"/>
                <w:sz w:val="20"/>
                <w:szCs w:val="20"/>
              </w:rPr>
            </w:pPr>
          </w:p>
        </w:tc>
        <w:tc>
          <w:tcPr>
            <w:tcW w:w="5" w:type="pct"/>
            <w:vAlign w:val="center"/>
            <w:hideMark/>
          </w:tcPr>
          <w:p w14:paraId="0E3A34D3" w14:textId="77777777" w:rsidR="00000000" w:rsidRDefault="001A570A">
            <w:pPr>
              <w:rPr>
                <w:rFonts w:eastAsia="Times New Roman"/>
                <w:sz w:val="20"/>
                <w:szCs w:val="20"/>
              </w:rPr>
            </w:pPr>
          </w:p>
        </w:tc>
        <w:tc>
          <w:tcPr>
            <w:tcW w:w="18" w:type="pct"/>
            <w:vAlign w:val="center"/>
            <w:hideMark/>
          </w:tcPr>
          <w:p w14:paraId="6A09487C" w14:textId="77777777" w:rsidR="00000000" w:rsidRDefault="001A570A">
            <w:pPr>
              <w:rPr>
                <w:rFonts w:eastAsia="Times New Roman"/>
                <w:sz w:val="20"/>
                <w:szCs w:val="20"/>
              </w:rPr>
            </w:pPr>
          </w:p>
        </w:tc>
        <w:tc>
          <w:tcPr>
            <w:tcW w:w="5" w:type="pct"/>
            <w:vAlign w:val="center"/>
            <w:hideMark/>
          </w:tcPr>
          <w:p w14:paraId="012EA1FB" w14:textId="77777777" w:rsidR="00000000" w:rsidRDefault="001A570A">
            <w:pPr>
              <w:rPr>
                <w:rFonts w:eastAsia="Times New Roman"/>
                <w:sz w:val="20"/>
                <w:szCs w:val="20"/>
              </w:rPr>
            </w:pPr>
          </w:p>
        </w:tc>
        <w:tc>
          <w:tcPr>
            <w:tcW w:w="50" w:type="pct"/>
            <w:vAlign w:val="center"/>
            <w:hideMark/>
          </w:tcPr>
          <w:p w14:paraId="7508C0FE" w14:textId="77777777" w:rsidR="00000000" w:rsidRDefault="001A570A">
            <w:pPr>
              <w:rPr>
                <w:rFonts w:eastAsia="Times New Roman"/>
                <w:sz w:val="20"/>
                <w:szCs w:val="20"/>
              </w:rPr>
            </w:pPr>
          </w:p>
        </w:tc>
        <w:tc>
          <w:tcPr>
            <w:tcW w:w="472" w:type="pct"/>
            <w:vAlign w:val="center"/>
            <w:hideMark/>
          </w:tcPr>
          <w:p w14:paraId="6BE0D3EC" w14:textId="77777777" w:rsidR="00000000" w:rsidRDefault="001A570A">
            <w:pPr>
              <w:rPr>
                <w:rFonts w:eastAsia="Times New Roman"/>
                <w:sz w:val="20"/>
                <w:szCs w:val="20"/>
              </w:rPr>
            </w:pPr>
          </w:p>
        </w:tc>
        <w:tc>
          <w:tcPr>
            <w:tcW w:w="5" w:type="pct"/>
            <w:vAlign w:val="center"/>
            <w:hideMark/>
          </w:tcPr>
          <w:p w14:paraId="2B2EEFA9" w14:textId="77777777" w:rsidR="00000000" w:rsidRDefault="001A570A">
            <w:pPr>
              <w:rPr>
                <w:rFonts w:eastAsia="Times New Roman"/>
                <w:sz w:val="20"/>
                <w:szCs w:val="20"/>
              </w:rPr>
            </w:pPr>
          </w:p>
        </w:tc>
      </w:tr>
      <w:tr w:rsidR="00000000" w14:paraId="102D3B68" w14:textId="77777777">
        <w:trPr>
          <w:divId w:val="1789274877"/>
        </w:trPr>
        <w:tc>
          <w:tcPr>
            <w:tcW w:w="0" w:type="auto"/>
            <w:gridSpan w:val="3"/>
            <w:tcMar>
              <w:top w:w="0" w:type="dxa"/>
              <w:left w:w="20" w:type="dxa"/>
              <w:bottom w:w="0" w:type="dxa"/>
              <w:right w:w="20" w:type="dxa"/>
            </w:tcMar>
            <w:vAlign w:val="center"/>
            <w:hideMark/>
          </w:tcPr>
          <w:p w14:paraId="7D5A043B"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01614499"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0B914A1F" w14:textId="77777777" w:rsidR="00000000" w:rsidRDefault="001A570A">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5FD54501" w14:textId="77777777" w:rsidR="00000000" w:rsidRDefault="001A570A">
            <w:pPr>
              <w:jc w:val="center"/>
              <w:rPr>
                <w:rFonts w:eastAsia="Times New Roman"/>
              </w:rPr>
            </w:pPr>
            <w:r>
              <w:rPr>
                <w:rFonts w:eastAsia="Times New Roman"/>
                <w:b/>
                <w:bCs/>
                <w:color w:val="000000"/>
                <w:sz w:val="16"/>
                <w:szCs w:val="16"/>
              </w:rPr>
              <w:t xml:space="preserve">Four Quarters Ended </w:t>
            </w:r>
          </w:p>
        </w:tc>
        <w:tc>
          <w:tcPr>
            <w:tcW w:w="0" w:type="auto"/>
            <w:gridSpan w:val="3"/>
            <w:tcMar>
              <w:top w:w="0" w:type="dxa"/>
              <w:left w:w="20" w:type="dxa"/>
              <w:bottom w:w="0" w:type="dxa"/>
              <w:right w:w="20" w:type="dxa"/>
            </w:tcMar>
            <w:vAlign w:val="center"/>
            <w:hideMark/>
          </w:tcPr>
          <w:p w14:paraId="13C5101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A081B7B"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7412E338"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13A3DBA0" w14:textId="77777777" w:rsidR="00000000" w:rsidRDefault="001A570A">
            <w:pPr>
              <w:jc w:val="center"/>
              <w:rPr>
                <w:rFonts w:eastAsia="Times New Roman"/>
              </w:rPr>
            </w:pPr>
            <w:r>
              <w:rPr>
                <w:rFonts w:eastAsia="Times New Roman"/>
                <w:b/>
                <w:bCs/>
                <w:color w:val="000000"/>
                <w:sz w:val="16"/>
                <w:szCs w:val="16"/>
              </w:rPr>
              <w:t>Fiscal Year Ended</w:t>
            </w:r>
          </w:p>
        </w:tc>
      </w:tr>
      <w:tr w:rsidR="00000000" w14:paraId="147EBBD7" w14:textId="77777777">
        <w:trPr>
          <w:divId w:val="1789274877"/>
        </w:trPr>
        <w:tc>
          <w:tcPr>
            <w:tcW w:w="0" w:type="auto"/>
            <w:gridSpan w:val="3"/>
            <w:tcMar>
              <w:top w:w="0" w:type="dxa"/>
              <w:left w:w="20" w:type="dxa"/>
              <w:bottom w:w="0" w:type="dxa"/>
              <w:right w:w="20" w:type="dxa"/>
            </w:tcMar>
            <w:vAlign w:val="center"/>
            <w:hideMark/>
          </w:tcPr>
          <w:p w14:paraId="324CB3B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96358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7490B75C" w14:textId="77777777" w:rsidR="00000000" w:rsidRDefault="001A570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ED74885"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14:paraId="5405F92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33F0C3"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57A82707"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EE2E9A" w14:textId="77777777" w:rsidR="00000000" w:rsidRDefault="001A570A">
            <w:pPr>
              <w:jc w:val="center"/>
              <w:rPr>
                <w:rFonts w:eastAsia="Times New Roman"/>
              </w:rPr>
            </w:pPr>
            <w:r>
              <w:rPr>
                <w:rFonts w:eastAsia="Times New Roman"/>
                <w:b/>
                <w:bCs/>
                <w:color w:val="000000"/>
                <w:sz w:val="16"/>
                <w:szCs w:val="16"/>
              </w:rPr>
              <w:t>June 28, 2019</w:t>
            </w:r>
          </w:p>
        </w:tc>
      </w:tr>
      <w:tr w:rsidR="00000000" w14:paraId="55BEDE35" w14:textId="77777777">
        <w:trPr>
          <w:divId w:val="1789274877"/>
        </w:trPr>
        <w:tc>
          <w:tcPr>
            <w:tcW w:w="0" w:type="auto"/>
            <w:gridSpan w:val="3"/>
            <w:tcMar>
              <w:top w:w="30" w:type="dxa"/>
              <w:left w:w="20" w:type="dxa"/>
              <w:bottom w:w="30" w:type="dxa"/>
              <w:right w:w="20" w:type="dxa"/>
            </w:tcMar>
            <w:vAlign w:val="bottom"/>
            <w:hideMark/>
          </w:tcPr>
          <w:p w14:paraId="5CF8DE2D"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2705198"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39F7079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EBF23E"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Borders>
              <w:top w:val="single" w:sz="8" w:space="0" w:color="000000"/>
            </w:tcBorders>
            <w:tcMar>
              <w:top w:w="0" w:type="dxa"/>
              <w:left w:w="20" w:type="dxa"/>
              <w:bottom w:w="0" w:type="dxa"/>
              <w:right w:w="20" w:type="dxa"/>
            </w:tcMar>
            <w:vAlign w:val="center"/>
            <w:hideMark/>
          </w:tcPr>
          <w:p w14:paraId="7AB9170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B64875"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5106785C" w14:textId="77777777" w:rsidR="00000000" w:rsidRDefault="001A570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04442AF" w14:textId="77777777" w:rsidR="00000000" w:rsidRDefault="001A570A">
            <w:pPr>
              <w:jc w:val="center"/>
              <w:rPr>
                <w:rFonts w:eastAsia="Times New Roman"/>
              </w:rPr>
            </w:pPr>
            <w:r>
              <w:rPr>
                <w:rFonts w:eastAsia="Times New Roman"/>
                <w:b/>
                <w:bCs/>
                <w:color w:val="000000"/>
                <w:sz w:val="16"/>
                <w:szCs w:val="16"/>
              </w:rPr>
              <w:t>As Reported</w:t>
            </w:r>
          </w:p>
        </w:tc>
      </w:tr>
      <w:tr w:rsidR="00000000" w14:paraId="0C89BF13" w14:textId="77777777">
        <w:trPr>
          <w:divId w:val="1789274877"/>
          <w:trHeight w:val="60"/>
        </w:trPr>
        <w:tc>
          <w:tcPr>
            <w:tcW w:w="0" w:type="auto"/>
            <w:gridSpan w:val="3"/>
            <w:tcMar>
              <w:top w:w="0" w:type="dxa"/>
              <w:left w:w="20" w:type="dxa"/>
              <w:bottom w:w="0" w:type="dxa"/>
              <w:right w:w="20" w:type="dxa"/>
            </w:tcMar>
            <w:vAlign w:val="center"/>
            <w:hideMark/>
          </w:tcPr>
          <w:p w14:paraId="165F7EA9"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88ACE5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01BD61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F150C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2B4B80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041D2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ADE9D9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503D1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454F2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FAB8A0" w14:textId="77777777" w:rsidR="00000000" w:rsidRDefault="001A570A">
            <w:pPr>
              <w:rPr>
                <w:rFonts w:eastAsia="Times New Roman"/>
                <w:sz w:val="20"/>
                <w:szCs w:val="20"/>
              </w:rPr>
            </w:pPr>
          </w:p>
        </w:tc>
      </w:tr>
      <w:tr w:rsidR="00000000" w14:paraId="3AE358C3" w14:textId="77777777">
        <w:trPr>
          <w:divId w:val="1789274877"/>
        </w:trPr>
        <w:tc>
          <w:tcPr>
            <w:tcW w:w="0" w:type="auto"/>
            <w:gridSpan w:val="3"/>
            <w:shd w:val="clear" w:color="auto" w:fill="CCEEFF"/>
            <w:tcMar>
              <w:top w:w="30" w:type="dxa"/>
              <w:left w:w="200" w:type="dxa"/>
              <w:bottom w:w="30" w:type="dxa"/>
              <w:right w:w="20" w:type="dxa"/>
            </w:tcMar>
            <w:hideMark/>
          </w:tcPr>
          <w:p w14:paraId="1B73F394" w14:textId="77777777" w:rsidR="00000000" w:rsidRDefault="001A570A">
            <w:pPr>
              <w:ind w:hanging="180"/>
              <w:rPr>
                <w:rFonts w:eastAsia="Times New Roman"/>
              </w:rPr>
            </w:pPr>
            <w:r>
              <w:rPr>
                <w:rFonts w:eastAsia="Times New Roman"/>
                <w:color w:val="000000"/>
                <w:sz w:val="20"/>
                <w:szCs w:val="20"/>
              </w:rPr>
              <w:t>Equity award acceleration charges, recognized upon change in control</w:t>
            </w:r>
          </w:p>
        </w:tc>
        <w:tc>
          <w:tcPr>
            <w:tcW w:w="0" w:type="auto"/>
            <w:shd w:val="clear" w:color="auto" w:fill="CCEEFF"/>
            <w:tcMar>
              <w:top w:w="30" w:type="dxa"/>
              <w:left w:w="20" w:type="dxa"/>
              <w:bottom w:w="30" w:type="dxa"/>
              <w:right w:w="0" w:type="dxa"/>
            </w:tcMar>
            <w:vAlign w:val="bottom"/>
            <w:hideMark/>
          </w:tcPr>
          <w:p w14:paraId="4A5426A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5C46E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193B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9E08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C8709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93415F" w14:textId="77777777" w:rsidR="00000000" w:rsidRDefault="001A570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063F93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96D1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DB89A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3D04F7" w14:textId="77777777" w:rsidR="00000000" w:rsidRDefault="001A570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3AF4592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C72A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97297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1E87EE" w14:textId="77777777" w:rsidR="00000000" w:rsidRDefault="001A570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57519D2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716B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FF6F1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5625C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F3AA91" w14:textId="77777777" w:rsidR="00000000" w:rsidRDefault="001A570A">
            <w:pPr>
              <w:jc w:val="right"/>
              <w:rPr>
                <w:rFonts w:eastAsia="Times New Roman"/>
              </w:rPr>
            </w:pPr>
          </w:p>
        </w:tc>
      </w:tr>
      <w:tr w:rsidR="00000000" w14:paraId="379F4EE8" w14:textId="77777777">
        <w:trPr>
          <w:divId w:val="1789274877"/>
        </w:trPr>
        <w:tc>
          <w:tcPr>
            <w:tcW w:w="0" w:type="auto"/>
            <w:gridSpan w:val="3"/>
            <w:shd w:val="clear" w:color="auto" w:fill="FFFFFF"/>
            <w:tcMar>
              <w:top w:w="30" w:type="dxa"/>
              <w:left w:w="20" w:type="dxa"/>
              <w:bottom w:w="30" w:type="dxa"/>
              <w:right w:w="20" w:type="dxa"/>
            </w:tcMar>
            <w:vAlign w:val="bottom"/>
            <w:hideMark/>
          </w:tcPr>
          <w:p w14:paraId="3ED113BF" w14:textId="77777777" w:rsidR="00000000" w:rsidRDefault="001A570A">
            <w:pPr>
              <w:rPr>
                <w:rFonts w:eastAsia="Times New Roman"/>
              </w:rPr>
            </w:pPr>
            <w:r>
              <w:rPr>
                <w:rFonts w:eastAsia="Times New Roman"/>
                <w:color w:val="000000"/>
                <w:sz w:val="20"/>
                <w:szCs w:val="20"/>
              </w:rPr>
              <w:t>Transaction costs, recognized as incurred</w:t>
            </w:r>
          </w:p>
        </w:tc>
        <w:tc>
          <w:tcPr>
            <w:tcW w:w="0" w:type="auto"/>
            <w:gridSpan w:val="2"/>
            <w:shd w:val="clear" w:color="auto" w:fill="FFFFFF"/>
            <w:tcMar>
              <w:top w:w="30" w:type="dxa"/>
              <w:left w:w="20" w:type="dxa"/>
              <w:bottom w:w="30" w:type="dxa"/>
              <w:right w:w="0" w:type="dxa"/>
            </w:tcMar>
            <w:vAlign w:val="bottom"/>
            <w:hideMark/>
          </w:tcPr>
          <w:p w14:paraId="75EF573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F2724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649A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159438" w14:textId="77777777" w:rsidR="00000000" w:rsidRDefault="001A570A">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0DE3F36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E50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587A51"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345946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5446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D01F2"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2850906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0CA6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21F5D0"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71DFF3F7" w14:textId="77777777" w:rsidR="00000000" w:rsidRDefault="001A570A">
            <w:pPr>
              <w:jc w:val="right"/>
              <w:rPr>
                <w:rFonts w:eastAsia="Times New Roman"/>
              </w:rPr>
            </w:pPr>
          </w:p>
        </w:tc>
      </w:tr>
      <w:tr w:rsidR="00000000" w14:paraId="5D6CBE48" w14:textId="77777777">
        <w:trPr>
          <w:divId w:val="1789274877"/>
        </w:trPr>
        <w:tc>
          <w:tcPr>
            <w:tcW w:w="0" w:type="auto"/>
            <w:gridSpan w:val="3"/>
            <w:shd w:val="clear" w:color="auto" w:fill="CCEEFF"/>
            <w:tcMar>
              <w:top w:w="30" w:type="dxa"/>
              <w:left w:w="200" w:type="dxa"/>
              <w:bottom w:w="30" w:type="dxa"/>
              <w:right w:w="20" w:type="dxa"/>
            </w:tcMar>
            <w:hideMark/>
          </w:tcPr>
          <w:p w14:paraId="75A2DDA4" w14:textId="77777777" w:rsidR="00000000" w:rsidRDefault="001A570A">
            <w:pPr>
              <w:ind w:hanging="180"/>
              <w:rPr>
                <w:rFonts w:eastAsia="Times New Roman"/>
              </w:rPr>
            </w:pPr>
            <w:r>
              <w:rPr>
                <w:rFonts w:eastAsia="Times New Roman"/>
                <w:color w:val="000000"/>
                <w:sz w:val="20"/>
                <w:szCs w:val="20"/>
              </w:rPr>
              <w:t>Additional cost of sales related to the fair value step-up in inventory sold</w:t>
            </w:r>
          </w:p>
        </w:tc>
        <w:tc>
          <w:tcPr>
            <w:tcW w:w="0" w:type="auto"/>
            <w:gridSpan w:val="2"/>
            <w:shd w:val="clear" w:color="auto" w:fill="CCEEFF"/>
            <w:tcMar>
              <w:top w:w="30" w:type="dxa"/>
              <w:left w:w="20" w:type="dxa"/>
              <w:bottom w:w="30" w:type="dxa"/>
              <w:right w:w="0" w:type="dxa"/>
            </w:tcMar>
            <w:vAlign w:val="bottom"/>
            <w:hideMark/>
          </w:tcPr>
          <w:p w14:paraId="041DC1BC"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049E052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8FB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068617" w14:textId="77777777" w:rsidR="00000000" w:rsidRDefault="001A570A">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14:paraId="6B52F22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18FA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1A5E7" w14:textId="77777777" w:rsidR="00000000" w:rsidRDefault="001A570A">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14:paraId="709688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914E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4A695" w14:textId="77777777" w:rsidR="00000000" w:rsidRDefault="001A570A">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14:paraId="7B277D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3878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351E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AB1C62" w14:textId="77777777" w:rsidR="00000000" w:rsidRDefault="001A570A">
            <w:pPr>
              <w:jc w:val="right"/>
              <w:rPr>
                <w:rFonts w:eastAsia="Times New Roman"/>
              </w:rPr>
            </w:pPr>
          </w:p>
        </w:tc>
      </w:tr>
      <w:tr w:rsidR="00000000" w14:paraId="29AB448F" w14:textId="77777777">
        <w:trPr>
          <w:divId w:val="1789274877"/>
        </w:trPr>
        <w:tc>
          <w:tcPr>
            <w:tcW w:w="0" w:type="auto"/>
            <w:gridSpan w:val="3"/>
            <w:shd w:val="clear" w:color="auto" w:fill="FFFFFF"/>
            <w:tcMar>
              <w:top w:w="30" w:type="dxa"/>
              <w:left w:w="20" w:type="dxa"/>
              <w:bottom w:w="30" w:type="dxa"/>
              <w:right w:w="20" w:type="dxa"/>
            </w:tcMar>
            <w:vAlign w:val="bottom"/>
            <w:hideMark/>
          </w:tcPr>
          <w:p w14:paraId="2FCCB277" w14:textId="77777777" w:rsidR="00000000" w:rsidRDefault="001A570A">
            <w:pPr>
              <w:rPr>
                <w:rFonts w:eastAsia="Times New Roman"/>
              </w:rPr>
            </w:pPr>
            <w:r>
              <w:rPr>
                <w:rFonts w:eastAsia="Times New Roman"/>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14:paraId="5AE73EB2"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45D06B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82C7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FC1A8"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2A2502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90D7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774D6"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6F7A1C5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D42D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91B46"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643833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EFF1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FC3C0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98380E" w14:textId="77777777" w:rsidR="00000000" w:rsidRDefault="001A570A">
            <w:pPr>
              <w:jc w:val="right"/>
              <w:rPr>
                <w:rFonts w:eastAsia="Times New Roman"/>
              </w:rPr>
            </w:pPr>
          </w:p>
        </w:tc>
      </w:tr>
      <w:tr w:rsidR="00000000" w14:paraId="62AD1988" w14:textId="77777777">
        <w:trPr>
          <w:divId w:val="1789274877"/>
        </w:trPr>
        <w:tc>
          <w:tcPr>
            <w:tcW w:w="0" w:type="auto"/>
            <w:gridSpan w:val="3"/>
            <w:shd w:val="clear" w:color="auto" w:fill="CCEEFF"/>
            <w:tcMar>
              <w:top w:w="30" w:type="dxa"/>
              <w:left w:w="20" w:type="dxa"/>
              <w:bottom w:w="30" w:type="dxa"/>
              <w:right w:w="20" w:type="dxa"/>
            </w:tcMar>
            <w:vAlign w:val="bottom"/>
            <w:hideMark/>
          </w:tcPr>
          <w:p w14:paraId="2A71E2C4" w14:textId="77777777" w:rsidR="00000000" w:rsidRDefault="001A570A">
            <w:pPr>
              <w:rPr>
                <w:rFonts w:eastAsia="Times New Roman"/>
              </w:rPr>
            </w:pPr>
            <w:r>
              <w:rPr>
                <w:rFonts w:eastAsia="Times New Roman"/>
                <w:color w:val="000000"/>
                <w:sz w:val="20"/>
                <w:szCs w:val="20"/>
              </w:rPr>
              <w:t>Facility consolidation costs</w:t>
            </w:r>
          </w:p>
        </w:tc>
        <w:tc>
          <w:tcPr>
            <w:tcW w:w="0" w:type="auto"/>
            <w:gridSpan w:val="2"/>
            <w:shd w:val="clear" w:color="auto" w:fill="CCEEFF"/>
            <w:tcMar>
              <w:top w:w="30" w:type="dxa"/>
              <w:left w:w="20" w:type="dxa"/>
              <w:bottom w:w="30" w:type="dxa"/>
              <w:right w:w="0" w:type="dxa"/>
            </w:tcMar>
            <w:vAlign w:val="bottom"/>
            <w:hideMark/>
          </w:tcPr>
          <w:p w14:paraId="6E15313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0F38F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A52E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B073D" w14:textId="77777777" w:rsidR="00000000" w:rsidRDefault="001A570A">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43F1862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45B9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2A6607" w14:textId="77777777" w:rsidR="00000000" w:rsidRDefault="001A570A">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4A9900E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42FA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65DB90" w14:textId="77777777" w:rsidR="00000000" w:rsidRDefault="001A570A">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75A4E36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3BF5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FD14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CB9F5B" w14:textId="77777777" w:rsidR="00000000" w:rsidRDefault="001A570A">
            <w:pPr>
              <w:jc w:val="right"/>
              <w:rPr>
                <w:rFonts w:eastAsia="Times New Roman"/>
              </w:rPr>
            </w:pPr>
          </w:p>
        </w:tc>
      </w:tr>
      <w:tr w:rsidR="00000000" w14:paraId="2BE09768" w14:textId="77777777">
        <w:trPr>
          <w:divId w:val="1789274877"/>
        </w:trPr>
        <w:tc>
          <w:tcPr>
            <w:tcW w:w="0" w:type="auto"/>
            <w:gridSpan w:val="3"/>
            <w:shd w:val="clear" w:color="auto" w:fill="FFFFFF"/>
            <w:tcMar>
              <w:top w:w="30" w:type="dxa"/>
              <w:left w:w="20" w:type="dxa"/>
              <w:bottom w:w="30" w:type="dxa"/>
              <w:right w:w="20" w:type="dxa"/>
            </w:tcMar>
            <w:vAlign w:val="bottom"/>
            <w:hideMark/>
          </w:tcPr>
          <w:p w14:paraId="25B96E71" w14:textId="77777777" w:rsidR="00000000" w:rsidRDefault="001A570A">
            <w:pPr>
              <w:rPr>
                <w:rFonts w:eastAsia="Times New Roman"/>
              </w:rPr>
            </w:pPr>
            <w:r>
              <w:rPr>
                <w:rFonts w:eastAsia="Times New Roman"/>
                <w:color w:val="000000"/>
                <w:sz w:val="20"/>
                <w:szCs w:val="20"/>
              </w:rPr>
              <w:t>Integration costs, recognized as incurred</w:t>
            </w:r>
          </w:p>
        </w:tc>
        <w:tc>
          <w:tcPr>
            <w:tcW w:w="0" w:type="auto"/>
            <w:gridSpan w:val="2"/>
            <w:shd w:val="clear" w:color="auto" w:fill="FFFFFF"/>
            <w:tcMar>
              <w:top w:w="30" w:type="dxa"/>
              <w:left w:w="20" w:type="dxa"/>
              <w:bottom w:w="30" w:type="dxa"/>
              <w:right w:w="0" w:type="dxa"/>
            </w:tcMar>
            <w:vAlign w:val="bottom"/>
            <w:hideMark/>
          </w:tcPr>
          <w:p w14:paraId="55CEBE70" w14:textId="77777777" w:rsidR="00000000" w:rsidRDefault="001A570A">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776CC34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C468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7B34E9" w14:textId="77777777" w:rsidR="00000000" w:rsidRDefault="001A570A">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63A9B67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AF6B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667B88" w14:textId="77777777" w:rsidR="00000000" w:rsidRDefault="001A570A">
            <w:pPr>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14:paraId="479DCF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6BDD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1D9C3A" w14:textId="77777777" w:rsidR="00000000" w:rsidRDefault="001A570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29FF1C9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967B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0C7F32" w14:textId="77777777" w:rsidR="00000000" w:rsidRDefault="001A570A">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33785EFB" w14:textId="77777777" w:rsidR="00000000" w:rsidRDefault="001A570A">
            <w:pPr>
              <w:jc w:val="right"/>
              <w:rPr>
                <w:rFonts w:eastAsia="Times New Roman"/>
              </w:rPr>
            </w:pPr>
          </w:p>
        </w:tc>
      </w:tr>
      <w:tr w:rsidR="00000000" w14:paraId="5A7BA921" w14:textId="77777777">
        <w:trPr>
          <w:divId w:val="1789274877"/>
        </w:trPr>
        <w:tc>
          <w:tcPr>
            <w:tcW w:w="0" w:type="auto"/>
            <w:gridSpan w:val="3"/>
            <w:shd w:val="clear" w:color="auto" w:fill="CCEEFF"/>
            <w:tcMar>
              <w:top w:w="30" w:type="dxa"/>
              <w:left w:w="20" w:type="dxa"/>
              <w:bottom w:w="30" w:type="dxa"/>
              <w:right w:w="20" w:type="dxa"/>
            </w:tcMar>
            <w:vAlign w:val="bottom"/>
            <w:hideMark/>
          </w:tcPr>
          <w:p w14:paraId="621D2A8D" w14:textId="77777777" w:rsidR="00000000" w:rsidRDefault="001A570A">
            <w:pPr>
              <w:rPr>
                <w:rFonts w:eastAsia="Times New Roman"/>
              </w:rPr>
            </w:pPr>
            <w:r>
              <w:rPr>
                <w:rFonts w:eastAsia="Times New Roman"/>
                <w:color w:val="000000"/>
                <w:sz w:val="20"/>
                <w:szCs w:val="20"/>
              </w:rPr>
              <w:t>Total L3Harris Merger-related charges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F63EC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D37D82" w14:textId="77777777" w:rsidR="00000000" w:rsidRDefault="001A570A">
            <w:pPr>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82D1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C219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60F23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3A3FD1" w14:textId="77777777" w:rsidR="00000000" w:rsidRDefault="001A570A">
            <w:pPr>
              <w:jc w:val="right"/>
              <w:rPr>
                <w:rFonts w:eastAsia="Times New Roman"/>
              </w:rPr>
            </w:pPr>
            <w:r>
              <w:rPr>
                <w:rFonts w:eastAsia="Times New Roman"/>
                <w:color w:val="000000"/>
                <w:sz w:val="20"/>
                <w:szCs w:val="20"/>
              </w:rPr>
              <w:t>584 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AF021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07CB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EDF13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4CB329" w14:textId="77777777" w:rsidR="00000000" w:rsidRDefault="001A570A">
            <w:pPr>
              <w:jc w:val="right"/>
              <w:rPr>
                <w:rFonts w:eastAsia="Times New Roman"/>
              </w:rPr>
            </w:pPr>
            <w:r>
              <w:rPr>
                <w:rFonts w:eastAsia="Times New Roman"/>
                <w:color w:val="000000"/>
                <w:sz w:val="20"/>
                <w:szCs w:val="20"/>
              </w:rPr>
              <w:t>592 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820B5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A654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0BDF4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81B77B" w14:textId="77777777" w:rsidR="00000000" w:rsidRDefault="001A570A">
            <w:pPr>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68B9D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EEE0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EEA33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F7530F" w14:textId="77777777" w:rsidR="00000000" w:rsidRDefault="001A570A">
            <w:pPr>
              <w:jc w:val="right"/>
              <w:rPr>
                <w:rFonts w:eastAsia="Times New Roman"/>
              </w:rPr>
            </w:pPr>
            <w:r>
              <w:rPr>
                <w:rFonts w:eastAsia="Times New Roman"/>
                <w:color w:val="000000"/>
                <w:sz w:val="20"/>
                <w:szCs w:val="20"/>
              </w:rPr>
              <w:t>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3A527E" w14:textId="77777777" w:rsidR="00000000" w:rsidRDefault="001A570A">
            <w:pPr>
              <w:jc w:val="right"/>
              <w:rPr>
                <w:rFonts w:eastAsia="Times New Roman"/>
              </w:rPr>
            </w:pPr>
          </w:p>
        </w:tc>
      </w:tr>
    </w:tbl>
    <w:p w14:paraId="55142C68" w14:textId="77777777" w:rsidR="00000000" w:rsidRDefault="001A570A">
      <w:pPr>
        <w:ind w:firstLine="450"/>
        <w:divId w:val="1048336709"/>
        <w:rPr>
          <w:rFonts w:eastAsia="Times New Roman"/>
        </w:rPr>
      </w:pPr>
      <w:r>
        <w:rPr>
          <w:rFonts w:eastAsia="Times New Roman"/>
          <w:color w:val="000000"/>
          <w:sz w:val="20"/>
          <w:szCs w:val="20"/>
        </w:rPr>
        <w:t>Because the L3Harris Merger benefited the entire Company as opposed to any individual business segment, the above costs were not allocated to any business segment. Most of the costs above were recorded in the “Engineering, selling and administrative expens</w:t>
      </w:r>
      <w:r>
        <w:rPr>
          <w:rFonts w:eastAsia="Times New Roman"/>
          <w:color w:val="000000"/>
          <w:sz w:val="20"/>
          <w:szCs w:val="20"/>
        </w:rPr>
        <w:t xml:space="preserve">es” line item in our Consolidated Statement of Income, except for additional cost of sales related to the fair value step-up in inventory sold, which is included in the “Cost of product sales and services” line item in our Consolidated Statement of Income </w:t>
      </w:r>
      <w:r>
        <w:rPr>
          <w:rFonts w:eastAsia="Times New Roman"/>
          <w:color w:val="000000"/>
          <w:sz w:val="20"/>
          <w:szCs w:val="20"/>
        </w:rPr>
        <w:t>and facility consolidation costs, the majority of which is included in the “Impairment of goodwill and other assets” line item in our Consolidated Statement of Income.</w:t>
      </w:r>
    </w:p>
    <w:p w14:paraId="01F86E52" w14:textId="77777777" w:rsidR="00000000" w:rsidRDefault="001A570A">
      <w:pPr>
        <w:ind w:firstLine="450"/>
        <w:divId w:val="1235092150"/>
        <w:rPr>
          <w:rFonts w:eastAsia="Times New Roman"/>
        </w:rPr>
      </w:pPr>
      <w:r>
        <w:rPr>
          <w:rFonts w:eastAsia="Times New Roman"/>
          <w:color w:val="000000"/>
          <w:sz w:val="20"/>
          <w:szCs w:val="20"/>
        </w:rPr>
        <w:t xml:space="preserve">As described in more detail in </w:t>
      </w:r>
      <w:r>
        <w:rPr>
          <w:rFonts w:eastAsia="Times New Roman"/>
          <w:i/>
          <w:iCs/>
          <w:color w:val="000000"/>
          <w:sz w:val="20"/>
          <w:szCs w:val="20"/>
        </w:rPr>
        <w:t>Note 1: Significant Accounting Policies</w:t>
      </w:r>
      <w:r>
        <w:rPr>
          <w:rFonts w:eastAsia="Times New Roman"/>
          <w:color w:val="000000"/>
          <w:sz w:val="20"/>
          <w:szCs w:val="20"/>
        </w:rPr>
        <w:t xml:space="preserve"> in the Notes, eff</w:t>
      </w:r>
      <w:r>
        <w:rPr>
          <w:rFonts w:eastAsia="Times New Roman"/>
          <w:color w:val="000000"/>
          <w:sz w:val="20"/>
          <w:szCs w:val="20"/>
        </w:rPr>
        <w:t>ective June 29, 2019, we changed our fiscal year end to the Friday nearest December 31, and the period that commenced on June 29, 2019 was a fiscal transition period that ended on January 3, 2020. References herein to the four quarters ended January 3, 202</w:t>
      </w:r>
      <w:r>
        <w:rPr>
          <w:rFonts w:eastAsia="Times New Roman"/>
          <w:color w:val="000000"/>
          <w:sz w:val="20"/>
          <w:szCs w:val="20"/>
        </w:rPr>
        <w:t>0 and two quarters ended December 28, 2018 represent the unaudited prior year results for the comparative periods ended January 3, 2020 and December 28, 2018.</w:t>
      </w:r>
    </w:p>
    <w:p w14:paraId="32ACFFC7" w14:textId="77777777" w:rsidR="00000000" w:rsidRDefault="001A570A">
      <w:pPr>
        <w:ind w:firstLine="450"/>
        <w:divId w:val="426577677"/>
        <w:rPr>
          <w:rFonts w:eastAsia="Times New Roman"/>
        </w:rPr>
      </w:pPr>
      <w:r>
        <w:rPr>
          <w:rFonts w:eastAsia="Times New Roman"/>
          <w:color w:val="000000"/>
          <w:sz w:val="20"/>
          <w:szCs w:val="20"/>
        </w:rPr>
        <w:t>Amounts in this Report may not always add to totals due to rounding.</w:t>
      </w:r>
    </w:p>
    <w:p w14:paraId="31DD53C8" w14:textId="77777777" w:rsidR="00000000" w:rsidRDefault="001A570A">
      <w:pPr>
        <w:divId w:val="82992705"/>
        <w:rPr>
          <w:rFonts w:eastAsia="Times New Roman"/>
        </w:rPr>
      </w:pPr>
      <w:r>
        <w:rPr>
          <w:rFonts w:eastAsia="Times New Roman"/>
          <w:b/>
          <w:bCs/>
          <w:color w:val="000000"/>
          <w:sz w:val="20"/>
          <w:szCs w:val="20"/>
        </w:rPr>
        <w:t>Value Drivers of Our Busines</w:t>
      </w:r>
      <w:r>
        <w:rPr>
          <w:rFonts w:eastAsia="Times New Roman"/>
          <w:b/>
          <w:bCs/>
          <w:color w:val="000000"/>
          <w:sz w:val="20"/>
          <w:szCs w:val="20"/>
        </w:rPr>
        <w:t xml:space="preserve">s </w:t>
      </w:r>
    </w:p>
    <w:p w14:paraId="12E3EC03" w14:textId="77777777" w:rsidR="00000000" w:rsidRDefault="001A570A">
      <w:pPr>
        <w:ind w:firstLine="450"/>
        <w:divId w:val="133329254"/>
        <w:rPr>
          <w:rFonts w:eastAsia="Times New Roman"/>
        </w:rPr>
      </w:pPr>
      <w:r>
        <w:rPr>
          <w:rFonts w:eastAsia="Times New Roman"/>
          <w:color w:val="000000"/>
          <w:sz w:val="20"/>
          <w:szCs w:val="20"/>
        </w:rPr>
        <w:t xml:space="preserve">During fiscal 2020, we made progress executing our strategy of building a technology-focused operating company and becoming a full end-to-end mission solutions prime contractor to drive shareholder value. Despite impacts from COVID to our </w:t>
      </w:r>
    </w:p>
    <w:p w14:paraId="4CE1E616" w14:textId="77777777" w:rsidR="00000000" w:rsidRDefault="001A570A">
      <w:pPr>
        <w:ind w:firstLine="450"/>
        <w:jc w:val="center"/>
        <w:divId w:val="112721971"/>
        <w:rPr>
          <w:rFonts w:eastAsia="Times New Roman"/>
        </w:rPr>
      </w:pPr>
      <w:r>
        <w:rPr>
          <w:rFonts w:eastAsia="Times New Roman"/>
          <w:color w:val="000000"/>
          <w:sz w:val="20"/>
          <w:szCs w:val="20"/>
        </w:rPr>
        <w:t>35</w:t>
      </w:r>
    </w:p>
    <w:p w14:paraId="1144C046" w14:textId="77777777" w:rsidR="00000000" w:rsidRDefault="001A570A">
      <w:pPr>
        <w:rPr>
          <w:rFonts w:eastAsia="Times New Roman"/>
        </w:rPr>
      </w:pPr>
      <w:r>
        <w:rPr>
          <w:rFonts w:eastAsia="Times New Roman"/>
        </w:rPr>
        <w:pict w14:anchorId="09DDAB2E">
          <v:rect id="_x0000_i1063" style="width:0;height:1.5pt" o:hralign="center" o:hrstd="t" o:hr="t" fillcolor="#a0a0a0" stroked="f"/>
        </w:pict>
      </w:r>
    </w:p>
    <w:p w14:paraId="1590EE96" w14:textId="77777777" w:rsidR="00000000" w:rsidRDefault="001A570A">
      <w:pPr>
        <w:ind w:firstLine="450"/>
        <w:divId w:val="2014605738"/>
        <w:rPr>
          <w:rFonts w:eastAsia="Times New Roman"/>
        </w:rPr>
      </w:pPr>
    </w:p>
    <w:p w14:paraId="741DA9F6" w14:textId="77777777" w:rsidR="00000000" w:rsidRDefault="001A570A">
      <w:pPr>
        <w:divId w:val="1772317372"/>
        <w:rPr>
          <w:rFonts w:eastAsia="Times New Roman"/>
        </w:rPr>
      </w:pPr>
      <w:r>
        <w:rPr>
          <w:rFonts w:eastAsia="Times New Roman"/>
          <w:color w:val="000000"/>
          <w:sz w:val="20"/>
          <w:szCs w:val="20"/>
        </w:rPr>
        <w:t>commercial aviation and public safety businesses, we met customer commitments, delivered organic revenue growth in our core U.S. Government and international businesses on a pro forma (as defined below in this MD&amp;A) basis, advance</w:t>
      </w:r>
      <w:r>
        <w:rPr>
          <w:rFonts w:eastAsia="Times New Roman"/>
          <w:color w:val="000000"/>
          <w:sz w:val="20"/>
          <w:szCs w:val="20"/>
        </w:rPr>
        <w:t xml:space="preserve">d the integration and made progress on portfolio shaping, while increasing our focus on keeping our employees safe. </w:t>
      </w:r>
    </w:p>
    <w:p w14:paraId="310E286C" w14:textId="77777777" w:rsidR="00000000" w:rsidRDefault="001A570A">
      <w:pPr>
        <w:ind w:firstLine="450"/>
        <w:divId w:val="1323856568"/>
        <w:rPr>
          <w:rFonts w:eastAsia="Times New Roman"/>
        </w:rPr>
      </w:pPr>
      <w:r>
        <w:rPr>
          <w:rFonts w:eastAsia="Times New Roman"/>
          <w:color w:val="000000"/>
          <w:sz w:val="20"/>
          <w:szCs w:val="20"/>
        </w:rPr>
        <w:t>We received several key strategic contract awards in fiscal 2020, establishing us as a mission solutions prime contractor with our responsi</w:t>
      </w:r>
      <w:r>
        <w:rPr>
          <w:rFonts w:eastAsia="Times New Roman"/>
          <w:color w:val="000000"/>
          <w:sz w:val="20"/>
          <w:szCs w:val="20"/>
        </w:rPr>
        <w:t>ve satellites and unmanned surface vehicles and within missile defense, as well as highlighting our technology and solutions for the contested environments our customers will need to compete and operate in in the future. We also invested $684 million (4 pe</w:t>
      </w:r>
      <w:r>
        <w:rPr>
          <w:rFonts w:eastAsia="Times New Roman"/>
          <w:color w:val="000000"/>
          <w:sz w:val="20"/>
          <w:szCs w:val="20"/>
        </w:rPr>
        <w:t>rcent of total revenue) in company-sponsored R&amp;D focused on technologies that expand our capabilities in the following areas:</w:t>
      </w:r>
    </w:p>
    <w:p w14:paraId="07317A00" w14:textId="77777777" w:rsidR="00000000" w:rsidRDefault="001A570A">
      <w:pPr>
        <w:ind w:hanging="360"/>
        <w:divId w:val="970137941"/>
        <w:rPr>
          <w:rFonts w:eastAsia="Times New Roman"/>
        </w:rPr>
      </w:pPr>
      <w:r>
        <w:rPr>
          <w:rFonts w:eastAsia="Times New Roman"/>
          <w:color w:val="000000"/>
          <w:sz w:val="20"/>
          <w:szCs w:val="20"/>
        </w:rPr>
        <w:t>•Open systems architecture;</w:t>
      </w:r>
    </w:p>
    <w:p w14:paraId="1021FF69" w14:textId="77777777" w:rsidR="00000000" w:rsidRDefault="001A570A">
      <w:pPr>
        <w:ind w:hanging="360"/>
        <w:divId w:val="1562986235"/>
        <w:rPr>
          <w:rFonts w:eastAsia="Times New Roman"/>
        </w:rPr>
      </w:pPr>
      <w:r>
        <w:rPr>
          <w:rFonts w:eastAsia="Times New Roman"/>
          <w:color w:val="000000"/>
          <w:sz w:val="20"/>
          <w:szCs w:val="20"/>
        </w:rPr>
        <w:t xml:space="preserve">•Multi-function system capabilities; and </w:t>
      </w:r>
    </w:p>
    <w:p w14:paraId="03501579" w14:textId="77777777" w:rsidR="00000000" w:rsidRDefault="001A570A">
      <w:pPr>
        <w:ind w:hanging="360"/>
        <w:divId w:val="496464821"/>
        <w:rPr>
          <w:rFonts w:eastAsia="Times New Roman"/>
        </w:rPr>
      </w:pPr>
      <w:r>
        <w:rPr>
          <w:rFonts w:eastAsia="Times New Roman"/>
          <w:color w:val="000000"/>
          <w:sz w:val="20"/>
          <w:szCs w:val="20"/>
        </w:rPr>
        <w:t>•Software-defined solutions.</w:t>
      </w:r>
    </w:p>
    <w:p w14:paraId="32546A85" w14:textId="77777777" w:rsidR="00000000" w:rsidRDefault="001A570A">
      <w:pPr>
        <w:ind w:firstLine="450"/>
        <w:divId w:val="358362886"/>
        <w:rPr>
          <w:rFonts w:eastAsia="Times New Roman"/>
        </w:rPr>
      </w:pPr>
      <w:r>
        <w:rPr>
          <w:rFonts w:eastAsia="Times New Roman"/>
          <w:color w:val="000000"/>
          <w:sz w:val="20"/>
          <w:szCs w:val="20"/>
        </w:rPr>
        <w:t>We also made progress during th</w:t>
      </w:r>
      <w:r>
        <w:rPr>
          <w:rFonts w:eastAsia="Times New Roman"/>
          <w:color w:val="000000"/>
          <w:sz w:val="20"/>
          <w:szCs w:val="20"/>
        </w:rPr>
        <w:t xml:space="preserve">e fiscal year reshaping our portfolio to focus on technology-differentiated businesses, completing three divestitures, and used the proceeds along with our net cash provided by operating activities to repurchase shares of our common stock. In addition, we </w:t>
      </w:r>
      <w:r>
        <w:rPr>
          <w:rFonts w:eastAsia="Times New Roman"/>
          <w:color w:val="000000"/>
          <w:sz w:val="20"/>
          <w:szCs w:val="20"/>
        </w:rPr>
        <w:t xml:space="preserve">refinanced debt and expanded our future financial flexibility. </w:t>
      </w:r>
    </w:p>
    <w:p w14:paraId="6B87468F" w14:textId="77777777" w:rsidR="00000000" w:rsidRDefault="001A570A">
      <w:pPr>
        <w:ind w:firstLine="450"/>
        <w:divId w:val="41105206"/>
        <w:rPr>
          <w:rFonts w:eastAsia="Times New Roman"/>
        </w:rPr>
      </w:pPr>
      <w:r>
        <w:rPr>
          <w:rFonts w:eastAsia="Times New Roman"/>
          <w:color w:val="000000"/>
          <w:sz w:val="20"/>
          <w:szCs w:val="20"/>
        </w:rPr>
        <w:t>We plan to build on our fiscal 2020 momentum, and together with broad programs support across key areas in the DoD budget, expected international growth and L3Harris Merger synergies and a con</w:t>
      </w:r>
      <w:r>
        <w:rPr>
          <w:rFonts w:eastAsia="Times New Roman"/>
          <w:color w:val="000000"/>
          <w:sz w:val="20"/>
          <w:szCs w:val="20"/>
        </w:rPr>
        <w:t xml:space="preserve">tinued focus on operational excellence and innovation, we believe we are well positioned to achieve our strategic priorities for fiscal 2021 and thereafter, which include the following: </w:t>
      </w:r>
    </w:p>
    <w:p w14:paraId="3FAACF6A" w14:textId="77777777" w:rsidR="00000000" w:rsidRDefault="001A570A">
      <w:pPr>
        <w:ind w:hanging="360"/>
        <w:divId w:val="921648219"/>
        <w:rPr>
          <w:rFonts w:eastAsia="Times New Roman"/>
        </w:rPr>
      </w:pPr>
      <w:r>
        <w:rPr>
          <w:rFonts w:eastAsia="Times New Roman"/>
          <w:color w:val="000000"/>
          <w:sz w:val="20"/>
          <w:szCs w:val="20"/>
        </w:rPr>
        <w:t>•Growing revenue through investments in R&amp;D in high growth, high marg</w:t>
      </w:r>
      <w:r>
        <w:rPr>
          <w:rFonts w:eastAsia="Times New Roman"/>
          <w:color w:val="000000"/>
          <w:sz w:val="20"/>
          <w:szCs w:val="20"/>
        </w:rPr>
        <w:t>in areas where technology is a key differentiator to address our customers’ most critical challenges;</w:t>
      </w:r>
    </w:p>
    <w:p w14:paraId="16E3EBE7" w14:textId="77777777" w:rsidR="00000000" w:rsidRDefault="001A570A">
      <w:pPr>
        <w:ind w:hanging="360"/>
        <w:divId w:val="5981043"/>
        <w:rPr>
          <w:rFonts w:eastAsia="Times New Roman"/>
        </w:rPr>
      </w:pPr>
      <w:r>
        <w:rPr>
          <w:rFonts w:eastAsia="Times New Roman"/>
          <w:color w:val="000000"/>
          <w:sz w:val="20"/>
          <w:szCs w:val="20"/>
        </w:rPr>
        <w:t>•Executing seamless integration and achieving at least $320 million to $350 million in net cost synergies from the L3Harris Merger by the end of 2021;</w:t>
      </w:r>
    </w:p>
    <w:p w14:paraId="40DDC0F4" w14:textId="77777777" w:rsidR="00000000" w:rsidRDefault="001A570A">
      <w:pPr>
        <w:ind w:hanging="360"/>
        <w:divId w:val="1047416597"/>
        <w:rPr>
          <w:rFonts w:eastAsia="Times New Roman"/>
        </w:rPr>
      </w:pPr>
      <w:r>
        <w:rPr>
          <w:rFonts w:eastAsia="Times New Roman"/>
          <w:color w:val="000000"/>
          <w:sz w:val="20"/>
          <w:szCs w:val="20"/>
        </w:rPr>
        <w:t>•Dr</w:t>
      </w:r>
      <w:r>
        <w:rPr>
          <w:rFonts w:eastAsia="Times New Roman"/>
          <w:color w:val="000000"/>
          <w:sz w:val="20"/>
          <w:szCs w:val="20"/>
        </w:rPr>
        <w:t>iving flawless execution and margin expansion through our e3 (excellence, everywhere, every day) operational excellence program;</w:t>
      </w:r>
    </w:p>
    <w:p w14:paraId="164027C9" w14:textId="77777777" w:rsidR="00000000" w:rsidRDefault="001A570A">
      <w:pPr>
        <w:ind w:hanging="360"/>
        <w:divId w:val="1899707023"/>
        <w:rPr>
          <w:rFonts w:eastAsia="Times New Roman"/>
        </w:rPr>
      </w:pPr>
      <w:r>
        <w:rPr>
          <w:rFonts w:eastAsia="Times New Roman"/>
          <w:color w:val="000000"/>
          <w:sz w:val="20"/>
          <w:szCs w:val="20"/>
        </w:rPr>
        <w:t>•Reshaping our business portfolio to focus on high margin, high growth businesses; and</w:t>
      </w:r>
    </w:p>
    <w:p w14:paraId="36430703" w14:textId="77777777" w:rsidR="00000000" w:rsidRDefault="001A570A">
      <w:pPr>
        <w:ind w:hanging="360"/>
        <w:divId w:val="391275358"/>
        <w:rPr>
          <w:rFonts w:eastAsia="Times New Roman"/>
        </w:rPr>
      </w:pPr>
      <w:r>
        <w:rPr>
          <w:rFonts w:eastAsia="Times New Roman"/>
          <w:color w:val="000000"/>
          <w:sz w:val="20"/>
          <w:szCs w:val="20"/>
        </w:rPr>
        <w:t>•Maximizing cash flow with shareholder f</w:t>
      </w:r>
      <w:r>
        <w:rPr>
          <w:rFonts w:eastAsia="Times New Roman"/>
          <w:color w:val="000000"/>
          <w:sz w:val="20"/>
          <w:szCs w:val="20"/>
        </w:rPr>
        <w:t>riendly capital deployment.</w:t>
      </w:r>
    </w:p>
    <w:p w14:paraId="4470D262" w14:textId="77777777" w:rsidR="00000000" w:rsidRDefault="001A570A">
      <w:pPr>
        <w:ind w:firstLine="450"/>
        <w:divId w:val="933129801"/>
        <w:rPr>
          <w:rFonts w:eastAsia="Times New Roman"/>
        </w:rPr>
      </w:pPr>
      <w:r>
        <w:rPr>
          <w:rFonts w:eastAsia="Times New Roman"/>
          <w:color w:val="000000"/>
          <w:sz w:val="20"/>
          <w:szCs w:val="20"/>
        </w:rPr>
        <w:t>During fiscal 2020, we returned to our shareholders $725 million through dividends and $2,290 million through share repurchases. On January 28, 2021, we announced that our Board of Directors approved a 20 percent increase in the</w:t>
      </w:r>
      <w:r>
        <w:rPr>
          <w:rFonts w:eastAsia="Times New Roman"/>
          <w:color w:val="000000"/>
          <w:sz w:val="20"/>
          <w:szCs w:val="20"/>
        </w:rPr>
        <w:t xml:space="preserve"> quarterly per share cash dividend rate on our common stock to $1.02, commencing with the dividend to be declared for the first quarter of 2021, for an annualized per share rate of $4.08, as well as a new $6 billion share repurchase authorization under our</w:t>
      </w:r>
      <w:r>
        <w:rPr>
          <w:rFonts w:eastAsia="Times New Roman"/>
          <w:color w:val="000000"/>
          <w:sz w:val="20"/>
          <w:szCs w:val="20"/>
        </w:rPr>
        <w:t xml:space="preserve"> repurchase program that was in addition to the remaining unused authorization of $210 million, for a total unused authorization of $6.2 billion. In fiscal 2021, we believe revenue growth across our business segments and margin expansion will improve our o</w:t>
      </w:r>
      <w:r>
        <w:rPr>
          <w:rFonts w:eastAsia="Times New Roman"/>
          <w:color w:val="000000"/>
          <w:sz w:val="20"/>
          <w:szCs w:val="20"/>
        </w:rPr>
        <w:t xml:space="preserve">perating cash flow, which we expect to use for investments in technology and innovation, dividends and share repurchases. </w:t>
      </w:r>
    </w:p>
    <w:p w14:paraId="3743E0B4" w14:textId="77777777" w:rsidR="00000000" w:rsidRDefault="001A570A">
      <w:pPr>
        <w:ind w:firstLine="450"/>
        <w:divId w:val="304431823"/>
        <w:rPr>
          <w:rFonts w:eastAsia="Times New Roman"/>
        </w:rPr>
      </w:pPr>
      <w:r>
        <w:rPr>
          <w:rFonts w:eastAsia="Times New Roman"/>
          <w:color w:val="000000"/>
          <w:sz w:val="20"/>
          <w:szCs w:val="20"/>
        </w:rPr>
        <w:t xml:space="preserve">Beyond fiscal 2020, we expect three main building blocks will support growth over the next three to five years, although we can give </w:t>
      </w:r>
      <w:r>
        <w:rPr>
          <w:rFonts w:eastAsia="Times New Roman"/>
          <w:color w:val="000000"/>
          <w:sz w:val="20"/>
          <w:szCs w:val="20"/>
        </w:rPr>
        <w:t>no assurances on this subject. First, we have a portfolio that is well aligned with national security priorities for threats identified in the National Defense Strategy. We have realigned our R&amp;D efforts to extend our position through investments in open a</w:t>
      </w:r>
      <w:r>
        <w:rPr>
          <w:rFonts w:eastAsia="Times New Roman"/>
          <w:color w:val="000000"/>
          <w:sz w:val="20"/>
          <w:szCs w:val="20"/>
        </w:rPr>
        <w:t>rchitecture, multi-function software-defined technologies and we anticipate future defense budgets will continue to prioritize spending in the areas in which we are currently well-positioned and investing in technology. Second, we uniquely benefit from the</w:t>
      </w:r>
      <w:r>
        <w:rPr>
          <w:rFonts w:eastAsia="Times New Roman"/>
          <w:color w:val="000000"/>
          <w:sz w:val="20"/>
          <w:szCs w:val="20"/>
        </w:rPr>
        <w:t xml:space="preserve"> revenue synergy opportunities created by the L3Harris Merger expanding our addressable market. Third, we expect to leverage our sales channels and capitalize on our strengths domestically to support global modernization efforts and drive growth in interna</w:t>
      </w:r>
      <w:r>
        <w:rPr>
          <w:rFonts w:eastAsia="Times New Roman"/>
          <w:color w:val="000000"/>
          <w:sz w:val="20"/>
          <w:szCs w:val="20"/>
        </w:rPr>
        <w:t>tional revenue.</w:t>
      </w:r>
    </w:p>
    <w:p w14:paraId="421030D5" w14:textId="77777777" w:rsidR="00000000" w:rsidRDefault="001A570A">
      <w:pPr>
        <w:divId w:val="691960417"/>
        <w:rPr>
          <w:rFonts w:eastAsia="Times New Roman"/>
        </w:rPr>
      </w:pPr>
      <w:r>
        <w:rPr>
          <w:rFonts w:eastAsia="Times New Roman"/>
          <w:b/>
          <w:bCs/>
          <w:color w:val="000000"/>
          <w:sz w:val="20"/>
          <w:szCs w:val="20"/>
        </w:rPr>
        <w:t>Key Indicators</w:t>
      </w:r>
    </w:p>
    <w:p w14:paraId="022E343F" w14:textId="77777777" w:rsidR="00000000" w:rsidRDefault="001A570A">
      <w:pPr>
        <w:ind w:firstLine="495"/>
        <w:divId w:val="2124154151"/>
        <w:rPr>
          <w:rFonts w:eastAsia="Times New Roman"/>
        </w:rPr>
      </w:pPr>
      <w:r>
        <w:rPr>
          <w:rFonts w:eastAsia="Times New Roman"/>
          <w:color w:val="000000"/>
          <w:sz w:val="20"/>
          <w:szCs w:val="20"/>
        </w:rPr>
        <w:t xml:space="preserve">We believe our value drivers, when implemented, will improve our financial results, including: revenue; income from continuing operations and income from continuing operations per diluted common share; income from continuing </w:t>
      </w:r>
      <w:r>
        <w:rPr>
          <w:rFonts w:eastAsia="Times New Roman"/>
          <w:color w:val="000000"/>
          <w:sz w:val="20"/>
          <w:szCs w:val="20"/>
        </w:rPr>
        <w:t>operations as a percentage of revenue; total backlog; net cash provided by operating activities; return on invested capital (defined as after-tax operating income from continuing operations divided by the two-point average of invested capital at the beginn</w:t>
      </w:r>
      <w:r>
        <w:rPr>
          <w:rFonts w:eastAsia="Times New Roman"/>
          <w:color w:val="000000"/>
          <w:sz w:val="20"/>
          <w:szCs w:val="20"/>
        </w:rPr>
        <w:t>ing and end of the period, where invested capital equals equity plus debt, less cash and cash equivalents); return on average equity (defined as income from continuing operations divided by the two-point average of equity at the beginning and end of the fi</w:t>
      </w:r>
      <w:r>
        <w:rPr>
          <w:rFonts w:eastAsia="Times New Roman"/>
          <w:color w:val="000000"/>
          <w:sz w:val="20"/>
          <w:szCs w:val="20"/>
        </w:rPr>
        <w:t xml:space="preserve">scal period); and consolidated total indebtedness to total capital ratio. The measure of our success is reflected in our results of operations and liquidity and capital resources key indicators as discussed below. </w:t>
      </w:r>
    </w:p>
    <w:p w14:paraId="419718B2" w14:textId="77777777" w:rsidR="00000000" w:rsidRDefault="001A570A">
      <w:pPr>
        <w:ind w:firstLine="450"/>
        <w:divId w:val="555093198"/>
        <w:rPr>
          <w:rFonts w:eastAsia="Times New Roman"/>
        </w:rPr>
      </w:pPr>
      <w:r>
        <w:rPr>
          <w:rFonts w:eastAsia="Times New Roman"/>
          <w:color w:val="000000"/>
          <w:sz w:val="20"/>
          <w:szCs w:val="20"/>
        </w:rPr>
        <w:t>Because of the L3Harris Merger, fiscal 20</w:t>
      </w:r>
      <w:r>
        <w:rPr>
          <w:rFonts w:eastAsia="Times New Roman"/>
          <w:color w:val="000000"/>
          <w:sz w:val="20"/>
          <w:szCs w:val="20"/>
        </w:rPr>
        <w:t>20 reflects the results of the combined Company, while the four quarters ended January 3, 2020 reflect the results of only Harris operating businesses for the two quarters ended June 28, 2019 and the results of the combined Company for the two quarters end</w:t>
      </w:r>
      <w:r>
        <w:rPr>
          <w:rFonts w:eastAsia="Times New Roman"/>
          <w:color w:val="000000"/>
          <w:sz w:val="20"/>
          <w:szCs w:val="20"/>
        </w:rPr>
        <w:t xml:space="preserve">ed January 3, 2020. Due to the significance of the L3 operating businesses included in the combined Company results following the L3Harris Merger, the reported results for fiscal 2020 and four quarters </w:t>
      </w:r>
    </w:p>
    <w:p w14:paraId="5C9B4D44" w14:textId="77777777" w:rsidR="00000000" w:rsidRDefault="001A570A">
      <w:pPr>
        <w:ind w:firstLine="450"/>
        <w:jc w:val="center"/>
        <w:divId w:val="1364210297"/>
        <w:rPr>
          <w:rFonts w:eastAsia="Times New Roman"/>
        </w:rPr>
      </w:pPr>
      <w:r>
        <w:rPr>
          <w:rFonts w:eastAsia="Times New Roman"/>
          <w:color w:val="000000"/>
          <w:sz w:val="20"/>
          <w:szCs w:val="20"/>
        </w:rPr>
        <w:t>36</w:t>
      </w:r>
    </w:p>
    <w:p w14:paraId="4CF00A0F" w14:textId="77777777" w:rsidR="00000000" w:rsidRDefault="001A570A">
      <w:pPr>
        <w:rPr>
          <w:rFonts w:eastAsia="Times New Roman"/>
        </w:rPr>
      </w:pPr>
      <w:r>
        <w:rPr>
          <w:rFonts w:eastAsia="Times New Roman"/>
        </w:rPr>
        <w:pict w14:anchorId="17FCCB92">
          <v:rect id="_x0000_i1064" style="width:0;height:1.5pt" o:hralign="center" o:hrstd="t" o:hr="t" fillcolor="#a0a0a0" stroked="f"/>
        </w:pict>
      </w:r>
    </w:p>
    <w:p w14:paraId="2FBED1EB" w14:textId="77777777" w:rsidR="00000000" w:rsidRDefault="001A570A">
      <w:pPr>
        <w:ind w:firstLine="450"/>
        <w:divId w:val="322391310"/>
        <w:rPr>
          <w:rFonts w:eastAsia="Times New Roman"/>
        </w:rPr>
      </w:pPr>
    </w:p>
    <w:p w14:paraId="4687F080" w14:textId="77777777" w:rsidR="00000000" w:rsidRDefault="001A570A">
      <w:pPr>
        <w:divId w:val="180362202"/>
        <w:rPr>
          <w:rFonts w:eastAsia="Times New Roman"/>
        </w:rPr>
      </w:pPr>
      <w:r>
        <w:rPr>
          <w:rFonts w:eastAsia="Times New Roman"/>
          <w:color w:val="000000"/>
          <w:sz w:val="20"/>
          <w:szCs w:val="20"/>
        </w:rPr>
        <w:t>ended Januar</w:t>
      </w:r>
      <w:r>
        <w:rPr>
          <w:rFonts w:eastAsia="Times New Roman"/>
          <w:color w:val="000000"/>
          <w:sz w:val="20"/>
          <w:szCs w:val="20"/>
        </w:rPr>
        <w:t>y 3, 2020 generally are not comparable. Therefore, to assist with a discussion of the consolidated results of operations for fiscal 2020 and four quarters ended January 3, 2020 on a more comparable basis, certain supplemental unaudited pro forma combined i</w:t>
      </w:r>
      <w:r>
        <w:rPr>
          <w:rFonts w:eastAsia="Times New Roman"/>
          <w:color w:val="000000"/>
          <w:sz w:val="20"/>
          <w:szCs w:val="20"/>
        </w:rPr>
        <w:t>ncome statement information prepared in accordance with the requirements of Article 11 of Regulation S-X (referred to in this MD&amp;A as “pro forma”) also is provided (see “Supplemental Unaudited Pro Forma Condensed Combined Income Statement Information” belo</w:t>
      </w:r>
      <w:r>
        <w:rPr>
          <w:rFonts w:eastAsia="Times New Roman"/>
          <w:color w:val="000000"/>
          <w:sz w:val="20"/>
          <w:szCs w:val="20"/>
        </w:rPr>
        <w:t>w in this MD&amp;A).</w:t>
      </w:r>
    </w:p>
    <w:p w14:paraId="682226F4" w14:textId="77777777" w:rsidR="00000000" w:rsidRDefault="001A570A">
      <w:pPr>
        <w:ind w:firstLine="450"/>
        <w:divId w:val="19550233"/>
        <w:rPr>
          <w:rFonts w:eastAsia="Times New Roman"/>
        </w:rPr>
      </w:pPr>
      <w:r>
        <w:rPr>
          <w:rFonts w:eastAsia="Times New Roman"/>
          <w:b/>
          <w:bCs/>
          <w:i/>
          <w:iCs/>
          <w:color w:val="000000"/>
          <w:sz w:val="20"/>
          <w:szCs w:val="20"/>
        </w:rPr>
        <w:t>Fiscal 2020 Results of Operations Key Indicators:</w:t>
      </w:r>
      <w:r>
        <w:rPr>
          <w:rFonts w:eastAsia="Times New Roman"/>
          <w:color w:val="000000"/>
          <w:sz w:val="20"/>
          <w:szCs w:val="20"/>
        </w:rPr>
        <w:t> Revenue, income from continuing operations, income from continuing operations as a percentage of revenue, income from continuing operations per diluted common share and total backlog repres</w:t>
      </w:r>
      <w:r>
        <w:rPr>
          <w:rFonts w:eastAsia="Times New Roman"/>
          <w:color w:val="000000"/>
          <w:sz w:val="20"/>
          <w:szCs w:val="20"/>
        </w:rPr>
        <w:t>ent key measurements of our value drivers:</w:t>
      </w:r>
    </w:p>
    <w:p w14:paraId="013D5149" w14:textId="77777777" w:rsidR="00000000" w:rsidRDefault="001A570A">
      <w:pPr>
        <w:divId w:val="1863788443"/>
        <w:rPr>
          <w:rFonts w:eastAsia="Times New Roman"/>
        </w:rPr>
      </w:pPr>
      <w:r>
        <w:rPr>
          <w:rFonts w:eastAsia="Times New Roman"/>
          <w:b/>
          <w:bCs/>
          <w:color w:val="000000"/>
          <w:sz w:val="20"/>
          <w:szCs w:val="20"/>
        </w:rPr>
        <w:t>Consolidated — as reported</w:t>
      </w:r>
    </w:p>
    <w:p w14:paraId="28640D8D" w14:textId="77777777" w:rsidR="00000000" w:rsidRDefault="001A570A">
      <w:pPr>
        <w:ind w:hanging="360"/>
        <w:divId w:val="1938711071"/>
        <w:rPr>
          <w:rFonts w:eastAsia="Times New Roman"/>
        </w:rPr>
      </w:pPr>
      <w:r>
        <w:rPr>
          <w:rFonts w:eastAsia="Times New Roman"/>
          <w:i/>
          <w:iCs/>
          <w:color w:val="000000"/>
          <w:sz w:val="20"/>
          <w:szCs w:val="20"/>
        </w:rPr>
        <w:t>•</w:t>
      </w:r>
      <w:r>
        <w:rPr>
          <w:rFonts w:eastAsia="Times New Roman"/>
          <w:color w:val="000000"/>
          <w:sz w:val="20"/>
          <w:szCs w:val="20"/>
        </w:rPr>
        <w:t>Revenue increased 42 percent to $18.2 billion in fiscal 2020 from $12.9 billion in the four quarters ended January 3, 2020 primarily due to the inclusion of $5.5 billion of revenue (net of intercompany sales eliminations) from L3 operations in operating re</w:t>
      </w:r>
      <w:r>
        <w:rPr>
          <w:rFonts w:eastAsia="Times New Roman"/>
          <w:color w:val="000000"/>
          <w:sz w:val="20"/>
          <w:szCs w:val="20"/>
        </w:rPr>
        <w:t>sults for the two quarters ended July 3, 2020 (but not for the comparable prior-year two quarters preceding the L3Harris Merger);</w:t>
      </w:r>
    </w:p>
    <w:p w14:paraId="21689E43" w14:textId="77777777" w:rsidR="00000000" w:rsidRDefault="001A570A">
      <w:pPr>
        <w:ind w:hanging="360"/>
        <w:divId w:val="1762408908"/>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Income from continuing operations attributable to L3Harris common shareholders decreased 16 percent to $1,121 million in fiscal 2020 from $1,335 million in the four quarters ended January 3, 2020, primarily due to the combined effects of the reasons discus</w:t>
      </w:r>
      <w:r>
        <w:rPr>
          <w:rFonts w:eastAsia="Times New Roman"/>
          <w:color w:val="000000"/>
          <w:sz w:val="20"/>
          <w:szCs w:val="20"/>
        </w:rPr>
        <w:t>sed below on an as reported basis, particularly the non-cash charges for impairment of goodwill and other assets associated with the COVID-related downturn in the commercial aviation market and its impact on customer operations in fiscal 2020;</w:t>
      </w:r>
    </w:p>
    <w:p w14:paraId="458C2C9F" w14:textId="77777777" w:rsidR="00000000" w:rsidRDefault="001A570A">
      <w:pPr>
        <w:ind w:hanging="360"/>
        <w:divId w:val="1721787464"/>
        <w:rPr>
          <w:rFonts w:eastAsia="Times New Roman"/>
        </w:rPr>
      </w:pPr>
      <w:r>
        <w:rPr>
          <w:rFonts w:eastAsia="Times New Roman"/>
          <w:color w:val="000000"/>
          <w:sz w:val="20"/>
          <w:szCs w:val="20"/>
        </w:rPr>
        <w:t>•Income from</w:t>
      </w:r>
      <w:r>
        <w:rPr>
          <w:rFonts w:eastAsia="Times New Roman"/>
          <w:color w:val="000000"/>
          <w:sz w:val="20"/>
          <w:szCs w:val="20"/>
        </w:rPr>
        <w:t xml:space="preserve"> continuing operations attributable to L3Harris common shareholders as a percentage of revenue decreased to 6 percent in fiscal 2020 from 10 percent in the four quarters ended January 3, 2020; </w:t>
      </w:r>
    </w:p>
    <w:p w14:paraId="2D989B67" w14:textId="77777777" w:rsidR="00000000" w:rsidRDefault="001A570A">
      <w:pPr>
        <w:ind w:hanging="360"/>
        <w:divId w:val="1359425907"/>
        <w:rPr>
          <w:rFonts w:eastAsia="Times New Roman"/>
        </w:rPr>
      </w:pPr>
      <w:r>
        <w:rPr>
          <w:rFonts w:eastAsia="Times New Roman"/>
          <w:color w:val="000000"/>
          <w:sz w:val="20"/>
          <w:szCs w:val="20"/>
        </w:rPr>
        <w:t>•Income from continuing operations per diluted common share at</w:t>
      </w:r>
      <w:r>
        <w:rPr>
          <w:rFonts w:eastAsia="Times New Roman"/>
          <w:color w:val="000000"/>
          <w:sz w:val="20"/>
          <w:szCs w:val="20"/>
        </w:rPr>
        <w:t>tributable to L3Harris common shareholders decreased 34 percent to $5.19 in fiscal 2020 from $7.90 in the four quarters ended January 3, 2020, reflecting the decrease in income from continuing operations as noted above and higher weighted average diluted c</w:t>
      </w:r>
      <w:r>
        <w:rPr>
          <w:rFonts w:eastAsia="Times New Roman"/>
          <w:color w:val="000000"/>
          <w:sz w:val="20"/>
          <w:szCs w:val="20"/>
        </w:rPr>
        <w:t>ommon shares outstanding due to 104 million shares issued in connection with the L3Harris Merger on June 29, 2019, partially offset by share repurchases during fiscal 2020; and</w:t>
      </w:r>
    </w:p>
    <w:p w14:paraId="528E9316" w14:textId="77777777" w:rsidR="00000000" w:rsidRDefault="001A570A">
      <w:pPr>
        <w:ind w:hanging="360"/>
        <w:divId w:val="404954796"/>
        <w:rPr>
          <w:rFonts w:eastAsia="Times New Roman"/>
        </w:rPr>
      </w:pPr>
      <w:r>
        <w:rPr>
          <w:rFonts w:eastAsia="Times New Roman"/>
          <w:color w:val="000000"/>
          <w:sz w:val="20"/>
          <w:szCs w:val="20"/>
        </w:rPr>
        <w:t>•Total backlog increased 5 percent to $21.7 billion at January 1, 2021 from $20</w:t>
      </w:r>
      <w:r>
        <w:rPr>
          <w:rFonts w:eastAsia="Times New Roman"/>
          <w:color w:val="000000"/>
          <w:sz w:val="20"/>
          <w:szCs w:val="20"/>
        </w:rPr>
        <w:t>.6 billion at January 3, 2020. Backlog at January 3, 2020 included $405 million associated with businesses divested in fiscal 2020, including $380 million of backlog associated with the airport security and automation business divested during the quarter e</w:t>
      </w:r>
      <w:r>
        <w:rPr>
          <w:rFonts w:eastAsia="Times New Roman"/>
          <w:color w:val="000000"/>
          <w:sz w:val="20"/>
          <w:szCs w:val="20"/>
        </w:rPr>
        <w:t>nded July 3, 2020.</w:t>
      </w:r>
    </w:p>
    <w:p w14:paraId="42AD9692" w14:textId="77777777" w:rsidR="00000000" w:rsidRDefault="001A570A">
      <w:pPr>
        <w:divId w:val="1319923772"/>
        <w:rPr>
          <w:rFonts w:eastAsia="Times New Roman"/>
        </w:rPr>
      </w:pPr>
      <w:r>
        <w:rPr>
          <w:rFonts w:eastAsia="Times New Roman"/>
          <w:b/>
          <w:bCs/>
          <w:color w:val="000000"/>
          <w:sz w:val="20"/>
          <w:szCs w:val="20"/>
        </w:rPr>
        <w:t>Consolidated — pro forma</w:t>
      </w:r>
    </w:p>
    <w:p w14:paraId="1876483E" w14:textId="77777777" w:rsidR="00000000" w:rsidRDefault="001A570A">
      <w:pPr>
        <w:ind w:hanging="360"/>
        <w:divId w:val="1652324997"/>
        <w:rPr>
          <w:rFonts w:eastAsia="Times New Roman"/>
        </w:rPr>
      </w:pPr>
      <w:r>
        <w:rPr>
          <w:rFonts w:eastAsia="Times New Roman"/>
          <w:b/>
          <w:bCs/>
          <w:i/>
          <w:iCs/>
          <w:color w:val="000000"/>
          <w:sz w:val="20"/>
          <w:szCs w:val="20"/>
        </w:rPr>
        <w:t>•</w:t>
      </w:r>
      <w:r>
        <w:rPr>
          <w:rFonts w:eastAsia="Times New Roman"/>
          <w:color w:val="000000"/>
          <w:sz w:val="20"/>
          <w:szCs w:val="20"/>
        </w:rPr>
        <w:t>Revenue increased 1 percent to $18.2 billion in fiscal 2020 from $18.1 billion in the four quarters ended January 3, 2020 primarily due to growth in core U.S. and international businesses, mostly offset by dives</w:t>
      </w:r>
      <w:r>
        <w:rPr>
          <w:rFonts w:eastAsia="Times New Roman"/>
          <w:color w:val="000000"/>
          <w:sz w:val="20"/>
          <w:szCs w:val="20"/>
        </w:rPr>
        <w:t>titures and COVID-related impacts to our commercial aviation and public safety businesses;</w:t>
      </w:r>
    </w:p>
    <w:p w14:paraId="0CBE26E7" w14:textId="77777777" w:rsidR="00000000" w:rsidRDefault="001A570A">
      <w:pPr>
        <w:ind w:hanging="360"/>
        <w:divId w:val="1840003062"/>
        <w:rPr>
          <w:rFonts w:eastAsia="Times New Roman"/>
        </w:rPr>
      </w:pPr>
      <w:r>
        <w:rPr>
          <w:rFonts w:ascii="Arial" w:eastAsia="Times New Roman" w:hAnsi="Arial" w:cs="Arial"/>
          <w:b/>
          <w:bCs/>
          <w:i/>
          <w:iCs/>
          <w:color w:val="000000"/>
          <w:sz w:val="20"/>
          <w:szCs w:val="20"/>
        </w:rPr>
        <w:t>•</w:t>
      </w:r>
      <w:r>
        <w:rPr>
          <w:rFonts w:eastAsia="Times New Roman"/>
          <w:color w:val="000000"/>
          <w:sz w:val="20"/>
          <w:szCs w:val="20"/>
        </w:rPr>
        <w:t>Income from continuing operations attributable to L3Harris common shareholders decreased 31 percent to $1,121 million in fiscal 2020 from $1,628 million in the four</w:t>
      </w:r>
      <w:r>
        <w:rPr>
          <w:rFonts w:eastAsia="Times New Roman"/>
          <w:color w:val="000000"/>
          <w:sz w:val="20"/>
          <w:szCs w:val="20"/>
        </w:rPr>
        <w:t xml:space="preserve"> quarters ended January 3, 2020, primarily due to the combined effects of the reasons discussed below on a pro forma basis, particularly the non-cash charges for impairment of goodwill and other assets associated with the COVID-related downturn in the comm</w:t>
      </w:r>
      <w:r>
        <w:rPr>
          <w:rFonts w:eastAsia="Times New Roman"/>
          <w:color w:val="000000"/>
          <w:sz w:val="20"/>
          <w:szCs w:val="20"/>
        </w:rPr>
        <w:t>ercial aviation market and its impact on customer operations in fiscal 2020;</w:t>
      </w:r>
    </w:p>
    <w:p w14:paraId="75E71E1E" w14:textId="77777777" w:rsidR="00000000" w:rsidRDefault="001A570A">
      <w:pPr>
        <w:ind w:hanging="360"/>
        <w:divId w:val="1749880097"/>
        <w:rPr>
          <w:rFonts w:eastAsia="Times New Roman"/>
        </w:rPr>
      </w:pPr>
      <w:r>
        <w:rPr>
          <w:rFonts w:eastAsia="Times New Roman"/>
          <w:color w:val="000000"/>
          <w:sz w:val="20"/>
          <w:szCs w:val="20"/>
        </w:rPr>
        <w:t>•Income from continuing operations attributable to L3Harris common shareholders as a percentage of revenue decreased to 6 percent in fiscal 2020 from 9 percent in the four quarter</w:t>
      </w:r>
      <w:r>
        <w:rPr>
          <w:rFonts w:eastAsia="Times New Roman"/>
          <w:color w:val="000000"/>
          <w:sz w:val="20"/>
          <w:szCs w:val="20"/>
        </w:rPr>
        <w:t>s ended January 3, 2020;</w:t>
      </w:r>
    </w:p>
    <w:p w14:paraId="3E7B5990" w14:textId="77777777" w:rsidR="00000000" w:rsidRDefault="001A570A">
      <w:pPr>
        <w:ind w:hanging="360"/>
        <w:divId w:val="1079210771"/>
        <w:rPr>
          <w:rFonts w:eastAsia="Times New Roman"/>
        </w:rPr>
      </w:pPr>
      <w:r>
        <w:rPr>
          <w:rFonts w:eastAsia="Times New Roman"/>
          <w:color w:val="000000"/>
          <w:sz w:val="20"/>
          <w:szCs w:val="20"/>
        </w:rPr>
        <w:t>•Income from continuing operations per diluted common share attributable to L3Harris common shareholders decreased 28 percent to $5.19 in fiscal 2020 from $7.25 in the four quarters ended January 3, 2020, reflecting the decrease in</w:t>
      </w:r>
      <w:r>
        <w:rPr>
          <w:rFonts w:eastAsia="Times New Roman"/>
          <w:color w:val="000000"/>
          <w:sz w:val="20"/>
          <w:szCs w:val="20"/>
        </w:rPr>
        <w:t xml:space="preserve"> income from continuing operations as noted above, partially offset by fewer weighted average diluted common shares outstanding due to repurchases of shares of common stock under our repurchase program during fiscal 2020; and</w:t>
      </w:r>
    </w:p>
    <w:p w14:paraId="1D27BC1C" w14:textId="77777777" w:rsidR="00000000" w:rsidRDefault="001A570A">
      <w:pPr>
        <w:ind w:hanging="360"/>
        <w:divId w:val="1117870177"/>
        <w:rPr>
          <w:rFonts w:eastAsia="Times New Roman"/>
        </w:rPr>
      </w:pPr>
      <w:r>
        <w:rPr>
          <w:rFonts w:eastAsia="Times New Roman"/>
          <w:color w:val="000000"/>
          <w:sz w:val="20"/>
          <w:szCs w:val="20"/>
        </w:rPr>
        <w:t>•Total backlog increased 5 per</w:t>
      </w:r>
      <w:r>
        <w:rPr>
          <w:rFonts w:eastAsia="Times New Roman"/>
          <w:color w:val="000000"/>
          <w:sz w:val="20"/>
          <w:szCs w:val="20"/>
        </w:rPr>
        <w:t xml:space="preserve">cent to $21.7 billion at January 1, 2021 from $20.6 billion at January 3, 2020. Backlog at January 3, 2020 included $405 million associated with businesses divested in fiscal 2020, including $380 million of backlog associated with the airport security and </w:t>
      </w:r>
      <w:r>
        <w:rPr>
          <w:rFonts w:eastAsia="Times New Roman"/>
          <w:color w:val="000000"/>
          <w:sz w:val="20"/>
          <w:szCs w:val="20"/>
        </w:rPr>
        <w:t>automation business divested during the quarter ended July 3, 2020.</w:t>
      </w:r>
    </w:p>
    <w:p w14:paraId="18684D00" w14:textId="77777777" w:rsidR="00000000" w:rsidRDefault="001A570A">
      <w:pPr>
        <w:ind w:firstLine="450"/>
        <w:divId w:val="773749859"/>
        <w:rPr>
          <w:rFonts w:eastAsia="Times New Roman"/>
        </w:rPr>
      </w:pPr>
      <w:r>
        <w:rPr>
          <w:rFonts w:eastAsia="Times New Roman"/>
          <w:color w:val="000000"/>
          <w:sz w:val="20"/>
          <w:szCs w:val="20"/>
        </w:rPr>
        <w:t>Refer to MD&amp;A heading “Operations Review” below in this Report for more information.</w:t>
      </w:r>
    </w:p>
    <w:p w14:paraId="745EAFC5" w14:textId="77777777" w:rsidR="00000000" w:rsidRDefault="001A570A">
      <w:pPr>
        <w:ind w:firstLine="450"/>
        <w:divId w:val="140388780"/>
        <w:rPr>
          <w:rFonts w:eastAsia="Times New Roman"/>
        </w:rPr>
      </w:pPr>
      <w:r>
        <w:rPr>
          <w:rFonts w:eastAsia="Times New Roman"/>
          <w:b/>
          <w:bCs/>
          <w:i/>
          <w:iCs/>
          <w:color w:val="000000"/>
          <w:sz w:val="20"/>
          <w:szCs w:val="20"/>
        </w:rPr>
        <w:t>Fiscal 2020 Liquidity and Capital Resources Key Indicators:</w:t>
      </w:r>
      <w:r>
        <w:rPr>
          <w:rFonts w:eastAsia="Times New Roman"/>
          <w:color w:val="000000"/>
          <w:sz w:val="20"/>
          <w:szCs w:val="20"/>
        </w:rPr>
        <w:t xml:space="preserve"> Net cash provided by operating activities, </w:t>
      </w:r>
      <w:r>
        <w:rPr>
          <w:rFonts w:eastAsia="Times New Roman"/>
          <w:color w:val="000000"/>
          <w:sz w:val="20"/>
          <w:szCs w:val="20"/>
        </w:rPr>
        <w:t>return on invested capital, return on average equity and our consolidated total indebtedness to total capital ratio also represent key measurements of our value drivers:</w:t>
      </w:r>
    </w:p>
    <w:p w14:paraId="6F8A104D" w14:textId="77777777" w:rsidR="00000000" w:rsidRDefault="001A570A">
      <w:pPr>
        <w:ind w:firstLine="450"/>
        <w:jc w:val="center"/>
        <w:divId w:val="1186137505"/>
        <w:rPr>
          <w:rFonts w:eastAsia="Times New Roman"/>
        </w:rPr>
      </w:pPr>
      <w:r>
        <w:rPr>
          <w:rFonts w:eastAsia="Times New Roman"/>
          <w:color w:val="000000"/>
          <w:sz w:val="20"/>
          <w:szCs w:val="20"/>
        </w:rPr>
        <w:t>37</w:t>
      </w:r>
    </w:p>
    <w:p w14:paraId="1EA03E01" w14:textId="77777777" w:rsidR="00000000" w:rsidRDefault="001A570A">
      <w:pPr>
        <w:rPr>
          <w:rFonts w:eastAsia="Times New Roman"/>
        </w:rPr>
      </w:pPr>
      <w:r>
        <w:rPr>
          <w:rFonts w:eastAsia="Times New Roman"/>
        </w:rPr>
        <w:pict w14:anchorId="581A5AEE">
          <v:rect id="_x0000_i1065" style="width:0;height:1.5pt" o:hralign="center" o:hrstd="t" o:hr="t" fillcolor="#a0a0a0" stroked="f"/>
        </w:pict>
      </w:r>
    </w:p>
    <w:p w14:paraId="047772BA" w14:textId="77777777" w:rsidR="00000000" w:rsidRDefault="001A570A">
      <w:pPr>
        <w:ind w:firstLine="450"/>
        <w:divId w:val="512955993"/>
        <w:rPr>
          <w:rFonts w:eastAsia="Times New Roman"/>
        </w:rPr>
      </w:pPr>
    </w:p>
    <w:p w14:paraId="7578EC2F" w14:textId="77777777" w:rsidR="00000000" w:rsidRDefault="001A570A">
      <w:pPr>
        <w:ind w:hanging="360"/>
        <w:divId w:val="946817512"/>
        <w:rPr>
          <w:rFonts w:eastAsia="Times New Roman"/>
        </w:rPr>
      </w:pPr>
      <w:r>
        <w:rPr>
          <w:rFonts w:eastAsia="Times New Roman"/>
          <w:b/>
          <w:bCs/>
          <w:i/>
          <w:iCs/>
          <w:color w:val="000000"/>
          <w:sz w:val="20"/>
          <w:szCs w:val="20"/>
        </w:rPr>
        <w:t>•</w:t>
      </w:r>
      <w:r>
        <w:rPr>
          <w:rFonts w:eastAsia="Times New Roman"/>
          <w:color w:val="000000"/>
          <w:sz w:val="20"/>
          <w:szCs w:val="20"/>
        </w:rPr>
        <w:t>Net cash provided by operating activities i</w:t>
      </w:r>
      <w:r>
        <w:rPr>
          <w:rFonts w:eastAsia="Times New Roman"/>
          <w:color w:val="000000"/>
          <w:sz w:val="20"/>
          <w:szCs w:val="20"/>
        </w:rPr>
        <w:t>ncreased to $2,790 million in fiscal 2020 from $1,655 million in the four quarters ended January 3, 2020 reflecting the inclusion of cash flows from L3 operations following the L3Harris Merger;</w:t>
      </w:r>
    </w:p>
    <w:p w14:paraId="3B09C421" w14:textId="77777777" w:rsidR="00000000" w:rsidRDefault="001A570A">
      <w:pPr>
        <w:ind w:hanging="360"/>
        <w:divId w:val="1887065790"/>
        <w:rPr>
          <w:rFonts w:eastAsia="Times New Roman"/>
        </w:rPr>
      </w:pPr>
      <w:r>
        <w:rPr>
          <w:rFonts w:eastAsia="Times New Roman"/>
          <w:color w:val="000000"/>
          <w:sz w:val="20"/>
          <w:szCs w:val="20"/>
        </w:rPr>
        <w:t>•Return on invested capital decreased to 4 percent in fiscal 2</w:t>
      </w:r>
      <w:r>
        <w:rPr>
          <w:rFonts w:eastAsia="Times New Roman"/>
          <w:color w:val="000000"/>
          <w:sz w:val="20"/>
          <w:szCs w:val="20"/>
        </w:rPr>
        <w:t>020 from 7 percent in the four quarters ended January 3, 2020;</w:t>
      </w:r>
    </w:p>
    <w:p w14:paraId="00B605FA" w14:textId="77777777" w:rsidR="00000000" w:rsidRDefault="001A570A">
      <w:pPr>
        <w:ind w:hanging="360"/>
        <w:divId w:val="1674452710"/>
        <w:rPr>
          <w:rFonts w:eastAsia="Times New Roman"/>
        </w:rPr>
      </w:pPr>
      <w:r>
        <w:rPr>
          <w:rFonts w:eastAsia="Times New Roman"/>
          <w:color w:val="000000"/>
          <w:sz w:val="20"/>
          <w:szCs w:val="20"/>
        </w:rPr>
        <w:t>•Return on average equity decreased to 5 percent in fiscal 2020 from 10 percent in the four quarters ended January 3, 2020; and</w:t>
      </w:r>
    </w:p>
    <w:p w14:paraId="620FEF15" w14:textId="77777777" w:rsidR="00000000" w:rsidRDefault="001A570A">
      <w:pPr>
        <w:ind w:hanging="360"/>
        <w:divId w:val="1862476089"/>
        <w:rPr>
          <w:rFonts w:eastAsia="Times New Roman"/>
        </w:rPr>
      </w:pPr>
      <w:r>
        <w:rPr>
          <w:rFonts w:eastAsia="Times New Roman"/>
          <w:color w:val="000000"/>
          <w:sz w:val="20"/>
          <w:szCs w:val="20"/>
        </w:rPr>
        <w:t>•Our consolidated total indebtedness to total capital ratio at Ja</w:t>
      </w:r>
      <w:r>
        <w:rPr>
          <w:rFonts w:eastAsia="Times New Roman"/>
          <w:color w:val="000000"/>
          <w:sz w:val="20"/>
          <w:szCs w:val="20"/>
        </w:rPr>
        <w:t>nuary 1, 2021 was 25 percent, compared with our 65 percent covenant limitation under our senior unsecured revolving credit facility.</w:t>
      </w:r>
    </w:p>
    <w:p w14:paraId="1853D95E" w14:textId="77777777" w:rsidR="00000000" w:rsidRDefault="001A570A">
      <w:pPr>
        <w:ind w:firstLine="450"/>
        <w:divId w:val="598754533"/>
        <w:rPr>
          <w:rFonts w:eastAsia="Times New Roman"/>
        </w:rPr>
      </w:pPr>
      <w:r>
        <w:rPr>
          <w:rFonts w:eastAsia="Times New Roman"/>
          <w:color w:val="000000"/>
          <w:sz w:val="20"/>
          <w:szCs w:val="20"/>
        </w:rPr>
        <w:t xml:space="preserve">Refer to MD&amp;A heading “Liquidity, Capital Resources and Financial Strategies” below in this Report for more information on </w:t>
      </w:r>
      <w:r>
        <w:rPr>
          <w:rFonts w:eastAsia="Times New Roman"/>
          <w:color w:val="000000"/>
          <w:sz w:val="20"/>
          <w:szCs w:val="20"/>
        </w:rPr>
        <w:t>net cash provided by (used in) operating, investing and financing activities.</w:t>
      </w:r>
    </w:p>
    <w:p w14:paraId="63C696D4" w14:textId="77777777" w:rsidR="00000000" w:rsidRDefault="001A570A">
      <w:pPr>
        <w:ind w:firstLine="450"/>
        <w:divId w:val="525095788"/>
        <w:rPr>
          <w:rFonts w:eastAsia="Times New Roman"/>
        </w:rPr>
      </w:pPr>
      <w:r>
        <w:rPr>
          <w:rFonts w:eastAsia="Times New Roman"/>
          <w:color w:val="000000"/>
          <w:sz w:val="20"/>
          <w:szCs w:val="20"/>
        </w:rPr>
        <w:t xml:space="preserve">We also measure the success of our business using certain measures that are not defined by GAAP, such as adjusted earnings before interest and taxes, adjusted earnings per share </w:t>
      </w:r>
      <w:r>
        <w:rPr>
          <w:rFonts w:eastAsia="Times New Roman"/>
          <w:color w:val="000000"/>
          <w:sz w:val="20"/>
          <w:szCs w:val="20"/>
        </w:rPr>
        <w:t>and adjusted free cash flow, which may be calculated differently by other companies. We use these measures, along with our key indicators above, to assess the success of our business and our ability to create shareholder value. We also use some of these an</w:t>
      </w:r>
      <w:r>
        <w:rPr>
          <w:rFonts w:eastAsia="Times New Roman"/>
          <w:color w:val="000000"/>
          <w:sz w:val="20"/>
          <w:szCs w:val="20"/>
        </w:rPr>
        <w:t>d other performance metrics for executive compensation purposes.</w:t>
      </w:r>
    </w:p>
    <w:p w14:paraId="54953F3F" w14:textId="77777777" w:rsidR="00000000" w:rsidRDefault="001A570A">
      <w:pPr>
        <w:divId w:val="2064403955"/>
        <w:rPr>
          <w:rFonts w:eastAsia="Times New Roman"/>
        </w:rPr>
      </w:pPr>
      <w:r>
        <w:rPr>
          <w:rFonts w:eastAsia="Times New Roman"/>
          <w:b/>
          <w:bCs/>
          <w:color w:val="000000"/>
          <w:sz w:val="20"/>
          <w:szCs w:val="20"/>
        </w:rPr>
        <w:t xml:space="preserve">Industry-Wide Opportunities, Challenges and Risks </w:t>
      </w:r>
    </w:p>
    <w:p w14:paraId="7CA833DE" w14:textId="77777777" w:rsidR="00000000" w:rsidRDefault="001A570A">
      <w:pPr>
        <w:ind w:firstLine="450"/>
        <w:divId w:val="198325763"/>
        <w:rPr>
          <w:rFonts w:eastAsia="Times New Roman"/>
        </w:rPr>
      </w:pPr>
      <w:r>
        <w:rPr>
          <w:rFonts w:eastAsia="Times New Roman"/>
          <w:b/>
          <w:bCs/>
          <w:i/>
          <w:iCs/>
          <w:color w:val="000000"/>
          <w:sz w:val="20"/>
          <w:szCs w:val="20"/>
        </w:rPr>
        <w:t>Department of Defense and Other U.S. Federal Markets:</w:t>
      </w:r>
      <w:r>
        <w:rPr>
          <w:rFonts w:eastAsia="Times New Roman"/>
          <w:color w:val="000000"/>
          <w:sz w:val="20"/>
          <w:szCs w:val="20"/>
        </w:rPr>
        <w:t> Our largest customers are various departments and agencies of the U.S. Government — th</w:t>
      </w:r>
      <w:r>
        <w:rPr>
          <w:rFonts w:eastAsia="Times New Roman"/>
          <w:color w:val="000000"/>
          <w:sz w:val="20"/>
          <w:szCs w:val="20"/>
        </w:rPr>
        <w:t xml:space="preserve">e percentage of our revenue that was derived from sales to U.S. Government customers, including foreign military sales funded through the U.S. Government, whether directly or through prime contractors, was 78 percent, 73 percent, 77 percent and 75 percent </w:t>
      </w:r>
      <w:r>
        <w:rPr>
          <w:rFonts w:eastAsia="Times New Roman"/>
          <w:color w:val="000000"/>
          <w:sz w:val="20"/>
          <w:szCs w:val="20"/>
        </w:rPr>
        <w:t xml:space="preserve">in fiscal 2020, the two quarters ended January 3, 2020, and fiscal 2019 and 2018, respectively. </w:t>
      </w:r>
    </w:p>
    <w:p w14:paraId="5BDABFA3" w14:textId="77777777" w:rsidR="00000000" w:rsidRDefault="001A570A">
      <w:pPr>
        <w:ind w:firstLine="450"/>
        <w:divId w:val="1010909292"/>
        <w:rPr>
          <w:rFonts w:eastAsia="Times New Roman"/>
        </w:rPr>
      </w:pPr>
      <w:r>
        <w:rPr>
          <w:rFonts w:eastAsia="Times New Roman"/>
          <w:color w:val="000000"/>
          <w:sz w:val="20"/>
          <w:szCs w:val="20"/>
        </w:rPr>
        <w:t>Defense spending has been constrained by discretionary spending caps since the 2011 Budget Control Act. To appropriate funding exceeding the caps, Congress has</w:t>
      </w:r>
      <w:r>
        <w:rPr>
          <w:rFonts w:eastAsia="Times New Roman"/>
          <w:color w:val="000000"/>
          <w:sz w:val="20"/>
          <w:szCs w:val="20"/>
        </w:rPr>
        <w:t xml:space="preserve"> passed a series of two-year budget deals to raise the caps on both discretionary defense and non-defense spending. The latest two-year agreement was signed into law on August 2, 2019 by the President. The Bipartisan Budget Act of 2019 (“BBA 2019”) raised </w:t>
      </w:r>
      <w:r>
        <w:rPr>
          <w:rFonts w:eastAsia="Times New Roman"/>
          <w:color w:val="000000"/>
          <w:sz w:val="20"/>
          <w:szCs w:val="20"/>
        </w:rPr>
        <w:t>the discretionary defense caps for government fiscal year (“GFY”) 2020 and GFY 2021 to $738 billion ($667 billion in defense base funding and $71 billion for Overseas Contingency Operations (“OCO”) funding) and $741 billion ($672 billion in defense base fu</w:t>
      </w:r>
      <w:r>
        <w:rPr>
          <w:rFonts w:eastAsia="Times New Roman"/>
          <w:color w:val="000000"/>
          <w:sz w:val="20"/>
          <w:szCs w:val="20"/>
        </w:rPr>
        <w:t>nding and $69 billion for OCO funding), respectively (U.S. Government fiscal years begin October 1 and end September 30). This represented a 3% increase from GFY 2019 funding levels and builds on sustained funding increases Congress also provided in GFY 20</w:t>
      </w:r>
      <w:r>
        <w:rPr>
          <w:rFonts w:eastAsia="Times New Roman"/>
          <w:color w:val="000000"/>
          <w:sz w:val="20"/>
          <w:szCs w:val="20"/>
        </w:rPr>
        <w:t>17 and GFY 2018. The BBA 2019 also temporarily suspended the statutory debt ceiling through July 31, 2021.</w:t>
      </w:r>
    </w:p>
    <w:p w14:paraId="71F6B0F2" w14:textId="77777777" w:rsidR="00000000" w:rsidRDefault="001A570A">
      <w:pPr>
        <w:ind w:firstLine="450"/>
        <w:divId w:val="419253362"/>
        <w:rPr>
          <w:rFonts w:eastAsia="Times New Roman"/>
        </w:rPr>
      </w:pPr>
      <w:r>
        <w:rPr>
          <w:rFonts w:eastAsia="Times New Roman"/>
          <w:color w:val="000000"/>
          <w:sz w:val="20"/>
          <w:szCs w:val="20"/>
        </w:rPr>
        <w:t xml:space="preserve">On December 27, 2020, the President signed into law H.R.133, the Consolidated Appropriations Act, 2021. This bill appropriates $635 billion in total </w:t>
      </w:r>
      <w:r>
        <w:rPr>
          <w:rFonts w:eastAsia="Times New Roman"/>
          <w:color w:val="000000"/>
          <w:sz w:val="20"/>
          <w:szCs w:val="20"/>
        </w:rPr>
        <w:t>DoD base funding and $69 billion in OCO funding. It also appropriates $28 billion for the Department of Energy national security mission and $9 billion for other defense related activities, in line with the budget request and consistent with the total nati</w:t>
      </w:r>
      <w:r>
        <w:rPr>
          <w:rFonts w:eastAsia="Times New Roman"/>
          <w:color w:val="000000"/>
          <w:sz w:val="20"/>
          <w:szCs w:val="20"/>
        </w:rPr>
        <w:t>onal defense budget cap of $741 billion for GFY 2021 established in BBA 2019. In 2020 there were several COVID-related measures passed by Congress and enacted into law, totaling approximately $3.5 trillion in funding. We expect Congress and the new adminis</w:t>
      </w:r>
      <w:r>
        <w:rPr>
          <w:rFonts w:eastAsia="Times New Roman"/>
          <w:color w:val="000000"/>
          <w:sz w:val="20"/>
          <w:szCs w:val="20"/>
        </w:rPr>
        <w:t>tration to consider additional COVID legislation in early 2021, which could drive increased scrutiny of discretionary spending. However, although we anticipate debate will continue within the U.S. Government over defense spending for future years (which ma</w:t>
      </w:r>
      <w:r>
        <w:rPr>
          <w:rFonts w:eastAsia="Times New Roman"/>
          <w:color w:val="000000"/>
          <w:sz w:val="20"/>
          <w:szCs w:val="20"/>
        </w:rPr>
        <w:t>y have a significant impact on defense spending broadly and on our specific programs), our programs have been well supported in recent years, and our major efforts are aligned to key DoD needs.</w:t>
      </w:r>
    </w:p>
    <w:p w14:paraId="1FEF20DD" w14:textId="77777777" w:rsidR="00000000" w:rsidRDefault="001A570A">
      <w:pPr>
        <w:ind w:firstLine="450"/>
        <w:divId w:val="1134717536"/>
        <w:rPr>
          <w:rFonts w:eastAsia="Times New Roman"/>
        </w:rPr>
      </w:pPr>
      <w:r>
        <w:rPr>
          <w:rFonts w:eastAsia="Times New Roman"/>
          <w:b/>
          <w:bCs/>
          <w:i/>
          <w:iCs/>
          <w:color w:val="000000"/>
          <w:sz w:val="20"/>
          <w:szCs w:val="20"/>
        </w:rPr>
        <w:t>Government Oversight and Risk:</w:t>
      </w:r>
      <w:r>
        <w:rPr>
          <w:rFonts w:eastAsia="Times New Roman"/>
          <w:color w:val="000000"/>
          <w:sz w:val="20"/>
          <w:szCs w:val="20"/>
        </w:rPr>
        <w:t> </w:t>
      </w:r>
      <w:r>
        <w:rPr>
          <w:rFonts w:eastAsia="Times New Roman"/>
          <w:color w:val="000000"/>
          <w:sz w:val="20"/>
          <w:szCs w:val="20"/>
        </w:rPr>
        <w:t>As a U.S. Government contractor, we are subject to U.S. Government oversight. The U.S. Government may investigate our business practices and audit our compliance with applicable rules and regulations. Depending on the results of those investigations and au</w:t>
      </w:r>
      <w:r>
        <w:rPr>
          <w:rFonts w:eastAsia="Times New Roman"/>
          <w:color w:val="000000"/>
          <w:sz w:val="20"/>
          <w:szCs w:val="20"/>
        </w:rPr>
        <w:t xml:space="preserve">dits, the U.S. Government could make claims against us. Under U.S. Government procurement regulations and practices, an indictment or conviction of a government contractor could result in that contractor being fined and/or suspended from being able to bid </w:t>
      </w:r>
      <w:r>
        <w:rPr>
          <w:rFonts w:eastAsia="Times New Roman"/>
          <w:color w:val="000000"/>
          <w:sz w:val="20"/>
          <w:szCs w:val="20"/>
        </w:rPr>
        <w:t>on, or from being awarded, new U.S. Government contracts for a period of time determined by the U.S. Government. Similar government oversight exists in most other countries where we conduct business.</w:t>
      </w:r>
    </w:p>
    <w:p w14:paraId="33CC75F5" w14:textId="77777777" w:rsidR="00000000" w:rsidRDefault="001A570A">
      <w:pPr>
        <w:ind w:firstLine="450"/>
        <w:divId w:val="71125200"/>
        <w:rPr>
          <w:rFonts w:eastAsia="Times New Roman"/>
        </w:rPr>
      </w:pPr>
      <w:r>
        <w:rPr>
          <w:rFonts w:eastAsia="Times New Roman"/>
          <w:color w:val="000000"/>
          <w:sz w:val="20"/>
          <w:szCs w:val="20"/>
        </w:rPr>
        <w:t>For a discussion of risks relating to U.S. Government co</w:t>
      </w:r>
      <w:r>
        <w:rPr>
          <w:rFonts w:eastAsia="Times New Roman"/>
          <w:color w:val="000000"/>
          <w:sz w:val="20"/>
          <w:szCs w:val="20"/>
        </w:rPr>
        <w:t>ntracts and subcontracts, see “Item 1. Business — Principal Customers; Government Contracts” and “Item 1A. Risk Factors” of this Report. We are also subject to other risks associated with U.S. Government business, including technological uncertainties, dep</w:t>
      </w:r>
      <w:r>
        <w:rPr>
          <w:rFonts w:eastAsia="Times New Roman"/>
          <w:color w:val="000000"/>
          <w:sz w:val="20"/>
          <w:szCs w:val="20"/>
        </w:rPr>
        <w:t>endence on annual appropriations and allotment of funds, extensive regulations and other risks, which are discussed in “Item 1A. Risk Factors” and “Item 3. Legal Proceedings” of this Report.</w:t>
      </w:r>
    </w:p>
    <w:p w14:paraId="45D61045" w14:textId="77777777" w:rsidR="00000000" w:rsidRDefault="001A570A">
      <w:pPr>
        <w:ind w:firstLine="450"/>
        <w:divId w:val="1947227231"/>
        <w:rPr>
          <w:rFonts w:eastAsia="Times New Roman"/>
        </w:rPr>
      </w:pPr>
      <w:r>
        <w:rPr>
          <w:rFonts w:eastAsia="Times New Roman"/>
          <w:b/>
          <w:bCs/>
          <w:i/>
          <w:iCs/>
          <w:color w:val="000000"/>
          <w:sz w:val="20"/>
          <w:szCs w:val="20"/>
        </w:rPr>
        <w:t>State and Local:</w:t>
      </w:r>
      <w:r>
        <w:rPr>
          <w:rFonts w:eastAsia="Times New Roman"/>
          <w:color w:val="000000"/>
          <w:sz w:val="20"/>
          <w:szCs w:val="20"/>
        </w:rPr>
        <w:t> We also provide products to state and local gove</w:t>
      </w:r>
      <w:r>
        <w:rPr>
          <w:rFonts w:eastAsia="Times New Roman"/>
          <w:color w:val="000000"/>
          <w:sz w:val="20"/>
          <w:szCs w:val="20"/>
        </w:rPr>
        <w:t>rnment agencies that are committed to protecting our homeland and public safety. The public safety market was highly competitive and dependent on state and local government budgets during fiscal 2020. Fiscal 2020 revenue in our Public Safety business secto</w:t>
      </w:r>
      <w:r>
        <w:rPr>
          <w:rFonts w:eastAsia="Times New Roman"/>
          <w:color w:val="000000"/>
          <w:sz w:val="20"/>
          <w:szCs w:val="20"/>
        </w:rPr>
        <w:t xml:space="preserve">r was adversely impacted by COVID-related pressures on state and local government customers and we expect a continued decrease in Public Safety revenue in early fiscal </w:t>
      </w:r>
    </w:p>
    <w:p w14:paraId="403AFFDB" w14:textId="77777777" w:rsidR="00000000" w:rsidRDefault="001A570A">
      <w:pPr>
        <w:ind w:firstLine="450"/>
        <w:jc w:val="center"/>
        <w:divId w:val="1833375383"/>
        <w:rPr>
          <w:rFonts w:eastAsia="Times New Roman"/>
        </w:rPr>
      </w:pPr>
      <w:r>
        <w:rPr>
          <w:rFonts w:eastAsia="Times New Roman"/>
          <w:color w:val="000000"/>
          <w:sz w:val="20"/>
          <w:szCs w:val="20"/>
        </w:rPr>
        <w:t>38</w:t>
      </w:r>
    </w:p>
    <w:p w14:paraId="327657C4" w14:textId="77777777" w:rsidR="00000000" w:rsidRDefault="001A570A">
      <w:pPr>
        <w:rPr>
          <w:rFonts w:eastAsia="Times New Roman"/>
        </w:rPr>
      </w:pPr>
      <w:r>
        <w:rPr>
          <w:rFonts w:eastAsia="Times New Roman"/>
        </w:rPr>
        <w:pict w14:anchorId="061F53D3">
          <v:rect id="_x0000_i1066" style="width:0;height:1.5pt" o:hralign="center" o:hrstd="t" o:hr="t" fillcolor="#a0a0a0" stroked="f"/>
        </w:pict>
      </w:r>
    </w:p>
    <w:p w14:paraId="0111C091" w14:textId="77777777" w:rsidR="00000000" w:rsidRDefault="001A570A">
      <w:pPr>
        <w:ind w:firstLine="450"/>
        <w:divId w:val="516891881"/>
        <w:rPr>
          <w:rFonts w:eastAsia="Times New Roman"/>
        </w:rPr>
      </w:pPr>
    </w:p>
    <w:p w14:paraId="21151D4B" w14:textId="77777777" w:rsidR="00000000" w:rsidRDefault="001A570A">
      <w:pPr>
        <w:divId w:val="1301768566"/>
        <w:rPr>
          <w:rFonts w:eastAsia="Times New Roman"/>
        </w:rPr>
      </w:pPr>
      <w:r>
        <w:rPr>
          <w:rFonts w:eastAsia="Times New Roman"/>
          <w:color w:val="000000"/>
          <w:sz w:val="20"/>
          <w:szCs w:val="20"/>
        </w:rPr>
        <w:t>2021. Future market opportunities include upgr</w:t>
      </w:r>
      <w:r>
        <w:rPr>
          <w:rFonts w:eastAsia="Times New Roman"/>
          <w:color w:val="000000"/>
          <w:sz w:val="20"/>
          <w:szCs w:val="20"/>
        </w:rPr>
        <w:t>ading aging analog infrastructure to new digital standards, as well as opportunities associated with next-generation Long Term Evolution (“LTE”) solutions for high data-rate applications.</w:t>
      </w:r>
    </w:p>
    <w:p w14:paraId="42119CF1" w14:textId="77777777" w:rsidR="00000000" w:rsidRDefault="001A570A">
      <w:pPr>
        <w:ind w:firstLine="495"/>
        <w:divId w:val="109861945"/>
        <w:rPr>
          <w:rFonts w:eastAsia="Times New Roman"/>
        </w:rPr>
      </w:pPr>
      <w:r>
        <w:rPr>
          <w:rFonts w:eastAsia="Times New Roman"/>
          <w:b/>
          <w:bCs/>
          <w:i/>
          <w:iCs/>
          <w:color w:val="000000"/>
          <w:sz w:val="20"/>
          <w:szCs w:val="20"/>
        </w:rPr>
        <w:t>International:</w:t>
      </w:r>
      <w:r>
        <w:rPr>
          <w:rFonts w:eastAsia="Times New Roman"/>
          <w:color w:val="000000"/>
          <w:sz w:val="20"/>
          <w:szCs w:val="20"/>
        </w:rPr>
        <w:t> </w:t>
      </w:r>
      <w:r>
        <w:rPr>
          <w:rFonts w:eastAsia="Times New Roman"/>
          <w:color w:val="000000"/>
          <w:sz w:val="20"/>
          <w:szCs w:val="20"/>
        </w:rPr>
        <w:t>We believe there is continuing international demand from military and government customers for tactical radios, electronic warfare equipment, products and systems for maritime platforms, air traffic management, release systems and ISR. We believe we can le</w:t>
      </w:r>
      <w:r>
        <w:rPr>
          <w:rFonts w:eastAsia="Times New Roman"/>
          <w:color w:val="000000"/>
          <w:sz w:val="20"/>
          <w:szCs w:val="20"/>
        </w:rPr>
        <w:t>verage our domain expertise and proven technology provided in the U.S. to further expand our international business.</w:t>
      </w:r>
    </w:p>
    <w:p w14:paraId="38BE8E99" w14:textId="77777777" w:rsidR="00000000" w:rsidRDefault="001A570A">
      <w:pPr>
        <w:ind w:firstLine="450"/>
        <w:divId w:val="119886562"/>
        <w:rPr>
          <w:rFonts w:eastAsia="Times New Roman"/>
        </w:rPr>
      </w:pPr>
      <w:r>
        <w:rPr>
          <w:rFonts w:eastAsia="Times New Roman"/>
          <w:color w:val="000000"/>
          <w:sz w:val="20"/>
          <w:szCs w:val="20"/>
        </w:rPr>
        <w:t xml:space="preserve">We believe that our experience, technologies and capabilities are well aligned with the demand and requirements of the markets noted above </w:t>
      </w:r>
      <w:r>
        <w:rPr>
          <w:rFonts w:eastAsia="Times New Roman"/>
          <w:color w:val="000000"/>
          <w:sz w:val="20"/>
          <w:szCs w:val="20"/>
        </w:rPr>
        <w:t>in this Report. However, we remain subject to the spending levels, pace and priorities of the U.S. Government as well as international governments and commercial customers, and to general economic conditions that could adversely affect us, our customers an</w:t>
      </w:r>
      <w:r>
        <w:rPr>
          <w:rFonts w:eastAsia="Times New Roman"/>
          <w:color w:val="000000"/>
          <w:sz w:val="20"/>
          <w:szCs w:val="20"/>
        </w:rPr>
        <w:t xml:space="preserve">d our suppliers. We also remain subject to other risks associated with these markets, including technological uncertainties, adoption of our new products and other risks that are discussed below in this Report under “Forward-Looking Statements and Factors </w:t>
      </w:r>
      <w:r>
        <w:rPr>
          <w:rFonts w:eastAsia="Times New Roman"/>
          <w:color w:val="000000"/>
          <w:sz w:val="20"/>
          <w:szCs w:val="20"/>
        </w:rPr>
        <w:t>that May Affect Future Results” and in “Item 1A. Risk Factors” of this Report.</w:t>
      </w:r>
    </w:p>
    <w:p w14:paraId="017158DB" w14:textId="77777777" w:rsidR="00000000" w:rsidRDefault="001A570A">
      <w:pPr>
        <w:divId w:val="1216619883"/>
        <w:rPr>
          <w:rFonts w:eastAsia="Times New Roman"/>
        </w:rPr>
      </w:pPr>
      <w:r>
        <w:rPr>
          <w:rFonts w:eastAsia="Times New Roman"/>
          <w:b/>
          <w:bCs/>
          <w:color w:val="000000"/>
          <w:sz w:val="20"/>
          <w:szCs w:val="20"/>
        </w:rPr>
        <w:t>OPERATIONS REVIEW</w:t>
      </w:r>
    </w:p>
    <w:p w14:paraId="746A71CB" w14:textId="77777777" w:rsidR="00000000" w:rsidRDefault="001A570A">
      <w:pPr>
        <w:divId w:val="275675791"/>
        <w:rPr>
          <w:rFonts w:eastAsia="Times New Roman"/>
        </w:rPr>
      </w:pPr>
      <w:r>
        <w:rPr>
          <w:rFonts w:eastAsia="Times New Roman"/>
          <w:b/>
          <w:bCs/>
          <w:i/>
          <w:iCs/>
          <w:color w:val="000000"/>
          <w:sz w:val="20"/>
          <w:szCs w:val="20"/>
        </w:rPr>
        <w:t>Consolidated Results of Operations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2996"/>
        <w:gridCol w:w="39"/>
        <w:gridCol w:w="121"/>
        <w:gridCol w:w="645"/>
        <w:gridCol w:w="187"/>
        <w:gridCol w:w="36"/>
        <w:gridCol w:w="36"/>
        <w:gridCol w:w="36"/>
        <w:gridCol w:w="121"/>
        <w:gridCol w:w="787"/>
        <w:gridCol w:w="188"/>
        <w:gridCol w:w="36"/>
        <w:gridCol w:w="36"/>
        <w:gridCol w:w="36"/>
        <w:gridCol w:w="84"/>
        <w:gridCol w:w="579"/>
        <w:gridCol w:w="187"/>
        <w:gridCol w:w="36"/>
        <w:gridCol w:w="36"/>
        <w:gridCol w:w="36"/>
        <w:gridCol w:w="36"/>
        <w:gridCol w:w="36"/>
        <w:gridCol w:w="121"/>
        <w:gridCol w:w="645"/>
        <w:gridCol w:w="187"/>
        <w:gridCol w:w="36"/>
        <w:gridCol w:w="36"/>
        <w:gridCol w:w="36"/>
        <w:gridCol w:w="84"/>
        <w:gridCol w:w="579"/>
        <w:gridCol w:w="187"/>
      </w:tblGrid>
      <w:tr w:rsidR="00000000" w14:paraId="0C9F625D" w14:textId="77777777">
        <w:trPr>
          <w:divId w:val="1408530922"/>
        </w:trPr>
        <w:tc>
          <w:tcPr>
            <w:tcW w:w="50" w:type="pct"/>
            <w:vAlign w:val="center"/>
            <w:hideMark/>
          </w:tcPr>
          <w:p w14:paraId="329C6758" w14:textId="77777777" w:rsidR="00000000" w:rsidRDefault="001A570A">
            <w:pPr>
              <w:rPr>
                <w:rFonts w:eastAsia="Times New Roman"/>
              </w:rPr>
            </w:pPr>
          </w:p>
        </w:tc>
        <w:tc>
          <w:tcPr>
            <w:tcW w:w="2200" w:type="pct"/>
            <w:vAlign w:val="center"/>
            <w:hideMark/>
          </w:tcPr>
          <w:p w14:paraId="35355DE1" w14:textId="77777777" w:rsidR="00000000" w:rsidRDefault="001A570A">
            <w:pPr>
              <w:rPr>
                <w:rFonts w:eastAsia="Times New Roman"/>
                <w:sz w:val="20"/>
                <w:szCs w:val="20"/>
              </w:rPr>
            </w:pPr>
          </w:p>
        </w:tc>
        <w:tc>
          <w:tcPr>
            <w:tcW w:w="5" w:type="pct"/>
            <w:vAlign w:val="center"/>
            <w:hideMark/>
          </w:tcPr>
          <w:p w14:paraId="5B5F6272" w14:textId="77777777" w:rsidR="00000000" w:rsidRDefault="001A570A">
            <w:pPr>
              <w:rPr>
                <w:rFonts w:eastAsia="Times New Roman"/>
                <w:sz w:val="20"/>
                <w:szCs w:val="20"/>
              </w:rPr>
            </w:pPr>
          </w:p>
        </w:tc>
        <w:tc>
          <w:tcPr>
            <w:tcW w:w="50" w:type="pct"/>
            <w:vAlign w:val="center"/>
            <w:hideMark/>
          </w:tcPr>
          <w:p w14:paraId="755083DB" w14:textId="77777777" w:rsidR="00000000" w:rsidRDefault="001A570A">
            <w:pPr>
              <w:rPr>
                <w:rFonts w:eastAsia="Times New Roman"/>
                <w:sz w:val="20"/>
                <w:szCs w:val="20"/>
              </w:rPr>
            </w:pPr>
          </w:p>
        </w:tc>
        <w:tc>
          <w:tcPr>
            <w:tcW w:w="542" w:type="pct"/>
            <w:vAlign w:val="center"/>
            <w:hideMark/>
          </w:tcPr>
          <w:p w14:paraId="2CDF5D99" w14:textId="77777777" w:rsidR="00000000" w:rsidRDefault="001A570A">
            <w:pPr>
              <w:rPr>
                <w:rFonts w:eastAsia="Times New Roman"/>
                <w:sz w:val="20"/>
                <w:szCs w:val="20"/>
              </w:rPr>
            </w:pPr>
          </w:p>
        </w:tc>
        <w:tc>
          <w:tcPr>
            <w:tcW w:w="5" w:type="pct"/>
            <w:vAlign w:val="center"/>
            <w:hideMark/>
          </w:tcPr>
          <w:p w14:paraId="101685EF" w14:textId="77777777" w:rsidR="00000000" w:rsidRDefault="001A570A">
            <w:pPr>
              <w:rPr>
                <w:rFonts w:eastAsia="Times New Roman"/>
                <w:sz w:val="20"/>
                <w:szCs w:val="20"/>
              </w:rPr>
            </w:pPr>
          </w:p>
        </w:tc>
        <w:tc>
          <w:tcPr>
            <w:tcW w:w="5" w:type="pct"/>
            <w:vAlign w:val="center"/>
            <w:hideMark/>
          </w:tcPr>
          <w:p w14:paraId="4B1CE303" w14:textId="77777777" w:rsidR="00000000" w:rsidRDefault="001A570A">
            <w:pPr>
              <w:rPr>
                <w:rFonts w:eastAsia="Times New Roman"/>
                <w:sz w:val="20"/>
                <w:szCs w:val="20"/>
              </w:rPr>
            </w:pPr>
          </w:p>
        </w:tc>
        <w:tc>
          <w:tcPr>
            <w:tcW w:w="26" w:type="pct"/>
            <w:vAlign w:val="center"/>
            <w:hideMark/>
          </w:tcPr>
          <w:p w14:paraId="2E3DC4FB" w14:textId="77777777" w:rsidR="00000000" w:rsidRDefault="001A570A">
            <w:pPr>
              <w:rPr>
                <w:rFonts w:eastAsia="Times New Roman"/>
                <w:sz w:val="20"/>
                <w:szCs w:val="20"/>
              </w:rPr>
            </w:pPr>
          </w:p>
        </w:tc>
        <w:tc>
          <w:tcPr>
            <w:tcW w:w="5" w:type="pct"/>
            <w:vAlign w:val="center"/>
            <w:hideMark/>
          </w:tcPr>
          <w:p w14:paraId="12BA9153" w14:textId="77777777" w:rsidR="00000000" w:rsidRDefault="001A570A">
            <w:pPr>
              <w:rPr>
                <w:rFonts w:eastAsia="Times New Roman"/>
                <w:sz w:val="20"/>
                <w:szCs w:val="20"/>
              </w:rPr>
            </w:pPr>
          </w:p>
        </w:tc>
        <w:tc>
          <w:tcPr>
            <w:tcW w:w="50" w:type="pct"/>
            <w:vAlign w:val="center"/>
            <w:hideMark/>
          </w:tcPr>
          <w:p w14:paraId="1A65E337" w14:textId="77777777" w:rsidR="00000000" w:rsidRDefault="001A570A">
            <w:pPr>
              <w:rPr>
                <w:rFonts w:eastAsia="Times New Roman"/>
                <w:sz w:val="20"/>
                <w:szCs w:val="20"/>
              </w:rPr>
            </w:pPr>
          </w:p>
        </w:tc>
        <w:tc>
          <w:tcPr>
            <w:tcW w:w="542" w:type="pct"/>
            <w:vAlign w:val="center"/>
            <w:hideMark/>
          </w:tcPr>
          <w:p w14:paraId="51CA6216" w14:textId="77777777" w:rsidR="00000000" w:rsidRDefault="001A570A">
            <w:pPr>
              <w:rPr>
                <w:rFonts w:eastAsia="Times New Roman"/>
                <w:sz w:val="20"/>
                <w:szCs w:val="20"/>
              </w:rPr>
            </w:pPr>
          </w:p>
        </w:tc>
        <w:tc>
          <w:tcPr>
            <w:tcW w:w="5" w:type="pct"/>
            <w:vAlign w:val="center"/>
            <w:hideMark/>
          </w:tcPr>
          <w:p w14:paraId="5C21CD2B" w14:textId="77777777" w:rsidR="00000000" w:rsidRDefault="001A570A">
            <w:pPr>
              <w:rPr>
                <w:rFonts w:eastAsia="Times New Roman"/>
                <w:sz w:val="20"/>
                <w:szCs w:val="20"/>
              </w:rPr>
            </w:pPr>
          </w:p>
        </w:tc>
        <w:tc>
          <w:tcPr>
            <w:tcW w:w="5" w:type="pct"/>
            <w:vAlign w:val="center"/>
            <w:hideMark/>
          </w:tcPr>
          <w:p w14:paraId="17C8C909" w14:textId="77777777" w:rsidR="00000000" w:rsidRDefault="001A570A">
            <w:pPr>
              <w:rPr>
                <w:rFonts w:eastAsia="Times New Roman"/>
                <w:sz w:val="20"/>
                <w:szCs w:val="20"/>
              </w:rPr>
            </w:pPr>
          </w:p>
        </w:tc>
        <w:tc>
          <w:tcPr>
            <w:tcW w:w="26" w:type="pct"/>
            <w:vAlign w:val="center"/>
            <w:hideMark/>
          </w:tcPr>
          <w:p w14:paraId="0CD50CA7" w14:textId="77777777" w:rsidR="00000000" w:rsidRDefault="001A570A">
            <w:pPr>
              <w:rPr>
                <w:rFonts w:eastAsia="Times New Roman"/>
                <w:sz w:val="20"/>
                <w:szCs w:val="20"/>
              </w:rPr>
            </w:pPr>
          </w:p>
        </w:tc>
        <w:tc>
          <w:tcPr>
            <w:tcW w:w="5" w:type="pct"/>
            <w:vAlign w:val="center"/>
            <w:hideMark/>
          </w:tcPr>
          <w:p w14:paraId="645326DA" w14:textId="77777777" w:rsidR="00000000" w:rsidRDefault="001A570A">
            <w:pPr>
              <w:rPr>
                <w:rFonts w:eastAsia="Times New Roman"/>
                <w:sz w:val="20"/>
                <w:szCs w:val="20"/>
              </w:rPr>
            </w:pPr>
          </w:p>
        </w:tc>
        <w:tc>
          <w:tcPr>
            <w:tcW w:w="50" w:type="pct"/>
            <w:vAlign w:val="center"/>
            <w:hideMark/>
          </w:tcPr>
          <w:p w14:paraId="65065E46" w14:textId="77777777" w:rsidR="00000000" w:rsidRDefault="001A570A">
            <w:pPr>
              <w:rPr>
                <w:rFonts w:eastAsia="Times New Roman"/>
                <w:sz w:val="20"/>
                <w:szCs w:val="20"/>
              </w:rPr>
            </w:pPr>
          </w:p>
        </w:tc>
        <w:tc>
          <w:tcPr>
            <w:tcW w:w="348" w:type="pct"/>
            <w:vAlign w:val="center"/>
            <w:hideMark/>
          </w:tcPr>
          <w:p w14:paraId="405B7E8B" w14:textId="77777777" w:rsidR="00000000" w:rsidRDefault="001A570A">
            <w:pPr>
              <w:rPr>
                <w:rFonts w:eastAsia="Times New Roman"/>
                <w:sz w:val="20"/>
                <w:szCs w:val="20"/>
              </w:rPr>
            </w:pPr>
          </w:p>
        </w:tc>
        <w:tc>
          <w:tcPr>
            <w:tcW w:w="5" w:type="pct"/>
            <w:vAlign w:val="center"/>
            <w:hideMark/>
          </w:tcPr>
          <w:p w14:paraId="11126F8B" w14:textId="77777777" w:rsidR="00000000" w:rsidRDefault="001A570A">
            <w:pPr>
              <w:rPr>
                <w:rFonts w:eastAsia="Times New Roman"/>
                <w:sz w:val="20"/>
                <w:szCs w:val="20"/>
              </w:rPr>
            </w:pPr>
          </w:p>
        </w:tc>
        <w:tc>
          <w:tcPr>
            <w:tcW w:w="0" w:type="auto"/>
            <w:vAlign w:val="center"/>
            <w:hideMark/>
          </w:tcPr>
          <w:p w14:paraId="0B4DE132" w14:textId="77777777" w:rsidR="00000000" w:rsidRDefault="001A570A">
            <w:pPr>
              <w:rPr>
                <w:rFonts w:eastAsia="Times New Roman"/>
                <w:sz w:val="20"/>
                <w:szCs w:val="20"/>
              </w:rPr>
            </w:pPr>
          </w:p>
        </w:tc>
        <w:tc>
          <w:tcPr>
            <w:tcW w:w="0" w:type="auto"/>
            <w:vAlign w:val="center"/>
            <w:hideMark/>
          </w:tcPr>
          <w:p w14:paraId="45C4E965" w14:textId="77777777" w:rsidR="00000000" w:rsidRDefault="001A570A">
            <w:pPr>
              <w:rPr>
                <w:rFonts w:eastAsia="Times New Roman"/>
                <w:sz w:val="20"/>
                <w:szCs w:val="20"/>
              </w:rPr>
            </w:pPr>
          </w:p>
        </w:tc>
        <w:tc>
          <w:tcPr>
            <w:tcW w:w="5" w:type="pct"/>
            <w:vAlign w:val="center"/>
            <w:hideMark/>
          </w:tcPr>
          <w:p w14:paraId="2E3AA44E" w14:textId="77777777" w:rsidR="00000000" w:rsidRDefault="001A570A">
            <w:pPr>
              <w:rPr>
                <w:rFonts w:eastAsia="Times New Roman"/>
                <w:sz w:val="20"/>
                <w:szCs w:val="20"/>
              </w:rPr>
            </w:pPr>
          </w:p>
        </w:tc>
        <w:tc>
          <w:tcPr>
            <w:tcW w:w="26" w:type="pct"/>
            <w:vAlign w:val="center"/>
            <w:hideMark/>
          </w:tcPr>
          <w:p w14:paraId="1ABE0B4C" w14:textId="77777777" w:rsidR="00000000" w:rsidRDefault="001A570A">
            <w:pPr>
              <w:rPr>
                <w:rFonts w:eastAsia="Times New Roman"/>
                <w:sz w:val="20"/>
                <w:szCs w:val="20"/>
              </w:rPr>
            </w:pPr>
          </w:p>
        </w:tc>
        <w:tc>
          <w:tcPr>
            <w:tcW w:w="5" w:type="pct"/>
            <w:vAlign w:val="center"/>
            <w:hideMark/>
          </w:tcPr>
          <w:p w14:paraId="07C4169D" w14:textId="77777777" w:rsidR="00000000" w:rsidRDefault="001A570A">
            <w:pPr>
              <w:rPr>
                <w:rFonts w:eastAsia="Times New Roman"/>
                <w:sz w:val="20"/>
                <w:szCs w:val="20"/>
              </w:rPr>
            </w:pPr>
          </w:p>
        </w:tc>
        <w:tc>
          <w:tcPr>
            <w:tcW w:w="50" w:type="pct"/>
            <w:vAlign w:val="center"/>
            <w:hideMark/>
          </w:tcPr>
          <w:p w14:paraId="08A43AC3" w14:textId="77777777" w:rsidR="00000000" w:rsidRDefault="001A570A">
            <w:pPr>
              <w:rPr>
                <w:rFonts w:eastAsia="Times New Roman"/>
                <w:sz w:val="20"/>
                <w:szCs w:val="20"/>
              </w:rPr>
            </w:pPr>
          </w:p>
        </w:tc>
        <w:tc>
          <w:tcPr>
            <w:tcW w:w="542" w:type="pct"/>
            <w:vAlign w:val="center"/>
            <w:hideMark/>
          </w:tcPr>
          <w:p w14:paraId="1F6F0762" w14:textId="77777777" w:rsidR="00000000" w:rsidRDefault="001A570A">
            <w:pPr>
              <w:rPr>
                <w:rFonts w:eastAsia="Times New Roman"/>
                <w:sz w:val="20"/>
                <w:szCs w:val="20"/>
              </w:rPr>
            </w:pPr>
          </w:p>
        </w:tc>
        <w:tc>
          <w:tcPr>
            <w:tcW w:w="5" w:type="pct"/>
            <w:vAlign w:val="center"/>
            <w:hideMark/>
          </w:tcPr>
          <w:p w14:paraId="017B0B74" w14:textId="77777777" w:rsidR="00000000" w:rsidRDefault="001A570A">
            <w:pPr>
              <w:rPr>
                <w:rFonts w:eastAsia="Times New Roman"/>
                <w:sz w:val="20"/>
                <w:szCs w:val="20"/>
              </w:rPr>
            </w:pPr>
          </w:p>
        </w:tc>
        <w:tc>
          <w:tcPr>
            <w:tcW w:w="5" w:type="pct"/>
            <w:vAlign w:val="center"/>
            <w:hideMark/>
          </w:tcPr>
          <w:p w14:paraId="6873143D" w14:textId="77777777" w:rsidR="00000000" w:rsidRDefault="001A570A">
            <w:pPr>
              <w:rPr>
                <w:rFonts w:eastAsia="Times New Roman"/>
                <w:sz w:val="20"/>
                <w:szCs w:val="20"/>
              </w:rPr>
            </w:pPr>
          </w:p>
        </w:tc>
        <w:tc>
          <w:tcPr>
            <w:tcW w:w="26" w:type="pct"/>
            <w:vAlign w:val="center"/>
            <w:hideMark/>
          </w:tcPr>
          <w:p w14:paraId="21DC63B8" w14:textId="77777777" w:rsidR="00000000" w:rsidRDefault="001A570A">
            <w:pPr>
              <w:rPr>
                <w:rFonts w:eastAsia="Times New Roman"/>
                <w:sz w:val="20"/>
                <w:szCs w:val="20"/>
              </w:rPr>
            </w:pPr>
          </w:p>
        </w:tc>
        <w:tc>
          <w:tcPr>
            <w:tcW w:w="5" w:type="pct"/>
            <w:vAlign w:val="center"/>
            <w:hideMark/>
          </w:tcPr>
          <w:p w14:paraId="1EEA5CF1" w14:textId="77777777" w:rsidR="00000000" w:rsidRDefault="001A570A">
            <w:pPr>
              <w:rPr>
                <w:rFonts w:eastAsia="Times New Roman"/>
                <w:sz w:val="20"/>
                <w:szCs w:val="20"/>
              </w:rPr>
            </w:pPr>
          </w:p>
        </w:tc>
        <w:tc>
          <w:tcPr>
            <w:tcW w:w="50" w:type="pct"/>
            <w:vAlign w:val="center"/>
            <w:hideMark/>
          </w:tcPr>
          <w:p w14:paraId="1FFC4DE3" w14:textId="77777777" w:rsidR="00000000" w:rsidRDefault="001A570A">
            <w:pPr>
              <w:rPr>
                <w:rFonts w:eastAsia="Times New Roman"/>
                <w:sz w:val="20"/>
                <w:szCs w:val="20"/>
              </w:rPr>
            </w:pPr>
          </w:p>
        </w:tc>
        <w:tc>
          <w:tcPr>
            <w:tcW w:w="348" w:type="pct"/>
            <w:vAlign w:val="center"/>
            <w:hideMark/>
          </w:tcPr>
          <w:p w14:paraId="2D44CA1E" w14:textId="77777777" w:rsidR="00000000" w:rsidRDefault="001A570A">
            <w:pPr>
              <w:rPr>
                <w:rFonts w:eastAsia="Times New Roman"/>
                <w:sz w:val="20"/>
                <w:szCs w:val="20"/>
              </w:rPr>
            </w:pPr>
          </w:p>
        </w:tc>
        <w:tc>
          <w:tcPr>
            <w:tcW w:w="5" w:type="pct"/>
            <w:vAlign w:val="center"/>
            <w:hideMark/>
          </w:tcPr>
          <w:p w14:paraId="430AB3C5" w14:textId="77777777" w:rsidR="00000000" w:rsidRDefault="001A570A">
            <w:pPr>
              <w:rPr>
                <w:rFonts w:eastAsia="Times New Roman"/>
                <w:sz w:val="20"/>
                <w:szCs w:val="20"/>
              </w:rPr>
            </w:pPr>
          </w:p>
        </w:tc>
      </w:tr>
      <w:tr w:rsidR="00000000" w14:paraId="3E4B3140" w14:textId="77777777">
        <w:trPr>
          <w:divId w:val="1408530922"/>
        </w:trPr>
        <w:tc>
          <w:tcPr>
            <w:tcW w:w="0" w:type="auto"/>
            <w:gridSpan w:val="3"/>
            <w:tcMar>
              <w:top w:w="30" w:type="dxa"/>
              <w:left w:w="20" w:type="dxa"/>
              <w:bottom w:w="30" w:type="dxa"/>
              <w:right w:w="20" w:type="dxa"/>
            </w:tcMar>
            <w:vAlign w:val="bottom"/>
            <w:hideMark/>
          </w:tcPr>
          <w:p w14:paraId="598D3C6F"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A546670"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32EA90AF" w14:textId="77777777" w:rsidR="00000000" w:rsidRDefault="001A570A">
            <w:pPr>
              <w:jc w:val="center"/>
              <w:rPr>
                <w:rFonts w:eastAsia="Times New Roman"/>
              </w:rPr>
            </w:pPr>
          </w:p>
        </w:tc>
        <w:tc>
          <w:tcPr>
            <w:tcW w:w="0" w:type="auto"/>
            <w:gridSpan w:val="17"/>
            <w:tcMar>
              <w:top w:w="30" w:type="dxa"/>
              <w:left w:w="20" w:type="dxa"/>
              <w:bottom w:w="30" w:type="dxa"/>
              <w:right w:w="20" w:type="dxa"/>
            </w:tcMar>
            <w:vAlign w:val="bottom"/>
            <w:hideMark/>
          </w:tcPr>
          <w:p w14:paraId="6BBD53AD" w14:textId="77777777" w:rsidR="00000000" w:rsidRDefault="001A570A">
            <w:pPr>
              <w:jc w:val="center"/>
              <w:rPr>
                <w:rFonts w:eastAsia="Times New Roman"/>
              </w:rPr>
            </w:pPr>
            <w:r>
              <w:rPr>
                <w:rFonts w:eastAsia="Times New Roman"/>
                <w:b/>
                <w:bCs/>
                <w:color w:val="000000"/>
                <w:sz w:val="16"/>
                <w:szCs w:val="16"/>
              </w:rPr>
              <w:t>Four Quarters Ended</w:t>
            </w:r>
          </w:p>
        </w:tc>
        <w:tc>
          <w:tcPr>
            <w:tcW w:w="0" w:type="auto"/>
            <w:vAlign w:val="center"/>
            <w:hideMark/>
          </w:tcPr>
          <w:p w14:paraId="59400656" w14:textId="77777777" w:rsidR="00000000" w:rsidRDefault="001A570A">
            <w:pPr>
              <w:rPr>
                <w:rFonts w:eastAsia="Times New Roman"/>
                <w:sz w:val="20"/>
                <w:szCs w:val="20"/>
              </w:rPr>
            </w:pPr>
          </w:p>
        </w:tc>
        <w:tc>
          <w:tcPr>
            <w:tcW w:w="0" w:type="auto"/>
            <w:vAlign w:val="center"/>
            <w:hideMark/>
          </w:tcPr>
          <w:p w14:paraId="08400011" w14:textId="77777777" w:rsidR="00000000" w:rsidRDefault="001A570A">
            <w:pPr>
              <w:rPr>
                <w:rFonts w:eastAsia="Times New Roman"/>
                <w:sz w:val="20"/>
                <w:szCs w:val="20"/>
              </w:rPr>
            </w:pPr>
          </w:p>
        </w:tc>
        <w:tc>
          <w:tcPr>
            <w:tcW w:w="0" w:type="auto"/>
            <w:vAlign w:val="center"/>
            <w:hideMark/>
          </w:tcPr>
          <w:p w14:paraId="1A4F3218" w14:textId="77777777" w:rsidR="00000000" w:rsidRDefault="001A570A">
            <w:pPr>
              <w:rPr>
                <w:rFonts w:eastAsia="Times New Roman"/>
                <w:sz w:val="20"/>
                <w:szCs w:val="20"/>
              </w:rPr>
            </w:pPr>
          </w:p>
        </w:tc>
        <w:tc>
          <w:tcPr>
            <w:tcW w:w="0" w:type="auto"/>
            <w:vAlign w:val="center"/>
            <w:hideMark/>
          </w:tcPr>
          <w:p w14:paraId="6B4172BF" w14:textId="77777777" w:rsidR="00000000" w:rsidRDefault="001A570A">
            <w:pPr>
              <w:rPr>
                <w:rFonts w:eastAsia="Times New Roman"/>
                <w:sz w:val="20"/>
                <w:szCs w:val="20"/>
              </w:rPr>
            </w:pPr>
          </w:p>
        </w:tc>
        <w:tc>
          <w:tcPr>
            <w:tcW w:w="0" w:type="auto"/>
            <w:vAlign w:val="center"/>
            <w:hideMark/>
          </w:tcPr>
          <w:p w14:paraId="48DBF3C9" w14:textId="77777777" w:rsidR="00000000" w:rsidRDefault="001A570A">
            <w:pPr>
              <w:rPr>
                <w:rFonts w:eastAsia="Times New Roman"/>
                <w:sz w:val="20"/>
                <w:szCs w:val="20"/>
              </w:rPr>
            </w:pPr>
          </w:p>
        </w:tc>
        <w:tc>
          <w:tcPr>
            <w:tcW w:w="0" w:type="auto"/>
            <w:vAlign w:val="center"/>
            <w:hideMark/>
          </w:tcPr>
          <w:p w14:paraId="39243D29" w14:textId="77777777" w:rsidR="00000000" w:rsidRDefault="001A570A">
            <w:pPr>
              <w:rPr>
                <w:rFonts w:eastAsia="Times New Roman"/>
                <w:sz w:val="20"/>
                <w:szCs w:val="20"/>
              </w:rPr>
            </w:pPr>
          </w:p>
        </w:tc>
      </w:tr>
      <w:tr w:rsidR="00000000" w14:paraId="5A571B58" w14:textId="77777777">
        <w:trPr>
          <w:divId w:val="1408530922"/>
        </w:trPr>
        <w:tc>
          <w:tcPr>
            <w:tcW w:w="0" w:type="auto"/>
            <w:gridSpan w:val="3"/>
            <w:tcMar>
              <w:top w:w="0" w:type="dxa"/>
              <w:left w:w="20" w:type="dxa"/>
              <w:bottom w:w="0" w:type="dxa"/>
              <w:right w:w="20" w:type="dxa"/>
            </w:tcMar>
            <w:vAlign w:val="center"/>
            <w:hideMark/>
          </w:tcPr>
          <w:p w14:paraId="65AD388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5F1399"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777FAC0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F73B0B"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14:paraId="62A0FF5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6FBD09"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vAlign w:val="center"/>
            <w:hideMark/>
          </w:tcPr>
          <w:p w14:paraId="3AB3F0B7" w14:textId="77777777" w:rsidR="00000000" w:rsidRDefault="001A570A">
            <w:pPr>
              <w:jc w:val="center"/>
              <w:rPr>
                <w:rFonts w:eastAsia="Times New Roman"/>
              </w:rPr>
            </w:pPr>
          </w:p>
        </w:tc>
        <w:tc>
          <w:tcPr>
            <w:tcW w:w="0" w:type="auto"/>
            <w:vAlign w:val="center"/>
            <w:hideMark/>
          </w:tcPr>
          <w:p w14:paraId="24266C4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14CACA"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5B48FE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14:paraId="3B01A01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680A11"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5B8E10BF" w14:textId="77777777">
        <w:trPr>
          <w:divId w:val="1408530922"/>
        </w:trPr>
        <w:tc>
          <w:tcPr>
            <w:tcW w:w="0" w:type="auto"/>
            <w:gridSpan w:val="3"/>
            <w:tcMar>
              <w:top w:w="30" w:type="dxa"/>
              <w:left w:w="20" w:type="dxa"/>
              <w:bottom w:w="30" w:type="dxa"/>
              <w:right w:w="20" w:type="dxa"/>
            </w:tcMar>
            <w:vAlign w:val="bottom"/>
            <w:hideMark/>
          </w:tcPr>
          <w:p w14:paraId="5AC0F1C2" w14:textId="77777777" w:rsidR="00000000" w:rsidRDefault="001A570A">
            <w:pPr>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70783CE"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365857F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348329"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5798BE91"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9D3B87D" w14:textId="77777777" w:rsidR="00000000" w:rsidRDefault="001A570A">
            <w:pPr>
              <w:rPr>
                <w:rFonts w:eastAsia="Times New Roman"/>
                <w:sz w:val="20"/>
                <w:szCs w:val="20"/>
              </w:rPr>
            </w:pPr>
          </w:p>
        </w:tc>
        <w:tc>
          <w:tcPr>
            <w:tcW w:w="0" w:type="auto"/>
            <w:vAlign w:val="center"/>
            <w:hideMark/>
          </w:tcPr>
          <w:p w14:paraId="6A5957E4" w14:textId="77777777" w:rsidR="00000000" w:rsidRDefault="001A570A">
            <w:pPr>
              <w:rPr>
                <w:rFonts w:eastAsia="Times New Roman"/>
                <w:sz w:val="20"/>
                <w:szCs w:val="20"/>
              </w:rPr>
            </w:pPr>
          </w:p>
        </w:tc>
        <w:tc>
          <w:tcPr>
            <w:tcW w:w="0" w:type="auto"/>
            <w:vAlign w:val="center"/>
            <w:hideMark/>
          </w:tcPr>
          <w:p w14:paraId="008DC6C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A0FB149"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7111411"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553B873F"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7C06921" w14:textId="77777777" w:rsidR="00000000" w:rsidRDefault="001A570A">
            <w:pPr>
              <w:rPr>
                <w:rFonts w:eastAsia="Times New Roman"/>
                <w:sz w:val="20"/>
                <w:szCs w:val="20"/>
              </w:rPr>
            </w:pPr>
          </w:p>
        </w:tc>
      </w:tr>
      <w:tr w:rsidR="00000000" w14:paraId="17BB23ED" w14:textId="77777777">
        <w:trPr>
          <w:divId w:val="1408530922"/>
        </w:trPr>
        <w:tc>
          <w:tcPr>
            <w:tcW w:w="0" w:type="auto"/>
            <w:gridSpan w:val="3"/>
            <w:tcMar>
              <w:top w:w="30" w:type="dxa"/>
              <w:left w:w="20" w:type="dxa"/>
              <w:bottom w:w="30" w:type="dxa"/>
              <w:right w:w="20" w:type="dxa"/>
            </w:tcMar>
            <w:vAlign w:val="bottom"/>
            <w:hideMark/>
          </w:tcPr>
          <w:p w14:paraId="74254F97"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566B5CC0"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6FD2063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447AD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929597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2599EB1" w14:textId="77777777" w:rsidR="00000000" w:rsidRDefault="001A570A">
            <w:pPr>
              <w:rPr>
                <w:rFonts w:eastAsia="Times New Roman"/>
                <w:sz w:val="20"/>
                <w:szCs w:val="20"/>
              </w:rPr>
            </w:pPr>
          </w:p>
        </w:tc>
        <w:tc>
          <w:tcPr>
            <w:tcW w:w="0" w:type="auto"/>
            <w:vAlign w:val="center"/>
            <w:hideMark/>
          </w:tcPr>
          <w:p w14:paraId="5329C730" w14:textId="77777777" w:rsidR="00000000" w:rsidRDefault="001A570A">
            <w:pPr>
              <w:rPr>
                <w:rFonts w:eastAsia="Times New Roman"/>
                <w:sz w:val="20"/>
                <w:szCs w:val="20"/>
              </w:rPr>
            </w:pPr>
          </w:p>
        </w:tc>
        <w:tc>
          <w:tcPr>
            <w:tcW w:w="0" w:type="auto"/>
            <w:vAlign w:val="center"/>
            <w:hideMark/>
          </w:tcPr>
          <w:p w14:paraId="04CB62F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99F7D9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A29D2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773554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E9A7D06" w14:textId="77777777" w:rsidR="00000000" w:rsidRDefault="001A570A">
            <w:pPr>
              <w:rPr>
                <w:rFonts w:eastAsia="Times New Roman"/>
                <w:sz w:val="20"/>
                <w:szCs w:val="20"/>
              </w:rPr>
            </w:pPr>
          </w:p>
        </w:tc>
      </w:tr>
      <w:tr w:rsidR="00000000" w14:paraId="77E23E3E" w14:textId="77777777">
        <w:trPr>
          <w:divId w:val="1408530922"/>
        </w:trPr>
        <w:tc>
          <w:tcPr>
            <w:tcW w:w="0" w:type="auto"/>
            <w:gridSpan w:val="3"/>
            <w:shd w:val="clear" w:color="auto" w:fill="CCEEFF"/>
            <w:tcMar>
              <w:top w:w="30" w:type="dxa"/>
              <w:left w:w="20" w:type="dxa"/>
              <w:bottom w:w="30" w:type="dxa"/>
              <w:right w:w="20" w:type="dxa"/>
            </w:tcMar>
            <w:hideMark/>
          </w:tcPr>
          <w:p w14:paraId="015DFF49" w14:textId="77777777" w:rsidR="00000000" w:rsidRDefault="001A570A">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0E17523D"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AA2E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8A53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6112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BC8D73" w14:textId="77777777" w:rsidR="00000000" w:rsidRDefault="001A570A">
            <w:pPr>
              <w:rPr>
                <w:rFonts w:eastAsia="Times New Roman"/>
                <w:sz w:val="20"/>
                <w:szCs w:val="20"/>
              </w:rPr>
            </w:pPr>
          </w:p>
        </w:tc>
        <w:tc>
          <w:tcPr>
            <w:tcW w:w="0" w:type="auto"/>
            <w:vAlign w:val="center"/>
            <w:hideMark/>
          </w:tcPr>
          <w:p w14:paraId="278B3E2C" w14:textId="77777777" w:rsidR="00000000" w:rsidRDefault="001A570A">
            <w:pPr>
              <w:rPr>
                <w:rFonts w:eastAsia="Times New Roman"/>
                <w:sz w:val="20"/>
                <w:szCs w:val="20"/>
              </w:rPr>
            </w:pPr>
          </w:p>
        </w:tc>
        <w:tc>
          <w:tcPr>
            <w:tcW w:w="0" w:type="auto"/>
            <w:vAlign w:val="center"/>
            <w:hideMark/>
          </w:tcPr>
          <w:p w14:paraId="23DCE16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C0B1FE" w14:textId="77777777" w:rsidR="00000000" w:rsidRDefault="001A570A">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5A793B3B" w14:textId="77777777" w:rsidR="00000000" w:rsidRDefault="001A570A">
            <w:pPr>
              <w:rPr>
                <w:rFonts w:eastAsia="Times New Roman"/>
                <w:sz w:val="20"/>
                <w:szCs w:val="20"/>
              </w:rPr>
            </w:pPr>
          </w:p>
        </w:tc>
      </w:tr>
      <w:tr w:rsidR="00000000" w14:paraId="1F43983A" w14:textId="77777777">
        <w:trPr>
          <w:divId w:val="1408530922"/>
        </w:trPr>
        <w:tc>
          <w:tcPr>
            <w:tcW w:w="0" w:type="auto"/>
            <w:gridSpan w:val="3"/>
            <w:shd w:val="clear" w:color="auto" w:fill="FFFFFF"/>
            <w:tcMar>
              <w:top w:w="30" w:type="dxa"/>
              <w:left w:w="290" w:type="dxa"/>
              <w:bottom w:w="30" w:type="dxa"/>
              <w:right w:w="20" w:type="dxa"/>
            </w:tcMar>
            <w:hideMark/>
          </w:tcPr>
          <w:p w14:paraId="3D7ABB5F"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2873064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C39DD0" w14:textId="77777777" w:rsidR="00000000" w:rsidRDefault="001A570A">
            <w:pPr>
              <w:jc w:val="right"/>
              <w:rPr>
                <w:rFonts w:eastAsia="Times New Roman"/>
              </w:rPr>
            </w:pPr>
            <w:r>
              <w:rPr>
                <w:rFonts w:eastAsia="Times New Roman"/>
                <w:color w:val="000000"/>
                <w:sz w:val="20"/>
                <w:szCs w:val="20"/>
              </w:rPr>
              <w:t>5,538 </w:t>
            </w:r>
          </w:p>
        </w:tc>
        <w:tc>
          <w:tcPr>
            <w:tcW w:w="0" w:type="auto"/>
            <w:shd w:val="clear" w:color="auto" w:fill="FFFFFF"/>
            <w:tcMar>
              <w:top w:w="30" w:type="dxa"/>
              <w:left w:w="0" w:type="dxa"/>
              <w:bottom w:w="30" w:type="dxa"/>
              <w:right w:w="20" w:type="dxa"/>
            </w:tcMar>
            <w:vAlign w:val="bottom"/>
            <w:hideMark/>
          </w:tcPr>
          <w:p w14:paraId="6E8A293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C68C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2CFB9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BD2434" w14:textId="77777777" w:rsidR="00000000" w:rsidRDefault="001A570A">
            <w:pPr>
              <w:jc w:val="right"/>
              <w:rPr>
                <w:rFonts w:eastAsia="Times New Roman"/>
              </w:rPr>
            </w:pPr>
            <w:r>
              <w:rPr>
                <w:rFonts w:eastAsia="Times New Roman"/>
                <w:color w:val="000000"/>
                <w:sz w:val="20"/>
                <w:szCs w:val="20"/>
              </w:rPr>
              <w:t>2,783 </w:t>
            </w:r>
          </w:p>
        </w:tc>
        <w:tc>
          <w:tcPr>
            <w:tcW w:w="0" w:type="auto"/>
            <w:shd w:val="clear" w:color="auto" w:fill="FFFFFF"/>
            <w:tcMar>
              <w:top w:w="30" w:type="dxa"/>
              <w:left w:w="0" w:type="dxa"/>
              <w:bottom w:w="30" w:type="dxa"/>
              <w:right w:w="20" w:type="dxa"/>
            </w:tcMar>
            <w:vAlign w:val="bottom"/>
            <w:hideMark/>
          </w:tcPr>
          <w:p w14:paraId="5822AFE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27EDE"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189D799"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3020F754" w14:textId="77777777" w:rsidR="00000000" w:rsidRDefault="001A570A">
            <w:pPr>
              <w:jc w:val="right"/>
              <w:rPr>
                <w:rFonts w:eastAsia="Times New Roman"/>
              </w:rPr>
            </w:pPr>
          </w:p>
        </w:tc>
        <w:tc>
          <w:tcPr>
            <w:tcW w:w="0" w:type="auto"/>
            <w:vAlign w:val="center"/>
            <w:hideMark/>
          </w:tcPr>
          <w:p w14:paraId="7BBD16D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1772B" w14:textId="77777777" w:rsidR="00000000" w:rsidRDefault="001A570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E5704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1154D3" w14:textId="77777777" w:rsidR="00000000" w:rsidRDefault="001A570A">
            <w:pPr>
              <w:jc w:val="right"/>
              <w:rPr>
                <w:rFonts w:eastAsia="Times New Roman"/>
              </w:rPr>
            </w:pPr>
            <w:r>
              <w:rPr>
                <w:rFonts w:eastAsia="Times New Roman"/>
                <w:color w:val="000000"/>
                <w:sz w:val="20"/>
                <w:szCs w:val="20"/>
              </w:rPr>
              <w:t>5,360 </w:t>
            </w:r>
          </w:p>
        </w:tc>
        <w:tc>
          <w:tcPr>
            <w:tcW w:w="0" w:type="auto"/>
            <w:shd w:val="clear" w:color="auto" w:fill="FFFFFF"/>
            <w:tcMar>
              <w:top w:w="30" w:type="dxa"/>
              <w:left w:w="0" w:type="dxa"/>
              <w:bottom w:w="30" w:type="dxa"/>
              <w:right w:w="20" w:type="dxa"/>
            </w:tcMar>
            <w:vAlign w:val="bottom"/>
            <w:hideMark/>
          </w:tcPr>
          <w:p w14:paraId="4AEFCDE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A4FE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97A0D0"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E013463" w14:textId="77777777" w:rsidR="00000000" w:rsidRDefault="001A570A">
            <w:pPr>
              <w:jc w:val="right"/>
              <w:rPr>
                <w:rFonts w:eastAsia="Times New Roman"/>
              </w:rPr>
            </w:pPr>
            <w:r>
              <w:rPr>
                <w:rFonts w:eastAsia="Times New Roman"/>
                <w:color w:val="000000"/>
                <w:sz w:val="20"/>
                <w:szCs w:val="20"/>
              </w:rPr>
              <w:t>%</w:t>
            </w:r>
          </w:p>
        </w:tc>
      </w:tr>
      <w:tr w:rsidR="00000000" w14:paraId="1263A7B8" w14:textId="77777777">
        <w:trPr>
          <w:divId w:val="1408530922"/>
        </w:trPr>
        <w:tc>
          <w:tcPr>
            <w:tcW w:w="0" w:type="auto"/>
            <w:gridSpan w:val="3"/>
            <w:shd w:val="clear" w:color="auto" w:fill="CCEEFF"/>
            <w:tcMar>
              <w:top w:w="30" w:type="dxa"/>
              <w:left w:w="290" w:type="dxa"/>
              <w:bottom w:w="30" w:type="dxa"/>
              <w:right w:w="20" w:type="dxa"/>
            </w:tcMar>
            <w:hideMark/>
          </w:tcPr>
          <w:p w14:paraId="7F33AFE0"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7CEF1729" w14:textId="77777777" w:rsidR="00000000" w:rsidRDefault="001A570A">
            <w:pPr>
              <w:jc w:val="right"/>
              <w:rPr>
                <w:rFonts w:eastAsia="Times New Roman"/>
              </w:rPr>
            </w:pPr>
            <w:r>
              <w:rPr>
                <w:rFonts w:eastAsia="Times New Roman"/>
                <w:color w:val="000000"/>
                <w:sz w:val="20"/>
                <w:szCs w:val="20"/>
              </w:rPr>
              <w:t>4,946 </w:t>
            </w:r>
          </w:p>
        </w:tc>
        <w:tc>
          <w:tcPr>
            <w:tcW w:w="0" w:type="auto"/>
            <w:shd w:val="clear" w:color="auto" w:fill="CCEEFF"/>
            <w:tcMar>
              <w:top w:w="30" w:type="dxa"/>
              <w:left w:w="0" w:type="dxa"/>
              <w:bottom w:w="30" w:type="dxa"/>
              <w:right w:w="20" w:type="dxa"/>
            </w:tcMar>
            <w:vAlign w:val="bottom"/>
            <w:hideMark/>
          </w:tcPr>
          <w:p w14:paraId="7B588A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97EB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F5E24" w14:textId="77777777" w:rsidR="00000000" w:rsidRDefault="001A570A">
            <w:pPr>
              <w:jc w:val="right"/>
              <w:rPr>
                <w:rFonts w:eastAsia="Times New Roman"/>
              </w:rPr>
            </w:pPr>
            <w:r>
              <w:rPr>
                <w:rFonts w:eastAsia="Times New Roman"/>
                <w:color w:val="000000"/>
                <w:sz w:val="20"/>
                <w:szCs w:val="20"/>
              </w:rPr>
              <w:t>4,352 </w:t>
            </w:r>
          </w:p>
        </w:tc>
        <w:tc>
          <w:tcPr>
            <w:tcW w:w="0" w:type="auto"/>
            <w:shd w:val="clear" w:color="auto" w:fill="CCEEFF"/>
            <w:tcMar>
              <w:top w:w="30" w:type="dxa"/>
              <w:left w:w="0" w:type="dxa"/>
              <w:bottom w:w="30" w:type="dxa"/>
              <w:right w:w="20" w:type="dxa"/>
            </w:tcMar>
            <w:vAlign w:val="bottom"/>
            <w:hideMark/>
          </w:tcPr>
          <w:p w14:paraId="5F9B6A3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773D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4A6A0"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36E90A96"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2547FAC1" w14:textId="77777777" w:rsidR="00000000" w:rsidRDefault="001A570A">
            <w:pPr>
              <w:jc w:val="right"/>
              <w:rPr>
                <w:rFonts w:eastAsia="Times New Roman"/>
              </w:rPr>
            </w:pPr>
          </w:p>
        </w:tc>
        <w:tc>
          <w:tcPr>
            <w:tcW w:w="0" w:type="auto"/>
            <w:vAlign w:val="center"/>
            <w:hideMark/>
          </w:tcPr>
          <w:p w14:paraId="556B84E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D71E2A"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CEF3A" w14:textId="77777777" w:rsidR="00000000" w:rsidRDefault="001A570A">
            <w:pPr>
              <w:jc w:val="right"/>
              <w:rPr>
                <w:rFonts w:eastAsia="Times New Roman"/>
              </w:rPr>
            </w:pPr>
            <w:r>
              <w:rPr>
                <w:rFonts w:eastAsia="Times New Roman"/>
                <w:color w:val="000000"/>
                <w:sz w:val="20"/>
                <w:szCs w:val="20"/>
              </w:rPr>
              <w:t>4,689 </w:t>
            </w:r>
          </w:p>
        </w:tc>
        <w:tc>
          <w:tcPr>
            <w:tcW w:w="0" w:type="auto"/>
            <w:shd w:val="clear" w:color="auto" w:fill="CCEEFF"/>
            <w:tcMar>
              <w:top w:w="30" w:type="dxa"/>
              <w:left w:w="0" w:type="dxa"/>
              <w:bottom w:w="30" w:type="dxa"/>
              <w:right w:w="20" w:type="dxa"/>
            </w:tcMar>
            <w:vAlign w:val="bottom"/>
            <w:hideMark/>
          </w:tcPr>
          <w:p w14:paraId="78623FD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8D92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F06FBC"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31FB57CA" w14:textId="77777777" w:rsidR="00000000" w:rsidRDefault="001A570A">
            <w:pPr>
              <w:jc w:val="right"/>
              <w:rPr>
                <w:rFonts w:eastAsia="Times New Roman"/>
              </w:rPr>
            </w:pPr>
            <w:r>
              <w:rPr>
                <w:rFonts w:eastAsia="Times New Roman"/>
                <w:color w:val="000000"/>
                <w:sz w:val="20"/>
                <w:szCs w:val="20"/>
              </w:rPr>
              <w:t>%</w:t>
            </w:r>
          </w:p>
        </w:tc>
      </w:tr>
      <w:tr w:rsidR="00000000" w14:paraId="3EFF3DDE" w14:textId="77777777">
        <w:trPr>
          <w:divId w:val="1408530922"/>
        </w:trPr>
        <w:tc>
          <w:tcPr>
            <w:tcW w:w="0" w:type="auto"/>
            <w:gridSpan w:val="3"/>
            <w:shd w:val="clear" w:color="auto" w:fill="FFFFFF"/>
            <w:tcMar>
              <w:top w:w="30" w:type="dxa"/>
              <w:left w:w="290" w:type="dxa"/>
              <w:bottom w:w="30" w:type="dxa"/>
              <w:right w:w="20" w:type="dxa"/>
            </w:tcMar>
            <w:hideMark/>
          </w:tcPr>
          <w:p w14:paraId="1425EE53"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0E34ADA3" w14:textId="77777777" w:rsidR="00000000" w:rsidRDefault="001A570A">
            <w:pPr>
              <w:jc w:val="right"/>
              <w:rPr>
                <w:rFonts w:eastAsia="Times New Roman"/>
              </w:rPr>
            </w:pPr>
            <w:r>
              <w:rPr>
                <w:rFonts w:eastAsia="Times New Roman"/>
                <w:color w:val="000000"/>
                <w:sz w:val="20"/>
                <w:szCs w:val="20"/>
              </w:rPr>
              <w:t>4,443 </w:t>
            </w:r>
          </w:p>
        </w:tc>
        <w:tc>
          <w:tcPr>
            <w:tcW w:w="0" w:type="auto"/>
            <w:shd w:val="clear" w:color="auto" w:fill="FFFFFF"/>
            <w:tcMar>
              <w:top w:w="30" w:type="dxa"/>
              <w:left w:w="0" w:type="dxa"/>
              <w:bottom w:w="30" w:type="dxa"/>
              <w:right w:w="20" w:type="dxa"/>
            </w:tcMar>
            <w:vAlign w:val="bottom"/>
            <w:hideMark/>
          </w:tcPr>
          <w:p w14:paraId="15F604A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C7A1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84A9E2" w14:textId="77777777" w:rsidR="00000000" w:rsidRDefault="001A570A">
            <w:pPr>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14:paraId="697621A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6331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124235"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2282D115"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0F9BE6B4" w14:textId="77777777" w:rsidR="00000000" w:rsidRDefault="001A570A">
            <w:pPr>
              <w:jc w:val="right"/>
              <w:rPr>
                <w:rFonts w:eastAsia="Times New Roman"/>
              </w:rPr>
            </w:pPr>
          </w:p>
        </w:tc>
        <w:tc>
          <w:tcPr>
            <w:tcW w:w="0" w:type="auto"/>
            <w:vAlign w:val="center"/>
            <w:hideMark/>
          </w:tcPr>
          <w:p w14:paraId="6AEE333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2FF583"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A7A54" w14:textId="77777777" w:rsidR="00000000" w:rsidRDefault="001A570A">
            <w:pPr>
              <w:jc w:val="right"/>
              <w:rPr>
                <w:rFonts w:eastAsia="Times New Roman"/>
              </w:rPr>
            </w:pPr>
            <w:r>
              <w:rPr>
                <w:rFonts w:eastAsia="Times New Roman"/>
                <w:color w:val="000000"/>
                <w:sz w:val="20"/>
                <w:szCs w:val="20"/>
              </w:rPr>
              <w:t>4,278 </w:t>
            </w:r>
          </w:p>
        </w:tc>
        <w:tc>
          <w:tcPr>
            <w:tcW w:w="0" w:type="auto"/>
            <w:shd w:val="clear" w:color="auto" w:fill="FFFFFF"/>
            <w:tcMar>
              <w:top w:w="30" w:type="dxa"/>
              <w:left w:w="0" w:type="dxa"/>
              <w:bottom w:w="30" w:type="dxa"/>
              <w:right w:w="20" w:type="dxa"/>
            </w:tcMar>
            <w:vAlign w:val="bottom"/>
            <w:hideMark/>
          </w:tcPr>
          <w:p w14:paraId="2763DD4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BE07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E93D0"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7C896BF3" w14:textId="77777777" w:rsidR="00000000" w:rsidRDefault="001A570A">
            <w:pPr>
              <w:jc w:val="right"/>
              <w:rPr>
                <w:rFonts w:eastAsia="Times New Roman"/>
              </w:rPr>
            </w:pPr>
            <w:r>
              <w:rPr>
                <w:rFonts w:eastAsia="Times New Roman"/>
                <w:color w:val="000000"/>
                <w:sz w:val="20"/>
                <w:szCs w:val="20"/>
              </w:rPr>
              <w:t>%</w:t>
            </w:r>
          </w:p>
        </w:tc>
      </w:tr>
      <w:tr w:rsidR="00000000" w14:paraId="1D347503" w14:textId="77777777">
        <w:trPr>
          <w:divId w:val="1408530922"/>
        </w:trPr>
        <w:tc>
          <w:tcPr>
            <w:tcW w:w="0" w:type="auto"/>
            <w:gridSpan w:val="3"/>
            <w:shd w:val="clear" w:color="auto" w:fill="CCEEFF"/>
            <w:tcMar>
              <w:top w:w="30" w:type="dxa"/>
              <w:left w:w="260" w:type="dxa"/>
              <w:bottom w:w="30" w:type="dxa"/>
              <w:right w:w="20" w:type="dxa"/>
            </w:tcMar>
            <w:hideMark/>
          </w:tcPr>
          <w:p w14:paraId="60F53966"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3AA7F065" w14:textId="77777777" w:rsidR="00000000" w:rsidRDefault="001A570A">
            <w:pPr>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14:paraId="57BE339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D62E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58CD62" w14:textId="77777777" w:rsidR="00000000" w:rsidRDefault="001A570A">
            <w:pPr>
              <w:jc w:val="right"/>
              <w:rPr>
                <w:rFonts w:eastAsia="Times New Roman"/>
              </w:rPr>
            </w:pPr>
            <w:r>
              <w:rPr>
                <w:rFonts w:eastAsia="Times New Roman"/>
                <w:color w:val="000000"/>
                <w:sz w:val="20"/>
                <w:szCs w:val="20"/>
              </w:rPr>
              <w:t>2,368 </w:t>
            </w:r>
          </w:p>
        </w:tc>
        <w:tc>
          <w:tcPr>
            <w:tcW w:w="0" w:type="auto"/>
            <w:shd w:val="clear" w:color="auto" w:fill="CCEEFF"/>
            <w:tcMar>
              <w:top w:w="30" w:type="dxa"/>
              <w:left w:w="0" w:type="dxa"/>
              <w:bottom w:w="30" w:type="dxa"/>
              <w:right w:w="20" w:type="dxa"/>
            </w:tcMar>
            <w:vAlign w:val="bottom"/>
            <w:hideMark/>
          </w:tcPr>
          <w:p w14:paraId="69CBCD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0766A"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31BAE81"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78025736" w14:textId="77777777" w:rsidR="00000000" w:rsidRDefault="001A570A">
            <w:pPr>
              <w:jc w:val="right"/>
              <w:rPr>
                <w:rFonts w:eastAsia="Times New Roman"/>
              </w:rPr>
            </w:pPr>
          </w:p>
        </w:tc>
        <w:tc>
          <w:tcPr>
            <w:tcW w:w="0" w:type="auto"/>
            <w:vAlign w:val="center"/>
            <w:hideMark/>
          </w:tcPr>
          <w:p w14:paraId="0CD8B65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D80E08"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9F2E5C" w14:textId="77777777" w:rsidR="00000000" w:rsidRDefault="001A570A">
            <w:pPr>
              <w:jc w:val="right"/>
              <w:rPr>
                <w:rFonts w:eastAsia="Times New Roman"/>
              </w:rPr>
            </w:pPr>
            <w:r>
              <w:rPr>
                <w:rFonts w:eastAsia="Times New Roman"/>
                <w:color w:val="000000"/>
                <w:sz w:val="20"/>
                <w:szCs w:val="20"/>
              </w:rPr>
              <w:t>3,917 </w:t>
            </w:r>
          </w:p>
        </w:tc>
        <w:tc>
          <w:tcPr>
            <w:tcW w:w="0" w:type="auto"/>
            <w:shd w:val="clear" w:color="auto" w:fill="CCEEFF"/>
            <w:tcMar>
              <w:top w:w="30" w:type="dxa"/>
              <w:left w:w="0" w:type="dxa"/>
              <w:bottom w:w="30" w:type="dxa"/>
              <w:right w:w="20" w:type="dxa"/>
            </w:tcMar>
            <w:vAlign w:val="bottom"/>
            <w:hideMark/>
          </w:tcPr>
          <w:p w14:paraId="14C2572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6B4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C848A"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6D958C4E" w14:textId="77777777" w:rsidR="00000000" w:rsidRDefault="001A570A">
            <w:pPr>
              <w:jc w:val="right"/>
              <w:rPr>
                <w:rFonts w:eastAsia="Times New Roman"/>
              </w:rPr>
            </w:pPr>
            <w:r>
              <w:rPr>
                <w:rFonts w:eastAsia="Times New Roman"/>
                <w:color w:val="000000"/>
                <w:sz w:val="20"/>
                <w:szCs w:val="20"/>
              </w:rPr>
              <w:t>%</w:t>
            </w:r>
          </w:p>
        </w:tc>
      </w:tr>
      <w:tr w:rsidR="00000000" w14:paraId="42E2B761" w14:textId="77777777">
        <w:trPr>
          <w:divId w:val="1408530922"/>
        </w:trPr>
        <w:tc>
          <w:tcPr>
            <w:tcW w:w="0" w:type="auto"/>
            <w:gridSpan w:val="3"/>
            <w:shd w:val="clear" w:color="auto" w:fill="FFFFFF"/>
            <w:tcMar>
              <w:top w:w="30" w:type="dxa"/>
              <w:left w:w="290" w:type="dxa"/>
              <w:bottom w:w="30" w:type="dxa"/>
              <w:right w:w="20" w:type="dxa"/>
            </w:tcMar>
            <w:hideMark/>
          </w:tcPr>
          <w:p w14:paraId="0079C47E" w14:textId="77777777" w:rsidR="00000000" w:rsidRDefault="001A570A">
            <w:pPr>
              <w:rPr>
                <w:rFonts w:eastAsia="Times New Roman"/>
              </w:rPr>
            </w:pPr>
            <w:r>
              <w:rPr>
                <w:rFonts w:eastAsia="Times New Roman"/>
                <w:color w:val="000000"/>
                <w:sz w:val="20"/>
                <w:szCs w:val="20"/>
              </w:rPr>
              <w:t>Other non-reportable business segments</w:t>
            </w:r>
          </w:p>
        </w:tc>
        <w:tc>
          <w:tcPr>
            <w:tcW w:w="0" w:type="auto"/>
            <w:gridSpan w:val="2"/>
            <w:shd w:val="clear" w:color="auto" w:fill="FFFFFF"/>
            <w:tcMar>
              <w:top w:w="30" w:type="dxa"/>
              <w:left w:w="20" w:type="dxa"/>
              <w:bottom w:w="30" w:type="dxa"/>
              <w:right w:w="0" w:type="dxa"/>
            </w:tcMar>
            <w:vAlign w:val="bottom"/>
            <w:hideMark/>
          </w:tcPr>
          <w:p w14:paraId="5A73C56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69D4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AC32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DFBB9" w14:textId="77777777" w:rsidR="00000000" w:rsidRDefault="001A570A">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6CDEBD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4E00D"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3E41F14"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3188F944" w14:textId="77777777" w:rsidR="00000000" w:rsidRDefault="001A570A">
            <w:pPr>
              <w:jc w:val="right"/>
              <w:rPr>
                <w:rFonts w:eastAsia="Times New Roman"/>
              </w:rPr>
            </w:pPr>
          </w:p>
        </w:tc>
        <w:tc>
          <w:tcPr>
            <w:tcW w:w="0" w:type="auto"/>
            <w:vAlign w:val="center"/>
            <w:hideMark/>
          </w:tcPr>
          <w:p w14:paraId="6ECF659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7A35EB"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331D7"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4A4BEB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94681"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662AF0F" w14:textId="77777777" w:rsidR="00000000" w:rsidRDefault="001A570A">
            <w:pPr>
              <w:jc w:val="right"/>
              <w:rPr>
                <w:rFonts w:eastAsia="Times New Roman"/>
              </w:rPr>
            </w:pPr>
            <w:r>
              <w:rPr>
                <w:rFonts w:eastAsia="Times New Roman"/>
                <w:color w:val="000000"/>
                <w:sz w:val="20"/>
                <w:szCs w:val="20"/>
              </w:rPr>
              <w:t>*</w:t>
            </w:r>
          </w:p>
        </w:tc>
      </w:tr>
      <w:tr w:rsidR="00000000" w14:paraId="365EFAD9" w14:textId="77777777">
        <w:trPr>
          <w:divId w:val="1408530922"/>
        </w:trPr>
        <w:tc>
          <w:tcPr>
            <w:tcW w:w="0" w:type="auto"/>
            <w:gridSpan w:val="3"/>
            <w:shd w:val="clear" w:color="auto" w:fill="CCEEFF"/>
            <w:tcMar>
              <w:top w:w="30" w:type="dxa"/>
              <w:left w:w="260" w:type="dxa"/>
              <w:bottom w:w="30" w:type="dxa"/>
              <w:right w:w="20" w:type="dxa"/>
            </w:tcMar>
            <w:hideMark/>
          </w:tcPr>
          <w:p w14:paraId="0EA1D17E" w14:textId="77777777" w:rsidR="00000000" w:rsidRDefault="001A570A">
            <w:pPr>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14:paraId="70EE8CA9" w14:textId="77777777" w:rsidR="00000000" w:rsidRDefault="001A570A">
            <w:pPr>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14:paraId="0A9730F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D900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CA32E9" w14:textId="77777777" w:rsidR="00000000" w:rsidRDefault="001A570A">
            <w:pPr>
              <w:jc w:val="right"/>
              <w:rPr>
                <w:rFonts w:eastAsia="Times New Roman"/>
              </w:rPr>
            </w:pPr>
            <w:r>
              <w:rPr>
                <w:rFonts w:eastAsia="Times New Roman"/>
                <w:color w:val="000000"/>
                <w:sz w:val="20"/>
                <w:szCs w:val="20"/>
              </w:rPr>
              <w:t>(89)</w:t>
            </w:r>
          </w:p>
        </w:tc>
        <w:tc>
          <w:tcPr>
            <w:tcW w:w="0" w:type="auto"/>
            <w:shd w:val="clear" w:color="auto" w:fill="CCEEFF"/>
            <w:tcMar>
              <w:top w:w="30" w:type="dxa"/>
              <w:left w:w="0" w:type="dxa"/>
              <w:bottom w:w="30" w:type="dxa"/>
              <w:right w:w="20" w:type="dxa"/>
            </w:tcMar>
            <w:vAlign w:val="bottom"/>
            <w:hideMark/>
          </w:tcPr>
          <w:p w14:paraId="390FBF2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42E74"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316ED57"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219BC3E0" w14:textId="77777777" w:rsidR="00000000" w:rsidRDefault="001A570A">
            <w:pPr>
              <w:jc w:val="right"/>
              <w:rPr>
                <w:rFonts w:eastAsia="Times New Roman"/>
              </w:rPr>
            </w:pPr>
          </w:p>
        </w:tc>
        <w:tc>
          <w:tcPr>
            <w:tcW w:w="0" w:type="auto"/>
            <w:vAlign w:val="center"/>
            <w:hideMark/>
          </w:tcPr>
          <w:p w14:paraId="6FB634B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11B7EF"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A291D" w14:textId="77777777" w:rsidR="00000000" w:rsidRDefault="001A570A">
            <w:pPr>
              <w:jc w:val="right"/>
              <w:rPr>
                <w:rFonts w:eastAsia="Times New Roman"/>
              </w:rPr>
            </w:pPr>
            <w:r>
              <w:rPr>
                <w:rFonts w:eastAsia="Times New Roman"/>
                <w:color w:val="000000"/>
                <w:sz w:val="20"/>
                <w:szCs w:val="20"/>
              </w:rPr>
              <w:t>(170)</w:t>
            </w:r>
          </w:p>
        </w:tc>
        <w:tc>
          <w:tcPr>
            <w:tcW w:w="0" w:type="auto"/>
            <w:shd w:val="clear" w:color="auto" w:fill="CCEEFF"/>
            <w:tcMar>
              <w:top w:w="30" w:type="dxa"/>
              <w:left w:w="0" w:type="dxa"/>
              <w:bottom w:w="30" w:type="dxa"/>
              <w:right w:w="20" w:type="dxa"/>
            </w:tcMar>
            <w:vAlign w:val="bottom"/>
            <w:hideMark/>
          </w:tcPr>
          <w:p w14:paraId="7C97F67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7A85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613153"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33AE0768" w14:textId="77777777" w:rsidR="00000000" w:rsidRDefault="001A570A">
            <w:pPr>
              <w:jc w:val="right"/>
              <w:rPr>
                <w:rFonts w:eastAsia="Times New Roman"/>
              </w:rPr>
            </w:pPr>
            <w:r>
              <w:rPr>
                <w:rFonts w:eastAsia="Times New Roman"/>
                <w:color w:val="000000"/>
                <w:sz w:val="20"/>
                <w:szCs w:val="20"/>
              </w:rPr>
              <w:t>%</w:t>
            </w:r>
          </w:p>
        </w:tc>
      </w:tr>
      <w:tr w:rsidR="00000000" w14:paraId="26AD7FED" w14:textId="77777777">
        <w:trPr>
          <w:divId w:val="1408530922"/>
        </w:trPr>
        <w:tc>
          <w:tcPr>
            <w:tcW w:w="0" w:type="auto"/>
            <w:gridSpan w:val="3"/>
            <w:shd w:val="clear" w:color="auto" w:fill="FFFFFF"/>
            <w:tcMar>
              <w:top w:w="30" w:type="dxa"/>
              <w:left w:w="35" w:type="dxa"/>
              <w:bottom w:w="30" w:type="dxa"/>
              <w:right w:w="20" w:type="dxa"/>
            </w:tcMar>
            <w:hideMark/>
          </w:tcPr>
          <w:p w14:paraId="74CA170B" w14:textId="77777777" w:rsidR="00000000" w:rsidRDefault="001A570A">
            <w:pPr>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E2F464" w14:textId="77777777" w:rsidR="00000000" w:rsidRDefault="001A570A">
            <w:pPr>
              <w:jc w:val="right"/>
              <w:rPr>
                <w:rFonts w:eastAsia="Times New Roman"/>
              </w:rPr>
            </w:pPr>
            <w:r>
              <w:rPr>
                <w:rFonts w:eastAsia="Times New Roman"/>
                <w:color w:val="000000"/>
                <w:sz w:val="20"/>
                <w:szCs w:val="20"/>
              </w:rPr>
              <w:t>18,194 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C6495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7699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9B86ED" w14:textId="77777777" w:rsidR="00000000" w:rsidRDefault="001A570A">
            <w:pPr>
              <w:jc w:val="right"/>
              <w:rPr>
                <w:rFonts w:eastAsia="Times New Roman"/>
              </w:rPr>
            </w:pPr>
            <w:r>
              <w:rPr>
                <w:rFonts w:eastAsia="Times New Roman"/>
                <w:color w:val="000000"/>
                <w:sz w:val="20"/>
                <w:szCs w:val="20"/>
              </w:rPr>
              <w:t>12,856 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93F23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0D4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9A3BD0" w14:textId="77777777" w:rsidR="00000000" w:rsidRDefault="001A570A">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2DF58D34"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4036DA6F" w14:textId="77777777" w:rsidR="00000000" w:rsidRDefault="001A570A">
            <w:pPr>
              <w:jc w:val="right"/>
              <w:rPr>
                <w:rFonts w:eastAsia="Times New Roman"/>
              </w:rPr>
            </w:pPr>
          </w:p>
        </w:tc>
        <w:tc>
          <w:tcPr>
            <w:tcW w:w="0" w:type="auto"/>
            <w:vAlign w:val="center"/>
            <w:hideMark/>
          </w:tcPr>
          <w:p w14:paraId="1366A64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068082"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7CDF54" w14:textId="77777777" w:rsidR="00000000" w:rsidRDefault="001A570A">
            <w:pPr>
              <w:jc w:val="right"/>
              <w:rPr>
                <w:rFonts w:eastAsia="Times New Roman"/>
              </w:rPr>
            </w:pPr>
            <w:r>
              <w:rPr>
                <w:rFonts w:eastAsia="Times New Roman"/>
                <w:color w:val="000000"/>
                <w:sz w:val="20"/>
                <w:szCs w:val="20"/>
              </w:rPr>
              <w:t>18,097 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908D2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30F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C98B7"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76AB5A20" w14:textId="77777777" w:rsidR="00000000" w:rsidRDefault="001A570A">
            <w:pPr>
              <w:jc w:val="right"/>
              <w:rPr>
                <w:rFonts w:eastAsia="Times New Roman"/>
              </w:rPr>
            </w:pPr>
            <w:r>
              <w:rPr>
                <w:rFonts w:eastAsia="Times New Roman"/>
                <w:color w:val="000000"/>
                <w:sz w:val="20"/>
                <w:szCs w:val="20"/>
              </w:rPr>
              <w:t>%</w:t>
            </w:r>
          </w:p>
        </w:tc>
      </w:tr>
      <w:tr w:rsidR="00000000" w14:paraId="2F436504" w14:textId="77777777">
        <w:trPr>
          <w:divId w:val="1408530922"/>
        </w:trPr>
        <w:tc>
          <w:tcPr>
            <w:tcW w:w="0" w:type="auto"/>
            <w:gridSpan w:val="3"/>
            <w:shd w:val="clear" w:color="auto" w:fill="CCEEFF"/>
            <w:tcMar>
              <w:top w:w="30" w:type="dxa"/>
              <w:left w:w="65" w:type="dxa"/>
              <w:bottom w:w="30" w:type="dxa"/>
              <w:right w:w="20" w:type="dxa"/>
            </w:tcMar>
            <w:hideMark/>
          </w:tcPr>
          <w:p w14:paraId="69117C24" w14:textId="77777777" w:rsidR="00000000" w:rsidRDefault="001A570A">
            <w:pPr>
              <w:rPr>
                <w:rFonts w:eastAsia="Times New Roman"/>
              </w:rPr>
            </w:pPr>
            <w:r>
              <w:rPr>
                <w:rFonts w:eastAsia="Times New Roman"/>
                <w:color w:val="000000"/>
                <w:sz w:val="20"/>
                <w:szCs w:val="20"/>
              </w:rPr>
              <w:t>Total cost of product sales and services</w:t>
            </w:r>
          </w:p>
        </w:tc>
        <w:tc>
          <w:tcPr>
            <w:tcW w:w="0" w:type="auto"/>
            <w:gridSpan w:val="2"/>
            <w:shd w:val="clear" w:color="auto" w:fill="CCEEFF"/>
            <w:tcMar>
              <w:top w:w="30" w:type="dxa"/>
              <w:left w:w="20" w:type="dxa"/>
              <w:bottom w:w="30" w:type="dxa"/>
              <w:right w:w="0" w:type="dxa"/>
            </w:tcMar>
            <w:vAlign w:val="bottom"/>
            <w:hideMark/>
          </w:tcPr>
          <w:p w14:paraId="5ED45122" w14:textId="77777777" w:rsidR="00000000" w:rsidRDefault="001A570A">
            <w:pPr>
              <w:jc w:val="right"/>
              <w:rPr>
                <w:rFonts w:eastAsia="Times New Roman"/>
              </w:rPr>
            </w:pPr>
            <w:r>
              <w:rPr>
                <w:rFonts w:eastAsia="Times New Roman"/>
                <w:color w:val="000000"/>
                <w:sz w:val="20"/>
                <w:szCs w:val="20"/>
              </w:rPr>
              <w:t>(12,886)</w:t>
            </w:r>
          </w:p>
        </w:tc>
        <w:tc>
          <w:tcPr>
            <w:tcW w:w="0" w:type="auto"/>
            <w:shd w:val="clear" w:color="auto" w:fill="CCEEFF"/>
            <w:tcMar>
              <w:top w:w="30" w:type="dxa"/>
              <w:left w:w="0" w:type="dxa"/>
              <w:bottom w:w="30" w:type="dxa"/>
              <w:right w:w="20" w:type="dxa"/>
            </w:tcMar>
            <w:vAlign w:val="bottom"/>
            <w:hideMark/>
          </w:tcPr>
          <w:p w14:paraId="123980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FC335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94B05" w14:textId="77777777" w:rsidR="00000000" w:rsidRDefault="001A570A">
            <w:pPr>
              <w:jc w:val="right"/>
              <w:rPr>
                <w:rFonts w:eastAsia="Times New Roman"/>
              </w:rPr>
            </w:pPr>
            <w:r>
              <w:rPr>
                <w:rFonts w:eastAsia="Times New Roman"/>
                <w:color w:val="000000"/>
                <w:sz w:val="20"/>
                <w:szCs w:val="20"/>
              </w:rPr>
              <w:t>(9,088)</w:t>
            </w:r>
          </w:p>
        </w:tc>
        <w:tc>
          <w:tcPr>
            <w:tcW w:w="0" w:type="auto"/>
            <w:shd w:val="clear" w:color="auto" w:fill="CCEEFF"/>
            <w:tcMar>
              <w:top w:w="30" w:type="dxa"/>
              <w:left w:w="0" w:type="dxa"/>
              <w:bottom w:w="30" w:type="dxa"/>
              <w:right w:w="20" w:type="dxa"/>
            </w:tcMar>
            <w:vAlign w:val="bottom"/>
            <w:hideMark/>
          </w:tcPr>
          <w:p w14:paraId="76CFD92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B95C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3E9618" w14:textId="77777777" w:rsidR="00000000" w:rsidRDefault="001A570A">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1310C82D"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05DC1555" w14:textId="77777777" w:rsidR="00000000" w:rsidRDefault="001A570A">
            <w:pPr>
              <w:jc w:val="right"/>
              <w:rPr>
                <w:rFonts w:eastAsia="Times New Roman"/>
              </w:rPr>
            </w:pPr>
          </w:p>
        </w:tc>
        <w:tc>
          <w:tcPr>
            <w:tcW w:w="0" w:type="auto"/>
            <w:vAlign w:val="center"/>
            <w:hideMark/>
          </w:tcPr>
          <w:p w14:paraId="672B241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144165"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DC4FE" w14:textId="77777777" w:rsidR="00000000" w:rsidRDefault="001A570A">
            <w:pPr>
              <w:jc w:val="right"/>
              <w:rPr>
                <w:rFonts w:eastAsia="Times New Roman"/>
              </w:rPr>
            </w:pPr>
            <w:r>
              <w:rPr>
                <w:rFonts w:eastAsia="Times New Roman"/>
                <w:color w:val="000000"/>
                <w:sz w:val="20"/>
                <w:szCs w:val="20"/>
              </w:rPr>
              <w:t>(12,907)</w:t>
            </w:r>
          </w:p>
        </w:tc>
        <w:tc>
          <w:tcPr>
            <w:tcW w:w="0" w:type="auto"/>
            <w:shd w:val="clear" w:color="auto" w:fill="CCEEFF"/>
            <w:tcMar>
              <w:top w:w="30" w:type="dxa"/>
              <w:left w:w="0" w:type="dxa"/>
              <w:bottom w:w="30" w:type="dxa"/>
              <w:right w:w="20" w:type="dxa"/>
            </w:tcMar>
            <w:vAlign w:val="bottom"/>
            <w:hideMark/>
          </w:tcPr>
          <w:p w14:paraId="4A1AFD2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E491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79AC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F8A0F2" w14:textId="77777777" w:rsidR="00000000" w:rsidRDefault="001A570A">
            <w:pPr>
              <w:jc w:val="right"/>
              <w:rPr>
                <w:rFonts w:eastAsia="Times New Roman"/>
              </w:rPr>
            </w:pPr>
            <w:r>
              <w:rPr>
                <w:rFonts w:eastAsia="Times New Roman"/>
                <w:color w:val="000000"/>
                <w:sz w:val="20"/>
                <w:szCs w:val="20"/>
              </w:rPr>
              <w:t>%</w:t>
            </w:r>
          </w:p>
        </w:tc>
      </w:tr>
      <w:tr w:rsidR="00000000" w14:paraId="6D784EB1" w14:textId="77777777">
        <w:trPr>
          <w:divId w:val="1408530922"/>
        </w:trPr>
        <w:tc>
          <w:tcPr>
            <w:tcW w:w="0" w:type="auto"/>
            <w:gridSpan w:val="3"/>
            <w:shd w:val="clear" w:color="auto" w:fill="FFFFFF"/>
            <w:tcMar>
              <w:top w:w="30" w:type="dxa"/>
              <w:left w:w="155" w:type="dxa"/>
              <w:bottom w:w="30" w:type="dxa"/>
              <w:right w:w="20" w:type="dxa"/>
            </w:tcMar>
            <w:hideMark/>
          </w:tcPr>
          <w:p w14:paraId="47872318"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265A24FD" w14:textId="77777777" w:rsidR="00000000" w:rsidRDefault="001A570A">
            <w:pPr>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14:paraId="6B49CC82"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93785D3"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15A707" w14:textId="77777777" w:rsidR="00000000" w:rsidRDefault="001A570A">
            <w:pPr>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14:paraId="03B573F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32D81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E7DC9" w14:textId="77777777" w:rsidR="00000000" w:rsidRDefault="001A570A">
            <w:pPr>
              <w:rPr>
                <w:rFonts w:eastAsia="Times New Roman"/>
                <w:sz w:val="20"/>
                <w:szCs w:val="20"/>
              </w:rPr>
            </w:pPr>
          </w:p>
        </w:tc>
        <w:tc>
          <w:tcPr>
            <w:tcW w:w="0" w:type="auto"/>
            <w:vAlign w:val="center"/>
            <w:hideMark/>
          </w:tcPr>
          <w:p w14:paraId="1DEC82D4" w14:textId="77777777" w:rsidR="00000000" w:rsidRDefault="001A570A">
            <w:pPr>
              <w:rPr>
                <w:rFonts w:eastAsia="Times New Roman"/>
                <w:sz w:val="20"/>
                <w:szCs w:val="20"/>
              </w:rPr>
            </w:pPr>
          </w:p>
        </w:tc>
        <w:tc>
          <w:tcPr>
            <w:tcW w:w="0" w:type="auto"/>
            <w:vAlign w:val="center"/>
            <w:hideMark/>
          </w:tcPr>
          <w:p w14:paraId="1563CDB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D6CE80"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CDE1D" w14:textId="77777777" w:rsidR="00000000" w:rsidRDefault="001A570A">
            <w:pPr>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14:paraId="57A1E1AA"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5B1C8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19AB1" w14:textId="77777777" w:rsidR="00000000" w:rsidRDefault="001A570A">
            <w:pPr>
              <w:rPr>
                <w:rFonts w:eastAsia="Times New Roman"/>
                <w:sz w:val="20"/>
                <w:szCs w:val="20"/>
              </w:rPr>
            </w:pPr>
          </w:p>
        </w:tc>
      </w:tr>
      <w:tr w:rsidR="00000000" w14:paraId="2F1032B7" w14:textId="77777777">
        <w:trPr>
          <w:divId w:val="1408530922"/>
        </w:trPr>
        <w:tc>
          <w:tcPr>
            <w:tcW w:w="0" w:type="auto"/>
            <w:gridSpan w:val="3"/>
            <w:shd w:val="clear" w:color="auto" w:fill="CCEEFF"/>
            <w:tcMar>
              <w:top w:w="30" w:type="dxa"/>
              <w:left w:w="35" w:type="dxa"/>
              <w:bottom w:w="30" w:type="dxa"/>
              <w:right w:w="20" w:type="dxa"/>
            </w:tcMar>
            <w:hideMark/>
          </w:tcPr>
          <w:p w14:paraId="3B6FC6B3" w14:textId="77777777" w:rsidR="00000000" w:rsidRDefault="001A570A">
            <w:pPr>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26982B" w14:textId="77777777" w:rsidR="00000000" w:rsidRDefault="001A570A">
            <w:pPr>
              <w:jc w:val="right"/>
              <w:rPr>
                <w:rFonts w:eastAsia="Times New Roman"/>
              </w:rPr>
            </w:pPr>
            <w:r>
              <w:rPr>
                <w:rFonts w:eastAsia="Times New Roman"/>
                <w:color w:val="000000"/>
                <w:sz w:val="20"/>
                <w:szCs w:val="20"/>
              </w:rPr>
              <w:t>5,308 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88C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5271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2A6AA4" w14:textId="77777777" w:rsidR="00000000" w:rsidRDefault="001A570A">
            <w:pPr>
              <w:jc w:val="right"/>
              <w:rPr>
                <w:rFonts w:eastAsia="Times New Roman"/>
              </w:rPr>
            </w:pPr>
            <w:r>
              <w:rPr>
                <w:rFonts w:eastAsia="Times New Roman"/>
                <w:color w:val="000000"/>
                <w:sz w:val="20"/>
                <w:szCs w:val="20"/>
              </w:rPr>
              <w:t>3,768 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49C6A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6F3E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D7825D" w14:textId="77777777" w:rsidR="00000000" w:rsidRDefault="001A570A">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47B11263"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6F1B2951" w14:textId="77777777" w:rsidR="00000000" w:rsidRDefault="001A570A">
            <w:pPr>
              <w:jc w:val="right"/>
              <w:rPr>
                <w:rFonts w:eastAsia="Times New Roman"/>
              </w:rPr>
            </w:pPr>
          </w:p>
        </w:tc>
        <w:tc>
          <w:tcPr>
            <w:tcW w:w="0" w:type="auto"/>
            <w:vAlign w:val="center"/>
            <w:hideMark/>
          </w:tcPr>
          <w:p w14:paraId="000D01F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105D3"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191FC2" w14:textId="77777777" w:rsidR="00000000" w:rsidRDefault="001A570A">
            <w:pPr>
              <w:jc w:val="right"/>
              <w:rPr>
                <w:rFonts w:eastAsia="Times New Roman"/>
              </w:rPr>
            </w:pPr>
            <w:r>
              <w:rPr>
                <w:rFonts w:eastAsia="Times New Roman"/>
                <w:color w:val="000000"/>
                <w:sz w:val="20"/>
                <w:szCs w:val="20"/>
              </w:rPr>
              <w:t>5,190 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E42E2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AC2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85C4BA"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FD8E684" w14:textId="77777777" w:rsidR="00000000" w:rsidRDefault="001A570A">
            <w:pPr>
              <w:jc w:val="right"/>
              <w:rPr>
                <w:rFonts w:eastAsia="Times New Roman"/>
              </w:rPr>
            </w:pPr>
            <w:r>
              <w:rPr>
                <w:rFonts w:eastAsia="Times New Roman"/>
                <w:color w:val="000000"/>
                <w:sz w:val="20"/>
                <w:szCs w:val="20"/>
              </w:rPr>
              <w:t>%</w:t>
            </w:r>
          </w:p>
        </w:tc>
      </w:tr>
      <w:tr w:rsidR="00000000" w14:paraId="105E1D00" w14:textId="77777777">
        <w:trPr>
          <w:divId w:val="1408530922"/>
        </w:trPr>
        <w:tc>
          <w:tcPr>
            <w:tcW w:w="0" w:type="auto"/>
            <w:gridSpan w:val="3"/>
            <w:shd w:val="clear" w:color="auto" w:fill="FFFFFF"/>
            <w:tcMar>
              <w:top w:w="30" w:type="dxa"/>
              <w:left w:w="155" w:type="dxa"/>
              <w:bottom w:w="30" w:type="dxa"/>
              <w:right w:w="20" w:type="dxa"/>
            </w:tcMar>
            <w:hideMark/>
          </w:tcPr>
          <w:p w14:paraId="1B766B60"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29021400" w14:textId="77777777" w:rsidR="00000000" w:rsidRDefault="001A570A">
            <w:pPr>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14:paraId="4FC5FA79"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926CFD1"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FF794A" w14:textId="77777777" w:rsidR="00000000" w:rsidRDefault="001A570A">
            <w:pPr>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14:paraId="43DCE92B"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CE9F5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C871A" w14:textId="77777777" w:rsidR="00000000" w:rsidRDefault="001A570A">
            <w:pPr>
              <w:rPr>
                <w:rFonts w:eastAsia="Times New Roman"/>
                <w:sz w:val="20"/>
                <w:szCs w:val="20"/>
              </w:rPr>
            </w:pPr>
          </w:p>
        </w:tc>
        <w:tc>
          <w:tcPr>
            <w:tcW w:w="0" w:type="auto"/>
            <w:vAlign w:val="center"/>
            <w:hideMark/>
          </w:tcPr>
          <w:p w14:paraId="5827A98A" w14:textId="77777777" w:rsidR="00000000" w:rsidRDefault="001A570A">
            <w:pPr>
              <w:rPr>
                <w:rFonts w:eastAsia="Times New Roman"/>
                <w:sz w:val="20"/>
                <w:szCs w:val="20"/>
              </w:rPr>
            </w:pPr>
          </w:p>
        </w:tc>
        <w:tc>
          <w:tcPr>
            <w:tcW w:w="0" w:type="auto"/>
            <w:vAlign w:val="center"/>
            <w:hideMark/>
          </w:tcPr>
          <w:p w14:paraId="049FFCB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E82F9"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34E6B" w14:textId="77777777" w:rsidR="00000000" w:rsidRDefault="001A570A">
            <w:pPr>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14:paraId="10442F0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CDA0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215E0" w14:textId="77777777" w:rsidR="00000000" w:rsidRDefault="001A570A">
            <w:pPr>
              <w:rPr>
                <w:rFonts w:eastAsia="Times New Roman"/>
                <w:sz w:val="20"/>
                <w:szCs w:val="20"/>
              </w:rPr>
            </w:pPr>
          </w:p>
        </w:tc>
      </w:tr>
      <w:tr w:rsidR="00000000" w14:paraId="723CE96B" w14:textId="77777777">
        <w:trPr>
          <w:divId w:val="1408530922"/>
        </w:trPr>
        <w:tc>
          <w:tcPr>
            <w:tcW w:w="0" w:type="auto"/>
            <w:gridSpan w:val="3"/>
            <w:shd w:val="clear" w:color="auto" w:fill="CCEEFF"/>
            <w:tcMar>
              <w:top w:w="30" w:type="dxa"/>
              <w:left w:w="20" w:type="dxa"/>
              <w:bottom w:w="30" w:type="dxa"/>
              <w:right w:w="20" w:type="dxa"/>
            </w:tcMar>
            <w:hideMark/>
          </w:tcPr>
          <w:p w14:paraId="058B4EB0" w14:textId="77777777" w:rsidR="00000000" w:rsidRDefault="001A570A">
            <w:pPr>
              <w:ind w:hanging="270"/>
              <w:divId w:val="1930845925"/>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4C566691" w14:textId="77777777" w:rsidR="00000000" w:rsidRDefault="001A570A">
            <w:pPr>
              <w:jc w:val="right"/>
              <w:rPr>
                <w:rFonts w:eastAsia="Times New Roman"/>
              </w:rPr>
            </w:pPr>
            <w:r>
              <w:rPr>
                <w:rFonts w:eastAsia="Times New Roman"/>
                <w:color w:val="000000"/>
                <w:sz w:val="20"/>
                <w:szCs w:val="20"/>
              </w:rPr>
              <w:t>(3,315)</w:t>
            </w:r>
          </w:p>
        </w:tc>
        <w:tc>
          <w:tcPr>
            <w:tcW w:w="0" w:type="auto"/>
            <w:shd w:val="clear" w:color="auto" w:fill="CCEEFF"/>
            <w:tcMar>
              <w:top w:w="30" w:type="dxa"/>
              <w:left w:w="0" w:type="dxa"/>
              <w:bottom w:w="30" w:type="dxa"/>
              <w:right w:w="20" w:type="dxa"/>
            </w:tcMar>
            <w:vAlign w:val="bottom"/>
            <w:hideMark/>
          </w:tcPr>
          <w:p w14:paraId="29A99E1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2DB4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4232F7" w14:textId="77777777" w:rsidR="00000000" w:rsidRDefault="001A570A">
            <w:pPr>
              <w:jc w:val="right"/>
              <w:rPr>
                <w:rFonts w:eastAsia="Times New Roman"/>
              </w:rPr>
            </w:pPr>
            <w:r>
              <w:rPr>
                <w:rFonts w:eastAsia="Times New Roman"/>
                <w:color w:val="000000"/>
                <w:sz w:val="20"/>
                <w:szCs w:val="20"/>
              </w:rPr>
              <w:t>(2,540)</w:t>
            </w:r>
          </w:p>
        </w:tc>
        <w:tc>
          <w:tcPr>
            <w:tcW w:w="0" w:type="auto"/>
            <w:shd w:val="clear" w:color="auto" w:fill="CCEEFF"/>
            <w:tcMar>
              <w:top w:w="30" w:type="dxa"/>
              <w:left w:w="0" w:type="dxa"/>
              <w:bottom w:w="30" w:type="dxa"/>
              <w:right w:w="20" w:type="dxa"/>
            </w:tcMar>
            <w:vAlign w:val="bottom"/>
            <w:hideMark/>
          </w:tcPr>
          <w:p w14:paraId="0DAA0C5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9356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3C183"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58D37E6D"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44A61282" w14:textId="77777777" w:rsidR="00000000" w:rsidRDefault="001A570A">
            <w:pPr>
              <w:jc w:val="right"/>
              <w:rPr>
                <w:rFonts w:eastAsia="Times New Roman"/>
              </w:rPr>
            </w:pPr>
          </w:p>
        </w:tc>
        <w:tc>
          <w:tcPr>
            <w:tcW w:w="0" w:type="auto"/>
            <w:vAlign w:val="center"/>
            <w:hideMark/>
          </w:tcPr>
          <w:p w14:paraId="3220E92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E6F64"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241576" w14:textId="77777777" w:rsidR="00000000" w:rsidRDefault="001A570A">
            <w:pPr>
              <w:jc w:val="right"/>
              <w:rPr>
                <w:rFonts w:eastAsia="Times New Roman"/>
              </w:rPr>
            </w:pPr>
            <w:r>
              <w:rPr>
                <w:rFonts w:eastAsia="Times New Roman"/>
                <w:color w:val="000000"/>
                <w:sz w:val="20"/>
                <w:szCs w:val="20"/>
              </w:rPr>
              <w:t>(3,588)</w:t>
            </w:r>
          </w:p>
        </w:tc>
        <w:tc>
          <w:tcPr>
            <w:tcW w:w="0" w:type="auto"/>
            <w:shd w:val="clear" w:color="auto" w:fill="CCEEFF"/>
            <w:tcMar>
              <w:top w:w="30" w:type="dxa"/>
              <w:left w:w="0" w:type="dxa"/>
              <w:bottom w:w="30" w:type="dxa"/>
              <w:right w:w="20" w:type="dxa"/>
            </w:tcMar>
            <w:vAlign w:val="bottom"/>
            <w:hideMark/>
          </w:tcPr>
          <w:p w14:paraId="63582A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BD56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63C1E"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1E0CF5C3" w14:textId="77777777" w:rsidR="00000000" w:rsidRDefault="001A570A">
            <w:pPr>
              <w:jc w:val="right"/>
              <w:rPr>
                <w:rFonts w:eastAsia="Times New Roman"/>
              </w:rPr>
            </w:pPr>
            <w:r>
              <w:rPr>
                <w:rFonts w:eastAsia="Times New Roman"/>
                <w:color w:val="000000"/>
                <w:sz w:val="20"/>
                <w:szCs w:val="20"/>
              </w:rPr>
              <w:t>%</w:t>
            </w:r>
          </w:p>
        </w:tc>
      </w:tr>
      <w:tr w:rsidR="00000000" w14:paraId="15A3285B" w14:textId="77777777">
        <w:trPr>
          <w:divId w:val="1408530922"/>
        </w:trPr>
        <w:tc>
          <w:tcPr>
            <w:tcW w:w="0" w:type="auto"/>
            <w:gridSpan w:val="3"/>
            <w:shd w:val="clear" w:color="auto" w:fill="FFFFFF"/>
            <w:tcMar>
              <w:top w:w="30" w:type="dxa"/>
              <w:left w:w="155" w:type="dxa"/>
              <w:bottom w:w="30" w:type="dxa"/>
              <w:right w:w="20" w:type="dxa"/>
            </w:tcMar>
            <w:hideMark/>
          </w:tcPr>
          <w:p w14:paraId="25D394D3"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41012C4F" w14:textId="77777777" w:rsidR="00000000" w:rsidRDefault="001A570A">
            <w:pPr>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14:paraId="650D9B61"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60EB96B"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EC2E44" w14:textId="77777777" w:rsidR="00000000" w:rsidRDefault="001A570A">
            <w:pPr>
              <w:jc w:val="right"/>
              <w:rPr>
                <w:rFonts w:eastAsia="Times New Roman"/>
              </w:rPr>
            </w:pPr>
            <w:r>
              <w:rPr>
                <w:rFonts w:eastAsia="Times New Roman"/>
                <w:i/>
                <w:iCs/>
                <w:color w:val="000000"/>
                <w:sz w:val="20"/>
                <w:szCs w:val="20"/>
              </w:rPr>
              <w:t>20 </w:t>
            </w:r>
          </w:p>
        </w:tc>
        <w:tc>
          <w:tcPr>
            <w:tcW w:w="0" w:type="auto"/>
            <w:shd w:val="clear" w:color="auto" w:fill="FFFFFF"/>
            <w:tcMar>
              <w:top w:w="30" w:type="dxa"/>
              <w:left w:w="0" w:type="dxa"/>
              <w:bottom w:w="30" w:type="dxa"/>
              <w:right w:w="20" w:type="dxa"/>
            </w:tcMar>
            <w:vAlign w:val="bottom"/>
            <w:hideMark/>
          </w:tcPr>
          <w:p w14:paraId="38B7ABD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94909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C2F31" w14:textId="77777777" w:rsidR="00000000" w:rsidRDefault="001A570A">
            <w:pPr>
              <w:rPr>
                <w:rFonts w:eastAsia="Times New Roman"/>
                <w:sz w:val="20"/>
                <w:szCs w:val="20"/>
              </w:rPr>
            </w:pPr>
          </w:p>
        </w:tc>
        <w:tc>
          <w:tcPr>
            <w:tcW w:w="0" w:type="auto"/>
            <w:vAlign w:val="center"/>
            <w:hideMark/>
          </w:tcPr>
          <w:p w14:paraId="287B1E6E" w14:textId="77777777" w:rsidR="00000000" w:rsidRDefault="001A570A">
            <w:pPr>
              <w:rPr>
                <w:rFonts w:eastAsia="Times New Roman"/>
                <w:sz w:val="20"/>
                <w:szCs w:val="20"/>
              </w:rPr>
            </w:pPr>
          </w:p>
        </w:tc>
        <w:tc>
          <w:tcPr>
            <w:tcW w:w="0" w:type="auto"/>
            <w:vAlign w:val="center"/>
            <w:hideMark/>
          </w:tcPr>
          <w:p w14:paraId="164B1B3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5FA867"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C63B1" w14:textId="77777777" w:rsidR="00000000" w:rsidRDefault="001A570A">
            <w:pPr>
              <w:jc w:val="right"/>
              <w:rPr>
                <w:rFonts w:eastAsia="Times New Roman"/>
              </w:rPr>
            </w:pPr>
            <w:r>
              <w:rPr>
                <w:rFonts w:eastAsia="Times New Roman"/>
                <w:i/>
                <w:iCs/>
                <w:color w:val="000000"/>
                <w:sz w:val="20"/>
                <w:szCs w:val="20"/>
              </w:rPr>
              <w:t>20 </w:t>
            </w:r>
          </w:p>
        </w:tc>
        <w:tc>
          <w:tcPr>
            <w:tcW w:w="0" w:type="auto"/>
            <w:shd w:val="clear" w:color="auto" w:fill="FFFFFF"/>
            <w:tcMar>
              <w:top w:w="30" w:type="dxa"/>
              <w:left w:w="0" w:type="dxa"/>
              <w:bottom w:w="30" w:type="dxa"/>
              <w:right w:w="20" w:type="dxa"/>
            </w:tcMar>
            <w:vAlign w:val="bottom"/>
            <w:hideMark/>
          </w:tcPr>
          <w:p w14:paraId="161942D6"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225D4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173C5" w14:textId="77777777" w:rsidR="00000000" w:rsidRDefault="001A570A">
            <w:pPr>
              <w:rPr>
                <w:rFonts w:eastAsia="Times New Roman"/>
                <w:sz w:val="20"/>
                <w:szCs w:val="20"/>
              </w:rPr>
            </w:pPr>
          </w:p>
        </w:tc>
      </w:tr>
      <w:tr w:rsidR="00000000" w14:paraId="2DAAE2E1" w14:textId="77777777">
        <w:trPr>
          <w:divId w:val="1408530922"/>
        </w:trPr>
        <w:tc>
          <w:tcPr>
            <w:tcW w:w="0" w:type="auto"/>
            <w:gridSpan w:val="3"/>
            <w:shd w:val="clear" w:color="auto" w:fill="CCEEFF"/>
            <w:tcMar>
              <w:top w:w="30" w:type="dxa"/>
              <w:left w:w="20" w:type="dxa"/>
              <w:bottom w:w="30" w:type="dxa"/>
              <w:right w:w="20" w:type="dxa"/>
            </w:tcMar>
            <w:hideMark/>
          </w:tcPr>
          <w:p w14:paraId="2F4FF218"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CCEEFF"/>
            <w:tcMar>
              <w:top w:w="30" w:type="dxa"/>
              <w:left w:w="20" w:type="dxa"/>
              <w:bottom w:w="30" w:type="dxa"/>
              <w:right w:w="0" w:type="dxa"/>
            </w:tcMar>
            <w:vAlign w:val="bottom"/>
            <w:hideMark/>
          </w:tcPr>
          <w:p w14:paraId="29073DB0" w14:textId="77777777" w:rsidR="00000000" w:rsidRDefault="001A570A">
            <w:pPr>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15D660E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0613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DAEDB"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2C19CC6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3FBEF"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DA50294"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5E6099E4" w14:textId="77777777" w:rsidR="00000000" w:rsidRDefault="001A570A">
            <w:pPr>
              <w:jc w:val="right"/>
              <w:rPr>
                <w:rFonts w:eastAsia="Times New Roman"/>
              </w:rPr>
            </w:pPr>
          </w:p>
        </w:tc>
        <w:tc>
          <w:tcPr>
            <w:tcW w:w="0" w:type="auto"/>
            <w:vAlign w:val="center"/>
            <w:hideMark/>
          </w:tcPr>
          <w:p w14:paraId="3AFCAD8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99C486"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151029"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6B19D9A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08116"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9250E85" w14:textId="77777777" w:rsidR="00000000" w:rsidRDefault="001A570A">
            <w:pPr>
              <w:jc w:val="right"/>
              <w:rPr>
                <w:rFonts w:eastAsia="Times New Roman"/>
              </w:rPr>
            </w:pPr>
            <w:r>
              <w:rPr>
                <w:rFonts w:eastAsia="Times New Roman"/>
                <w:color w:val="000000"/>
                <w:sz w:val="20"/>
                <w:szCs w:val="20"/>
              </w:rPr>
              <w:t>*</w:t>
            </w:r>
          </w:p>
        </w:tc>
      </w:tr>
      <w:tr w:rsidR="00000000" w14:paraId="7CB81297" w14:textId="77777777">
        <w:trPr>
          <w:divId w:val="1408530922"/>
        </w:trPr>
        <w:tc>
          <w:tcPr>
            <w:tcW w:w="0" w:type="auto"/>
            <w:gridSpan w:val="3"/>
            <w:shd w:val="clear" w:color="auto" w:fill="FFFFFF"/>
            <w:tcMar>
              <w:top w:w="30" w:type="dxa"/>
              <w:left w:w="20" w:type="dxa"/>
              <w:bottom w:w="30" w:type="dxa"/>
              <w:right w:w="20" w:type="dxa"/>
            </w:tcMar>
            <w:hideMark/>
          </w:tcPr>
          <w:p w14:paraId="0FCE8E0F" w14:textId="77777777" w:rsidR="00000000" w:rsidRDefault="001A570A">
            <w:pPr>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14:paraId="022C9165" w14:textId="77777777" w:rsidR="00000000" w:rsidRDefault="001A570A">
            <w:pPr>
              <w:jc w:val="right"/>
              <w:rPr>
                <w:rFonts w:eastAsia="Times New Roman"/>
              </w:rPr>
            </w:pPr>
            <w:r>
              <w:rPr>
                <w:rFonts w:eastAsia="Times New Roman"/>
                <w:color w:val="000000"/>
                <w:sz w:val="20"/>
                <w:szCs w:val="20"/>
              </w:rPr>
              <w:t>(767)</w:t>
            </w:r>
          </w:p>
        </w:tc>
        <w:tc>
          <w:tcPr>
            <w:tcW w:w="0" w:type="auto"/>
            <w:shd w:val="clear" w:color="auto" w:fill="FFFFFF"/>
            <w:tcMar>
              <w:top w:w="30" w:type="dxa"/>
              <w:left w:w="0" w:type="dxa"/>
              <w:bottom w:w="30" w:type="dxa"/>
              <w:right w:w="20" w:type="dxa"/>
            </w:tcMar>
            <w:vAlign w:val="bottom"/>
            <w:hideMark/>
          </w:tcPr>
          <w:p w14:paraId="02D28F2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AC59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B8E25"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0E58CE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A58AE"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C58FE39"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5D1DCA04" w14:textId="77777777" w:rsidR="00000000" w:rsidRDefault="001A570A">
            <w:pPr>
              <w:jc w:val="right"/>
              <w:rPr>
                <w:rFonts w:eastAsia="Times New Roman"/>
              </w:rPr>
            </w:pPr>
          </w:p>
        </w:tc>
        <w:tc>
          <w:tcPr>
            <w:tcW w:w="0" w:type="auto"/>
            <w:vAlign w:val="center"/>
            <w:hideMark/>
          </w:tcPr>
          <w:p w14:paraId="5ADBD83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28AE0"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6857F"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2C8C35F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F6D52"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711B0C9" w14:textId="77777777" w:rsidR="00000000" w:rsidRDefault="001A570A">
            <w:pPr>
              <w:jc w:val="right"/>
              <w:rPr>
                <w:rFonts w:eastAsia="Times New Roman"/>
              </w:rPr>
            </w:pPr>
            <w:r>
              <w:rPr>
                <w:rFonts w:eastAsia="Times New Roman"/>
                <w:color w:val="000000"/>
                <w:sz w:val="20"/>
                <w:szCs w:val="20"/>
              </w:rPr>
              <w:t>*</w:t>
            </w:r>
          </w:p>
        </w:tc>
      </w:tr>
      <w:tr w:rsidR="00000000" w14:paraId="48BEDB1F" w14:textId="77777777">
        <w:trPr>
          <w:divId w:val="1408530922"/>
        </w:trPr>
        <w:tc>
          <w:tcPr>
            <w:tcW w:w="0" w:type="auto"/>
            <w:gridSpan w:val="3"/>
            <w:shd w:val="clear" w:color="auto" w:fill="CCEEFF"/>
            <w:tcMar>
              <w:top w:w="30" w:type="dxa"/>
              <w:left w:w="20" w:type="dxa"/>
              <w:bottom w:w="30" w:type="dxa"/>
              <w:right w:w="20" w:type="dxa"/>
            </w:tcMar>
            <w:hideMark/>
          </w:tcPr>
          <w:p w14:paraId="3CAE298F" w14:textId="77777777" w:rsidR="00000000" w:rsidRDefault="001A570A">
            <w:pPr>
              <w:rPr>
                <w:rFonts w:eastAsia="Times New Roman"/>
              </w:rPr>
            </w:pPr>
            <w:r>
              <w:rPr>
                <w:rFonts w:eastAsia="Times New Roman"/>
                <w:color w:val="000000"/>
                <w:sz w:val="20"/>
                <w:szCs w:val="20"/>
              </w:rPr>
              <w:t xml:space="preserve">Non-operating income </w:t>
            </w:r>
          </w:p>
        </w:tc>
        <w:tc>
          <w:tcPr>
            <w:tcW w:w="0" w:type="auto"/>
            <w:gridSpan w:val="2"/>
            <w:shd w:val="clear" w:color="auto" w:fill="CCEEFF"/>
            <w:tcMar>
              <w:top w:w="30" w:type="dxa"/>
              <w:left w:w="20" w:type="dxa"/>
              <w:bottom w:w="30" w:type="dxa"/>
              <w:right w:w="0" w:type="dxa"/>
            </w:tcMar>
            <w:vAlign w:val="bottom"/>
            <w:hideMark/>
          </w:tcPr>
          <w:p w14:paraId="007D32C9" w14:textId="77777777" w:rsidR="00000000" w:rsidRDefault="001A570A">
            <w:pPr>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14:paraId="5E1208B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4F0B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F4073C" w14:textId="77777777" w:rsidR="00000000" w:rsidRDefault="001A570A">
            <w:pPr>
              <w:jc w:val="right"/>
              <w:rPr>
                <w:rFonts w:eastAsia="Times New Roman"/>
              </w:rPr>
            </w:pPr>
            <w:r>
              <w:rPr>
                <w:rFonts w:eastAsia="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14:paraId="65C63F6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BD5A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C0ED3F" w14:textId="77777777" w:rsidR="00000000" w:rsidRDefault="001A570A">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325A417C"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4B8F0ED8" w14:textId="77777777" w:rsidR="00000000" w:rsidRDefault="001A570A">
            <w:pPr>
              <w:jc w:val="right"/>
              <w:rPr>
                <w:rFonts w:eastAsia="Times New Roman"/>
              </w:rPr>
            </w:pPr>
          </w:p>
        </w:tc>
        <w:tc>
          <w:tcPr>
            <w:tcW w:w="0" w:type="auto"/>
            <w:vAlign w:val="center"/>
            <w:hideMark/>
          </w:tcPr>
          <w:p w14:paraId="4A39600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5CFC0"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FBF1C" w14:textId="77777777" w:rsidR="00000000" w:rsidRDefault="001A570A">
            <w:pPr>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14:paraId="62735E2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FD4D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5DBD4" w14:textId="77777777" w:rsidR="00000000" w:rsidRDefault="001A570A">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2E8F410A" w14:textId="77777777" w:rsidR="00000000" w:rsidRDefault="001A570A">
            <w:pPr>
              <w:jc w:val="right"/>
              <w:rPr>
                <w:rFonts w:eastAsia="Times New Roman"/>
              </w:rPr>
            </w:pPr>
            <w:r>
              <w:rPr>
                <w:rFonts w:eastAsia="Times New Roman"/>
                <w:color w:val="000000"/>
                <w:sz w:val="20"/>
                <w:szCs w:val="20"/>
              </w:rPr>
              <w:t>%</w:t>
            </w:r>
          </w:p>
        </w:tc>
      </w:tr>
      <w:tr w:rsidR="00000000" w14:paraId="14F7EBAC" w14:textId="77777777">
        <w:trPr>
          <w:divId w:val="1408530922"/>
        </w:trPr>
        <w:tc>
          <w:tcPr>
            <w:tcW w:w="0" w:type="auto"/>
            <w:gridSpan w:val="3"/>
            <w:shd w:val="clear" w:color="auto" w:fill="FFFFFF"/>
            <w:tcMar>
              <w:top w:w="30" w:type="dxa"/>
              <w:left w:w="20" w:type="dxa"/>
              <w:bottom w:w="30" w:type="dxa"/>
              <w:right w:w="20" w:type="dxa"/>
            </w:tcMar>
            <w:hideMark/>
          </w:tcPr>
          <w:p w14:paraId="5CE920D5" w14:textId="77777777" w:rsidR="00000000" w:rsidRDefault="001A570A">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14:paraId="769D6CC8" w14:textId="77777777" w:rsidR="00000000" w:rsidRDefault="001A570A">
            <w:pPr>
              <w:jc w:val="right"/>
              <w:rPr>
                <w:rFonts w:eastAsia="Times New Roman"/>
              </w:rPr>
            </w:pPr>
            <w:r>
              <w:rPr>
                <w:rFonts w:eastAsia="Times New Roman"/>
                <w:color w:val="000000"/>
                <w:sz w:val="20"/>
                <w:szCs w:val="20"/>
              </w:rPr>
              <w:t>(254)</w:t>
            </w:r>
          </w:p>
        </w:tc>
        <w:tc>
          <w:tcPr>
            <w:tcW w:w="0" w:type="auto"/>
            <w:shd w:val="clear" w:color="auto" w:fill="FFFFFF"/>
            <w:tcMar>
              <w:top w:w="30" w:type="dxa"/>
              <w:left w:w="0" w:type="dxa"/>
              <w:bottom w:w="30" w:type="dxa"/>
              <w:right w:w="20" w:type="dxa"/>
            </w:tcMar>
            <w:vAlign w:val="bottom"/>
            <w:hideMark/>
          </w:tcPr>
          <w:p w14:paraId="106339F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324E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A7A0A" w14:textId="77777777" w:rsidR="00000000" w:rsidRDefault="001A570A">
            <w:pPr>
              <w:jc w:val="right"/>
              <w:rPr>
                <w:rFonts w:eastAsia="Times New Roman"/>
              </w:rPr>
            </w:pPr>
            <w:r>
              <w:rPr>
                <w:rFonts w:eastAsia="Times New Roman"/>
                <w:color w:val="000000"/>
                <w:sz w:val="20"/>
                <w:szCs w:val="20"/>
              </w:rPr>
              <w:t>(204)</w:t>
            </w:r>
          </w:p>
        </w:tc>
        <w:tc>
          <w:tcPr>
            <w:tcW w:w="0" w:type="auto"/>
            <w:shd w:val="clear" w:color="auto" w:fill="FFFFFF"/>
            <w:tcMar>
              <w:top w:w="30" w:type="dxa"/>
              <w:left w:w="0" w:type="dxa"/>
              <w:bottom w:w="30" w:type="dxa"/>
              <w:right w:w="20" w:type="dxa"/>
            </w:tcMar>
            <w:vAlign w:val="bottom"/>
            <w:hideMark/>
          </w:tcPr>
          <w:p w14:paraId="5948DB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C7FA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AF18D"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0EF1A909"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67EE66A7" w14:textId="77777777" w:rsidR="00000000" w:rsidRDefault="001A570A">
            <w:pPr>
              <w:jc w:val="right"/>
              <w:rPr>
                <w:rFonts w:eastAsia="Times New Roman"/>
              </w:rPr>
            </w:pPr>
          </w:p>
        </w:tc>
        <w:tc>
          <w:tcPr>
            <w:tcW w:w="0" w:type="auto"/>
            <w:vAlign w:val="center"/>
            <w:hideMark/>
          </w:tcPr>
          <w:p w14:paraId="3FE5113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1A705"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14E52" w14:textId="77777777" w:rsidR="00000000" w:rsidRDefault="001A570A">
            <w:pPr>
              <w:jc w:val="right"/>
              <w:rPr>
                <w:rFonts w:eastAsia="Times New Roman"/>
              </w:rPr>
            </w:pPr>
            <w:r>
              <w:rPr>
                <w:rFonts w:eastAsia="Times New Roman"/>
                <w:color w:val="000000"/>
                <w:sz w:val="20"/>
                <w:szCs w:val="20"/>
              </w:rPr>
              <w:t>(253)</w:t>
            </w:r>
          </w:p>
        </w:tc>
        <w:tc>
          <w:tcPr>
            <w:tcW w:w="0" w:type="auto"/>
            <w:shd w:val="clear" w:color="auto" w:fill="FFFFFF"/>
            <w:tcMar>
              <w:top w:w="30" w:type="dxa"/>
              <w:left w:w="0" w:type="dxa"/>
              <w:bottom w:w="30" w:type="dxa"/>
              <w:right w:w="20" w:type="dxa"/>
            </w:tcMar>
            <w:vAlign w:val="bottom"/>
            <w:hideMark/>
          </w:tcPr>
          <w:p w14:paraId="1426820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6D8C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61CE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4FE458" w14:textId="77777777" w:rsidR="00000000" w:rsidRDefault="001A570A">
            <w:pPr>
              <w:jc w:val="right"/>
              <w:rPr>
                <w:rFonts w:eastAsia="Times New Roman"/>
              </w:rPr>
            </w:pPr>
            <w:r>
              <w:rPr>
                <w:rFonts w:eastAsia="Times New Roman"/>
                <w:color w:val="000000"/>
                <w:sz w:val="20"/>
                <w:szCs w:val="20"/>
              </w:rPr>
              <w:t>%</w:t>
            </w:r>
          </w:p>
        </w:tc>
      </w:tr>
      <w:tr w:rsidR="00000000" w14:paraId="2D1CC8C9" w14:textId="77777777">
        <w:trPr>
          <w:divId w:val="1408530922"/>
        </w:trPr>
        <w:tc>
          <w:tcPr>
            <w:tcW w:w="0" w:type="auto"/>
            <w:gridSpan w:val="3"/>
            <w:shd w:val="clear" w:color="auto" w:fill="CCEEFF"/>
            <w:tcMar>
              <w:top w:w="30" w:type="dxa"/>
              <w:left w:w="20" w:type="dxa"/>
              <w:bottom w:w="30" w:type="dxa"/>
              <w:right w:w="20" w:type="dxa"/>
            </w:tcMar>
            <w:hideMark/>
          </w:tcPr>
          <w:p w14:paraId="0618E7F3" w14:textId="77777777" w:rsidR="00000000" w:rsidRDefault="001A570A">
            <w:pPr>
              <w:ind w:hanging="180"/>
              <w:divId w:val="742482901"/>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870D2E" w14:textId="77777777" w:rsidR="00000000" w:rsidRDefault="001A570A">
            <w:pPr>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113E2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A50F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50AB55" w14:textId="77777777" w:rsidR="00000000" w:rsidRDefault="001A570A">
            <w:pPr>
              <w:jc w:val="right"/>
              <w:rPr>
                <w:rFonts w:eastAsia="Times New Roman"/>
              </w:rPr>
            </w:pPr>
            <w:r>
              <w:rPr>
                <w:rFonts w:eastAsia="Times New Roman"/>
                <w:color w:val="000000"/>
                <w:sz w:val="20"/>
                <w:szCs w:val="20"/>
              </w:rPr>
              <w:t>1,493 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C9BE0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C374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2BBF3" w14:textId="77777777" w:rsidR="00000000" w:rsidRDefault="001A570A">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5761227B"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4474B448" w14:textId="77777777" w:rsidR="00000000" w:rsidRDefault="001A570A">
            <w:pPr>
              <w:jc w:val="right"/>
              <w:rPr>
                <w:rFonts w:eastAsia="Times New Roman"/>
              </w:rPr>
            </w:pPr>
          </w:p>
        </w:tc>
        <w:tc>
          <w:tcPr>
            <w:tcW w:w="0" w:type="auto"/>
            <w:vAlign w:val="center"/>
            <w:hideMark/>
          </w:tcPr>
          <w:p w14:paraId="4C3501B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F1E2C"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855847" w14:textId="77777777" w:rsidR="00000000" w:rsidRDefault="001A570A">
            <w:pPr>
              <w:jc w:val="right"/>
              <w:rPr>
                <w:rFonts w:eastAsia="Times New Roman"/>
              </w:rPr>
            </w:pPr>
            <w:r>
              <w:rPr>
                <w:rFonts w:eastAsia="Times New Roman"/>
                <w:color w:val="000000"/>
                <w:sz w:val="20"/>
                <w:szCs w:val="20"/>
              </w:rPr>
              <w:t>1,841 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984A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0C3E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7ABF0"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2C2BF32D" w14:textId="77777777" w:rsidR="00000000" w:rsidRDefault="001A570A">
            <w:pPr>
              <w:jc w:val="right"/>
              <w:rPr>
                <w:rFonts w:eastAsia="Times New Roman"/>
              </w:rPr>
            </w:pPr>
            <w:r>
              <w:rPr>
                <w:rFonts w:eastAsia="Times New Roman"/>
                <w:color w:val="000000"/>
                <w:sz w:val="20"/>
                <w:szCs w:val="20"/>
              </w:rPr>
              <w:t>%</w:t>
            </w:r>
          </w:p>
        </w:tc>
      </w:tr>
      <w:tr w:rsidR="00000000" w14:paraId="46BDB323" w14:textId="77777777">
        <w:trPr>
          <w:divId w:val="1408530922"/>
        </w:trPr>
        <w:tc>
          <w:tcPr>
            <w:tcW w:w="0" w:type="auto"/>
            <w:gridSpan w:val="3"/>
            <w:shd w:val="clear" w:color="auto" w:fill="FFFFFF"/>
            <w:tcMar>
              <w:top w:w="30" w:type="dxa"/>
              <w:left w:w="20" w:type="dxa"/>
              <w:bottom w:w="30" w:type="dxa"/>
              <w:right w:w="20" w:type="dxa"/>
            </w:tcMar>
            <w:hideMark/>
          </w:tcPr>
          <w:p w14:paraId="444F8CC7"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3AD88C41" w14:textId="77777777" w:rsidR="00000000" w:rsidRDefault="001A570A">
            <w:pPr>
              <w:jc w:val="right"/>
              <w:rPr>
                <w:rFonts w:eastAsia="Times New Roman"/>
              </w:rPr>
            </w:pPr>
            <w:r>
              <w:rPr>
                <w:rFonts w:eastAsia="Times New Roman"/>
                <w:color w:val="000000"/>
                <w:sz w:val="20"/>
                <w:szCs w:val="20"/>
              </w:rPr>
              <w:t>(234)</w:t>
            </w:r>
          </w:p>
        </w:tc>
        <w:tc>
          <w:tcPr>
            <w:tcW w:w="0" w:type="auto"/>
            <w:shd w:val="clear" w:color="auto" w:fill="FFFFFF"/>
            <w:tcMar>
              <w:top w:w="30" w:type="dxa"/>
              <w:left w:w="0" w:type="dxa"/>
              <w:bottom w:w="30" w:type="dxa"/>
              <w:right w:w="20" w:type="dxa"/>
            </w:tcMar>
            <w:vAlign w:val="bottom"/>
            <w:hideMark/>
          </w:tcPr>
          <w:p w14:paraId="20896AE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7498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DAF6B" w14:textId="77777777" w:rsidR="00000000" w:rsidRDefault="001A570A">
            <w:pPr>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14:paraId="7BAF65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F545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B33C23" w14:textId="77777777" w:rsidR="00000000" w:rsidRDefault="001A570A">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2316DCD7"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3F22DA94" w14:textId="77777777" w:rsidR="00000000" w:rsidRDefault="001A570A">
            <w:pPr>
              <w:jc w:val="right"/>
              <w:rPr>
                <w:rFonts w:eastAsia="Times New Roman"/>
              </w:rPr>
            </w:pPr>
          </w:p>
        </w:tc>
        <w:tc>
          <w:tcPr>
            <w:tcW w:w="0" w:type="auto"/>
            <w:vAlign w:val="center"/>
            <w:hideMark/>
          </w:tcPr>
          <w:p w14:paraId="37283BA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845D7E"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3619E" w14:textId="77777777" w:rsidR="00000000" w:rsidRDefault="001A570A">
            <w:pPr>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14:paraId="6EC4E91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F6A4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D0BEC"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188F2651" w14:textId="77777777" w:rsidR="00000000" w:rsidRDefault="001A570A">
            <w:pPr>
              <w:jc w:val="right"/>
              <w:rPr>
                <w:rFonts w:eastAsia="Times New Roman"/>
              </w:rPr>
            </w:pPr>
            <w:r>
              <w:rPr>
                <w:rFonts w:eastAsia="Times New Roman"/>
                <w:color w:val="000000"/>
                <w:sz w:val="20"/>
                <w:szCs w:val="20"/>
              </w:rPr>
              <w:t>%</w:t>
            </w:r>
          </w:p>
        </w:tc>
      </w:tr>
      <w:tr w:rsidR="00000000" w14:paraId="56CB2061" w14:textId="77777777">
        <w:trPr>
          <w:divId w:val="1408530922"/>
        </w:trPr>
        <w:tc>
          <w:tcPr>
            <w:tcW w:w="0" w:type="auto"/>
            <w:gridSpan w:val="3"/>
            <w:shd w:val="clear" w:color="auto" w:fill="CCEEFF"/>
            <w:tcMar>
              <w:top w:w="30" w:type="dxa"/>
              <w:left w:w="155" w:type="dxa"/>
              <w:bottom w:w="30" w:type="dxa"/>
              <w:right w:w="20" w:type="dxa"/>
            </w:tcMar>
            <w:hideMark/>
          </w:tcPr>
          <w:p w14:paraId="768E2B04" w14:textId="77777777" w:rsidR="00000000" w:rsidRDefault="001A570A">
            <w:pPr>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14:paraId="47152879" w14:textId="77777777" w:rsidR="00000000" w:rsidRDefault="001A570A">
            <w:pPr>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14:paraId="11BE72B7"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439844"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3554FA" w14:textId="77777777" w:rsidR="00000000" w:rsidRDefault="001A570A">
            <w:pPr>
              <w:jc w:val="right"/>
              <w:rPr>
                <w:rFonts w:eastAsia="Times New Roman"/>
              </w:rPr>
            </w:pPr>
            <w:r>
              <w:rPr>
                <w:rFonts w:eastAsia="Times New Roman"/>
                <w:i/>
                <w:iCs/>
                <w:color w:val="000000"/>
                <w:sz w:val="20"/>
                <w:szCs w:val="20"/>
              </w:rPr>
              <w:t>10 </w:t>
            </w:r>
          </w:p>
        </w:tc>
        <w:tc>
          <w:tcPr>
            <w:tcW w:w="0" w:type="auto"/>
            <w:shd w:val="clear" w:color="auto" w:fill="CCEEFF"/>
            <w:tcMar>
              <w:top w:w="30" w:type="dxa"/>
              <w:left w:w="0" w:type="dxa"/>
              <w:bottom w:w="30" w:type="dxa"/>
              <w:right w:w="20" w:type="dxa"/>
            </w:tcMar>
            <w:vAlign w:val="bottom"/>
            <w:hideMark/>
          </w:tcPr>
          <w:p w14:paraId="4709C05B"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C252C1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A3233" w14:textId="77777777" w:rsidR="00000000" w:rsidRDefault="001A570A">
            <w:pPr>
              <w:rPr>
                <w:rFonts w:eastAsia="Times New Roman"/>
                <w:sz w:val="20"/>
                <w:szCs w:val="20"/>
              </w:rPr>
            </w:pPr>
          </w:p>
        </w:tc>
        <w:tc>
          <w:tcPr>
            <w:tcW w:w="0" w:type="auto"/>
            <w:vAlign w:val="center"/>
            <w:hideMark/>
          </w:tcPr>
          <w:p w14:paraId="1D0483F4" w14:textId="77777777" w:rsidR="00000000" w:rsidRDefault="001A570A">
            <w:pPr>
              <w:rPr>
                <w:rFonts w:eastAsia="Times New Roman"/>
                <w:sz w:val="20"/>
                <w:szCs w:val="20"/>
              </w:rPr>
            </w:pPr>
          </w:p>
        </w:tc>
        <w:tc>
          <w:tcPr>
            <w:tcW w:w="0" w:type="auto"/>
            <w:vAlign w:val="center"/>
            <w:hideMark/>
          </w:tcPr>
          <w:p w14:paraId="5146EEA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3F1DD1"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7B2E3" w14:textId="77777777" w:rsidR="00000000" w:rsidRDefault="001A570A">
            <w:pPr>
              <w:jc w:val="right"/>
              <w:rPr>
                <w:rFonts w:eastAsia="Times New Roman"/>
              </w:rPr>
            </w:pPr>
            <w:r>
              <w:rPr>
                <w:rFonts w:eastAsia="Times New Roman"/>
                <w:i/>
                <w:iCs/>
                <w:color w:val="000000"/>
                <w:sz w:val="20"/>
                <w:szCs w:val="20"/>
              </w:rPr>
              <w:t>10 </w:t>
            </w:r>
          </w:p>
        </w:tc>
        <w:tc>
          <w:tcPr>
            <w:tcW w:w="0" w:type="auto"/>
            <w:shd w:val="clear" w:color="auto" w:fill="CCEEFF"/>
            <w:tcMar>
              <w:top w:w="30" w:type="dxa"/>
              <w:left w:w="0" w:type="dxa"/>
              <w:bottom w:w="30" w:type="dxa"/>
              <w:right w:w="20" w:type="dxa"/>
            </w:tcMar>
            <w:vAlign w:val="bottom"/>
            <w:hideMark/>
          </w:tcPr>
          <w:p w14:paraId="2646B81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211D79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7EE3C" w14:textId="77777777" w:rsidR="00000000" w:rsidRDefault="001A570A">
            <w:pPr>
              <w:rPr>
                <w:rFonts w:eastAsia="Times New Roman"/>
                <w:sz w:val="20"/>
                <w:szCs w:val="20"/>
              </w:rPr>
            </w:pPr>
          </w:p>
        </w:tc>
      </w:tr>
      <w:tr w:rsidR="00000000" w14:paraId="436B2938" w14:textId="77777777">
        <w:trPr>
          <w:divId w:val="1408530922"/>
        </w:trPr>
        <w:tc>
          <w:tcPr>
            <w:tcW w:w="0" w:type="auto"/>
            <w:gridSpan w:val="3"/>
            <w:shd w:val="clear" w:color="auto" w:fill="FFFFFF"/>
            <w:tcMar>
              <w:top w:w="30" w:type="dxa"/>
              <w:left w:w="20" w:type="dxa"/>
              <w:bottom w:w="30" w:type="dxa"/>
              <w:right w:w="20" w:type="dxa"/>
            </w:tcMar>
            <w:hideMark/>
          </w:tcPr>
          <w:p w14:paraId="49A61CFF" w14:textId="77777777" w:rsidR="00000000" w:rsidRDefault="001A570A">
            <w:pPr>
              <w:ind w:hanging="270"/>
              <w:divId w:val="135533647"/>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B341BA" w14:textId="77777777" w:rsidR="00000000" w:rsidRDefault="001A570A">
            <w:pPr>
              <w:jc w:val="right"/>
              <w:rPr>
                <w:rFonts w:eastAsia="Times New Roman"/>
              </w:rPr>
            </w:pPr>
            <w:r>
              <w:rPr>
                <w:rFonts w:eastAsia="Times New Roman"/>
                <w:color w:val="000000"/>
                <w:sz w:val="20"/>
                <w:szCs w:val="20"/>
              </w:rPr>
              <w:t>1,088 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ED1CF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C0F0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58A840" w14:textId="77777777" w:rsidR="00000000" w:rsidRDefault="001A570A">
            <w:pPr>
              <w:jc w:val="right"/>
              <w:rPr>
                <w:rFonts w:eastAsia="Times New Roman"/>
              </w:rPr>
            </w:pPr>
            <w:r>
              <w:rPr>
                <w:rFonts w:eastAsia="Times New Roman"/>
                <w:color w:val="000000"/>
                <w:sz w:val="20"/>
                <w:szCs w:val="20"/>
              </w:rPr>
              <w:t>1,347 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3B88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D565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74358" w14:textId="77777777" w:rsidR="00000000" w:rsidRDefault="001A570A">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0CEF4FBA"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53D2545B" w14:textId="77777777" w:rsidR="00000000" w:rsidRDefault="001A570A">
            <w:pPr>
              <w:jc w:val="right"/>
              <w:rPr>
                <w:rFonts w:eastAsia="Times New Roman"/>
              </w:rPr>
            </w:pPr>
          </w:p>
        </w:tc>
        <w:tc>
          <w:tcPr>
            <w:tcW w:w="0" w:type="auto"/>
            <w:vAlign w:val="center"/>
            <w:hideMark/>
          </w:tcPr>
          <w:p w14:paraId="46FB135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21696A"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D5D091" w14:textId="77777777" w:rsidR="00000000" w:rsidRDefault="001A570A">
            <w:pPr>
              <w:jc w:val="right"/>
              <w:rPr>
                <w:rFonts w:eastAsia="Times New Roman"/>
              </w:rPr>
            </w:pPr>
            <w:r>
              <w:rPr>
                <w:rFonts w:eastAsia="Times New Roman"/>
                <w:color w:val="000000"/>
                <w:sz w:val="20"/>
                <w:szCs w:val="20"/>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AF01F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B894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D13EA" w14:textId="77777777" w:rsidR="00000000" w:rsidRDefault="001A570A">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14:paraId="13F1EF04" w14:textId="77777777" w:rsidR="00000000" w:rsidRDefault="001A570A">
            <w:pPr>
              <w:jc w:val="right"/>
              <w:rPr>
                <w:rFonts w:eastAsia="Times New Roman"/>
              </w:rPr>
            </w:pPr>
            <w:r>
              <w:rPr>
                <w:rFonts w:eastAsia="Times New Roman"/>
                <w:color w:val="000000"/>
                <w:sz w:val="20"/>
                <w:szCs w:val="20"/>
              </w:rPr>
              <w:t>%</w:t>
            </w:r>
          </w:p>
        </w:tc>
      </w:tr>
      <w:tr w:rsidR="00000000" w14:paraId="612E1AAA" w14:textId="77777777">
        <w:trPr>
          <w:divId w:val="1408530922"/>
        </w:trPr>
        <w:tc>
          <w:tcPr>
            <w:tcW w:w="0" w:type="auto"/>
            <w:gridSpan w:val="3"/>
            <w:shd w:val="clear" w:color="auto" w:fill="CCEEFF"/>
            <w:tcMar>
              <w:top w:w="30" w:type="dxa"/>
              <w:left w:w="20" w:type="dxa"/>
              <w:bottom w:w="30" w:type="dxa"/>
              <w:right w:w="20" w:type="dxa"/>
            </w:tcMar>
            <w:hideMark/>
          </w:tcPr>
          <w:p w14:paraId="01192F1A" w14:textId="77777777" w:rsidR="00000000" w:rsidRDefault="001A570A">
            <w:pPr>
              <w:ind w:hanging="180"/>
              <w:divId w:val="412750275"/>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14:paraId="3E309F2F"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6A57A46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A7F3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F80F4"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1002E2E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7EF6B"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638AF7D"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27B14386" w14:textId="77777777" w:rsidR="00000000" w:rsidRDefault="001A570A">
            <w:pPr>
              <w:jc w:val="right"/>
              <w:rPr>
                <w:rFonts w:eastAsia="Times New Roman"/>
              </w:rPr>
            </w:pPr>
          </w:p>
        </w:tc>
        <w:tc>
          <w:tcPr>
            <w:tcW w:w="0" w:type="auto"/>
            <w:vAlign w:val="center"/>
            <w:hideMark/>
          </w:tcPr>
          <w:p w14:paraId="567841D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82F753"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570EA8"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63DA254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45A33"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7952EB7" w14:textId="77777777" w:rsidR="00000000" w:rsidRDefault="001A570A">
            <w:pPr>
              <w:jc w:val="right"/>
              <w:rPr>
                <w:rFonts w:eastAsia="Times New Roman"/>
              </w:rPr>
            </w:pPr>
            <w:r>
              <w:rPr>
                <w:rFonts w:eastAsia="Times New Roman"/>
                <w:color w:val="000000"/>
                <w:sz w:val="20"/>
                <w:szCs w:val="20"/>
              </w:rPr>
              <w:t>*</w:t>
            </w:r>
          </w:p>
        </w:tc>
      </w:tr>
      <w:tr w:rsidR="00000000" w14:paraId="5287495D" w14:textId="77777777">
        <w:trPr>
          <w:divId w:val="1408530922"/>
        </w:trPr>
        <w:tc>
          <w:tcPr>
            <w:tcW w:w="0" w:type="auto"/>
            <w:gridSpan w:val="3"/>
            <w:shd w:val="clear" w:color="auto" w:fill="FFFFFF"/>
            <w:tcMar>
              <w:top w:w="30" w:type="dxa"/>
              <w:left w:w="20" w:type="dxa"/>
              <w:bottom w:w="30" w:type="dxa"/>
              <w:right w:w="20" w:type="dxa"/>
            </w:tcMar>
            <w:hideMark/>
          </w:tcPr>
          <w:p w14:paraId="40C1D316" w14:textId="77777777" w:rsidR="00000000" w:rsidRDefault="001A570A">
            <w:pPr>
              <w:ind w:hanging="180"/>
              <w:divId w:val="1722096500"/>
              <w:rPr>
                <w:rFonts w:eastAsia="Times New Roman"/>
              </w:rPr>
            </w:pPr>
            <w:r>
              <w:rPr>
                <w:rFonts w:eastAsia="Times New Roman"/>
                <w:color w:val="000000"/>
                <w:sz w:val="20"/>
                <w:szCs w:val="20"/>
              </w:rPr>
              <w:t>Income from continuing operations attributable to L3Harris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CBB8F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841B53" w14:textId="77777777" w:rsidR="00000000" w:rsidRDefault="001A570A">
            <w:pPr>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19041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E9E06"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C14AC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5FC024" w14:textId="77777777" w:rsidR="00000000" w:rsidRDefault="001A570A">
            <w:pPr>
              <w:jc w:val="right"/>
              <w:rPr>
                <w:rFonts w:eastAsia="Times New Roman"/>
              </w:rPr>
            </w:pPr>
            <w:r>
              <w:rPr>
                <w:rFonts w:eastAsia="Times New Roman"/>
                <w:color w:val="000000"/>
                <w:sz w:val="20"/>
                <w:szCs w:val="20"/>
              </w:rPr>
              <w:t>1,335 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5AEF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0890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860E5C"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29E1D570"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57C5E062" w14:textId="77777777" w:rsidR="00000000" w:rsidRDefault="001A570A">
            <w:pPr>
              <w:jc w:val="right"/>
              <w:rPr>
                <w:rFonts w:eastAsia="Times New Roman"/>
              </w:rPr>
            </w:pPr>
          </w:p>
        </w:tc>
        <w:tc>
          <w:tcPr>
            <w:tcW w:w="0" w:type="auto"/>
            <w:vAlign w:val="center"/>
            <w:hideMark/>
          </w:tcPr>
          <w:p w14:paraId="5D3E005E"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A0FE26"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42D62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1DF0DB" w14:textId="77777777" w:rsidR="00000000" w:rsidRDefault="001A570A">
            <w:pPr>
              <w:jc w:val="right"/>
              <w:rPr>
                <w:rFonts w:eastAsia="Times New Roman"/>
              </w:rPr>
            </w:pPr>
            <w:r>
              <w:rPr>
                <w:rFonts w:eastAsia="Times New Roman"/>
                <w:color w:val="000000"/>
                <w:sz w:val="20"/>
                <w:szCs w:val="20"/>
              </w:rPr>
              <w:t>1,628 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ADCA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BC7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A2753" w14:textId="77777777" w:rsidR="00000000" w:rsidRDefault="001A570A">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2BE3858D" w14:textId="77777777" w:rsidR="00000000" w:rsidRDefault="001A570A">
            <w:pPr>
              <w:jc w:val="right"/>
              <w:rPr>
                <w:rFonts w:eastAsia="Times New Roman"/>
              </w:rPr>
            </w:pPr>
            <w:r>
              <w:rPr>
                <w:rFonts w:eastAsia="Times New Roman"/>
                <w:color w:val="000000"/>
                <w:sz w:val="20"/>
                <w:szCs w:val="20"/>
              </w:rPr>
              <w:t>%</w:t>
            </w:r>
          </w:p>
        </w:tc>
      </w:tr>
      <w:tr w:rsidR="00000000" w14:paraId="2FDC0B76" w14:textId="77777777">
        <w:trPr>
          <w:divId w:val="1408530922"/>
        </w:trPr>
        <w:tc>
          <w:tcPr>
            <w:tcW w:w="0" w:type="auto"/>
            <w:gridSpan w:val="3"/>
            <w:shd w:val="clear" w:color="auto" w:fill="CCEEFF"/>
            <w:tcMar>
              <w:top w:w="30" w:type="dxa"/>
              <w:left w:w="20" w:type="dxa"/>
              <w:bottom w:w="30" w:type="dxa"/>
              <w:right w:w="20" w:type="dxa"/>
            </w:tcMar>
            <w:hideMark/>
          </w:tcPr>
          <w:p w14:paraId="2B165824" w14:textId="77777777" w:rsidR="00000000" w:rsidRDefault="001A570A">
            <w:pPr>
              <w:ind w:hanging="180"/>
              <w:divId w:val="1300912837"/>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3403160" w14:textId="77777777" w:rsidR="00000000" w:rsidRDefault="001A570A">
            <w:pPr>
              <w:jc w:val="right"/>
              <w:rPr>
                <w:rFonts w:eastAsia="Times New Roman"/>
              </w:rPr>
            </w:pPr>
            <w:r>
              <w:rPr>
                <w:rFonts w:eastAsia="Times New Roman"/>
                <w:i/>
                <w:iCs/>
                <w:color w:val="000000"/>
                <w:sz w:val="20"/>
                <w:szCs w:val="20"/>
              </w:rPr>
              <w:t>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0B2F09E"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BC58E7B" w14:textId="77777777" w:rsidR="00000000" w:rsidRDefault="001A570A">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4F7B730" w14:textId="77777777" w:rsidR="00000000" w:rsidRDefault="001A570A">
            <w:pPr>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E3B704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94E097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EC9C3" w14:textId="77777777" w:rsidR="00000000" w:rsidRDefault="001A570A">
            <w:pPr>
              <w:rPr>
                <w:rFonts w:eastAsia="Times New Roman"/>
                <w:sz w:val="20"/>
                <w:szCs w:val="20"/>
              </w:rPr>
            </w:pPr>
          </w:p>
        </w:tc>
        <w:tc>
          <w:tcPr>
            <w:tcW w:w="0" w:type="auto"/>
            <w:vAlign w:val="center"/>
            <w:hideMark/>
          </w:tcPr>
          <w:p w14:paraId="251F3760" w14:textId="77777777" w:rsidR="00000000" w:rsidRDefault="001A570A">
            <w:pPr>
              <w:rPr>
                <w:rFonts w:eastAsia="Times New Roman"/>
                <w:sz w:val="20"/>
                <w:szCs w:val="20"/>
              </w:rPr>
            </w:pPr>
          </w:p>
        </w:tc>
        <w:tc>
          <w:tcPr>
            <w:tcW w:w="0" w:type="auto"/>
            <w:vAlign w:val="center"/>
            <w:hideMark/>
          </w:tcPr>
          <w:p w14:paraId="399C295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A51FC" w14:textId="77777777" w:rsidR="00000000" w:rsidRDefault="001A570A">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657FB8D" w14:textId="77777777" w:rsidR="00000000" w:rsidRDefault="001A570A">
            <w:pPr>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85A233F"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06E5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95BF62" w14:textId="77777777" w:rsidR="00000000" w:rsidRDefault="001A570A">
            <w:pPr>
              <w:rPr>
                <w:rFonts w:eastAsia="Times New Roman"/>
                <w:sz w:val="20"/>
                <w:szCs w:val="20"/>
              </w:rPr>
            </w:pPr>
          </w:p>
        </w:tc>
      </w:tr>
      <w:tr w:rsidR="00000000" w14:paraId="37C4CD4D" w14:textId="77777777">
        <w:trPr>
          <w:divId w:val="1408530922"/>
        </w:trPr>
        <w:tc>
          <w:tcPr>
            <w:tcW w:w="0" w:type="auto"/>
            <w:gridSpan w:val="3"/>
            <w:shd w:val="clear" w:color="auto" w:fill="FFFFFF"/>
            <w:tcMar>
              <w:top w:w="30" w:type="dxa"/>
              <w:left w:w="20" w:type="dxa"/>
              <w:bottom w:w="30" w:type="dxa"/>
              <w:right w:w="20" w:type="dxa"/>
            </w:tcMar>
            <w:hideMark/>
          </w:tcPr>
          <w:p w14:paraId="27B08742" w14:textId="77777777" w:rsidR="00000000" w:rsidRDefault="001A570A">
            <w:pPr>
              <w:ind w:hanging="180"/>
              <w:divId w:val="1249847602"/>
              <w:rPr>
                <w:rFonts w:eastAsia="Times New Roman"/>
              </w:rPr>
            </w:pPr>
            <w:r>
              <w:rPr>
                <w:rFonts w:eastAsia="Times New Roman"/>
                <w:color w:val="000000"/>
                <w:sz w:val="20"/>
                <w:szCs w:val="20"/>
              </w:rPr>
              <w:t>Income from continuing operations per diluted common share attributable to L3Harris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A41BD34"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7043FA6" w14:textId="77777777" w:rsidR="00000000" w:rsidRDefault="001A570A">
            <w:pPr>
              <w:jc w:val="right"/>
              <w:rPr>
                <w:rFonts w:eastAsia="Times New Roman"/>
              </w:rPr>
            </w:pPr>
            <w:r>
              <w:rPr>
                <w:rFonts w:eastAsia="Times New Roman"/>
                <w:color w:val="000000"/>
                <w:sz w:val="20"/>
                <w:szCs w:val="20"/>
              </w:rPr>
              <w:t>5.19 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90A68E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7E041" w14:textId="77777777" w:rsidR="00000000" w:rsidRDefault="001A570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F12F222"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4DFD7FE" w14:textId="77777777" w:rsidR="00000000" w:rsidRDefault="001A570A">
            <w:pPr>
              <w:jc w:val="right"/>
              <w:rPr>
                <w:rFonts w:eastAsia="Times New Roman"/>
              </w:rPr>
            </w:pPr>
            <w:r>
              <w:rPr>
                <w:rFonts w:eastAsia="Times New Roman"/>
                <w:color w:val="000000"/>
                <w:sz w:val="20"/>
                <w:szCs w:val="20"/>
              </w:rPr>
              <w:t>7.90 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2A6E1C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0727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44533" w14:textId="77777777" w:rsidR="00000000" w:rsidRDefault="001A570A">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14:paraId="401FAD0A" w14:textId="77777777" w:rsidR="00000000" w:rsidRDefault="001A570A">
            <w:pPr>
              <w:jc w:val="right"/>
              <w:rPr>
                <w:rFonts w:eastAsia="Times New Roman"/>
              </w:rPr>
            </w:pPr>
            <w:r>
              <w:rPr>
                <w:rFonts w:eastAsia="Times New Roman"/>
                <w:color w:val="000000"/>
                <w:sz w:val="20"/>
                <w:szCs w:val="20"/>
              </w:rPr>
              <w:t>%</w:t>
            </w:r>
          </w:p>
        </w:tc>
        <w:tc>
          <w:tcPr>
            <w:tcW w:w="0" w:type="auto"/>
            <w:vAlign w:val="center"/>
            <w:hideMark/>
          </w:tcPr>
          <w:p w14:paraId="1A3E27AF" w14:textId="77777777" w:rsidR="00000000" w:rsidRDefault="001A570A">
            <w:pPr>
              <w:jc w:val="right"/>
              <w:rPr>
                <w:rFonts w:eastAsia="Times New Roman"/>
              </w:rPr>
            </w:pPr>
          </w:p>
        </w:tc>
        <w:tc>
          <w:tcPr>
            <w:tcW w:w="0" w:type="auto"/>
            <w:vAlign w:val="center"/>
            <w:hideMark/>
          </w:tcPr>
          <w:p w14:paraId="5D85304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8F29F" w14:textId="77777777" w:rsidR="00000000" w:rsidRDefault="001A570A">
            <w:pPr>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BA0A2C4"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C910D59" w14:textId="77777777" w:rsidR="00000000" w:rsidRDefault="001A570A">
            <w:pPr>
              <w:jc w:val="right"/>
              <w:rPr>
                <w:rFonts w:eastAsia="Times New Roman"/>
              </w:rPr>
            </w:pPr>
            <w:r>
              <w:rPr>
                <w:rFonts w:eastAsia="Times New Roman"/>
                <w:color w:val="000000"/>
                <w:sz w:val="20"/>
                <w:szCs w:val="20"/>
              </w:rPr>
              <w:t>7.25 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23B9E88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92FD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4C6368"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688E57A2" w14:textId="77777777" w:rsidR="00000000" w:rsidRDefault="001A570A">
            <w:pPr>
              <w:jc w:val="right"/>
              <w:rPr>
                <w:rFonts w:eastAsia="Times New Roman"/>
              </w:rPr>
            </w:pPr>
            <w:r>
              <w:rPr>
                <w:rFonts w:eastAsia="Times New Roman"/>
                <w:color w:val="000000"/>
                <w:sz w:val="20"/>
                <w:szCs w:val="20"/>
              </w:rPr>
              <w:t>%</w:t>
            </w:r>
          </w:p>
        </w:tc>
      </w:tr>
    </w:tbl>
    <w:p w14:paraId="1404C896" w14:textId="77777777" w:rsidR="00000000" w:rsidRDefault="001A570A">
      <w:pPr>
        <w:divId w:val="1082529089"/>
        <w:rPr>
          <w:rFonts w:eastAsia="Times New Roman"/>
        </w:rPr>
      </w:pPr>
      <w:r>
        <w:rPr>
          <w:rFonts w:eastAsia="Times New Roman"/>
          <w:color w:val="000000"/>
          <w:sz w:val="16"/>
          <w:szCs w:val="16"/>
        </w:rPr>
        <w:t>_________________</w:t>
      </w:r>
    </w:p>
    <w:p w14:paraId="168FCC28" w14:textId="77777777" w:rsidR="00000000" w:rsidRDefault="001A570A">
      <w:pPr>
        <w:ind w:hanging="360"/>
        <w:divId w:val="2142767034"/>
        <w:rPr>
          <w:rFonts w:eastAsia="Times New Roman"/>
        </w:rPr>
      </w:pPr>
      <w:r>
        <w:rPr>
          <w:rFonts w:eastAsia="Times New Roman"/>
          <w:color w:val="000000"/>
          <w:sz w:val="16"/>
          <w:szCs w:val="16"/>
        </w:rPr>
        <w:t>*Not meaningful</w:t>
      </w:r>
    </w:p>
    <w:p w14:paraId="2597CDB6" w14:textId="77777777" w:rsidR="00000000" w:rsidRDefault="001A570A">
      <w:pPr>
        <w:ind w:firstLine="450"/>
        <w:jc w:val="center"/>
        <w:divId w:val="1905947722"/>
        <w:rPr>
          <w:rFonts w:eastAsia="Times New Roman"/>
        </w:rPr>
      </w:pPr>
      <w:r>
        <w:rPr>
          <w:rFonts w:eastAsia="Times New Roman"/>
          <w:color w:val="000000"/>
          <w:sz w:val="20"/>
          <w:szCs w:val="20"/>
        </w:rPr>
        <w:t>39</w:t>
      </w:r>
    </w:p>
    <w:p w14:paraId="4BBB74EA" w14:textId="77777777" w:rsidR="00000000" w:rsidRDefault="001A570A">
      <w:pPr>
        <w:rPr>
          <w:rFonts w:eastAsia="Times New Roman"/>
        </w:rPr>
      </w:pPr>
      <w:r>
        <w:rPr>
          <w:rFonts w:eastAsia="Times New Roman"/>
        </w:rPr>
        <w:pict w14:anchorId="7ADF86B0">
          <v:rect id="_x0000_i1067" style="width:0;height:1.5pt" o:hralign="center" o:hrstd="t" o:hr="t" fillcolor="#a0a0a0" stroked="f"/>
        </w:pict>
      </w:r>
    </w:p>
    <w:p w14:paraId="71811EE1" w14:textId="77777777" w:rsidR="00000000" w:rsidRDefault="001A570A">
      <w:pPr>
        <w:ind w:firstLine="450"/>
        <w:divId w:val="736822117"/>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3317"/>
        <w:gridCol w:w="39"/>
        <w:gridCol w:w="120"/>
        <w:gridCol w:w="666"/>
        <w:gridCol w:w="187"/>
        <w:gridCol w:w="36"/>
        <w:gridCol w:w="36"/>
        <w:gridCol w:w="36"/>
        <w:gridCol w:w="121"/>
        <w:gridCol w:w="665"/>
        <w:gridCol w:w="187"/>
        <w:gridCol w:w="36"/>
        <w:gridCol w:w="36"/>
        <w:gridCol w:w="36"/>
        <w:gridCol w:w="84"/>
        <w:gridCol w:w="579"/>
        <w:gridCol w:w="187"/>
        <w:gridCol w:w="36"/>
        <w:gridCol w:w="36"/>
        <w:gridCol w:w="36"/>
        <w:gridCol w:w="120"/>
        <w:gridCol w:w="500"/>
        <w:gridCol w:w="187"/>
        <w:gridCol w:w="36"/>
        <w:gridCol w:w="36"/>
        <w:gridCol w:w="36"/>
        <w:gridCol w:w="84"/>
        <w:gridCol w:w="579"/>
        <w:gridCol w:w="187"/>
      </w:tblGrid>
      <w:tr w:rsidR="00000000" w14:paraId="2648C195" w14:textId="77777777">
        <w:trPr>
          <w:divId w:val="1852721632"/>
          <w:jc w:val="center"/>
        </w:trPr>
        <w:tc>
          <w:tcPr>
            <w:tcW w:w="50" w:type="pct"/>
            <w:vAlign w:val="center"/>
            <w:hideMark/>
          </w:tcPr>
          <w:p w14:paraId="018A90D5" w14:textId="77777777" w:rsidR="00000000" w:rsidRDefault="001A570A">
            <w:pPr>
              <w:ind w:firstLine="450"/>
              <w:rPr>
                <w:rFonts w:eastAsia="Times New Roman"/>
              </w:rPr>
            </w:pPr>
          </w:p>
        </w:tc>
        <w:tc>
          <w:tcPr>
            <w:tcW w:w="2200" w:type="pct"/>
            <w:vAlign w:val="center"/>
            <w:hideMark/>
          </w:tcPr>
          <w:p w14:paraId="3BE2EEDB" w14:textId="77777777" w:rsidR="00000000" w:rsidRDefault="001A570A">
            <w:pPr>
              <w:rPr>
                <w:rFonts w:eastAsia="Times New Roman"/>
                <w:sz w:val="20"/>
                <w:szCs w:val="20"/>
              </w:rPr>
            </w:pPr>
          </w:p>
        </w:tc>
        <w:tc>
          <w:tcPr>
            <w:tcW w:w="5" w:type="pct"/>
            <w:vAlign w:val="center"/>
            <w:hideMark/>
          </w:tcPr>
          <w:p w14:paraId="0BF2193C" w14:textId="77777777" w:rsidR="00000000" w:rsidRDefault="001A570A">
            <w:pPr>
              <w:rPr>
                <w:rFonts w:eastAsia="Times New Roman"/>
                <w:sz w:val="20"/>
                <w:szCs w:val="20"/>
              </w:rPr>
            </w:pPr>
          </w:p>
        </w:tc>
        <w:tc>
          <w:tcPr>
            <w:tcW w:w="50" w:type="pct"/>
            <w:vAlign w:val="center"/>
            <w:hideMark/>
          </w:tcPr>
          <w:p w14:paraId="61BED149" w14:textId="77777777" w:rsidR="00000000" w:rsidRDefault="001A570A">
            <w:pPr>
              <w:rPr>
                <w:rFonts w:eastAsia="Times New Roman"/>
                <w:sz w:val="20"/>
                <w:szCs w:val="20"/>
              </w:rPr>
            </w:pPr>
          </w:p>
        </w:tc>
        <w:tc>
          <w:tcPr>
            <w:tcW w:w="542" w:type="pct"/>
            <w:vAlign w:val="center"/>
            <w:hideMark/>
          </w:tcPr>
          <w:p w14:paraId="706FCA17" w14:textId="77777777" w:rsidR="00000000" w:rsidRDefault="001A570A">
            <w:pPr>
              <w:rPr>
                <w:rFonts w:eastAsia="Times New Roman"/>
                <w:sz w:val="20"/>
                <w:szCs w:val="20"/>
              </w:rPr>
            </w:pPr>
          </w:p>
        </w:tc>
        <w:tc>
          <w:tcPr>
            <w:tcW w:w="5" w:type="pct"/>
            <w:vAlign w:val="center"/>
            <w:hideMark/>
          </w:tcPr>
          <w:p w14:paraId="0BA8B5C4" w14:textId="77777777" w:rsidR="00000000" w:rsidRDefault="001A570A">
            <w:pPr>
              <w:rPr>
                <w:rFonts w:eastAsia="Times New Roman"/>
                <w:sz w:val="20"/>
                <w:szCs w:val="20"/>
              </w:rPr>
            </w:pPr>
          </w:p>
        </w:tc>
        <w:tc>
          <w:tcPr>
            <w:tcW w:w="5" w:type="pct"/>
            <w:vAlign w:val="center"/>
            <w:hideMark/>
          </w:tcPr>
          <w:p w14:paraId="6251D8C6" w14:textId="77777777" w:rsidR="00000000" w:rsidRDefault="001A570A">
            <w:pPr>
              <w:rPr>
                <w:rFonts w:eastAsia="Times New Roman"/>
                <w:sz w:val="20"/>
                <w:szCs w:val="20"/>
              </w:rPr>
            </w:pPr>
          </w:p>
        </w:tc>
        <w:tc>
          <w:tcPr>
            <w:tcW w:w="26" w:type="pct"/>
            <w:vAlign w:val="center"/>
            <w:hideMark/>
          </w:tcPr>
          <w:p w14:paraId="78F60316" w14:textId="77777777" w:rsidR="00000000" w:rsidRDefault="001A570A">
            <w:pPr>
              <w:rPr>
                <w:rFonts w:eastAsia="Times New Roman"/>
                <w:sz w:val="20"/>
                <w:szCs w:val="20"/>
              </w:rPr>
            </w:pPr>
          </w:p>
        </w:tc>
        <w:tc>
          <w:tcPr>
            <w:tcW w:w="5" w:type="pct"/>
            <w:vAlign w:val="center"/>
            <w:hideMark/>
          </w:tcPr>
          <w:p w14:paraId="10E1570F" w14:textId="77777777" w:rsidR="00000000" w:rsidRDefault="001A570A">
            <w:pPr>
              <w:rPr>
                <w:rFonts w:eastAsia="Times New Roman"/>
                <w:sz w:val="20"/>
                <w:szCs w:val="20"/>
              </w:rPr>
            </w:pPr>
          </w:p>
        </w:tc>
        <w:tc>
          <w:tcPr>
            <w:tcW w:w="50" w:type="pct"/>
            <w:vAlign w:val="center"/>
            <w:hideMark/>
          </w:tcPr>
          <w:p w14:paraId="2FD59BDD" w14:textId="77777777" w:rsidR="00000000" w:rsidRDefault="001A570A">
            <w:pPr>
              <w:rPr>
                <w:rFonts w:eastAsia="Times New Roman"/>
                <w:sz w:val="20"/>
                <w:szCs w:val="20"/>
              </w:rPr>
            </w:pPr>
          </w:p>
        </w:tc>
        <w:tc>
          <w:tcPr>
            <w:tcW w:w="542" w:type="pct"/>
            <w:vAlign w:val="center"/>
            <w:hideMark/>
          </w:tcPr>
          <w:p w14:paraId="30C936B7" w14:textId="77777777" w:rsidR="00000000" w:rsidRDefault="001A570A">
            <w:pPr>
              <w:rPr>
                <w:rFonts w:eastAsia="Times New Roman"/>
                <w:sz w:val="20"/>
                <w:szCs w:val="20"/>
              </w:rPr>
            </w:pPr>
          </w:p>
        </w:tc>
        <w:tc>
          <w:tcPr>
            <w:tcW w:w="5" w:type="pct"/>
            <w:vAlign w:val="center"/>
            <w:hideMark/>
          </w:tcPr>
          <w:p w14:paraId="3244E49F" w14:textId="77777777" w:rsidR="00000000" w:rsidRDefault="001A570A">
            <w:pPr>
              <w:rPr>
                <w:rFonts w:eastAsia="Times New Roman"/>
                <w:sz w:val="20"/>
                <w:szCs w:val="20"/>
              </w:rPr>
            </w:pPr>
          </w:p>
        </w:tc>
        <w:tc>
          <w:tcPr>
            <w:tcW w:w="5" w:type="pct"/>
            <w:vAlign w:val="center"/>
            <w:hideMark/>
          </w:tcPr>
          <w:p w14:paraId="18036EF2" w14:textId="77777777" w:rsidR="00000000" w:rsidRDefault="001A570A">
            <w:pPr>
              <w:rPr>
                <w:rFonts w:eastAsia="Times New Roman"/>
                <w:sz w:val="20"/>
                <w:szCs w:val="20"/>
              </w:rPr>
            </w:pPr>
          </w:p>
        </w:tc>
        <w:tc>
          <w:tcPr>
            <w:tcW w:w="26" w:type="pct"/>
            <w:vAlign w:val="center"/>
            <w:hideMark/>
          </w:tcPr>
          <w:p w14:paraId="56C402D1" w14:textId="77777777" w:rsidR="00000000" w:rsidRDefault="001A570A">
            <w:pPr>
              <w:rPr>
                <w:rFonts w:eastAsia="Times New Roman"/>
                <w:sz w:val="20"/>
                <w:szCs w:val="20"/>
              </w:rPr>
            </w:pPr>
          </w:p>
        </w:tc>
        <w:tc>
          <w:tcPr>
            <w:tcW w:w="5" w:type="pct"/>
            <w:vAlign w:val="center"/>
            <w:hideMark/>
          </w:tcPr>
          <w:p w14:paraId="38AD0203" w14:textId="77777777" w:rsidR="00000000" w:rsidRDefault="001A570A">
            <w:pPr>
              <w:rPr>
                <w:rFonts w:eastAsia="Times New Roman"/>
                <w:sz w:val="20"/>
                <w:szCs w:val="20"/>
              </w:rPr>
            </w:pPr>
          </w:p>
        </w:tc>
        <w:tc>
          <w:tcPr>
            <w:tcW w:w="50" w:type="pct"/>
            <w:vAlign w:val="center"/>
            <w:hideMark/>
          </w:tcPr>
          <w:p w14:paraId="6033111E" w14:textId="77777777" w:rsidR="00000000" w:rsidRDefault="001A570A">
            <w:pPr>
              <w:rPr>
                <w:rFonts w:eastAsia="Times New Roman"/>
                <w:sz w:val="20"/>
                <w:szCs w:val="20"/>
              </w:rPr>
            </w:pPr>
          </w:p>
        </w:tc>
        <w:tc>
          <w:tcPr>
            <w:tcW w:w="348" w:type="pct"/>
            <w:vAlign w:val="center"/>
            <w:hideMark/>
          </w:tcPr>
          <w:p w14:paraId="2224988C" w14:textId="77777777" w:rsidR="00000000" w:rsidRDefault="001A570A">
            <w:pPr>
              <w:rPr>
                <w:rFonts w:eastAsia="Times New Roman"/>
                <w:sz w:val="20"/>
                <w:szCs w:val="20"/>
              </w:rPr>
            </w:pPr>
          </w:p>
        </w:tc>
        <w:tc>
          <w:tcPr>
            <w:tcW w:w="5" w:type="pct"/>
            <w:vAlign w:val="center"/>
            <w:hideMark/>
          </w:tcPr>
          <w:p w14:paraId="70FCF4DE" w14:textId="77777777" w:rsidR="00000000" w:rsidRDefault="001A570A">
            <w:pPr>
              <w:rPr>
                <w:rFonts w:eastAsia="Times New Roman"/>
                <w:sz w:val="20"/>
                <w:szCs w:val="20"/>
              </w:rPr>
            </w:pPr>
          </w:p>
        </w:tc>
        <w:tc>
          <w:tcPr>
            <w:tcW w:w="5" w:type="pct"/>
            <w:vAlign w:val="center"/>
            <w:hideMark/>
          </w:tcPr>
          <w:p w14:paraId="334AE9D3" w14:textId="77777777" w:rsidR="00000000" w:rsidRDefault="001A570A">
            <w:pPr>
              <w:rPr>
                <w:rFonts w:eastAsia="Times New Roman"/>
                <w:sz w:val="20"/>
                <w:szCs w:val="20"/>
              </w:rPr>
            </w:pPr>
          </w:p>
        </w:tc>
        <w:tc>
          <w:tcPr>
            <w:tcW w:w="26" w:type="pct"/>
            <w:vAlign w:val="center"/>
            <w:hideMark/>
          </w:tcPr>
          <w:p w14:paraId="5BF9232F" w14:textId="77777777" w:rsidR="00000000" w:rsidRDefault="001A570A">
            <w:pPr>
              <w:rPr>
                <w:rFonts w:eastAsia="Times New Roman"/>
                <w:sz w:val="20"/>
                <w:szCs w:val="20"/>
              </w:rPr>
            </w:pPr>
          </w:p>
        </w:tc>
        <w:tc>
          <w:tcPr>
            <w:tcW w:w="5" w:type="pct"/>
            <w:vAlign w:val="center"/>
            <w:hideMark/>
          </w:tcPr>
          <w:p w14:paraId="7FC7B29D" w14:textId="77777777" w:rsidR="00000000" w:rsidRDefault="001A570A">
            <w:pPr>
              <w:rPr>
                <w:rFonts w:eastAsia="Times New Roman"/>
                <w:sz w:val="20"/>
                <w:szCs w:val="20"/>
              </w:rPr>
            </w:pPr>
          </w:p>
        </w:tc>
        <w:tc>
          <w:tcPr>
            <w:tcW w:w="50" w:type="pct"/>
            <w:vAlign w:val="center"/>
            <w:hideMark/>
          </w:tcPr>
          <w:p w14:paraId="2B1C2A7F" w14:textId="77777777" w:rsidR="00000000" w:rsidRDefault="001A570A">
            <w:pPr>
              <w:rPr>
                <w:rFonts w:eastAsia="Times New Roman"/>
                <w:sz w:val="20"/>
                <w:szCs w:val="20"/>
              </w:rPr>
            </w:pPr>
          </w:p>
        </w:tc>
        <w:tc>
          <w:tcPr>
            <w:tcW w:w="542" w:type="pct"/>
            <w:vAlign w:val="center"/>
            <w:hideMark/>
          </w:tcPr>
          <w:p w14:paraId="72970E8B" w14:textId="77777777" w:rsidR="00000000" w:rsidRDefault="001A570A">
            <w:pPr>
              <w:rPr>
                <w:rFonts w:eastAsia="Times New Roman"/>
                <w:sz w:val="20"/>
                <w:szCs w:val="20"/>
              </w:rPr>
            </w:pPr>
          </w:p>
        </w:tc>
        <w:tc>
          <w:tcPr>
            <w:tcW w:w="5" w:type="pct"/>
            <w:vAlign w:val="center"/>
            <w:hideMark/>
          </w:tcPr>
          <w:p w14:paraId="2815E47B" w14:textId="77777777" w:rsidR="00000000" w:rsidRDefault="001A570A">
            <w:pPr>
              <w:rPr>
                <w:rFonts w:eastAsia="Times New Roman"/>
                <w:sz w:val="20"/>
                <w:szCs w:val="20"/>
              </w:rPr>
            </w:pPr>
          </w:p>
        </w:tc>
        <w:tc>
          <w:tcPr>
            <w:tcW w:w="5" w:type="pct"/>
            <w:vAlign w:val="center"/>
            <w:hideMark/>
          </w:tcPr>
          <w:p w14:paraId="6AEB116E" w14:textId="77777777" w:rsidR="00000000" w:rsidRDefault="001A570A">
            <w:pPr>
              <w:rPr>
                <w:rFonts w:eastAsia="Times New Roman"/>
                <w:sz w:val="20"/>
                <w:szCs w:val="20"/>
              </w:rPr>
            </w:pPr>
          </w:p>
        </w:tc>
        <w:tc>
          <w:tcPr>
            <w:tcW w:w="26" w:type="pct"/>
            <w:vAlign w:val="center"/>
            <w:hideMark/>
          </w:tcPr>
          <w:p w14:paraId="5708A57E" w14:textId="77777777" w:rsidR="00000000" w:rsidRDefault="001A570A">
            <w:pPr>
              <w:rPr>
                <w:rFonts w:eastAsia="Times New Roman"/>
                <w:sz w:val="20"/>
                <w:szCs w:val="20"/>
              </w:rPr>
            </w:pPr>
          </w:p>
        </w:tc>
        <w:tc>
          <w:tcPr>
            <w:tcW w:w="5" w:type="pct"/>
            <w:vAlign w:val="center"/>
            <w:hideMark/>
          </w:tcPr>
          <w:p w14:paraId="01C1A86C" w14:textId="77777777" w:rsidR="00000000" w:rsidRDefault="001A570A">
            <w:pPr>
              <w:rPr>
                <w:rFonts w:eastAsia="Times New Roman"/>
                <w:sz w:val="20"/>
                <w:szCs w:val="20"/>
              </w:rPr>
            </w:pPr>
          </w:p>
        </w:tc>
        <w:tc>
          <w:tcPr>
            <w:tcW w:w="50" w:type="pct"/>
            <w:vAlign w:val="center"/>
            <w:hideMark/>
          </w:tcPr>
          <w:p w14:paraId="7D66DBF2" w14:textId="77777777" w:rsidR="00000000" w:rsidRDefault="001A570A">
            <w:pPr>
              <w:rPr>
                <w:rFonts w:eastAsia="Times New Roman"/>
                <w:sz w:val="20"/>
                <w:szCs w:val="20"/>
              </w:rPr>
            </w:pPr>
          </w:p>
        </w:tc>
        <w:tc>
          <w:tcPr>
            <w:tcW w:w="348" w:type="pct"/>
            <w:vAlign w:val="center"/>
            <w:hideMark/>
          </w:tcPr>
          <w:p w14:paraId="6E10D344" w14:textId="77777777" w:rsidR="00000000" w:rsidRDefault="001A570A">
            <w:pPr>
              <w:rPr>
                <w:rFonts w:eastAsia="Times New Roman"/>
                <w:sz w:val="20"/>
                <w:szCs w:val="20"/>
              </w:rPr>
            </w:pPr>
          </w:p>
        </w:tc>
        <w:tc>
          <w:tcPr>
            <w:tcW w:w="5" w:type="pct"/>
            <w:vAlign w:val="center"/>
            <w:hideMark/>
          </w:tcPr>
          <w:p w14:paraId="1685CE51" w14:textId="77777777" w:rsidR="00000000" w:rsidRDefault="001A570A">
            <w:pPr>
              <w:rPr>
                <w:rFonts w:eastAsia="Times New Roman"/>
                <w:sz w:val="20"/>
                <w:szCs w:val="20"/>
              </w:rPr>
            </w:pPr>
          </w:p>
        </w:tc>
      </w:tr>
      <w:tr w:rsidR="00000000" w14:paraId="41588C13" w14:textId="77777777">
        <w:trPr>
          <w:divId w:val="1852721632"/>
          <w:jc w:val="center"/>
        </w:trPr>
        <w:tc>
          <w:tcPr>
            <w:tcW w:w="0" w:type="auto"/>
            <w:gridSpan w:val="3"/>
            <w:tcMar>
              <w:top w:w="30" w:type="dxa"/>
              <w:left w:w="20" w:type="dxa"/>
              <w:bottom w:w="30" w:type="dxa"/>
              <w:right w:w="20" w:type="dxa"/>
            </w:tcMar>
            <w:vAlign w:val="bottom"/>
            <w:hideMark/>
          </w:tcPr>
          <w:p w14:paraId="503747E5" w14:textId="77777777" w:rsidR="00000000" w:rsidRDefault="001A570A">
            <w:pPr>
              <w:rPr>
                <w:rFonts w:eastAsia="Times New Roman"/>
              </w:rPr>
            </w:pPr>
            <w:r>
              <w:rPr>
                <w:rFonts w:eastAsia="Times New Roman"/>
                <w:color w:val="000000"/>
                <w:sz w:val="16"/>
                <w:szCs w:val="16"/>
              </w:rPr>
              <w:t> </w:t>
            </w:r>
          </w:p>
        </w:tc>
        <w:tc>
          <w:tcPr>
            <w:tcW w:w="0" w:type="auto"/>
            <w:gridSpan w:val="27"/>
            <w:tcMar>
              <w:top w:w="30" w:type="dxa"/>
              <w:left w:w="20" w:type="dxa"/>
              <w:bottom w:w="30" w:type="dxa"/>
              <w:right w:w="20" w:type="dxa"/>
            </w:tcMar>
            <w:vAlign w:val="bottom"/>
            <w:hideMark/>
          </w:tcPr>
          <w:p w14:paraId="73CE0311" w14:textId="77777777" w:rsidR="00000000" w:rsidRDefault="001A570A">
            <w:pPr>
              <w:jc w:val="center"/>
              <w:rPr>
                <w:rFonts w:eastAsia="Times New Roman"/>
              </w:rPr>
            </w:pPr>
            <w:r>
              <w:rPr>
                <w:rFonts w:eastAsia="Times New Roman"/>
                <w:b/>
                <w:bCs/>
                <w:color w:val="000000"/>
                <w:sz w:val="16"/>
                <w:szCs w:val="16"/>
              </w:rPr>
              <w:t>Two Quarters Ended</w:t>
            </w:r>
          </w:p>
        </w:tc>
      </w:tr>
      <w:tr w:rsidR="00000000" w14:paraId="1A34D54C" w14:textId="77777777">
        <w:trPr>
          <w:divId w:val="1852721632"/>
          <w:jc w:val="center"/>
        </w:trPr>
        <w:tc>
          <w:tcPr>
            <w:tcW w:w="0" w:type="auto"/>
            <w:gridSpan w:val="3"/>
            <w:tcMar>
              <w:top w:w="30" w:type="dxa"/>
              <w:left w:w="20" w:type="dxa"/>
              <w:bottom w:w="30" w:type="dxa"/>
              <w:right w:w="20" w:type="dxa"/>
            </w:tcMar>
            <w:vAlign w:val="bottom"/>
            <w:hideMark/>
          </w:tcPr>
          <w:p w14:paraId="7D029A21"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7DFCD09"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FC9C59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ADD3DF" w14:textId="77777777" w:rsidR="00000000" w:rsidRDefault="001A570A">
            <w:pPr>
              <w:jc w:val="center"/>
              <w:rPr>
                <w:rFonts w:eastAsia="Times New Roman"/>
              </w:rPr>
            </w:pPr>
            <w:r>
              <w:rPr>
                <w:rFonts w:eastAsia="Times New Roman"/>
                <w:b/>
                <w:bCs/>
                <w:color w:val="000000"/>
                <w:sz w:val="16"/>
                <w:szCs w:val="16"/>
              </w:rPr>
              <w:t>December 28, 2018</w:t>
            </w:r>
          </w:p>
        </w:tc>
        <w:tc>
          <w:tcPr>
            <w:tcW w:w="0" w:type="auto"/>
            <w:gridSpan w:val="3"/>
            <w:tcBorders>
              <w:top w:val="single" w:sz="8" w:space="0" w:color="000000"/>
            </w:tcBorders>
            <w:tcMar>
              <w:top w:w="0" w:type="dxa"/>
              <w:left w:w="20" w:type="dxa"/>
              <w:bottom w:w="0" w:type="dxa"/>
              <w:right w:w="20" w:type="dxa"/>
            </w:tcMar>
            <w:vAlign w:val="center"/>
            <w:hideMark/>
          </w:tcPr>
          <w:p w14:paraId="09A5FDB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01FD17"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14:paraId="27571F0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4DB71E" w14:textId="77777777" w:rsidR="00000000" w:rsidRDefault="001A570A">
            <w:pPr>
              <w:jc w:val="center"/>
              <w:rPr>
                <w:rFonts w:eastAsia="Times New Roman"/>
              </w:rPr>
            </w:pPr>
            <w:r>
              <w:rPr>
                <w:rFonts w:eastAsia="Times New Roman"/>
                <w:b/>
                <w:bCs/>
                <w:color w:val="000000"/>
                <w:sz w:val="16"/>
                <w:szCs w:val="16"/>
              </w:rPr>
              <w:t>December 28, 2018</w:t>
            </w:r>
          </w:p>
        </w:tc>
        <w:tc>
          <w:tcPr>
            <w:tcW w:w="0" w:type="auto"/>
            <w:gridSpan w:val="3"/>
            <w:tcBorders>
              <w:top w:val="single" w:sz="8" w:space="0" w:color="000000"/>
            </w:tcBorders>
            <w:tcMar>
              <w:top w:w="0" w:type="dxa"/>
              <w:left w:w="20" w:type="dxa"/>
              <w:bottom w:w="0" w:type="dxa"/>
              <w:right w:w="20" w:type="dxa"/>
            </w:tcMar>
            <w:vAlign w:val="center"/>
            <w:hideMark/>
          </w:tcPr>
          <w:p w14:paraId="4476CB7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69998F"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473DCB3A" w14:textId="77777777">
        <w:trPr>
          <w:divId w:val="1852721632"/>
          <w:jc w:val="center"/>
        </w:trPr>
        <w:tc>
          <w:tcPr>
            <w:tcW w:w="0" w:type="auto"/>
            <w:gridSpan w:val="3"/>
            <w:tcMar>
              <w:top w:w="30" w:type="dxa"/>
              <w:left w:w="20" w:type="dxa"/>
              <w:bottom w:w="30" w:type="dxa"/>
              <w:right w:w="20" w:type="dxa"/>
            </w:tcMar>
            <w:vAlign w:val="bottom"/>
            <w:hideMark/>
          </w:tcPr>
          <w:p w14:paraId="77E78FFC" w14:textId="77777777" w:rsidR="00000000" w:rsidRDefault="001A570A">
            <w:pPr>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098BAC6A"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4E62075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C09496"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7410FB42"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A83F8B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3E9EB2F"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FF04E53"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40F9C7B4"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96F207A" w14:textId="77777777" w:rsidR="00000000" w:rsidRDefault="001A570A">
            <w:pPr>
              <w:rPr>
                <w:rFonts w:eastAsia="Times New Roman"/>
                <w:sz w:val="20"/>
                <w:szCs w:val="20"/>
              </w:rPr>
            </w:pPr>
          </w:p>
        </w:tc>
      </w:tr>
      <w:tr w:rsidR="00000000" w14:paraId="08505093" w14:textId="77777777">
        <w:trPr>
          <w:divId w:val="1852721632"/>
          <w:jc w:val="center"/>
        </w:trPr>
        <w:tc>
          <w:tcPr>
            <w:tcW w:w="0" w:type="auto"/>
            <w:gridSpan w:val="3"/>
            <w:tcMar>
              <w:top w:w="30" w:type="dxa"/>
              <w:left w:w="20" w:type="dxa"/>
              <w:bottom w:w="30" w:type="dxa"/>
              <w:right w:w="20" w:type="dxa"/>
            </w:tcMar>
            <w:vAlign w:val="bottom"/>
            <w:hideMark/>
          </w:tcPr>
          <w:p w14:paraId="28AA40EB"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268950D6"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CEEF6E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841CD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55270A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6B8210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0D75D5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247FA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041706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982C1C4" w14:textId="77777777" w:rsidR="00000000" w:rsidRDefault="001A570A">
            <w:pPr>
              <w:rPr>
                <w:rFonts w:eastAsia="Times New Roman"/>
                <w:sz w:val="20"/>
                <w:szCs w:val="20"/>
              </w:rPr>
            </w:pPr>
          </w:p>
        </w:tc>
      </w:tr>
      <w:tr w:rsidR="00000000" w14:paraId="5E90F3C7" w14:textId="77777777">
        <w:trPr>
          <w:divId w:val="1852721632"/>
          <w:jc w:val="center"/>
        </w:trPr>
        <w:tc>
          <w:tcPr>
            <w:tcW w:w="0" w:type="auto"/>
            <w:gridSpan w:val="3"/>
            <w:shd w:val="clear" w:color="auto" w:fill="CCEEFF"/>
            <w:tcMar>
              <w:top w:w="30" w:type="dxa"/>
              <w:left w:w="20" w:type="dxa"/>
              <w:bottom w:w="30" w:type="dxa"/>
              <w:right w:w="20" w:type="dxa"/>
            </w:tcMar>
            <w:hideMark/>
          </w:tcPr>
          <w:p w14:paraId="0C2FDF1D" w14:textId="77777777" w:rsidR="00000000" w:rsidRDefault="001A570A">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238F087F"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5A30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8B90B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C9D0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0940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1C51E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7FA21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7A915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26A4E6" w14:textId="77777777" w:rsidR="00000000" w:rsidRDefault="001A570A">
            <w:pPr>
              <w:rPr>
                <w:rFonts w:eastAsia="Times New Roman"/>
                <w:sz w:val="20"/>
                <w:szCs w:val="20"/>
              </w:rPr>
            </w:pPr>
          </w:p>
        </w:tc>
      </w:tr>
      <w:tr w:rsidR="00000000" w14:paraId="6DE9E70A" w14:textId="77777777">
        <w:trPr>
          <w:divId w:val="1852721632"/>
          <w:jc w:val="center"/>
        </w:trPr>
        <w:tc>
          <w:tcPr>
            <w:tcW w:w="0" w:type="auto"/>
            <w:gridSpan w:val="3"/>
            <w:shd w:val="clear" w:color="auto" w:fill="FFFFFF"/>
            <w:tcMar>
              <w:top w:w="30" w:type="dxa"/>
              <w:left w:w="290" w:type="dxa"/>
              <w:bottom w:w="30" w:type="dxa"/>
              <w:right w:w="20" w:type="dxa"/>
            </w:tcMar>
            <w:hideMark/>
          </w:tcPr>
          <w:p w14:paraId="79E50C88"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631EA52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B3C595" w14:textId="77777777" w:rsidR="00000000" w:rsidRDefault="001A570A">
            <w:pPr>
              <w:jc w:val="right"/>
              <w:rPr>
                <w:rFonts w:eastAsia="Times New Roman"/>
              </w:rPr>
            </w:pPr>
            <w:r>
              <w:rPr>
                <w:rFonts w:eastAsia="Times New Roman"/>
                <w:color w:val="000000"/>
                <w:sz w:val="20"/>
                <w:szCs w:val="20"/>
              </w:rPr>
              <w:t>2,758 </w:t>
            </w:r>
          </w:p>
        </w:tc>
        <w:tc>
          <w:tcPr>
            <w:tcW w:w="0" w:type="auto"/>
            <w:shd w:val="clear" w:color="auto" w:fill="FFFFFF"/>
            <w:tcMar>
              <w:top w:w="30" w:type="dxa"/>
              <w:left w:w="0" w:type="dxa"/>
              <w:bottom w:w="30" w:type="dxa"/>
              <w:right w:w="20" w:type="dxa"/>
            </w:tcMar>
            <w:vAlign w:val="bottom"/>
            <w:hideMark/>
          </w:tcPr>
          <w:p w14:paraId="70AF9FD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5177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B0ED0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82922C" w14:textId="77777777" w:rsidR="00000000" w:rsidRDefault="001A570A">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202E46E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3BAA1"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EFB85BC"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464F92" w14:textId="77777777" w:rsidR="00000000" w:rsidRDefault="001A570A">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E67587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B90765" w14:textId="77777777" w:rsidR="00000000" w:rsidRDefault="001A570A">
            <w:pPr>
              <w:jc w:val="right"/>
              <w:rPr>
                <w:rFonts w:eastAsia="Times New Roman"/>
              </w:rPr>
            </w:pPr>
            <w:r>
              <w:rPr>
                <w:rFonts w:eastAsia="Times New Roman"/>
                <w:color w:val="000000"/>
                <w:sz w:val="20"/>
                <w:szCs w:val="20"/>
              </w:rPr>
              <w:t>2,497 </w:t>
            </w:r>
          </w:p>
        </w:tc>
        <w:tc>
          <w:tcPr>
            <w:tcW w:w="0" w:type="auto"/>
            <w:shd w:val="clear" w:color="auto" w:fill="FFFFFF"/>
            <w:tcMar>
              <w:top w:w="30" w:type="dxa"/>
              <w:left w:w="0" w:type="dxa"/>
              <w:bottom w:w="30" w:type="dxa"/>
              <w:right w:w="20" w:type="dxa"/>
            </w:tcMar>
            <w:vAlign w:val="bottom"/>
            <w:hideMark/>
          </w:tcPr>
          <w:p w14:paraId="1E5DA2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B8F0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9EEDB"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457D2B10" w14:textId="77777777" w:rsidR="00000000" w:rsidRDefault="001A570A">
            <w:pPr>
              <w:jc w:val="right"/>
              <w:rPr>
                <w:rFonts w:eastAsia="Times New Roman"/>
              </w:rPr>
            </w:pPr>
            <w:r>
              <w:rPr>
                <w:rFonts w:eastAsia="Times New Roman"/>
                <w:color w:val="000000"/>
                <w:sz w:val="20"/>
                <w:szCs w:val="20"/>
              </w:rPr>
              <w:t>%</w:t>
            </w:r>
          </w:p>
        </w:tc>
      </w:tr>
      <w:tr w:rsidR="00000000" w14:paraId="6F59AA1E" w14:textId="77777777">
        <w:trPr>
          <w:divId w:val="1852721632"/>
          <w:jc w:val="center"/>
        </w:trPr>
        <w:tc>
          <w:tcPr>
            <w:tcW w:w="0" w:type="auto"/>
            <w:gridSpan w:val="3"/>
            <w:shd w:val="clear" w:color="auto" w:fill="CCEEFF"/>
            <w:tcMar>
              <w:top w:w="30" w:type="dxa"/>
              <w:left w:w="290" w:type="dxa"/>
              <w:bottom w:w="30" w:type="dxa"/>
              <w:right w:w="20" w:type="dxa"/>
            </w:tcMar>
            <w:hideMark/>
          </w:tcPr>
          <w:p w14:paraId="41516FDB"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6C3CFCE6" w14:textId="77777777" w:rsidR="00000000" w:rsidRDefault="001A570A">
            <w:pPr>
              <w:jc w:val="right"/>
              <w:rPr>
                <w:rFonts w:eastAsia="Times New Roman"/>
              </w:rPr>
            </w:pPr>
            <w:r>
              <w:rPr>
                <w:rFonts w:eastAsia="Times New Roman"/>
                <w:color w:val="000000"/>
                <w:sz w:val="20"/>
                <w:szCs w:val="20"/>
              </w:rPr>
              <w:t>2,377 </w:t>
            </w:r>
          </w:p>
        </w:tc>
        <w:tc>
          <w:tcPr>
            <w:tcW w:w="0" w:type="auto"/>
            <w:shd w:val="clear" w:color="auto" w:fill="CCEEFF"/>
            <w:tcMar>
              <w:top w:w="30" w:type="dxa"/>
              <w:left w:w="0" w:type="dxa"/>
              <w:bottom w:w="30" w:type="dxa"/>
              <w:right w:w="20" w:type="dxa"/>
            </w:tcMar>
            <w:vAlign w:val="bottom"/>
            <w:hideMark/>
          </w:tcPr>
          <w:p w14:paraId="7ABEE34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3534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3F5F5A" w14:textId="77777777" w:rsidR="00000000" w:rsidRDefault="001A570A">
            <w:pPr>
              <w:jc w:val="right"/>
              <w:rPr>
                <w:rFonts w:eastAsia="Times New Roman"/>
              </w:rPr>
            </w:pPr>
            <w:r>
              <w:rPr>
                <w:rFonts w:eastAsia="Times New Roman"/>
                <w:color w:val="000000"/>
                <w:sz w:val="20"/>
                <w:szCs w:val="20"/>
              </w:rPr>
              <w:t>1,736 </w:t>
            </w:r>
          </w:p>
        </w:tc>
        <w:tc>
          <w:tcPr>
            <w:tcW w:w="0" w:type="auto"/>
            <w:shd w:val="clear" w:color="auto" w:fill="CCEEFF"/>
            <w:tcMar>
              <w:top w:w="30" w:type="dxa"/>
              <w:left w:w="0" w:type="dxa"/>
              <w:bottom w:w="30" w:type="dxa"/>
              <w:right w:w="20" w:type="dxa"/>
            </w:tcMar>
            <w:vAlign w:val="bottom"/>
            <w:hideMark/>
          </w:tcPr>
          <w:p w14:paraId="7039EA3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C319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7BC22"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50A9407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819EB99"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6FF710" w14:textId="77777777" w:rsidR="00000000" w:rsidRDefault="001A570A">
            <w:pPr>
              <w:jc w:val="right"/>
              <w:rPr>
                <w:rFonts w:eastAsia="Times New Roman"/>
              </w:rPr>
            </w:pPr>
            <w:r>
              <w:rPr>
                <w:rFonts w:eastAsia="Times New Roman"/>
                <w:color w:val="000000"/>
                <w:sz w:val="20"/>
                <w:szCs w:val="20"/>
              </w:rPr>
              <w:t>2,059 </w:t>
            </w:r>
          </w:p>
        </w:tc>
        <w:tc>
          <w:tcPr>
            <w:tcW w:w="0" w:type="auto"/>
            <w:shd w:val="clear" w:color="auto" w:fill="CCEEFF"/>
            <w:tcMar>
              <w:top w:w="30" w:type="dxa"/>
              <w:left w:w="0" w:type="dxa"/>
              <w:bottom w:w="30" w:type="dxa"/>
              <w:right w:w="20" w:type="dxa"/>
            </w:tcMar>
            <w:vAlign w:val="bottom"/>
            <w:hideMark/>
          </w:tcPr>
          <w:p w14:paraId="136620A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F08C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05B91"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56C56FAA" w14:textId="77777777" w:rsidR="00000000" w:rsidRDefault="001A570A">
            <w:pPr>
              <w:jc w:val="right"/>
              <w:rPr>
                <w:rFonts w:eastAsia="Times New Roman"/>
              </w:rPr>
            </w:pPr>
            <w:r>
              <w:rPr>
                <w:rFonts w:eastAsia="Times New Roman"/>
                <w:color w:val="000000"/>
                <w:sz w:val="20"/>
                <w:szCs w:val="20"/>
              </w:rPr>
              <w:t>%</w:t>
            </w:r>
          </w:p>
        </w:tc>
      </w:tr>
      <w:tr w:rsidR="00000000" w14:paraId="32BF57D2" w14:textId="77777777">
        <w:trPr>
          <w:divId w:val="1852721632"/>
          <w:jc w:val="center"/>
        </w:trPr>
        <w:tc>
          <w:tcPr>
            <w:tcW w:w="0" w:type="auto"/>
            <w:gridSpan w:val="3"/>
            <w:shd w:val="clear" w:color="auto" w:fill="FFFFFF"/>
            <w:tcMar>
              <w:top w:w="30" w:type="dxa"/>
              <w:left w:w="290" w:type="dxa"/>
              <w:bottom w:w="30" w:type="dxa"/>
              <w:right w:w="20" w:type="dxa"/>
            </w:tcMar>
            <w:hideMark/>
          </w:tcPr>
          <w:p w14:paraId="5DE0272D"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7B4BC0EF" w14:textId="77777777" w:rsidR="00000000" w:rsidRDefault="001A570A">
            <w:pPr>
              <w:jc w:val="right"/>
              <w:rPr>
                <w:rFonts w:eastAsia="Times New Roman"/>
              </w:rPr>
            </w:pPr>
            <w:r>
              <w:rPr>
                <w:rFonts w:eastAsia="Times New Roman"/>
                <w:color w:val="000000"/>
                <w:sz w:val="20"/>
                <w:szCs w:val="20"/>
              </w:rPr>
              <w:t>2,151 </w:t>
            </w:r>
          </w:p>
        </w:tc>
        <w:tc>
          <w:tcPr>
            <w:tcW w:w="0" w:type="auto"/>
            <w:shd w:val="clear" w:color="auto" w:fill="FFFFFF"/>
            <w:tcMar>
              <w:top w:w="30" w:type="dxa"/>
              <w:left w:w="0" w:type="dxa"/>
              <w:bottom w:w="30" w:type="dxa"/>
              <w:right w:w="20" w:type="dxa"/>
            </w:tcMar>
            <w:vAlign w:val="bottom"/>
            <w:hideMark/>
          </w:tcPr>
          <w:p w14:paraId="24359DF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AD4D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C42575" w14:textId="77777777" w:rsidR="00000000" w:rsidRDefault="001A570A">
            <w:pPr>
              <w:jc w:val="right"/>
              <w:rPr>
                <w:rFonts w:eastAsia="Times New Roman"/>
              </w:rPr>
            </w:pPr>
            <w:r>
              <w:rPr>
                <w:rFonts w:eastAsia="Times New Roman"/>
                <w:color w:val="000000"/>
                <w:sz w:val="20"/>
                <w:szCs w:val="20"/>
              </w:rPr>
              <w:t>1,018 </w:t>
            </w:r>
          </w:p>
        </w:tc>
        <w:tc>
          <w:tcPr>
            <w:tcW w:w="0" w:type="auto"/>
            <w:shd w:val="clear" w:color="auto" w:fill="FFFFFF"/>
            <w:tcMar>
              <w:top w:w="30" w:type="dxa"/>
              <w:left w:w="0" w:type="dxa"/>
              <w:bottom w:w="30" w:type="dxa"/>
              <w:right w:w="20" w:type="dxa"/>
            </w:tcMar>
            <w:vAlign w:val="bottom"/>
            <w:hideMark/>
          </w:tcPr>
          <w:p w14:paraId="7BDDBBD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B114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1934E" w14:textId="77777777" w:rsidR="00000000" w:rsidRDefault="001A570A">
            <w:pPr>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14:paraId="548CBCA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62E17AE"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4F3B3D" w14:textId="77777777" w:rsidR="00000000" w:rsidRDefault="001A570A">
            <w:pPr>
              <w:jc w:val="right"/>
              <w:rPr>
                <w:rFonts w:eastAsia="Times New Roman"/>
              </w:rPr>
            </w:pPr>
            <w:r>
              <w:rPr>
                <w:rFonts w:eastAsia="Times New Roman"/>
                <w:color w:val="000000"/>
                <w:sz w:val="20"/>
                <w:szCs w:val="20"/>
              </w:rPr>
              <w:t>1,949 </w:t>
            </w:r>
          </w:p>
        </w:tc>
        <w:tc>
          <w:tcPr>
            <w:tcW w:w="0" w:type="auto"/>
            <w:shd w:val="clear" w:color="auto" w:fill="FFFFFF"/>
            <w:tcMar>
              <w:top w:w="30" w:type="dxa"/>
              <w:left w:w="0" w:type="dxa"/>
              <w:bottom w:w="30" w:type="dxa"/>
              <w:right w:w="20" w:type="dxa"/>
            </w:tcMar>
            <w:vAlign w:val="bottom"/>
            <w:hideMark/>
          </w:tcPr>
          <w:p w14:paraId="77A0628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FFCC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13955"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0AC13FF5" w14:textId="77777777" w:rsidR="00000000" w:rsidRDefault="001A570A">
            <w:pPr>
              <w:jc w:val="right"/>
              <w:rPr>
                <w:rFonts w:eastAsia="Times New Roman"/>
              </w:rPr>
            </w:pPr>
            <w:r>
              <w:rPr>
                <w:rFonts w:eastAsia="Times New Roman"/>
                <w:color w:val="000000"/>
                <w:sz w:val="20"/>
                <w:szCs w:val="20"/>
              </w:rPr>
              <w:t>%</w:t>
            </w:r>
          </w:p>
        </w:tc>
      </w:tr>
      <w:tr w:rsidR="00000000" w14:paraId="6CB5273C" w14:textId="77777777">
        <w:trPr>
          <w:divId w:val="1852721632"/>
          <w:jc w:val="center"/>
        </w:trPr>
        <w:tc>
          <w:tcPr>
            <w:tcW w:w="0" w:type="auto"/>
            <w:gridSpan w:val="3"/>
            <w:shd w:val="clear" w:color="auto" w:fill="CCEEFF"/>
            <w:tcMar>
              <w:top w:w="30" w:type="dxa"/>
              <w:left w:w="260" w:type="dxa"/>
              <w:bottom w:w="30" w:type="dxa"/>
              <w:right w:w="20" w:type="dxa"/>
            </w:tcMar>
            <w:hideMark/>
          </w:tcPr>
          <w:p w14:paraId="7198E781" w14:textId="77777777" w:rsidR="00000000" w:rsidRDefault="001A570A">
            <w:pPr>
              <w:rPr>
                <w:rFonts w:eastAsia="Times New Roman"/>
              </w:rPr>
            </w:pPr>
            <w:r>
              <w:rPr>
                <w:rFonts w:eastAsia="Times New Roman"/>
                <w:color w:val="000000"/>
                <w:sz w:val="20"/>
                <w:szCs w:val="20"/>
              </w:rPr>
              <w:t xml:space="preserve"> Aviation Systems </w:t>
            </w:r>
          </w:p>
        </w:tc>
        <w:tc>
          <w:tcPr>
            <w:tcW w:w="0" w:type="auto"/>
            <w:gridSpan w:val="2"/>
            <w:shd w:val="clear" w:color="auto" w:fill="CCEEFF"/>
            <w:tcMar>
              <w:top w:w="30" w:type="dxa"/>
              <w:left w:w="20" w:type="dxa"/>
              <w:bottom w:w="30" w:type="dxa"/>
              <w:right w:w="0" w:type="dxa"/>
            </w:tcMar>
            <w:vAlign w:val="bottom"/>
            <w:hideMark/>
          </w:tcPr>
          <w:p w14:paraId="11F6465D" w14:textId="77777777" w:rsidR="00000000" w:rsidRDefault="001A570A">
            <w:pPr>
              <w:jc w:val="right"/>
              <w:rPr>
                <w:rFonts w:eastAsia="Times New Roman"/>
              </w:rPr>
            </w:pPr>
            <w:r>
              <w:rPr>
                <w:rFonts w:eastAsia="Times New Roman"/>
                <w:color w:val="000000"/>
                <w:sz w:val="20"/>
                <w:szCs w:val="20"/>
              </w:rPr>
              <w:t>2,038 </w:t>
            </w:r>
          </w:p>
        </w:tc>
        <w:tc>
          <w:tcPr>
            <w:tcW w:w="0" w:type="auto"/>
            <w:shd w:val="clear" w:color="auto" w:fill="CCEEFF"/>
            <w:tcMar>
              <w:top w:w="30" w:type="dxa"/>
              <w:left w:w="0" w:type="dxa"/>
              <w:bottom w:w="30" w:type="dxa"/>
              <w:right w:w="20" w:type="dxa"/>
            </w:tcMar>
            <w:vAlign w:val="bottom"/>
            <w:hideMark/>
          </w:tcPr>
          <w:p w14:paraId="2FF613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605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D7EDB" w14:textId="77777777" w:rsidR="00000000" w:rsidRDefault="001A570A">
            <w:pPr>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14:paraId="30D86EC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E8C40"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F769CA"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A22BA6"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713ACD" w14:textId="77777777" w:rsidR="00000000" w:rsidRDefault="001A570A">
            <w:pPr>
              <w:jc w:val="right"/>
              <w:rPr>
                <w:rFonts w:eastAsia="Times New Roman"/>
              </w:rPr>
            </w:pPr>
            <w:r>
              <w:rPr>
                <w:rFonts w:eastAsia="Times New Roman"/>
                <w:color w:val="000000"/>
                <w:sz w:val="20"/>
                <w:szCs w:val="20"/>
              </w:rPr>
              <w:t>1,970 </w:t>
            </w:r>
          </w:p>
        </w:tc>
        <w:tc>
          <w:tcPr>
            <w:tcW w:w="0" w:type="auto"/>
            <w:shd w:val="clear" w:color="auto" w:fill="CCEEFF"/>
            <w:tcMar>
              <w:top w:w="30" w:type="dxa"/>
              <w:left w:w="0" w:type="dxa"/>
              <w:bottom w:w="30" w:type="dxa"/>
              <w:right w:w="20" w:type="dxa"/>
            </w:tcMar>
            <w:vAlign w:val="bottom"/>
            <w:hideMark/>
          </w:tcPr>
          <w:p w14:paraId="78E991F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2925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57D76"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2AAC787" w14:textId="77777777" w:rsidR="00000000" w:rsidRDefault="001A570A">
            <w:pPr>
              <w:jc w:val="right"/>
              <w:rPr>
                <w:rFonts w:eastAsia="Times New Roman"/>
              </w:rPr>
            </w:pPr>
            <w:r>
              <w:rPr>
                <w:rFonts w:eastAsia="Times New Roman"/>
                <w:color w:val="000000"/>
                <w:sz w:val="20"/>
                <w:szCs w:val="20"/>
              </w:rPr>
              <w:t>%</w:t>
            </w:r>
          </w:p>
        </w:tc>
      </w:tr>
      <w:tr w:rsidR="00000000" w14:paraId="5B2ABC34" w14:textId="77777777">
        <w:trPr>
          <w:divId w:val="1852721632"/>
          <w:jc w:val="center"/>
        </w:trPr>
        <w:tc>
          <w:tcPr>
            <w:tcW w:w="0" w:type="auto"/>
            <w:gridSpan w:val="3"/>
            <w:shd w:val="clear" w:color="auto" w:fill="FFFFFF"/>
            <w:tcMar>
              <w:top w:w="30" w:type="dxa"/>
              <w:left w:w="290" w:type="dxa"/>
              <w:bottom w:w="30" w:type="dxa"/>
              <w:right w:w="20" w:type="dxa"/>
            </w:tcMar>
            <w:hideMark/>
          </w:tcPr>
          <w:p w14:paraId="7CAF148B" w14:textId="77777777" w:rsidR="00000000" w:rsidRDefault="001A570A">
            <w:pPr>
              <w:rPr>
                <w:rFonts w:eastAsia="Times New Roman"/>
              </w:rPr>
            </w:pPr>
            <w:r>
              <w:rPr>
                <w:rFonts w:eastAsia="Times New Roman"/>
                <w:color w:val="000000"/>
                <w:sz w:val="20"/>
                <w:szCs w:val="20"/>
              </w:rPr>
              <w:t>Other non-reportable business segments</w:t>
            </w:r>
          </w:p>
        </w:tc>
        <w:tc>
          <w:tcPr>
            <w:tcW w:w="0" w:type="auto"/>
            <w:gridSpan w:val="2"/>
            <w:shd w:val="clear" w:color="auto" w:fill="FFFFFF"/>
            <w:tcMar>
              <w:top w:w="30" w:type="dxa"/>
              <w:left w:w="20" w:type="dxa"/>
              <w:bottom w:w="30" w:type="dxa"/>
              <w:right w:w="0" w:type="dxa"/>
            </w:tcMar>
            <w:vAlign w:val="bottom"/>
            <w:hideMark/>
          </w:tcPr>
          <w:p w14:paraId="63B4110E"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0DFF29F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9C77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65044E" w14:textId="77777777" w:rsidR="00000000" w:rsidRDefault="001A570A">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1362FE6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675A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9B94E0"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14:paraId="32AB4B1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06C729E"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75F942"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47E8152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000D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BF345" w14:textId="77777777" w:rsidR="00000000" w:rsidRDefault="001A570A">
            <w:pPr>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14:paraId="39A07163" w14:textId="77777777" w:rsidR="00000000" w:rsidRDefault="001A570A">
            <w:pPr>
              <w:jc w:val="right"/>
              <w:rPr>
                <w:rFonts w:eastAsia="Times New Roman"/>
              </w:rPr>
            </w:pPr>
            <w:r>
              <w:rPr>
                <w:rFonts w:eastAsia="Times New Roman"/>
                <w:color w:val="000000"/>
                <w:sz w:val="20"/>
                <w:szCs w:val="20"/>
              </w:rPr>
              <w:t>%</w:t>
            </w:r>
          </w:p>
        </w:tc>
      </w:tr>
      <w:tr w:rsidR="00000000" w14:paraId="19F505D1" w14:textId="77777777">
        <w:trPr>
          <w:divId w:val="1852721632"/>
          <w:jc w:val="center"/>
        </w:trPr>
        <w:tc>
          <w:tcPr>
            <w:tcW w:w="0" w:type="auto"/>
            <w:gridSpan w:val="3"/>
            <w:shd w:val="clear" w:color="auto" w:fill="CCEEFF"/>
            <w:tcMar>
              <w:top w:w="30" w:type="dxa"/>
              <w:left w:w="260" w:type="dxa"/>
              <w:bottom w:w="30" w:type="dxa"/>
              <w:right w:w="20" w:type="dxa"/>
            </w:tcMar>
            <w:hideMark/>
          </w:tcPr>
          <w:p w14:paraId="1182FD8C" w14:textId="77777777" w:rsidR="00000000" w:rsidRDefault="001A570A">
            <w:pPr>
              <w:rPr>
                <w:rFonts w:eastAsia="Times New Roman"/>
              </w:rPr>
            </w:pPr>
            <w:r>
              <w:rPr>
                <w:rFonts w:eastAsia="Times New Roman"/>
                <w:color w:val="000000"/>
                <w:sz w:val="20"/>
                <w:szCs w:val="20"/>
              </w:rPr>
              <w:t xml:space="preserve"> Corporate eliminations </w:t>
            </w:r>
          </w:p>
        </w:tc>
        <w:tc>
          <w:tcPr>
            <w:tcW w:w="0" w:type="auto"/>
            <w:gridSpan w:val="2"/>
            <w:shd w:val="clear" w:color="auto" w:fill="CCEEFF"/>
            <w:tcMar>
              <w:top w:w="30" w:type="dxa"/>
              <w:left w:w="20" w:type="dxa"/>
              <w:bottom w:w="30" w:type="dxa"/>
              <w:right w:w="0" w:type="dxa"/>
            </w:tcMar>
            <w:vAlign w:val="bottom"/>
            <w:hideMark/>
          </w:tcPr>
          <w:p w14:paraId="6945917D" w14:textId="77777777" w:rsidR="00000000" w:rsidRDefault="001A570A">
            <w:pPr>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14:paraId="2CEB5A0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899E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5F078"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32C6D72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7D4EC"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5F02399"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8927176"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177D47" w14:textId="77777777" w:rsidR="00000000" w:rsidRDefault="001A570A">
            <w:pPr>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14:paraId="212DFC9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FE0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996E09"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E1F1853" w14:textId="77777777" w:rsidR="00000000" w:rsidRDefault="001A570A">
            <w:pPr>
              <w:jc w:val="right"/>
              <w:rPr>
                <w:rFonts w:eastAsia="Times New Roman"/>
              </w:rPr>
            </w:pPr>
            <w:r>
              <w:rPr>
                <w:rFonts w:eastAsia="Times New Roman"/>
                <w:color w:val="000000"/>
                <w:sz w:val="20"/>
                <w:szCs w:val="20"/>
              </w:rPr>
              <w:t>%</w:t>
            </w:r>
          </w:p>
        </w:tc>
      </w:tr>
      <w:tr w:rsidR="00000000" w14:paraId="7D5AD6AE" w14:textId="77777777">
        <w:trPr>
          <w:divId w:val="1852721632"/>
          <w:jc w:val="center"/>
        </w:trPr>
        <w:tc>
          <w:tcPr>
            <w:tcW w:w="0" w:type="auto"/>
            <w:gridSpan w:val="3"/>
            <w:shd w:val="clear" w:color="auto" w:fill="FFFFFF"/>
            <w:tcMar>
              <w:top w:w="30" w:type="dxa"/>
              <w:left w:w="20" w:type="dxa"/>
              <w:bottom w:w="30" w:type="dxa"/>
              <w:right w:w="20" w:type="dxa"/>
            </w:tcMar>
            <w:hideMark/>
          </w:tcPr>
          <w:p w14:paraId="67ECD859" w14:textId="77777777" w:rsidR="00000000" w:rsidRDefault="001A570A">
            <w:pPr>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34BBBB" w14:textId="77777777" w:rsidR="00000000" w:rsidRDefault="001A570A">
            <w:pPr>
              <w:jc w:val="right"/>
              <w:rPr>
                <w:rFonts w:eastAsia="Times New Roman"/>
              </w:rPr>
            </w:pPr>
            <w:r>
              <w:rPr>
                <w:rFonts w:eastAsia="Times New Roman"/>
                <w:color w:val="000000"/>
                <w:sz w:val="20"/>
                <w:szCs w:val="20"/>
              </w:rPr>
              <w:t>9,263 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12AFE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308E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A8A989" w14:textId="77777777" w:rsidR="00000000" w:rsidRDefault="001A570A">
            <w:pPr>
              <w:jc w:val="right"/>
              <w:rPr>
                <w:rFonts w:eastAsia="Times New Roman"/>
              </w:rPr>
            </w:pPr>
            <w:r>
              <w:rPr>
                <w:rFonts w:eastAsia="Times New Roman"/>
                <w:color w:val="000000"/>
                <w:sz w:val="20"/>
                <w:szCs w:val="20"/>
              </w:rPr>
              <w:t>3,208 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7CA1A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3001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7BD43" w14:textId="77777777" w:rsidR="00000000" w:rsidRDefault="001A570A">
            <w:pPr>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14:paraId="286488AF"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DC7725" w14:textId="77777777" w:rsidR="00000000" w:rsidRDefault="001A570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D38A8E" w14:textId="77777777" w:rsidR="00000000" w:rsidRDefault="001A570A">
            <w:pPr>
              <w:jc w:val="right"/>
              <w:rPr>
                <w:rFonts w:eastAsia="Times New Roman"/>
              </w:rPr>
            </w:pPr>
            <w:r>
              <w:rPr>
                <w:rFonts w:eastAsia="Times New Roman"/>
                <w:color w:val="000000"/>
                <w:sz w:val="20"/>
                <w:szCs w:val="20"/>
              </w:rPr>
              <w:t>8,404 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77215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6991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6CC247"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8660856" w14:textId="77777777" w:rsidR="00000000" w:rsidRDefault="001A570A">
            <w:pPr>
              <w:jc w:val="right"/>
              <w:rPr>
                <w:rFonts w:eastAsia="Times New Roman"/>
              </w:rPr>
            </w:pPr>
            <w:r>
              <w:rPr>
                <w:rFonts w:eastAsia="Times New Roman"/>
                <w:color w:val="000000"/>
                <w:sz w:val="20"/>
                <w:szCs w:val="20"/>
              </w:rPr>
              <w:t>%</w:t>
            </w:r>
          </w:p>
        </w:tc>
      </w:tr>
      <w:tr w:rsidR="00000000" w14:paraId="4F9CA0B9" w14:textId="77777777">
        <w:trPr>
          <w:divId w:val="1852721632"/>
          <w:jc w:val="center"/>
        </w:trPr>
        <w:tc>
          <w:tcPr>
            <w:tcW w:w="0" w:type="auto"/>
            <w:gridSpan w:val="3"/>
            <w:shd w:val="clear" w:color="auto" w:fill="CCEEFF"/>
            <w:tcMar>
              <w:top w:w="30" w:type="dxa"/>
              <w:left w:w="20" w:type="dxa"/>
              <w:bottom w:w="30" w:type="dxa"/>
              <w:right w:w="20" w:type="dxa"/>
            </w:tcMar>
            <w:hideMark/>
          </w:tcPr>
          <w:p w14:paraId="20EAD2C4" w14:textId="77777777" w:rsidR="00000000" w:rsidRDefault="001A570A">
            <w:pPr>
              <w:rPr>
                <w:rFonts w:eastAsia="Times New Roman"/>
              </w:rPr>
            </w:pPr>
            <w:r>
              <w:rPr>
                <w:rFonts w:eastAsia="Times New Roman"/>
                <w:color w:val="000000"/>
                <w:sz w:val="20"/>
                <w:szCs w:val="20"/>
              </w:rPr>
              <w:t>Total cost of product sales and services</w:t>
            </w:r>
          </w:p>
        </w:tc>
        <w:tc>
          <w:tcPr>
            <w:tcW w:w="0" w:type="auto"/>
            <w:gridSpan w:val="2"/>
            <w:shd w:val="clear" w:color="auto" w:fill="CCEEFF"/>
            <w:tcMar>
              <w:top w:w="30" w:type="dxa"/>
              <w:left w:w="20" w:type="dxa"/>
              <w:bottom w:w="30" w:type="dxa"/>
              <w:right w:w="0" w:type="dxa"/>
            </w:tcMar>
            <w:vAlign w:val="bottom"/>
            <w:hideMark/>
          </w:tcPr>
          <w:p w14:paraId="6BA45EED" w14:textId="77777777" w:rsidR="00000000" w:rsidRDefault="001A570A">
            <w:pPr>
              <w:jc w:val="right"/>
              <w:rPr>
                <w:rFonts w:eastAsia="Times New Roman"/>
              </w:rPr>
            </w:pPr>
            <w:r>
              <w:rPr>
                <w:rFonts w:eastAsia="Times New Roman"/>
                <w:color w:val="000000"/>
                <w:sz w:val="20"/>
                <w:szCs w:val="20"/>
              </w:rPr>
              <w:t>(6,726)</w:t>
            </w:r>
          </w:p>
        </w:tc>
        <w:tc>
          <w:tcPr>
            <w:tcW w:w="0" w:type="auto"/>
            <w:shd w:val="clear" w:color="auto" w:fill="CCEEFF"/>
            <w:tcMar>
              <w:top w:w="30" w:type="dxa"/>
              <w:left w:w="0" w:type="dxa"/>
              <w:bottom w:w="30" w:type="dxa"/>
              <w:right w:w="20" w:type="dxa"/>
            </w:tcMar>
            <w:vAlign w:val="bottom"/>
            <w:hideMark/>
          </w:tcPr>
          <w:p w14:paraId="1BDA8D0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0303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266115" w14:textId="77777777" w:rsidR="00000000" w:rsidRDefault="001A570A">
            <w:pPr>
              <w:jc w:val="right"/>
              <w:rPr>
                <w:rFonts w:eastAsia="Times New Roman"/>
              </w:rPr>
            </w:pPr>
            <w:r>
              <w:rPr>
                <w:rFonts w:eastAsia="Times New Roman"/>
                <w:color w:val="000000"/>
                <w:sz w:val="20"/>
                <w:szCs w:val="20"/>
              </w:rPr>
              <w:t>(2,105)</w:t>
            </w:r>
          </w:p>
        </w:tc>
        <w:tc>
          <w:tcPr>
            <w:tcW w:w="0" w:type="auto"/>
            <w:shd w:val="clear" w:color="auto" w:fill="CCEEFF"/>
            <w:tcMar>
              <w:top w:w="30" w:type="dxa"/>
              <w:left w:w="0" w:type="dxa"/>
              <w:bottom w:w="30" w:type="dxa"/>
              <w:right w:w="20" w:type="dxa"/>
            </w:tcMar>
            <w:vAlign w:val="bottom"/>
            <w:hideMark/>
          </w:tcPr>
          <w:p w14:paraId="266737D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5614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01F9DE" w14:textId="77777777" w:rsidR="00000000" w:rsidRDefault="001A570A">
            <w:pPr>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14:paraId="67DBBD5F"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FCCBF0"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289BA4" w14:textId="77777777" w:rsidR="00000000" w:rsidRDefault="001A570A">
            <w:pPr>
              <w:jc w:val="right"/>
              <w:rPr>
                <w:rFonts w:eastAsia="Times New Roman"/>
              </w:rPr>
            </w:pPr>
            <w:r>
              <w:rPr>
                <w:rFonts w:eastAsia="Times New Roman"/>
                <w:color w:val="000000"/>
                <w:sz w:val="20"/>
                <w:szCs w:val="20"/>
              </w:rPr>
              <w:t>(5,939)</w:t>
            </w:r>
          </w:p>
        </w:tc>
        <w:tc>
          <w:tcPr>
            <w:tcW w:w="0" w:type="auto"/>
            <w:shd w:val="clear" w:color="auto" w:fill="CCEEFF"/>
            <w:tcMar>
              <w:top w:w="30" w:type="dxa"/>
              <w:left w:w="0" w:type="dxa"/>
              <w:bottom w:w="30" w:type="dxa"/>
              <w:right w:w="20" w:type="dxa"/>
            </w:tcMar>
            <w:vAlign w:val="bottom"/>
            <w:hideMark/>
          </w:tcPr>
          <w:p w14:paraId="64E7BA5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3AA2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3E6F2"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4DBFBC03" w14:textId="77777777" w:rsidR="00000000" w:rsidRDefault="001A570A">
            <w:pPr>
              <w:jc w:val="right"/>
              <w:rPr>
                <w:rFonts w:eastAsia="Times New Roman"/>
              </w:rPr>
            </w:pPr>
            <w:r>
              <w:rPr>
                <w:rFonts w:eastAsia="Times New Roman"/>
                <w:color w:val="000000"/>
                <w:sz w:val="20"/>
                <w:szCs w:val="20"/>
              </w:rPr>
              <w:t>%</w:t>
            </w:r>
          </w:p>
        </w:tc>
      </w:tr>
      <w:tr w:rsidR="00000000" w14:paraId="2CA870D4" w14:textId="77777777">
        <w:trPr>
          <w:divId w:val="1852721632"/>
          <w:jc w:val="center"/>
        </w:trPr>
        <w:tc>
          <w:tcPr>
            <w:tcW w:w="0" w:type="auto"/>
            <w:gridSpan w:val="3"/>
            <w:shd w:val="clear" w:color="auto" w:fill="FFFFFF"/>
            <w:tcMar>
              <w:top w:w="30" w:type="dxa"/>
              <w:left w:w="185" w:type="dxa"/>
              <w:bottom w:w="30" w:type="dxa"/>
              <w:right w:w="20" w:type="dxa"/>
            </w:tcMar>
            <w:hideMark/>
          </w:tcPr>
          <w:p w14:paraId="46CEA6AF"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00DD5A60" w14:textId="77777777" w:rsidR="00000000" w:rsidRDefault="001A570A">
            <w:pPr>
              <w:jc w:val="right"/>
              <w:rPr>
                <w:rFonts w:eastAsia="Times New Roman"/>
              </w:rPr>
            </w:pPr>
            <w:r>
              <w:rPr>
                <w:rFonts w:eastAsia="Times New Roman"/>
                <w:i/>
                <w:iCs/>
                <w:color w:val="000000"/>
                <w:sz w:val="20"/>
                <w:szCs w:val="20"/>
              </w:rPr>
              <w:t>73 </w:t>
            </w:r>
          </w:p>
        </w:tc>
        <w:tc>
          <w:tcPr>
            <w:tcW w:w="0" w:type="auto"/>
            <w:shd w:val="clear" w:color="auto" w:fill="FFFFFF"/>
            <w:tcMar>
              <w:top w:w="30" w:type="dxa"/>
              <w:left w:w="0" w:type="dxa"/>
              <w:bottom w:w="30" w:type="dxa"/>
              <w:right w:w="20" w:type="dxa"/>
            </w:tcMar>
            <w:vAlign w:val="bottom"/>
            <w:hideMark/>
          </w:tcPr>
          <w:p w14:paraId="46E0BD56"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6CC6961"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F38B13" w14:textId="77777777" w:rsidR="00000000" w:rsidRDefault="001A570A">
            <w:pPr>
              <w:jc w:val="right"/>
              <w:rPr>
                <w:rFonts w:eastAsia="Times New Roman"/>
              </w:rPr>
            </w:pPr>
            <w:r>
              <w:rPr>
                <w:rFonts w:eastAsia="Times New Roman"/>
                <w:i/>
                <w:iCs/>
                <w:color w:val="000000"/>
                <w:sz w:val="20"/>
                <w:szCs w:val="20"/>
              </w:rPr>
              <w:t>66 </w:t>
            </w:r>
          </w:p>
        </w:tc>
        <w:tc>
          <w:tcPr>
            <w:tcW w:w="0" w:type="auto"/>
            <w:shd w:val="clear" w:color="auto" w:fill="FFFFFF"/>
            <w:tcMar>
              <w:top w:w="30" w:type="dxa"/>
              <w:left w:w="0" w:type="dxa"/>
              <w:bottom w:w="30" w:type="dxa"/>
              <w:right w:w="20" w:type="dxa"/>
            </w:tcMar>
            <w:vAlign w:val="bottom"/>
            <w:hideMark/>
          </w:tcPr>
          <w:p w14:paraId="4C2B33C4"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06DB43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70C1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8819C9"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213DA" w14:textId="77777777" w:rsidR="00000000" w:rsidRDefault="001A570A">
            <w:pPr>
              <w:jc w:val="right"/>
              <w:rPr>
                <w:rFonts w:eastAsia="Times New Roman"/>
              </w:rPr>
            </w:pPr>
            <w:r>
              <w:rPr>
                <w:rFonts w:eastAsia="Times New Roman"/>
                <w:i/>
                <w:iCs/>
                <w:color w:val="000000"/>
                <w:sz w:val="20"/>
                <w:szCs w:val="20"/>
              </w:rPr>
              <w:t>71 </w:t>
            </w:r>
          </w:p>
        </w:tc>
        <w:tc>
          <w:tcPr>
            <w:tcW w:w="0" w:type="auto"/>
            <w:shd w:val="clear" w:color="auto" w:fill="FFFFFF"/>
            <w:tcMar>
              <w:top w:w="30" w:type="dxa"/>
              <w:left w:w="0" w:type="dxa"/>
              <w:bottom w:w="30" w:type="dxa"/>
              <w:right w:w="20" w:type="dxa"/>
            </w:tcMar>
            <w:vAlign w:val="bottom"/>
            <w:hideMark/>
          </w:tcPr>
          <w:p w14:paraId="49D0783F"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A1F1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8711F" w14:textId="77777777" w:rsidR="00000000" w:rsidRDefault="001A570A">
            <w:pPr>
              <w:rPr>
                <w:rFonts w:eastAsia="Times New Roman"/>
                <w:sz w:val="20"/>
                <w:szCs w:val="20"/>
              </w:rPr>
            </w:pPr>
          </w:p>
        </w:tc>
      </w:tr>
      <w:tr w:rsidR="00000000" w14:paraId="3E44DFAB" w14:textId="77777777">
        <w:trPr>
          <w:divId w:val="1852721632"/>
          <w:jc w:val="center"/>
        </w:trPr>
        <w:tc>
          <w:tcPr>
            <w:tcW w:w="0" w:type="auto"/>
            <w:gridSpan w:val="3"/>
            <w:shd w:val="clear" w:color="auto" w:fill="CCEEFF"/>
            <w:tcMar>
              <w:top w:w="30" w:type="dxa"/>
              <w:left w:w="35" w:type="dxa"/>
              <w:bottom w:w="30" w:type="dxa"/>
              <w:right w:w="20" w:type="dxa"/>
            </w:tcMar>
            <w:hideMark/>
          </w:tcPr>
          <w:p w14:paraId="54FD4231" w14:textId="77777777" w:rsidR="00000000" w:rsidRDefault="001A570A">
            <w:pPr>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E12F17" w14:textId="77777777" w:rsidR="00000000" w:rsidRDefault="001A570A">
            <w:pPr>
              <w:jc w:val="right"/>
              <w:rPr>
                <w:rFonts w:eastAsia="Times New Roman"/>
              </w:rPr>
            </w:pPr>
            <w:r>
              <w:rPr>
                <w:rFonts w:eastAsia="Times New Roman"/>
                <w:color w:val="000000"/>
                <w:sz w:val="20"/>
                <w:szCs w:val="20"/>
              </w:rPr>
              <w:t>2,537 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83E4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AEB9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8D9F21" w14:textId="77777777" w:rsidR="00000000" w:rsidRDefault="001A570A">
            <w:pPr>
              <w:jc w:val="right"/>
              <w:rPr>
                <w:rFonts w:eastAsia="Times New Roman"/>
              </w:rPr>
            </w:pPr>
            <w:r>
              <w:rPr>
                <w:rFonts w:eastAsia="Times New Roman"/>
                <w:color w:val="000000"/>
                <w:sz w:val="20"/>
                <w:szCs w:val="20"/>
              </w:rPr>
              <w:t>1,103 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1E9EB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B914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0E64C" w14:textId="77777777" w:rsidR="00000000" w:rsidRDefault="001A570A">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7C4FD07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FD63C9"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E9E7EB" w14:textId="77777777" w:rsidR="00000000" w:rsidRDefault="001A570A">
            <w:pPr>
              <w:jc w:val="right"/>
              <w:rPr>
                <w:rFonts w:eastAsia="Times New Roman"/>
              </w:rPr>
            </w:pPr>
            <w:r>
              <w:rPr>
                <w:rFonts w:eastAsia="Times New Roman"/>
                <w:color w:val="000000"/>
                <w:sz w:val="20"/>
                <w:szCs w:val="20"/>
              </w:rPr>
              <w:t>2,465 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72EA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3743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DD9566"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8B97832" w14:textId="77777777" w:rsidR="00000000" w:rsidRDefault="001A570A">
            <w:pPr>
              <w:jc w:val="right"/>
              <w:rPr>
                <w:rFonts w:eastAsia="Times New Roman"/>
              </w:rPr>
            </w:pPr>
            <w:r>
              <w:rPr>
                <w:rFonts w:eastAsia="Times New Roman"/>
                <w:color w:val="000000"/>
                <w:sz w:val="20"/>
                <w:szCs w:val="20"/>
              </w:rPr>
              <w:t>%</w:t>
            </w:r>
          </w:p>
        </w:tc>
      </w:tr>
      <w:tr w:rsidR="00000000" w14:paraId="1EA96393" w14:textId="77777777">
        <w:trPr>
          <w:divId w:val="1852721632"/>
          <w:jc w:val="center"/>
        </w:trPr>
        <w:tc>
          <w:tcPr>
            <w:tcW w:w="0" w:type="auto"/>
            <w:gridSpan w:val="3"/>
            <w:shd w:val="clear" w:color="auto" w:fill="FFFFFF"/>
            <w:tcMar>
              <w:top w:w="30" w:type="dxa"/>
              <w:left w:w="185" w:type="dxa"/>
              <w:bottom w:w="30" w:type="dxa"/>
              <w:right w:w="20" w:type="dxa"/>
            </w:tcMar>
            <w:hideMark/>
          </w:tcPr>
          <w:p w14:paraId="7345843A"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4CEE8E7E" w14:textId="77777777" w:rsidR="00000000" w:rsidRDefault="001A570A">
            <w:pPr>
              <w:jc w:val="right"/>
              <w:rPr>
                <w:rFonts w:eastAsia="Times New Roman"/>
              </w:rPr>
            </w:pPr>
            <w:r>
              <w:rPr>
                <w:rFonts w:eastAsia="Times New Roman"/>
                <w:i/>
                <w:iCs/>
                <w:color w:val="000000"/>
                <w:sz w:val="20"/>
                <w:szCs w:val="20"/>
              </w:rPr>
              <w:t>27 </w:t>
            </w:r>
          </w:p>
        </w:tc>
        <w:tc>
          <w:tcPr>
            <w:tcW w:w="0" w:type="auto"/>
            <w:shd w:val="clear" w:color="auto" w:fill="FFFFFF"/>
            <w:tcMar>
              <w:top w:w="30" w:type="dxa"/>
              <w:left w:w="0" w:type="dxa"/>
              <w:bottom w:w="30" w:type="dxa"/>
              <w:right w:w="20" w:type="dxa"/>
            </w:tcMar>
            <w:vAlign w:val="bottom"/>
            <w:hideMark/>
          </w:tcPr>
          <w:p w14:paraId="76DD677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6D81FF2"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4E525E" w14:textId="77777777" w:rsidR="00000000" w:rsidRDefault="001A570A">
            <w:pPr>
              <w:jc w:val="right"/>
              <w:rPr>
                <w:rFonts w:eastAsia="Times New Roman"/>
              </w:rPr>
            </w:pPr>
            <w:r>
              <w:rPr>
                <w:rFonts w:eastAsia="Times New Roman"/>
                <w:i/>
                <w:iCs/>
                <w:color w:val="000000"/>
                <w:sz w:val="20"/>
                <w:szCs w:val="20"/>
              </w:rPr>
              <w:t>34 </w:t>
            </w:r>
          </w:p>
        </w:tc>
        <w:tc>
          <w:tcPr>
            <w:tcW w:w="0" w:type="auto"/>
            <w:shd w:val="clear" w:color="auto" w:fill="FFFFFF"/>
            <w:tcMar>
              <w:top w:w="30" w:type="dxa"/>
              <w:left w:w="0" w:type="dxa"/>
              <w:bottom w:w="30" w:type="dxa"/>
              <w:right w:w="20" w:type="dxa"/>
            </w:tcMar>
            <w:vAlign w:val="bottom"/>
            <w:hideMark/>
          </w:tcPr>
          <w:p w14:paraId="73BAB69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FC96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2C08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404C4B"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B7F88" w14:textId="77777777" w:rsidR="00000000" w:rsidRDefault="001A570A">
            <w:pPr>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14:paraId="12187DA5"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98D2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11F45" w14:textId="77777777" w:rsidR="00000000" w:rsidRDefault="001A570A">
            <w:pPr>
              <w:rPr>
                <w:rFonts w:eastAsia="Times New Roman"/>
                <w:sz w:val="20"/>
                <w:szCs w:val="20"/>
              </w:rPr>
            </w:pPr>
          </w:p>
        </w:tc>
      </w:tr>
      <w:tr w:rsidR="00000000" w14:paraId="080A3DAF" w14:textId="77777777">
        <w:trPr>
          <w:divId w:val="1852721632"/>
          <w:jc w:val="center"/>
        </w:trPr>
        <w:tc>
          <w:tcPr>
            <w:tcW w:w="0" w:type="auto"/>
            <w:gridSpan w:val="3"/>
            <w:shd w:val="clear" w:color="auto" w:fill="CCEEFF"/>
            <w:tcMar>
              <w:top w:w="30" w:type="dxa"/>
              <w:left w:w="20" w:type="dxa"/>
              <w:bottom w:w="30" w:type="dxa"/>
              <w:right w:w="20" w:type="dxa"/>
            </w:tcMar>
            <w:hideMark/>
          </w:tcPr>
          <w:p w14:paraId="635DB925" w14:textId="77777777" w:rsidR="00000000" w:rsidRDefault="001A570A">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1D94A9DE" w14:textId="77777777" w:rsidR="00000000" w:rsidRDefault="001A570A">
            <w:pPr>
              <w:jc w:val="right"/>
              <w:rPr>
                <w:rFonts w:eastAsia="Times New Roman"/>
              </w:rPr>
            </w:pPr>
            <w:r>
              <w:rPr>
                <w:rFonts w:eastAsia="Times New Roman"/>
                <w:color w:val="000000"/>
                <w:sz w:val="20"/>
                <w:szCs w:val="20"/>
              </w:rPr>
              <w:t>(1,881)</w:t>
            </w:r>
          </w:p>
        </w:tc>
        <w:tc>
          <w:tcPr>
            <w:tcW w:w="0" w:type="auto"/>
            <w:shd w:val="clear" w:color="auto" w:fill="CCEEFF"/>
            <w:tcMar>
              <w:top w:w="30" w:type="dxa"/>
              <w:left w:w="0" w:type="dxa"/>
              <w:bottom w:w="30" w:type="dxa"/>
              <w:right w:w="20" w:type="dxa"/>
            </w:tcMar>
            <w:vAlign w:val="bottom"/>
            <w:hideMark/>
          </w:tcPr>
          <w:p w14:paraId="6B4572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6E0A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F5A942" w14:textId="77777777" w:rsidR="00000000" w:rsidRDefault="001A570A">
            <w:pPr>
              <w:jc w:val="right"/>
              <w:rPr>
                <w:rFonts w:eastAsia="Times New Roman"/>
              </w:rPr>
            </w:pPr>
            <w:r>
              <w:rPr>
                <w:rFonts w:eastAsia="Times New Roman"/>
                <w:color w:val="000000"/>
                <w:sz w:val="20"/>
                <w:szCs w:val="20"/>
              </w:rPr>
              <w:t>(583)</w:t>
            </w:r>
          </w:p>
        </w:tc>
        <w:tc>
          <w:tcPr>
            <w:tcW w:w="0" w:type="auto"/>
            <w:shd w:val="clear" w:color="auto" w:fill="CCEEFF"/>
            <w:tcMar>
              <w:top w:w="30" w:type="dxa"/>
              <w:left w:w="0" w:type="dxa"/>
              <w:bottom w:w="30" w:type="dxa"/>
              <w:right w:w="20" w:type="dxa"/>
            </w:tcMar>
            <w:vAlign w:val="bottom"/>
            <w:hideMark/>
          </w:tcPr>
          <w:p w14:paraId="206B181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8701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1099B" w14:textId="77777777" w:rsidR="00000000" w:rsidRDefault="001A570A">
            <w:pPr>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14:paraId="521A64B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95848F"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0B4CDF" w14:textId="77777777" w:rsidR="00000000" w:rsidRDefault="001A570A">
            <w:pPr>
              <w:jc w:val="right"/>
              <w:rPr>
                <w:rFonts w:eastAsia="Times New Roman"/>
              </w:rPr>
            </w:pPr>
            <w:r>
              <w:rPr>
                <w:rFonts w:eastAsia="Times New Roman"/>
                <w:color w:val="000000"/>
                <w:sz w:val="20"/>
                <w:szCs w:val="20"/>
              </w:rPr>
              <w:t>(1,598)</w:t>
            </w:r>
          </w:p>
        </w:tc>
        <w:tc>
          <w:tcPr>
            <w:tcW w:w="0" w:type="auto"/>
            <w:shd w:val="clear" w:color="auto" w:fill="CCEEFF"/>
            <w:tcMar>
              <w:top w:w="30" w:type="dxa"/>
              <w:left w:w="0" w:type="dxa"/>
              <w:bottom w:w="30" w:type="dxa"/>
              <w:right w:w="20" w:type="dxa"/>
            </w:tcMar>
            <w:vAlign w:val="bottom"/>
            <w:hideMark/>
          </w:tcPr>
          <w:p w14:paraId="4490E89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6EF8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0A4C8" w14:textId="77777777" w:rsidR="00000000" w:rsidRDefault="001A570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3C0E34BE" w14:textId="77777777" w:rsidR="00000000" w:rsidRDefault="001A570A">
            <w:pPr>
              <w:jc w:val="right"/>
              <w:rPr>
                <w:rFonts w:eastAsia="Times New Roman"/>
              </w:rPr>
            </w:pPr>
            <w:r>
              <w:rPr>
                <w:rFonts w:eastAsia="Times New Roman"/>
                <w:color w:val="000000"/>
                <w:sz w:val="20"/>
                <w:szCs w:val="20"/>
              </w:rPr>
              <w:t>%</w:t>
            </w:r>
          </w:p>
        </w:tc>
      </w:tr>
      <w:tr w:rsidR="00000000" w14:paraId="18F6B03A" w14:textId="77777777">
        <w:trPr>
          <w:divId w:val="1852721632"/>
          <w:jc w:val="center"/>
        </w:trPr>
        <w:tc>
          <w:tcPr>
            <w:tcW w:w="0" w:type="auto"/>
            <w:gridSpan w:val="3"/>
            <w:shd w:val="clear" w:color="auto" w:fill="FFFFFF"/>
            <w:tcMar>
              <w:top w:w="30" w:type="dxa"/>
              <w:left w:w="155" w:type="dxa"/>
              <w:bottom w:w="30" w:type="dxa"/>
              <w:right w:w="20" w:type="dxa"/>
            </w:tcMar>
            <w:hideMark/>
          </w:tcPr>
          <w:p w14:paraId="0BED2231"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23456D72" w14:textId="77777777" w:rsidR="00000000" w:rsidRDefault="001A570A">
            <w:pPr>
              <w:jc w:val="right"/>
              <w:rPr>
                <w:rFonts w:eastAsia="Times New Roman"/>
              </w:rPr>
            </w:pPr>
            <w:r>
              <w:rPr>
                <w:rFonts w:eastAsia="Times New Roman"/>
                <w:i/>
                <w:iCs/>
                <w:color w:val="000000"/>
                <w:sz w:val="20"/>
                <w:szCs w:val="20"/>
              </w:rPr>
              <w:t>20 </w:t>
            </w:r>
          </w:p>
        </w:tc>
        <w:tc>
          <w:tcPr>
            <w:tcW w:w="0" w:type="auto"/>
            <w:shd w:val="clear" w:color="auto" w:fill="FFFFFF"/>
            <w:tcMar>
              <w:top w:w="30" w:type="dxa"/>
              <w:left w:w="0" w:type="dxa"/>
              <w:bottom w:w="30" w:type="dxa"/>
              <w:right w:w="20" w:type="dxa"/>
            </w:tcMar>
            <w:vAlign w:val="bottom"/>
            <w:hideMark/>
          </w:tcPr>
          <w:p w14:paraId="3984785E"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0A92B4"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AAD416" w14:textId="77777777" w:rsidR="00000000" w:rsidRDefault="001A570A">
            <w:pPr>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14:paraId="1E9741E3"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BC7588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C6D0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0F05DA"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0360A"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FFFFFF"/>
            <w:tcMar>
              <w:top w:w="30" w:type="dxa"/>
              <w:left w:w="0" w:type="dxa"/>
              <w:bottom w:w="30" w:type="dxa"/>
              <w:right w:w="20" w:type="dxa"/>
            </w:tcMar>
            <w:vAlign w:val="bottom"/>
            <w:hideMark/>
          </w:tcPr>
          <w:p w14:paraId="7E060029"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411FA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72B59" w14:textId="77777777" w:rsidR="00000000" w:rsidRDefault="001A570A">
            <w:pPr>
              <w:rPr>
                <w:rFonts w:eastAsia="Times New Roman"/>
                <w:sz w:val="20"/>
                <w:szCs w:val="20"/>
              </w:rPr>
            </w:pPr>
          </w:p>
        </w:tc>
      </w:tr>
      <w:tr w:rsidR="00000000" w14:paraId="24017F8E" w14:textId="77777777">
        <w:trPr>
          <w:divId w:val="1852721632"/>
          <w:jc w:val="center"/>
        </w:trPr>
        <w:tc>
          <w:tcPr>
            <w:tcW w:w="0" w:type="auto"/>
            <w:gridSpan w:val="3"/>
            <w:shd w:val="clear" w:color="auto" w:fill="CCEEFF"/>
            <w:tcMar>
              <w:top w:w="30" w:type="dxa"/>
              <w:left w:w="20" w:type="dxa"/>
              <w:bottom w:w="30" w:type="dxa"/>
              <w:right w:w="20" w:type="dxa"/>
            </w:tcMar>
            <w:hideMark/>
          </w:tcPr>
          <w:p w14:paraId="4AD37211"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CCEEFF"/>
            <w:tcMar>
              <w:top w:w="30" w:type="dxa"/>
              <w:left w:w="20" w:type="dxa"/>
              <w:bottom w:w="30" w:type="dxa"/>
              <w:right w:w="0" w:type="dxa"/>
            </w:tcMar>
            <w:vAlign w:val="bottom"/>
            <w:hideMark/>
          </w:tcPr>
          <w:p w14:paraId="2CCBDD94"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240043B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2B23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EC206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A303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3C6C7"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C7D749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EEBCD1"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CE706D" w14:textId="77777777" w:rsidR="00000000" w:rsidRDefault="001A570A">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42BBB8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3C07B"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31BFE8F" w14:textId="77777777" w:rsidR="00000000" w:rsidRDefault="001A570A">
            <w:pPr>
              <w:jc w:val="right"/>
              <w:rPr>
                <w:rFonts w:eastAsia="Times New Roman"/>
              </w:rPr>
            </w:pPr>
            <w:r>
              <w:rPr>
                <w:rFonts w:eastAsia="Times New Roman"/>
                <w:color w:val="000000"/>
                <w:sz w:val="20"/>
                <w:szCs w:val="20"/>
              </w:rPr>
              <w:t>*</w:t>
            </w:r>
          </w:p>
        </w:tc>
      </w:tr>
      <w:tr w:rsidR="00000000" w14:paraId="286F012E" w14:textId="77777777">
        <w:trPr>
          <w:divId w:val="1852721632"/>
          <w:jc w:val="center"/>
        </w:trPr>
        <w:tc>
          <w:tcPr>
            <w:tcW w:w="0" w:type="auto"/>
            <w:gridSpan w:val="3"/>
            <w:shd w:val="clear" w:color="auto" w:fill="FFFFFF"/>
            <w:tcMar>
              <w:top w:w="30" w:type="dxa"/>
              <w:left w:w="20" w:type="dxa"/>
              <w:bottom w:w="30" w:type="dxa"/>
              <w:right w:w="20" w:type="dxa"/>
            </w:tcMar>
            <w:hideMark/>
          </w:tcPr>
          <w:p w14:paraId="688728A0" w14:textId="77777777" w:rsidR="00000000" w:rsidRDefault="001A570A">
            <w:pPr>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14:paraId="242E6B40"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23D54A0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57E8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2E8C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B963A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FCD96"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EEED2E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B1CBDFA"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B1218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5FD5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84545"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FD639AB" w14:textId="77777777" w:rsidR="00000000" w:rsidRDefault="001A570A">
            <w:pPr>
              <w:jc w:val="right"/>
              <w:rPr>
                <w:rFonts w:eastAsia="Times New Roman"/>
              </w:rPr>
            </w:pPr>
            <w:r>
              <w:rPr>
                <w:rFonts w:eastAsia="Times New Roman"/>
                <w:color w:val="000000"/>
                <w:sz w:val="20"/>
                <w:szCs w:val="20"/>
              </w:rPr>
              <w:t>*</w:t>
            </w:r>
          </w:p>
        </w:tc>
      </w:tr>
      <w:tr w:rsidR="00000000" w14:paraId="08B13902" w14:textId="77777777">
        <w:trPr>
          <w:divId w:val="1852721632"/>
          <w:jc w:val="center"/>
        </w:trPr>
        <w:tc>
          <w:tcPr>
            <w:tcW w:w="0" w:type="auto"/>
            <w:gridSpan w:val="3"/>
            <w:shd w:val="clear" w:color="auto" w:fill="CCEEFF"/>
            <w:tcMar>
              <w:top w:w="30" w:type="dxa"/>
              <w:left w:w="20" w:type="dxa"/>
              <w:bottom w:w="30" w:type="dxa"/>
              <w:right w:w="20" w:type="dxa"/>
            </w:tcMar>
            <w:hideMark/>
          </w:tcPr>
          <w:p w14:paraId="458D140F" w14:textId="77777777" w:rsidR="00000000" w:rsidRDefault="001A570A">
            <w:pPr>
              <w:rPr>
                <w:rFonts w:eastAsia="Times New Roman"/>
              </w:rPr>
            </w:pPr>
            <w:r>
              <w:rPr>
                <w:rFonts w:eastAsia="Times New Roman"/>
                <w:color w:val="000000"/>
                <w:sz w:val="20"/>
                <w:szCs w:val="20"/>
              </w:rPr>
              <w:t xml:space="preserve">Non-operating income </w:t>
            </w:r>
          </w:p>
        </w:tc>
        <w:tc>
          <w:tcPr>
            <w:tcW w:w="0" w:type="auto"/>
            <w:gridSpan w:val="2"/>
            <w:shd w:val="clear" w:color="auto" w:fill="CCEEFF"/>
            <w:tcMar>
              <w:top w:w="30" w:type="dxa"/>
              <w:left w:w="20" w:type="dxa"/>
              <w:bottom w:w="30" w:type="dxa"/>
              <w:right w:w="0" w:type="dxa"/>
            </w:tcMar>
            <w:vAlign w:val="bottom"/>
            <w:hideMark/>
          </w:tcPr>
          <w:p w14:paraId="50474ED4" w14:textId="77777777" w:rsidR="00000000" w:rsidRDefault="001A570A">
            <w:pPr>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14:paraId="5AA7EA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C991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966EA" w14:textId="77777777" w:rsidR="00000000" w:rsidRDefault="001A570A">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201DDFF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6197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AD08E" w14:textId="77777777" w:rsidR="00000000" w:rsidRDefault="001A570A">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610F9C85"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F4785A"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B9ECF5" w14:textId="77777777" w:rsidR="00000000" w:rsidRDefault="001A570A">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3EC4722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C4BD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537E4" w14:textId="77777777" w:rsidR="00000000" w:rsidRDefault="001A570A">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3ACDEAB0" w14:textId="77777777" w:rsidR="00000000" w:rsidRDefault="001A570A">
            <w:pPr>
              <w:jc w:val="right"/>
              <w:rPr>
                <w:rFonts w:eastAsia="Times New Roman"/>
              </w:rPr>
            </w:pPr>
            <w:r>
              <w:rPr>
                <w:rFonts w:eastAsia="Times New Roman"/>
                <w:color w:val="000000"/>
                <w:sz w:val="20"/>
                <w:szCs w:val="20"/>
              </w:rPr>
              <w:t>%</w:t>
            </w:r>
          </w:p>
        </w:tc>
      </w:tr>
      <w:tr w:rsidR="00000000" w14:paraId="084C56F0" w14:textId="77777777">
        <w:trPr>
          <w:divId w:val="1852721632"/>
          <w:jc w:val="center"/>
        </w:trPr>
        <w:tc>
          <w:tcPr>
            <w:tcW w:w="0" w:type="auto"/>
            <w:gridSpan w:val="3"/>
            <w:shd w:val="clear" w:color="auto" w:fill="FFFFFF"/>
            <w:tcMar>
              <w:top w:w="30" w:type="dxa"/>
              <w:left w:w="20" w:type="dxa"/>
              <w:bottom w:w="30" w:type="dxa"/>
              <w:right w:w="20" w:type="dxa"/>
            </w:tcMar>
            <w:hideMark/>
          </w:tcPr>
          <w:p w14:paraId="11E4B7C1" w14:textId="77777777" w:rsidR="00000000" w:rsidRDefault="001A570A">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14:paraId="0E6A192B" w14:textId="77777777" w:rsidR="00000000" w:rsidRDefault="001A570A">
            <w:pPr>
              <w:jc w:val="right"/>
              <w:rPr>
                <w:rFonts w:eastAsia="Times New Roman"/>
              </w:rPr>
            </w:pPr>
            <w:r>
              <w:rPr>
                <w:rFonts w:eastAsia="Times New Roman"/>
                <w:color w:val="000000"/>
                <w:sz w:val="20"/>
                <w:szCs w:val="20"/>
              </w:rPr>
              <w:t>(123)</w:t>
            </w:r>
          </w:p>
        </w:tc>
        <w:tc>
          <w:tcPr>
            <w:tcW w:w="0" w:type="auto"/>
            <w:shd w:val="clear" w:color="auto" w:fill="FFFFFF"/>
            <w:tcMar>
              <w:top w:w="30" w:type="dxa"/>
              <w:left w:w="0" w:type="dxa"/>
              <w:bottom w:w="30" w:type="dxa"/>
              <w:right w:w="20" w:type="dxa"/>
            </w:tcMar>
            <w:vAlign w:val="bottom"/>
            <w:hideMark/>
          </w:tcPr>
          <w:p w14:paraId="175446F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40C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0C4B2" w14:textId="77777777" w:rsidR="00000000" w:rsidRDefault="001A570A">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14:paraId="5E16C8F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87F9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30E0E" w14:textId="77777777" w:rsidR="00000000" w:rsidRDefault="001A570A">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2F2F1F4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DCED73B"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23CB60" w14:textId="77777777" w:rsidR="00000000" w:rsidRDefault="001A570A">
            <w:pPr>
              <w:jc w:val="right"/>
              <w:rPr>
                <w:rFonts w:eastAsia="Times New Roman"/>
              </w:rPr>
            </w:pPr>
            <w:r>
              <w:rPr>
                <w:rFonts w:eastAsia="Times New Roman"/>
                <w:color w:val="000000"/>
                <w:sz w:val="20"/>
                <w:szCs w:val="20"/>
              </w:rPr>
              <w:t>(143)</w:t>
            </w:r>
          </w:p>
        </w:tc>
        <w:tc>
          <w:tcPr>
            <w:tcW w:w="0" w:type="auto"/>
            <w:shd w:val="clear" w:color="auto" w:fill="FFFFFF"/>
            <w:tcMar>
              <w:top w:w="30" w:type="dxa"/>
              <w:left w:w="0" w:type="dxa"/>
              <w:bottom w:w="30" w:type="dxa"/>
              <w:right w:w="20" w:type="dxa"/>
            </w:tcMar>
            <w:vAlign w:val="bottom"/>
            <w:hideMark/>
          </w:tcPr>
          <w:p w14:paraId="4F3DEC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CA72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52689" w14:textId="77777777" w:rsidR="00000000" w:rsidRDefault="001A570A">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43F4256B" w14:textId="77777777" w:rsidR="00000000" w:rsidRDefault="001A570A">
            <w:pPr>
              <w:jc w:val="right"/>
              <w:rPr>
                <w:rFonts w:eastAsia="Times New Roman"/>
              </w:rPr>
            </w:pPr>
            <w:r>
              <w:rPr>
                <w:rFonts w:eastAsia="Times New Roman"/>
                <w:color w:val="000000"/>
                <w:sz w:val="20"/>
                <w:szCs w:val="20"/>
              </w:rPr>
              <w:t>%</w:t>
            </w:r>
          </w:p>
        </w:tc>
      </w:tr>
      <w:tr w:rsidR="00000000" w14:paraId="15887C67" w14:textId="77777777">
        <w:trPr>
          <w:divId w:val="1852721632"/>
          <w:jc w:val="center"/>
        </w:trPr>
        <w:tc>
          <w:tcPr>
            <w:tcW w:w="0" w:type="auto"/>
            <w:gridSpan w:val="3"/>
            <w:shd w:val="clear" w:color="auto" w:fill="CCEEFF"/>
            <w:tcMar>
              <w:top w:w="30" w:type="dxa"/>
              <w:left w:w="20" w:type="dxa"/>
              <w:bottom w:w="30" w:type="dxa"/>
              <w:right w:w="20" w:type="dxa"/>
            </w:tcMar>
            <w:hideMark/>
          </w:tcPr>
          <w:p w14:paraId="73AFD93A" w14:textId="77777777" w:rsidR="00000000" w:rsidRDefault="001A570A">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2D6E12"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486E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70D2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605979" w14:textId="77777777" w:rsidR="00000000" w:rsidRDefault="001A570A">
            <w:pPr>
              <w:jc w:val="right"/>
              <w:rPr>
                <w:rFonts w:eastAsia="Times New Roman"/>
              </w:rPr>
            </w:pPr>
            <w:r>
              <w:rPr>
                <w:rFonts w:eastAsia="Times New Roman"/>
                <w:color w:val="000000"/>
                <w:sz w:val="20"/>
                <w:szCs w:val="20"/>
              </w:rPr>
              <w:t>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555BA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A410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8D9331" w14:textId="77777777" w:rsidR="00000000" w:rsidRDefault="001A570A">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7A549CFB"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1755C0"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41774C" w14:textId="77777777" w:rsidR="00000000" w:rsidRDefault="001A570A">
            <w:pPr>
              <w:jc w:val="right"/>
              <w:rPr>
                <w:rFonts w:eastAsia="Times New Roman"/>
              </w:rPr>
            </w:pPr>
            <w:r>
              <w:rPr>
                <w:rFonts w:eastAsia="Times New Roman"/>
                <w:color w:val="000000"/>
                <w:sz w:val="20"/>
                <w:szCs w:val="20"/>
              </w:rPr>
              <w:t>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8A829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FB3F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8DD69"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3A02B938" w14:textId="77777777" w:rsidR="00000000" w:rsidRDefault="001A570A">
            <w:pPr>
              <w:jc w:val="right"/>
              <w:rPr>
                <w:rFonts w:eastAsia="Times New Roman"/>
              </w:rPr>
            </w:pPr>
            <w:r>
              <w:rPr>
                <w:rFonts w:eastAsia="Times New Roman"/>
                <w:color w:val="000000"/>
                <w:sz w:val="20"/>
                <w:szCs w:val="20"/>
              </w:rPr>
              <w:t>%</w:t>
            </w:r>
          </w:p>
        </w:tc>
      </w:tr>
      <w:tr w:rsidR="00000000" w14:paraId="11D9DDE8" w14:textId="77777777">
        <w:trPr>
          <w:divId w:val="1852721632"/>
          <w:jc w:val="center"/>
        </w:trPr>
        <w:tc>
          <w:tcPr>
            <w:tcW w:w="0" w:type="auto"/>
            <w:gridSpan w:val="3"/>
            <w:shd w:val="clear" w:color="auto" w:fill="FFFFFF"/>
            <w:tcMar>
              <w:top w:w="30" w:type="dxa"/>
              <w:left w:w="20" w:type="dxa"/>
              <w:bottom w:w="30" w:type="dxa"/>
              <w:right w:w="20" w:type="dxa"/>
            </w:tcMar>
            <w:hideMark/>
          </w:tcPr>
          <w:p w14:paraId="301933D7"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51E69054"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14:paraId="153BBC7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9BB7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594103" w14:textId="77777777" w:rsidR="00000000" w:rsidRDefault="001A570A">
            <w:pPr>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14:paraId="121FCAD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536C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04461F"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3E02B91A"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983E9DF"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AFD82B" w14:textId="77777777" w:rsidR="00000000" w:rsidRDefault="001A570A">
            <w:pPr>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14:paraId="0904C0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57CD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32D01"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57026497" w14:textId="77777777" w:rsidR="00000000" w:rsidRDefault="001A570A">
            <w:pPr>
              <w:jc w:val="right"/>
              <w:rPr>
                <w:rFonts w:eastAsia="Times New Roman"/>
              </w:rPr>
            </w:pPr>
            <w:r>
              <w:rPr>
                <w:rFonts w:eastAsia="Times New Roman"/>
                <w:color w:val="000000"/>
                <w:sz w:val="20"/>
                <w:szCs w:val="20"/>
              </w:rPr>
              <w:t>%</w:t>
            </w:r>
          </w:p>
        </w:tc>
      </w:tr>
      <w:tr w:rsidR="00000000" w14:paraId="05D2188E" w14:textId="77777777">
        <w:trPr>
          <w:divId w:val="1852721632"/>
          <w:jc w:val="center"/>
        </w:trPr>
        <w:tc>
          <w:tcPr>
            <w:tcW w:w="0" w:type="auto"/>
            <w:gridSpan w:val="3"/>
            <w:shd w:val="clear" w:color="auto" w:fill="CCEEFF"/>
            <w:tcMar>
              <w:top w:w="30" w:type="dxa"/>
              <w:left w:w="155" w:type="dxa"/>
              <w:bottom w:w="30" w:type="dxa"/>
              <w:right w:w="20" w:type="dxa"/>
            </w:tcMar>
            <w:hideMark/>
          </w:tcPr>
          <w:p w14:paraId="6E22DA15" w14:textId="77777777" w:rsidR="00000000" w:rsidRDefault="001A570A">
            <w:pPr>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14:paraId="4A153870" w14:textId="77777777" w:rsidR="00000000" w:rsidRDefault="001A570A">
            <w:pPr>
              <w:jc w:val="right"/>
              <w:rPr>
                <w:rFonts w:eastAsia="Times New Roman"/>
              </w:rPr>
            </w:pPr>
            <w:r>
              <w:rPr>
                <w:rFonts w:eastAsia="Times New Roman"/>
                <w:i/>
                <w:iCs/>
                <w:color w:val="000000"/>
                <w:sz w:val="20"/>
                <w:szCs w:val="20"/>
              </w:rPr>
              <w:t>8 </w:t>
            </w:r>
          </w:p>
        </w:tc>
        <w:tc>
          <w:tcPr>
            <w:tcW w:w="0" w:type="auto"/>
            <w:shd w:val="clear" w:color="auto" w:fill="CCEEFF"/>
            <w:tcMar>
              <w:top w:w="30" w:type="dxa"/>
              <w:left w:w="0" w:type="dxa"/>
              <w:bottom w:w="30" w:type="dxa"/>
              <w:right w:w="20" w:type="dxa"/>
            </w:tcMar>
            <w:vAlign w:val="bottom"/>
            <w:hideMark/>
          </w:tcPr>
          <w:p w14:paraId="2B22EE3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1A73EC"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DE15CC" w14:textId="77777777" w:rsidR="00000000" w:rsidRDefault="001A570A">
            <w:pPr>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14:paraId="35F7370F"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8080F5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1751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35D032"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80C3AB" w14:textId="77777777" w:rsidR="00000000" w:rsidRDefault="001A570A">
            <w:pPr>
              <w:jc w:val="right"/>
              <w:rPr>
                <w:rFonts w:eastAsia="Times New Roman"/>
              </w:rPr>
            </w:pPr>
            <w:r>
              <w:rPr>
                <w:rFonts w:eastAsia="Times New Roman"/>
                <w:i/>
                <w:iCs/>
                <w:color w:val="000000"/>
                <w:sz w:val="20"/>
                <w:szCs w:val="20"/>
              </w:rPr>
              <w:t>10 </w:t>
            </w:r>
          </w:p>
        </w:tc>
        <w:tc>
          <w:tcPr>
            <w:tcW w:w="0" w:type="auto"/>
            <w:shd w:val="clear" w:color="auto" w:fill="CCEEFF"/>
            <w:tcMar>
              <w:top w:w="30" w:type="dxa"/>
              <w:left w:w="0" w:type="dxa"/>
              <w:bottom w:w="30" w:type="dxa"/>
              <w:right w:w="20" w:type="dxa"/>
            </w:tcMar>
            <w:vAlign w:val="bottom"/>
            <w:hideMark/>
          </w:tcPr>
          <w:p w14:paraId="37DF1EC2"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ABD5B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19948" w14:textId="77777777" w:rsidR="00000000" w:rsidRDefault="001A570A">
            <w:pPr>
              <w:rPr>
                <w:rFonts w:eastAsia="Times New Roman"/>
                <w:sz w:val="20"/>
                <w:szCs w:val="20"/>
              </w:rPr>
            </w:pPr>
          </w:p>
        </w:tc>
      </w:tr>
      <w:tr w:rsidR="00000000" w14:paraId="28734B55" w14:textId="77777777">
        <w:trPr>
          <w:divId w:val="1852721632"/>
          <w:jc w:val="center"/>
        </w:trPr>
        <w:tc>
          <w:tcPr>
            <w:tcW w:w="0" w:type="auto"/>
            <w:gridSpan w:val="3"/>
            <w:shd w:val="clear" w:color="auto" w:fill="FFFFFF"/>
            <w:tcMar>
              <w:top w:w="30" w:type="dxa"/>
              <w:left w:w="20" w:type="dxa"/>
              <w:bottom w:w="30" w:type="dxa"/>
              <w:right w:w="20" w:type="dxa"/>
            </w:tcMar>
            <w:hideMark/>
          </w:tcPr>
          <w:p w14:paraId="6804B84E" w14:textId="77777777" w:rsidR="00000000" w:rsidRDefault="001A570A">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1F756F" w14:textId="77777777" w:rsidR="00000000" w:rsidRDefault="001A570A">
            <w:pPr>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E8E8C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7291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30D297" w14:textId="77777777" w:rsidR="00000000" w:rsidRDefault="001A570A">
            <w:pPr>
              <w:jc w:val="right"/>
              <w:rPr>
                <w:rFonts w:eastAsia="Times New Roman"/>
              </w:rPr>
            </w:pPr>
            <w:r>
              <w:rPr>
                <w:rFonts w:eastAsia="Times New Roman"/>
                <w:color w:val="000000"/>
                <w:sz w:val="20"/>
                <w:szCs w:val="20"/>
              </w:rPr>
              <w:t>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0BC64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20F9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E1655" w14:textId="77777777" w:rsidR="00000000" w:rsidRDefault="001A570A">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14:paraId="2A0BB75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E852CD8" w14:textId="77777777" w:rsidR="00000000" w:rsidRDefault="001A570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1622B2" w14:textId="77777777" w:rsidR="00000000" w:rsidRDefault="001A570A">
            <w:pPr>
              <w:jc w:val="right"/>
              <w:rPr>
                <w:rFonts w:eastAsia="Times New Roman"/>
              </w:rPr>
            </w:pPr>
            <w:r>
              <w:rPr>
                <w:rFonts w:eastAsia="Times New Roman"/>
                <w:color w:val="000000"/>
                <w:sz w:val="20"/>
                <w:szCs w:val="20"/>
              </w:rPr>
              <w:t>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3E0AC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FBDA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8C395D"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6981825E" w14:textId="77777777" w:rsidR="00000000" w:rsidRDefault="001A570A">
            <w:pPr>
              <w:jc w:val="right"/>
              <w:rPr>
                <w:rFonts w:eastAsia="Times New Roman"/>
              </w:rPr>
            </w:pPr>
            <w:r>
              <w:rPr>
                <w:rFonts w:eastAsia="Times New Roman"/>
                <w:color w:val="000000"/>
                <w:sz w:val="20"/>
                <w:szCs w:val="20"/>
              </w:rPr>
              <w:t>%</w:t>
            </w:r>
          </w:p>
        </w:tc>
      </w:tr>
      <w:tr w:rsidR="00000000" w14:paraId="2AF9F115" w14:textId="77777777">
        <w:trPr>
          <w:divId w:val="1852721632"/>
          <w:jc w:val="center"/>
        </w:trPr>
        <w:tc>
          <w:tcPr>
            <w:tcW w:w="0" w:type="auto"/>
            <w:gridSpan w:val="3"/>
            <w:shd w:val="clear" w:color="auto" w:fill="CCEEFF"/>
            <w:tcMar>
              <w:top w:w="30" w:type="dxa"/>
              <w:left w:w="20" w:type="dxa"/>
              <w:bottom w:w="30" w:type="dxa"/>
              <w:right w:w="20" w:type="dxa"/>
            </w:tcMar>
            <w:hideMark/>
          </w:tcPr>
          <w:p w14:paraId="6A1DC708" w14:textId="77777777" w:rsidR="00000000" w:rsidRDefault="001A570A">
            <w:pPr>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14:paraId="13695EDE"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4C691FC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4C07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7ED9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B2B6C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A28D0"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9C827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845CCF9"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D539B5"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6713B90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D5C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D2590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ADF0C2" w14:textId="77777777" w:rsidR="00000000" w:rsidRDefault="001A570A">
            <w:pPr>
              <w:jc w:val="right"/>
              <w:rPr>
                <w:rFonts w:eastAsia="Times New Roman"/>
              </w:rPr>
            </w:pPr>
            <w:r>
              <w:rPr>
                <w:rFonts w:eastAsia="Times New Roman"/>
                <w:color w:val="000000"/>
                <w:sz w:val="20"/>
                <w:szCs w:val="20"/>
              </w:rPr>
              <w:t>%</w:t>
            </w:r>
          </w:p>
        </w:tc>
      </w:tr>
      <w:tr w:rsidR="00000000" w14:paraId="08697F37" w14:textId="77777777">
        <w:trPr>
          <w:divId w:val="1852721632"/>
          <w:jc w:val="center"/>
        </w:trPr>
        <w:tc>
          <w:tcPr>
            <w:tcW w:w="0" w:type="auto"/>
            <w:gridSpan w:val="3"/>
            <w:shd w:val="clear" w:color="auto" w:fill="FFFFFF"/>
            <w:tcMar>
              <w:top w:w="30" w:type="dxa"/>
              <w:left w:w="200" w:type="dxa"/>
              <w:bottom w:w="30" w:type="dxa"/>
              <w:right w:w="20" w:type="dxa"/>
            </w:tcMar>
            <w:hideMark/>
          </w:tcPr>
          <w:p w14:paraId="51A28BB8" w14:textId="77777777" w:rsidR="00000000" w:rsidRDefault="001A570A">
            <w:pPr>
              <w:ind w:hanging="180"/>
              <w:rPr>
                <w:rFonts w:eastAsia="Times New Roman"/>
              </w:rPr>
            </w:pPr>
            <w:r>
              <w:rPr>
                <w:rFonts w:eastAsia="Times New Roman"/>
                <w:color w:val="000000"/>
                <w:sz w:val="20"/>
                <w:szCs w:val="20"/>
              </w:rPr>
              <w:t>Income from continuing operations attributable to L3Harris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D6EA8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F14C30" w14:textId="77777777" w:rsidR="00000000" w:rsidRDefault="001A570A">
            <w:pPr>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0497E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4DAF9"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91830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5CBE6D" w14:textId="77777777" w:rsidR="00000000" w:rsidRDefault="001A570A">
            <w:pPr>
              <w:jc w:val="right"/>
              <w:rPr>
                <w:rFonts w:eastAsia="Times New Roman"/>
              </w:rPr>
            </w:pPr>
            <w:r>
              <w:rPr>
                <w:rFonts w:eastAsia="Times New Roman"/>
                <w:color w:val="000000"/>
                <w:sz w:val="20"/>
                <w:szCs w:val="20"/>
              </w:rPr>
              <w:t>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01FA1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441C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CAF69" w14:textId="77777777" w:rsidR="00000000" w:rsidRDefault="001A570A">
            <w:pPr>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14:paraId="51A21E7E"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378AF53" w14:textId="77777777" w:rsidR="00000000" w:rsidRDefault="001A570A">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EADE0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550C22" w14:textId="77777777" w:rsidR="00000000" w:rsidRDefault="001A570A">
            <w:pPr>
              <w:jc w:val="right"/>
              <w:rPr>
                <w:rFonts w:eastAsia="Times New Roman"/>
              </w:rPr>
            </w:pPr>
            <w:r>
              <w:rPr>
                <w:rFonts w:eastAsia="Times New Roman"/>
                <w:color w:val="000000"/>
                <w:sz w:val="20"/>
                <w:szCs w:val="20"/>
              </w:rPr>
              <w:t>748 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BF60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05F6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88B33B"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6450BCD7" w14:textId="77777777" w:rsidR="00000000" w:rsidRDefault="001A570A">
            <w:pPr>
              <w:jc w:val="right"/>
              <w:rPr>
                <w:rFonts w:eastAsia="Times New Roman"/>
              </w:rPr>
            </w:pPr>
            <w:r>
              <w:rPr>
                <w:rFonts w:eastAsia="Times New Roman"/>
                <w:color w:val="000000"/>
                <w:sz w:val="20"/>
                <w:szCs w:val="20"/>
              </w:rPr>
              <w:t>%</w:t>
            </w:r>
          </w:p>
        </w:tc>
      </w:tr>
      <w:tr w:rsidR="00000000" w14:paraId="30FB0118" w14:textId="77777777">
        <w:trPr>
          <w:divId w:val="1852721632"/>
          <w:jc w:val="center"/>
        </w:trPr>
        <w:tc>
          <w:tcPr>
            <w:tcW w:w="0" w:type="auto"/>
            <w:gridSpan w:val="3"/>
            <w:shd w:val="clear" w:color="auto" w:fill="CCEEFF"/>
            <w:tcMar>
              <w:top w:w="30" w:type="dxa"/>
              <w:left w:w="215" w:type="dxa"/>
              <w:bottom w:w="30" w:type="dxa"/>
              <w:right w:w="20" w:type="dxa"/>
            </w:tcMar>
            <w:hideMark/>
          </w:tcPr>
          <w:p w14:paraId="5242252A"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E98A156" w14:textId="77777777" w:rsidR="00000000" w:rsidRDefault="001A570A">
            <w:pPr>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0723B5B"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95BE71A" w14:textId="77777777" w:rsidR="00000000" w:rsidRDefault="001A570A">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5BDB080" w14:textId="77777777" w:rsidR="00000000" w:rsidRDefault="001A570A">
            <w:pPr>
              <w:jc w:val="right"/>
              <w:rPr>
                <w:rFonts w:eastAsia="Times New Roman"/>
              </w:rPr>
            </w:pPr>
            <w:r>
              <w:rPr>
                <w:rFonts w:eastAsia="Times New Roman"/>
                <w:i/>
                <w:iCs/>
                <w:color w:val="000000"/>
                <w:sz w:val="20"/>
                <w:szCs w:val="20"/>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9291975"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8C27A1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397D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7586FF" w14:textId="77777777" w:rsidR="00000000" w:rsidRDefault="001A570A">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6C8C7B2" w14:textId="77777777" w:rsidR="00000000" w:rsidRDefault="001A570A">
            <w:pPr>
              <w:jc w:val="right"/>
              <w:rPr>
                <w:rFonts w:eastAsia="Times New Roman"/>
              </w:rPr>
            </w:pPr>
            <w:r>
              <w:rPr>
                <w:rFonts w:eastAsia="Times New Roman"/>
                <w:i/>
                <w:iCs/>
                <w:color w:val="000000"/>
                <w:sz w:val="20"/>
                <w:szCs w:val="20"/>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FA1B03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8F2CC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DA0B4" w14:textId="77777777" w:rsidR="00000000" w:rsidRDefault="001A570A">
            <w:pPr>
              <w:rPr>
                <w:rFonts w:eastAsia="Times New Roman"/>
                <w:sz w:val="20"/>
                <w:szCs w:val="20"/>
              </w:rPr>
            </w:pPr>
          </w:p>
        </w:tc>
      </w:tr>
      <w:tr w:rsidR="00000000" w14:paraId="19C77017" w14:textId="77777777">
        <w:trPr>
          <w:divId w:val="1852721632"/>
          <w:jc w:val="center"/>
        </w:trPr>
        <w:tc>
          <w:tcPr>
            <w:tcW w:w="0" w:type="auto"/>
            <w:gridSpan w:val="3"/>
            <w:shd w:val="clear" w:color="auto" w:fill="FFFFFF"/>
            <w:tcMar>
              <w:top w:w="30" w:type="dxa"/>
              <w:left w:w="200" w:type="dxa"/>
              <w:bottom w:w="30" w:type="dxa"/>
              <w:right w:w="20" w:type="dxa"/>
            </w:tcMar>
            <w:hideMark/>
          </w:tcPr>
          <w:p w14:paraId="2865B82F" w14:textId="77777777" w:rsidR="00000000" w:rsidRDefault="001A570A">
            <w:pPr>
              <w:ind w:hanging="180"/>
              <w:rPr>
                <w:rFonts w:eastAsia="Times New Roman"/>
              </w:rPr>
            </w:pPr>
            <w:r>
              <w:rPr>
                <w:rFonts w:eastAsia="Times New Roman"/>
                <w:color w:val="000000"/>
                <w:sz w:val="20"/>
                <w:szCs w:val="20"/>
              </w:rPr>
              <w:t>Income from continuing operations per diluted common share attributable to L3Harris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1579AF8"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78E10943" w14:textId="77777777" w:rsidR="00000000" w:rsidRDefault="001A570A">
            <w:pPr>
              <w:jc w:val="right"/>
              <w:rPr>
                <w:rFonts w:eastAsia="Times New Roman"/>
              </w:rPr>
            </w:pPr>
            <w:r>
              <w:rPr>
                <w:rFonts w:eastAsia="Times New Roman"/>
                <w:color w:val="000000"/>
                <w:sz w:val="20"/>
                <w:szCs w:val="20"/>
              </w:rPr>
              <w:t>3.68 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C2D42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ED052" w14:textId="77777777" w:rsidR="00000000" w:rsidRDefault="001A570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D9A95A9"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E6C2CE5" w14:textId="77777777" w:rsidR="00000000" w:rsidRDefault="001A570A">
            <w:pPr>
              <w:jc w:val="right"/>
              <w:rPr>
                <w:rFonts w:eastAsia="Times New Roman"/>
              </w:rPr>
            </w:pPr>
            <w:r>
              <w:rPr>
                <w:rFonts w:eastAsia="Times New Roman"/>
                <w:color w:val="000000"/>
                <w:sz w:val="20"/>
                <w:szCs w:val="20"/>
              </w:rPr>
              <w:t>3.66 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702FF0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E34A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6388B"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A23F27C"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1A2530" w14:textId="77777777" w:rsidR="00000000" w:rsidRDefault="001A570A">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6116760"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4B7858D" w14:textId="77777777" w:rsidR="00000000" w:rsidRDefault="001A570A">
            <w:pPr>
              <w:jc w:val="right"/>
              <w:rPr>
                <w:rFonts w:eastAsia="Times New Roman"/>
              </w:rPr>
            </w:pPr>
            <w:r>
              <w:rPr>
                <w:rFonts w:eastAsia="Times New Roman"/>
                <w:color w:val="000000"/>
                <w:sz w:val="20"/>
                <w:szCs w:val="20"/>
              </w:rPr>
              <w:t>3.27 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F8B24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5B86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09DB6"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0A9F3BD7" w14:textId="77777777" w:rsidR="00000000" w:rsidRDefault="001A570A">
            <w:pPr>
              <w:jc w:val="right"/>
              <w:rPr>
                <w:rFonts w:eastAsia="Times New Roman"/>
              </w:rPr>
            </w:pPr>
            <w:r>
              <w:rPr>
                <w:rFonts w:eastAsia="Times New Roman"/>
                <w:color w:val="000000"/>
                <w:sz w:val="20"/>
                <w:szCs w:val="20"/>
              </w:rPr>
              <w:t>%</w:t>
            </w:r>
          </w:p>
        </w:tc>
      </w:tr>
    </w:tbl>
    <w:p w14:paraId="1323D2B0" w14:textId="77777777" w:rsidR="00000000" w:rsidRDefault="001A570A">
      <w:pPr>
        <w:jc w:val="both"/>
        <w:divId w:val="1048988282"/>
        <w:rPr>
          <w:rFonts w:eastAsia="Times New Roman"/>
        </w:rPr>
      </w:pPr>
      <w:r>
        <w:rPr>
          <w:rFonts w:eastAsia="Times New Roman"/>
          <w:color w:val="000000"/>
          <w:sz w:val="16"/>
          <w:szCs w:val="16"/>
        </w:rPr>
        <w:t>_________________</w:t>
      </w:r>
    </w:p>
    <w:p w14:paraId="6056637B" w14:textId="77777777" w:rsidR="00000000" w:rsidRDefault="001A570A">
      <w:pPr>
        <w:ind w:hanging="360"/>
        <w:divId w:val="1271428787"/>
        <w:rPr>
          <w:rFonts w:eastAsia="Times New Roman"/>
        </w:rPr>
      </w:pPr>
      <w:r>
        <w:rPr>
          <w:rFonts w:eastAsia="Times New Roman"/>
          <w:color w:val="000000"/>
          <w:sz w:val="16"/>
          <w:szCs w:val="16"/>
        </w:rPr>
        <w:t>*Not meaningful</w:t>
      </w:r>
    </w:p>
    <w:p w14:paraId="6D3352B4" w14:textId="77777777" w:rsidR="00000000" w:rsidRDefault="001A570A">
      <w:pPr>
        <w:divId w:val="1363361740"/>
        <w:rPr>
          <w:rFonts w:eastAsia="Times New Roman"/>
        </w:rPr>
      </w:pPr>
    </w:p>
    <w:p w14:paraId="64F8A83E" w14:textId="77777777" w:rsidR="00000000" w:rsidRDefault="001A570A">
      <w:pPr>
        <w:ind w:firstLine="450"/>
        <w:jc w:val="center"/>
        <w:divId w:val="544293747"/>
        <w:rPr>
          <w:rFonts w:eastAsia="Times New Roman"/>
        </w:rPr>
      </w:pPr>
      <w:r>
        <w:rPr>
          <w:rFonts w:eastAsia="Times New Roman"/>
          <w:color w:val="000000"/>
          <w:sz w:val="20"/>
          <w:szCs w:val="20"/>
        </w:rPr>
        <w:t>40</w:t>
      </w:r>
    </w:p>
    <w:p w14:paraId="325B3F3F" w14:textId="77777777" w:rsidR="00000000" w:rsidRDefault="001A570A">
      <w:pPr>
        <w:rPr>
          <w:rFonts w:eastAsia="Times New Roman"/>
        </w:rPr>
      </w:pPr>
      <w:r>
        <w:rPr>
          <w:rFonts w:eastAsia="Times New Roman"/>
        </w:rPr>
        <w:pict w14:anchorId="6C3F0140">
          <v:rect id="_x0000_i1068" style="width:0;height:1.5pt" o:hralign="center" o:hrstd="t" o:hr="t" fillcolor="#a0a0a0" stroked="f"/>
        </w:pict>
      </w:r>
    </w:p>
    <w:p w14:paraId="71961CDD" w14:textId="77777777" w:rsidR="00000000" w:rsidRDefault="001A570A">
      <w:pPr>
        <w:ind w:firstLine="450"/>
        <w:divId w:val="347559922"/>
        <w:rPr>
          <w:rFonts w:eastAsia="Times New Roman"/>
        </w:rPr>
      </w:pPr>
    </w:p>
    <w:tbl>
      <w:tblPr>
        <w:tblW w:w="4935" w:type="pct"/>
        <w:tblCellMar>
          <w:top w:w="15" w:type="dxa"/>
          <w:left w:w="15" w:type="dxa"/>
          <w:bottom w:w="15" w:type="dxa"/>
          <w:right w:w="15" w:type="dxa"/>
        </w:tblCellMar>
        <w:tblLook w:val="04A0" w:firstRow="1" w:lastRow="0" w:firstColumn="1" w:lastColumn="0" w:noHBand="0" w:noVBand="1"/>
      </w:tblPr>
      <w:tblGrid>
        <w:gridCol w:w="40"/>
        <w:gridCol w:w="5088"/>
        <w:gridCol w:w="39"/>
        <w:gridCol w:w="121"/>
        <w:gridCol w:w="733"/>
        <w:gridCol w:w="187"/>
        <w:gridCol w:w="36"/>
        <w:gridCol w:w="36"/>
        <w:gridCol w:w="36"/>
        <w:gridCol w:w="121"/>
        <w:gridCol w:w="616"/>
        <w:gridCol w:w="187"/>
        <w:gridCol w:w="36"/>
        <w:gridCol w:w="36"/>
        <w:gridCol w:w="36"/>
        <w:gridCol w:w="83"/>
        <w:gridCol w:w="580"/>
        <w:gridCol w:w="187"/>
      </w:tblGrid>
      <w:tr w:rsidR="00000000" w14:paraId="6F1B8614" w14:textId="77777777">
        <w:trPr>
          <w:divId w:val="2059744168"/>
        </w:trPr>
        <w:tc>
          <w:tcPr>
            <w:tcW w:w="50" w:type="pct"/>
            <w:vAlign w:val="center"/>
            <w:hideMark/>
          </w:tcPr>
          <w:p w14:paraId="26DE4758" w14:textId="77777777" w:rsidR="00000000" w:rsidRDefault="001A570A">
            <w:pPr>
              <w:ind w:firstLine="450"/>
              <w:rPr>
                <w:rFonts w:eastAsia="Times New Roman"/>
              </w:rPr>
            </w:pPr>
          </w:p>
        </w:tc>
        <w:tc>
          <w:tcPr>
            <w:tcW w:w="3256" w:type="pct"/>
            <w:vAlign w:val="center"/>
            <w:hideMark/>
          </w:tcPr>
          <w:p w14:paraId="3863B497" w14:textId="77777777" w:rsidR="00000000" w:rsidRDefault="001A570A">
            <w:pPr>
              <w:rPr>
                <w:rFonts w:eastAsia="Times New Roman"/>
                <w:sz w:val="20"/>
                <w:szCs w:val="20"/>
              </w:rPr>
            </w:pPr>
          </w:p>
        </w:tc>
        <w:tc>
          <w:tcPr>
            <w:tcW w:w="5" w:type="pct"/>
            <w:vAlign w:val="center"/>
            <w:hideMark/>
          </w:tcPr>
          <w:p w14:paraId="6413D27B" w14:textId="77777777" w:rsidR="00000000" w:rsidRDefault="001A570A">
            <w:pPr>
              <w:rPr>
                <w:rFonts w:eastAsia="Times New Roman"/>
                <w:sz w:val="20"/>
                <w:szCs w:val="20"/>
              </w:rPr>
            </w:pPr>
          </w:p>
        </w:tc>
        <w:tc>
          <w:tcPr>
            <w:tcW w:w="50" w:type="pct"/>
            <w:vAlign w:val="center"/>
            <w:hideMark/>
          </w:tcPr>
          <w:p w14:paraId="677E996A" w14:textId="77777777" w:rsidR="00000000" w:rsidRDefault="001A570A">
            <w:pPr>
              <w:rPr>
                <w:rFonts w:eastAsia="Times New Roman"/>
                <w:sz w:val="20"/>
                <w:szCs w:val="20"/>
              </w:rPr>
            </w:pPr>
          </w:p>
        </w:tc>
        <w:tc>
          <w:tcPr>
            <w:tcW w:w="549" w:type="pct"/>
            <w:vAlign w:val="center"/>
            <w:hideMark/>
          </w:tcPr>
          <w:p w14:paraId="7ED06473" w14:textId="77777777" w:rsidR="00000000" w:rsidRDefault="001A570A">
            <w:pPr>
              <w:rPr>
                <w:rFonts w:eastAsia="Times New Roman"/>
                <w:sz w:val="20"/>
                <w:szCs w:val="20"/>
              </w:rPr>
            </w:pPr>
          </w:p>
        </w:tc>
        <w:tc>
          <w:tcPr>
            <w:tcW w:w="5" w:type="pct"/>
            <w:vAlign w:val="center"/>
            <w:hideMark/>
          </w:tcPr>
          <w:p w14:paraId="1BAA9407" w14:textId="77777777" w:rsidR="00000000" w:rsidRDefault="001A570A">
            <w:pPr>
              <w:rPr>
                <w:rFonts w:eastAsia="Times New Roman"/>
                <w:sz w:val="20"/>
                <w:szCs w:val="20"/>
              </w:rPr>
            </w:pPr>
          </w:p>
        </w:tc>
        <w:tc>
          <w:tcPr>
            <w:tcW w:w="5" w:type="pct"/>
            <w:vAlign w:val="center"/>
            <w:hideMark/>
          </w:tcPr>
          <w:p w14:paraId="79FD9AF2" w14:textId="77777777" w:rsidR="00000000" w:rsidRDefault="001A570A">
            <w:pPr>
              <w:rPr>
                <w:rFonts w:eastAsia="Times New Roman"/>
                <w:sz w:val="20"/>
                <w:szCs w:val="20"/>
              </w:rPr>
            </w:pPr>
          </w:p>
        </w:tc>
        <w:tc>
          <w:tcPr>
            <w:tcW w:w="26" w:type="pct"/>
            <w:vAlign w:val="center"/>
            <w:hideMark/>
          </w:tcPr>
          <w:p w14:paraId="112E1DEB" w14:textId="77777777" w:rsidR="00000000" w:rsidRDefault="001A570A">
            <w:pPr>
              <w:rPr>
                <w:rFonts w:eastAsia="Times New Roman"/>
                <w:sz w:val="20"/>
                <w:szCs w:val="20"/>
              </w:rPr>
            </w:pPr>
          </w:p>
        </w:tc>
        <w:tc>
          <w:tcPr>
            <w:tcW w:w="5" w:type="pct"/>
            <w:vAlign w:val="center"/>
            <w:hideMark/>
          </w:tcPr>
          <w:p w14:paraId="313E7858" w14:textId="77777777" w:rsidR="00000000" w:rsidRDefault="001A570A">
            <w:pPr>
              <w:rPr>
                <w:rFonts w:eastAsia="Times New Roman"/>
                <w:sz w:val="20"/>
                <w:szCs w:val="20"/>
              </w:rPr>
            </w:pPr>
          </w:p>
        </w:tc>
        <w:tc>
          <w:tcPr>
            <w:tcW w:w="50" w:type="pct"/>
            <w:vAlign w:val="center"/>
            <w:hideMark/>
          </w:tcPr>
          <w:p w14:paraId="449B95BF" w14:textId="77777777" w:rsidR="00000000" w:rsidRDefault="001A570A">
            <w:pPr>
              <w:rPr>
                <w:rFonts w:eastAsia="Times New Roman"/>
                <w:sz w:val="20"/>
                <w:szCs w:val="20"/>
              </w:rPr>
            </w:pPr>
          </w:p>
        </w:tc>
        <w:tc>
          <w:tcPr>
            <w:tcW w:w="549" w:type="pct"/>
            <w:vAlign w:val="center"/>
            <w:hideMark/>
          </w:tcPr>
          <w:p w14:paraId="1FCC88B2" w14:textId="77777777" w:rsidR="00000000" w:rsidRDefault="001A570A">
            <w:pPr>
              <w:rPr>
                <w:rFonts w:eastAsia="Times New Roman"/>
                <w:sz w:val="20"/>
                <w:szCs w:val="20"/>
              </w:rPr>
            </w:pPr>
          </w:p>
        </w:tc>
        <w:tc>
          <w:tcPr>
            <w:tcW w:w="5" w:type="pct"/>
            <w:vAlign w:val="center"/>
            <w:hideMark/>
          </w:tcPr>
          <w:p w14:paraId="04A4D302" w14:textId="77777777" w:rsidR="00000000" w:rsidRDefault="001A570A">
            <w:pPr>
              <w:rPr>
                <w:rFonts w:eastAsia="Times New Roman"/>
                <w:sz w:val="20"/>
                <w:szCs w:val="20"/>
              </w:rPr>
            </w:pPr>
          </w:p>
        </w:tc>
        <w:tc>
          <w:tcPr>
            <w:tcW w:w="5" w:type="pct"/>
            <w:vAlign w:val="center"/>
            <w:hideMark/>
          </w:tcPr>
          <w:p w14:paraId="423FABFF" w14:textId="77777777" w:rsidR="00000000" w:rsidRDefault="001A570A">
            <w:pPr>
              <w:rPr>
                <w:rFonts w:eastAsia="Times New Roman"/>
                <w:sz w:val="20"/>
                <w:szCs w:val="20"/>
              </w:rPr>
            </w:pPr>
          </w:p>
        </w:tc>
        <w:tc>
          <w:tcPr>
            <w:tcW w:w="26" w:type="pct"/>
            <w:vAlign w:val="center"/>
            <w:hideMark/>
          </w:tcPr>
          <w:p w14:paraId="1FB63F4A" w14:textId="77777777" w:rsidR="00000000" w:rsidRDefault="001A570A">
            <w:pPr>
              <w:rPr>
                <w:rFonts w:eastAsia="Times New Roman"/>
                <w:sz w:val="20"/>
                <w:szCs w:val="20"/>
              </w:rPr>
            </w:pPr>
          </w:p>
        </w:tc>
        <w:tc>
          <w:tcPr>
            <w:tcW w:w="5" w:type="pct"/>
            <w:vAlign w:val="center"/>
            <w:hideMark/>
          </w:tcPr>
          <w:p w14:paraId="2DA6B1B5" w14:textId="77777777" w:rsidR="00000000" w:rsidRDefault="001A570A">
            <w:pPr>
              <w:rPr>
                <w:rFonts w:eastAsia="Times New Roman"/>
                <w:sz w:val="20"/>
                <w:szCs w:val="20"/>
              </w:rPr>
            </w:pPr>
          </w:p>
        </w:tc>
        <w:tc>
          <w:tcPr>
            <w:tcW w:w="50" w:type="pct"/>
            <w:vAlign w:val="center"/>
            <w:hideMark/>
          </w:tcPr>
          <w:p w14:paraId="6EFC2C97" w14:textId="77777777" w:rsidR="00000000" w:rsidRDefault="001A570A">
            <w:pPr>
              <w:rPr>
                <w:rFonts w:eastAsia="Times New Roman"/>
                <w:sz w:val="20"/>
                <w:szCs w:val="20"/>
              </w:rPr>
            </w:pPr>
          </w:p>
        </w:tc>
        <w:tc>
          <w:tcPr>
            <w:tcW w:w="352" w:type="pct"/>
            <w:vAlign w:val="center"/>
            <w:hideMark/>
          </w:tcPr>
          <w:p w14:paraId="5B4793C4" w14:textId="77777777" w:rsidR="00000000" w:rsidRDefault="001A570A">
            <w:pPr>
              <w:rPr>
                <w:rFonts w:eastAsia="Times New Roman"/>
                <w:sz w:val="20"/>
                <w:szCs w:val="20"/>
              </w:rPr>
            </w:pPr>
          </w:p>
        </w:tc>
        <w:tc>
          <w:tcPr>
            <w:tcW w:w="5" w:type="pct"/>
            <w:vAlign w:val="center"/>
            <w:hideMark/>
          </w:tcPr>
          <w:p w14:paraId="63FCAA3B" w14:textId="77777777" w:rsidR="00000000" w:rsidRDefault="001A570A">
            <w:pPr>
              <w:rPr>
                <w:rFonts w:eastAsia="Times New Roman"/>
                <w:sz w:val="20"/>
                <w:szCs w:val="20"/>
              </w:rPr>
            </w:pPr>
          </w:p>
        </w:tc>
      </w:tr>
      <w:tr w:rsidR="00000000" w14:paraId="7A4CAEBB" w14:textId="77777777">
        <w:trPr>
          <w:divId w:val="2059744168"/>
        </w:trPr>
        <w:tc>
          <w:tcPr>
            <w:tcW w:w="0" w:type="auto"/>
            <w:gridSpan w:val="3"/>
            <w:tcMar>
              <w:top w:w="0" w:type="dxa"/>
              <w:left w:w="20" w:type="dxa"/>
              <w:bottom w:w="0" w:type="dxa"/>
              <w:right w:w="20" w:type="dxa"/>
            </w:tcMar>
            <w:vAlign w:val="center"/>
            <w:hideMark/>
          </w:tcPr>
          <w:p w14:paraId="0DF395A5" w14:textId="77777777" w:rsidR="00000000" w:rsidRDefault="001A570A">
            <w:pPr>
              <w:rPr>
                <w:rFonts w:eastAsia="Times New Roman"/>
                <w:sz w:val="20"/>
                <w:szCs w:val="20"/>
              </w:rPr>
            </w:pPr>
          </w:p>
        </w:tc>
        <w:tc>
          <w:tcPr>
            <w:tcW w:w="0" w:type="auto"/>
            <w:gridSpan w:val="15"/>
            <w:tcMar>
              <w:top w:w="30" w:type="dxa"/>
              <w:left w:w="20" w:type="dxa"/>
              <w:bottom w:w="30" w:type="dxa"/>
              <w:right w:w="20" w:type="dxa"/>
            </w:tcMar>
            <w:vAlign w:val="bottom"/>
            <w:hideMark/>
          </w:tcPr>
          <w:p w14:paraId="54C08F77"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6ED5C757" w14:textId="77777777">
        <w:trPr>
          <w:divId w:val="2059744168"/>
        </w:trPr>
        <w:tc>
          <w:tcPr>
            <w:tcW w:w="0" w:type="auto"/>
            <w:gridSpan w:val="3"/>
            <w:tcMar>
              <w:top w:w="30" w:type="dxa"/>
              <w:left w:w="20" w:type="dxa"/>
              <w:bottom w:w="30" w:type="dxa"/>
              <w:right w:w="20" w:type="dxa"/>
            </w:tcMar>
            <w:vAlign w:val="bottom"/>
            <w:hideMark/>
          </w:tcPr>
          <w:p w14:paraId="6AD8285A" w14:textId="77777777" w:rsidR="00000000" w:rsidRDefault="001A570A">
            <w:pPr>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0190FE9C"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3284482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D15485" w14:textId="77777777" w:rsidR="00000000" w:rsidRDefault="001A570A">
            <w:pPr>
              <w:jc w:val="center"/>
              <w:rPr>
                <w:rFonts w:eastAsia="Times New Roman"/>
              </w:rPr>
            </w:pPr>
            <w:r>
              <w:rPr>
                <w:rFonts w:eastAsia="Times New Roman"/>
                <w:b/>
                <w:bCs/>
                <w:color w:val="000000"/>
                <w:sz w:val="16"/>
                <w:szCs w:val="16"/>
              </w:rPr>
              <w:t>June 29, 2018</w:t>
            </w:r>
          </w:p>
        </w:tc>
        <w:tc>
          <w:tcPr>
            <w:tcW w:w="0" w:type="auto"/>
            <w:gridSpan w:val="3"/>
            <w:tcBorders>
              <w:top w:val="single" w:sz="8" w:space="0" w:color="000000"/>
            </w:tcBorders>
            <w:tcMar>
              <w:top w:w="0" w:type="dxa"/>
              <w:left w:w="20" w:type="dxa"/>
              <w:bottom w:w="0" w:type="dxa"/>
              <w:right w:w="20" w:type="dxa"/>
            </w:tcMar>
            <w:vAlign w:val="center"/>
            <w:hideMark/>
          </w:tcPr>
          <w:p w14:paraId="54A4287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B0B9D4"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301EA139" w14:textId="77777777">
        <w:trPr>
          <w:divId w:val="2059744168"/>
        </w:trPr>
        <w:tc>
          <w:tcPr>
            <w:tcW w:w="0" w:type="auto"/>
            <w:gridSpan w:val="3"/>
            <w:vAlign w:val="center"/>
            <w:hideMark/>
          </w:tcPr>
          <w:p w14:paraId="1A4D3FD5" w14:textId="77777777" w:rsidR="00000000" w:rsidRDefault="001A570A">
            <w:pPr>
              <w:jc w:val="center"/>
              <w:rPr>
                <w:rFonts w:eastAsia="Times New Roman"/>
              </w:rPr>
            </w:pPr>
          </w:p>
        </w:tc>
        <w:tc>
          <w:tcPr>
            <w:tcW w:w="0" w:type="auto"/>
            <w:gridSpan w:val="3"/>
            <w:vAlign w:val="center"/>
            <w:hideMark/>
          </w:tcPr>
          <w:p w14:paraId="20967F29" w14:textId="77777777" w:rsidR="00000000" w:rsidRDefault="001A570A">
            <w:pPr>
              <w:rPr>
                <w:rFonts w:eastAsia="Times New Roman"/>
                <w:sz w:val="20"/>
                <w:szCs w:val="20"/>
              </w:rPr>
            </w:pPr>
          </w:p>
        </w:tc>
        <w:tc>
          <w:tcPr>
            <w:tcW w:w="0" w:type="auto"/>
            <w:vAlign w:val="center"/>
            <w:hideMark/>
          </w:tcPr>
          <w:p w14:paraId="489904E3" w14:textId="77777777" w:rsidR="00000000" w:rsidRDefault="001A570A">
            <w:pPr>
              <w:rPr>
                <w:rFonts w:eastAsia="Times New Roman"/>
                <w:sz w:val="20"/>
                <w:szCs w:val="20"/>
              </w:rPr>
            </w:pPr>
          </w:p>
        </w:tc>
        <w:tc>
          <w:tcPr>
            <w:tcW w:w="0" w:type="auto"/>
            <w:vAlign w:val="center"/>
            <w:hideMark/>
          </w:tcPr>
          <w:p w14:paraId="315D4CC3" w14:textId="77777777" w:rsidR="00000000" w:rsidRDefault="001A570A">
            <w:pPr>
              <w:rPr>
                <w:rFonts w:eastAsia="Times New Roman"/>
                <w:sz w:val="20"/>
                <w:szCs w:val="20"/>
              </w:rPr>
            </w:pPr>
          </w:p>
        </w:tc>
        <w:tc>
          <w:tcPr>
            <w:tcW w:w="0" w:type="auto"/>
            <w:vAlign w:val="center"/>
            <w:hideMark/>
          </w:tcPr>
          <w:p w14:paraId="63569593" w14:textId="77777777" w:rsidR="00000000" w:rsidRDefault="001A570A">
            <w:pPr>
              <w:rPr>
                <w:rFonts w:eastAsia="Times New Roman"/>
                <w:sz w:val="20"/>
                <w:szCs w:val="20"/>
              </w:rPr>
            </w:pPr>
          </w:p>
        </w:tc>
        <w:tc>
          <w:tcPr>
            <w:tcW w:w="0" w:type="auto"/>
            <w:vAlign w:val="center"/>
            <w:hideMark/>
          </w:tcPr>
          <w:p w14:paraId="0BB52636" w14:textId="77777777" w:rsidR="00000000" w:rsidRDefault="001A570A">
            <w:pPr>
              <w:rPr>
                <w:rFonts w:eastAsia="Times New Roman"/>
                <w:sz w:val="20"/>
                <w:szCs w:val="20"/>
              </w:rPr>
            </w:pPr>
          </w:p>
        </w:tc>
        <w:tc>
          <w:tcPr>
            <w:tcW w:w="0" w:type="auto"/>
            <w:vAlign w:val="center"/>
            <w:hideMark/>
          </w:tcPr>
          <w:p w14:paraId="3F87981F" w14:textId="77777777" w:rsidR="00000000" w:rsidRDefault="001A570A">
            <w:pPr>
              <w:rPr>
                <w:rFonts w:eastAsia="Times New Roman"/>
                <w:sz w:val="20"/>
                <w:szCs w:val="20"/>
              </w:rPr>
            </w:pPr>
          </w:p>
        </w:tc>
        <w:tc>
          <w:tcPr>
            <w:tcW w:w="0" w:type="auto"/>
            <w:vAlign w:val="center"/>
            <w:hideMark/>
          </w:tcPr>
          <w:p w14:paraId="4FE3A112" w14:textId="77777777" w:rsidR="00000000" w:rsidRDefault="001A570A">
            <w:pPr>
              <w:rPr>
                <w:rFonts w:eastAsia="Times New Roman"/>
                <w:sz w:val="20"/>
                <w:szCs w:val="20"/>
              </w:rPr>
            </w:pPr>
          </w:p>
        </w:tc>
        <w:tc>
          <w:tcPr>
            <w:tcW w:w="0" w:type="auto"/>
            <w:vAlign w:val="center"/>
            <w:hideMark/>
          </w:tcPr>
          <w:p w14:paraId="6AA71823" w14:textId="77777777" w:rsidR="00000000" w:rsidRDefault="001A570A">
            <w:pPr>
              <w:rPr>
                <w:rFonts w:eastAsia="Times New Roman"/>
                <w:sz w:val="20"/>
                <w:szCs w:val="20"/>
              </w:rPr>
            </w:pPr>
          </w:p>
        </w:tc>
        <w:tc>
          <w:tcPr>
            <w:tcW w:w="0" w:type="auto"/>
            <w:vAlign w:val="center"/>
            <w:hideMark/>
          </w:tcPr>
          <w:p w14:paraId="2755E66F" w14:textId="77777777" w:rsidR="00000000" w:rsidRDefault="001A570A">
            <w:pPr>
              <w:rPr>
                <w:rFonts w:eastAsia="Times New Roman"/>
                <w:sz w:val="20"/>
                <w:szCs w:val="20"/>
              </w:rPr>
            </w:pPr>
          </w:p>
        </w:tc>
        <w:tc>
          <w:tcPr>
            <w:tcW w:w="0" w:type="auto"/>
            <w:vAlign w:val="center"/>
            <w:hideMark/>
          </w:tcPr>
          <w:p w14:paraId="2576037F" w14:textId="77777777" w:rsidR="00000000" w:rsidRDefault="001A570A">
            <w:pPr>
              <w:rPr>
                <w:rFonts w:eastAsia="Times New Roman"/>
                <w:sz w:val="20"/>
                <w:szCs w:val="20"/>
              </w:rPr>
            </w:pPr>
          </w:p>
        </w:tc>
        <w:tc>
          <w:tcPr>
            <w:tcW w:w="0" w:type="auto"/>
            <w:vAlign w:val="center"/>
            <w:hideMark/>
          </w:tcPr>
          <w:p w14:paraId="3B70EA71" w14:textId="77777777" w:rsidR="00000000" w:rsidRDefault="001A570A">
            <w:pPr>
              <w:rPr>
                <w:rFonts w:eastAsia="Times New Roman"/>
                <w:sz w:val="20"/>
                <w:szCs w:val="20"/>
              </w:rPr>
            </w:pPr>
          </w:p>
        </w:tc>
        <w:tc>
          <w:tcPr>
            <w:tcW w:w="0" w:type="auto"/>
            <w:vAlign w:val="center"/>
            <w:hideMark/>
          </w:tcPr>
          <w:p w14:paraId="75DEB994" w14:textId="77777777" w:rsidR="00000000" w:rsidRDefault="001A570A">
            <w:pPr>
              <w:rPr>
                <w:rFonts w:eastAsia="Times New Roman"/>
                <w:sz w:val="20"/>
                <w:szCs w:val="20"/>
              </w:rPr>
            </w:pPr>
          </w:p>
        </w:tc>
        <w:tc>
          <w:tcPr>
            <w:tcW w:w="0" w:type="auto"/>
            <w:vAlign w:val="center"/>
            <w:hideMark/>
          </w:tcPr>
          <w:p w14:paraId="7C825C5F" w14:textId="77777777" w:rsidR="00000000" w:rsidRDefault="001A570A">
            <w:pPr>
              <w:rPr>
                <w:rFonts w:eastAsia="Times New Roman"/>
                <w:sz w:val="20"/>
                <w:szCs w:val="20"/>
              </w:rPr>
            </w:pPr>
          </w:p>
        </w:tc>
      </w:tr>
      <w:tr w:rsidR="00000000" w14:paraId="196C2990" w14:textId="77777777">
        <w:trPr>
          <w:divId w:val="2059744168"/>
          <w:trHeight w:val="60"/>
        </w:trPr>
        <w:tc>
          <w:tcPr>
            <w:tcW w:w="0" w:type="auto"/>
            <w:gridSpan w:val="3"/>
            <w:tcMar>
              <w:top w:w="0" w:type="dxa"/>
              <w:left w:w="20" w:type="dxa"/>
              <w:bottom w:w="0" w:type="dxa"/>
              <w:right w:w="20" w:type="dxa"/>
            </w:tcMar>
            <w:vAlign w:val="center"/>
            <w:hideMark/>
          </w:tcPr>
          <w:p w14:paraId="221BD32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80A25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1E194C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15DC6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FB53F2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447C94" w14:textId="77777777" w:rsidR="00000000" w:rsidRDefault="001A570A">
            <w:pPr>
              <w:rPr>
                <w:rFonts w:eastAsia="Times New Roman"/>
                <w:sz w:val="20"/>
                <w:szCs w:val="20"/>
              </w:rPr>
            </w:pPr>
          </w:p>
        </w:tc>
      </w:tr>
      <w:tr w:rsidR="00000000" w14:paraId="44DE42AF" w14:textId="77777777">
        <w:trPr>
          <w:divId w:val="2059744168"/>
        </w:trPr>
        <w:tc>
          <w:tcPr>
            <w:tcW w:w="0" w:type="auto"/>
            <w:gridSpan w:val="3"/>
            <w:shd w:val="clear" w:color="auto" w:fill="CCEEFF"/>
            <w:tcMar>
              <w:top w:w="30" w:type="dxa"/>
              <w:left w:w="20" w:type="dxa"/>
              <w:bottom w:w="30" w:type="dxa"/>
              <w:right w:w="20" w:type="dxa"/>
            </w:tcMar>
            <w:hideMark/>
          </w:tcPr>
          <w:p w14:paraId="65832D16" w14:textId="77777777" w:rsidR="00000000" w:rsidRDefault="001A570A">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74659289"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3810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A2C6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37630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DF1965" w14:textId="77777777" w:rsidR="00000000" w:rsidRDefault="001A570A">
            <w:pPr>
              <w:rPr>
                <w:rFonts w:eastAsia="Times New Roman"/>
                <w:sz w:val="20"/>
                <w:szCs w:val="20"/>
              </w:rPr>
            </w:pPr>
          </w:p>
        </w:tc>
      </w:tr>
      <w:tr w:rsidR="00000000" w14:paraId="4B52F428" w14:textId="77777777">
        <w:trPr>
          <w:divId w:val="2059744168"/>
        </w:trPr>
        <w:tc>
          <w:tcPr>
            <w:tcW w:w="0" w:type="auto"/>
            <w:gridSpan w:val="3"/>
            <w:shd w:val="clear" w:color="auto" w:fill="FFFFFF"/>
            <w:tcMar>
              <w:top w:w="30" w:type="dxa"/>
              <w:left w:w="290" w:type="dxa"/>
              <w:bottom w:w="30" w:type="dxa"/>
              <w:right w:w="20" w:type="dxa"/>
            </w:tcMar>
            <w:hideMark/>
          </w:tcPr>
          <w:p w14:paraId="1DB10B51"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2C0BF0C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21C229" w14:textId="77777777" w:rsidR="00000000" w:rsidRDefault="001A570A">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672288F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E59E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FBE6C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D07345" w14:textId="77777777" w:rsidR="00000000" w:rsidRDefault="001A570A">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65E3135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9619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2DE04"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109BFD59" w14:textId="77777777" w:rsidR="00000000" w:rsidRDefault="001A570A">
            <w:pPr>
              <w:jc w:val="right"/>
              <w:rPr>
                <w:rFonts w:eastAsia="Times New Roman"/>
              </w:rPr>
            </w:pPr>
            <w:r>
              <w:rPr>
                <w:rFonts w:eastAsia="Times New Roman"/>
                <w:color w:val="000000"/>
                <w:sz w:val="20"/>
                <w:szCs w:val="20"/>
              </w:rPr>
              <w:t>%</w:t>
            </w:r>
          </w:p>
        </w:tc>
      </w:tr>
      <w:tr w:rsidR="00000000" w14:paraId="63AA80CB" w14:textId="77777777">
        <w:trPr>
          <w:divId w:val="2059744168"/>
        </w:trPr>
        <w:tc>
          <w:tcPr>
            <w:tcW w:w="0" w:type="auto"/>
            <w:gridSpan w:val="3"/>
            <w:shd w:val="clear" w:color="auto" w:fill="CCEEFF"/>
            <w:tcMar>
              <w:top w:w="30" w:type="dxa"/>
              <w:left w:w="290" w:type="dxa"/>
              <w:bottom w:w="30" w:type="dxa"/>
              <w:right w:w="20" w:type="dxa"/>
            </w:tcMar>
            <w:hideMark/>
          </w:tcPr>
          <w:p w14:paraId="486D7E8B"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2B9C766F" w14:textId="77777777" w:rsidR="00000000" w:rsidRDefault="001A570A">
            <w:pPr>
              <w:jc w:val="right"/>
              <w:rPr>
                <w:rFonts w:eastAsia="Times New Roman"/>
              </w:rPr>
            </w:pPr>
            <w:r>
              <w:rPr>
                <w:rFonts w:eastAsia="Times New Roman"/>
                <w:color w:val="000000"/>
                <w:sz w:val="20"/>
                <w:szCs w:val="20"/>
              </w:rPr>
              <w:t>3,711 </w:t>
            </w:r>
          </w:p>
        </w:tc>
        <w:tc>
          <w:tcPr>
            <w:tcW w:w="0" w:type="auto"/>
            <w:shd w:val="clear" w:color="auto" w:fill="CCEEFF"/>
            <w:tcMar>
              <w:top w:w="30" w:type="dxa"/>
              <w:left w:w="0" w:type="dxa"/>
              <w:bottom w:w="30" w:type="dxa"/>
              <w:right w:w="20" w:type="dxa"/>
            </w:tcMar>
            <w:vAlign w:val="bottom"/>
            <w:hideMark/>
          </w:tcPr>
          <w:p w14:paraId="2C78554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CF75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976F5" w14:textId="77777777" w:rsidR="00000000" w:rsidRDefault="001A570A">
            <w:pPr>
              <w:jc w:val="right"/>
              <w:rPr>
                <w:rFonts w:eastAsia="Times New Roman"/>
              </w:rPr>
            </w:pPr>
            <w:r>
              <w:rPr>
                <w:rFonts w:eastAsia="Times New Roman"/>
                <w:color w:val="000000"/>
                <w:sz w:val="20"/>
                <w:szCs w:val="20"/>
              </w:rPr>
              <w:t>3,294 </w:t>
            </w:r>
          </w:p>
        </w:tc>
        <w:tc>
          <w:tcPr>
            <w:tcW w:w="0" w:type="auto"/>
            <w:shd w:val="clear" w:color="auto" w:fill="CCEEFF"/>
            <w:tcMar>
              <w:top w:w="30" w:type="dxa"/>
              <w:left w:w="0" w:type="dxa"/>
              <w:bottom w:w="30" w:type="dxa"/>
              <w:right w:w="20" w:type="dxa"/>
            </w:tcMar>
            <w:vAlign w:val="bottom"/>
            <w:hideMark/>
          </w:tcPr>
          <w:p w14:paraId="2D35713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6220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9348F7"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C632C62" w14:textId="77777777" w:rsidR="00000000" w:rsidRDefault="001A570A">
            <w:pPr>
              <w:jc w:val="right"/>
              <w:rPr>
                <w:rFonts w:eastAsia="Times New Roman"/>
              </w:rPr>
            </w:pPr>
            <w:r>
              <w:rPr>
                <w:rFonts w:eastAsia="Times New Roman"/>
                <w:color w:val="000000"/>
                <w:sz w:val="20"/>
                <w:szCs w:val="20"/>
              </w:rPr>
              <w:t>%</w:t>
            </w:r>
          </w:p>
        </w:tc>
      </w:tr>
      <w:tr w:rsidR="00000000" w14:paraId="6CEDD514" w14:textId="77777777">
        <w:trPr>
          <w:divId w:val="2059744168"/>
        </w:trPr>
        <w:tc>
          <w:tcPr>
            <w:tcW w:w="0" w:type="auto"/>
            <w:gridSpan w:val="3"/>
            <w:shd w:val="clear" w:color="auto" w:fill="FFFFFF"/>
            <w:tcMar>
              <w:top w:w="30" w:type="dxa"/>
              <w:left w:w="290" w:type="dxa"/>
              <w:bottom w:w="30" w:type="dxa"/>
              <w:right w:w="20" w:type="dxa"/>
            </w:tcMar>
            <w:hideMark/>
          </w:tcPr>
          <w:p w14:paraId="1F1BD9BE"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0A7D1A61" w14:textId="77777777" w:rsidR="00000000" w:rsidRDefault="001A570A">
            <w:pPr>
              <w:jc w:val="right"/>
              <w:rPr>
                <w:rFonts w:eastAsia="Times New Roman"/>
              </w:rPr>
            </w:pPr>
            <w:r>
              <w:rPr>
                <w:rFonts w:eastAsia="Times New Roman"/>
                <w:color w:val="000000"/>
                <w:sz w:val="20"/>
                <w:szCs w:val="20"/>
              </w:rPr>
              <w:t>2,208 </w:t>
            </w:r>
          </w:p>
        </w:tc>
        <w:tc>
          <w:tcPr>
            <w:tcW w:w="0" w:type="auto"/>
            <w:shd w:val="clear" w:color="auto" w:fill="FFFFFF"/>
            <w:tcMar>
              <w:top w:w="30" w:type="dxa"/>
              <w:left w:w="0" w:type="dxa"/>
              <w:bottom w:w="30" w:type="dxa"/>
              <w:right w:w="20" w:type="dxa"/>
            </w:tcMar>
            <w:vAlign w:val="bottom"/>
            <w:hideMark/>
          </w:tcPr>
          <w:p w14:paraId="7C69B23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78E1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2467F" w14:textId="77777777" w:rsidR="00000000" w:rsidRDefault="001A570A">
            <w:pPr>
              <w:jc w:val="right"/>
              <w:rPr>
                <w:rFonts w:eastAsia="Times New Roman"/>
              </w:rPr>
            </w:pPr>
            <w:r>
              <w:rPr>
                <w:rFonts w:eastAsia="Times New Roman"/>
                <w:color w:val="000000"/>
                <w:sz w:val="20"/>
                <w:szCs w:val="20"/>
              </w:rPr>
              <w:t>2,015 </w:t>
            </w:r>
          </w:p>
        </w:tc>
        <w:tc>
          <w:tcPr>
            <w:tcW w:w="0" w:type="auto"/>
            <w:shd w:val="clear" w:color="auto" w:fill="FFFFFF"/>
            <w:tcMar>
              <w:top w:w="30" w:type="dxa"/>
              <w:left w:w="0" w:type="dxa"/>
              <w:bottom w:w="30" w:type="dxa"/>
              <w:right w:w="20" w:type="dxa"/>
            </w:tcMar>
            <w:vAlign w:val="bottom"/>
            <w:hideMark/>
          </w:tcPr>
          <w:p w14:paraId="049736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8673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C1B1F"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6BE936F2" w14:textId="77777777" w:rsidR="00000000" w:rsidRDefault="001A570A">
            <w:pPr>
              <w:jc w:val="right"/>
              <w:rPr>
                <w:rFonts w:eastAsia="Times New Roman"/>
              </w:rPr>
            </w:pPr>
            <w:r>
              <w:rPr>
                <w:rFonts w:eastAsia="Times New Roman"/>
                <w:color w:val="000000"/>
                <w:sz w:val="20"/>
                <w:szCs w:val="20"/>
              </w:rPr>
              <w:t>%</w:t>
            </w:r>
          </w:p>
        </w:tc>
      </w:tr>
      <w:tr w:rsidR="00000000" w14:paraId="74A203AC" w14:textId="77777777">
        <w:trPr>
          <w:divId w:val="2059744168"/>
        </w:trPr>
        <w:tc>
          <w:tcPr>
            <w:tcW w:w="0" w:type="auto"/>
            <w:gridSpan w:val="3"/>
            <w:shd w:val="clear" w:color="auto" w:fill="CCEEFF"/>
            <w:tcMar>
              <w:top w:w="30" w:type="dxa"/>
              <w:left w:w="260" w:type="dxa"/>
              <w:bottom w:w="30" w:type="dxa"/>
              <w:right w:w="20" w:type="dxa"/>
            </w:tcMar>
            <w:hideMark/>
          </w:tcPr>
          <w:p w14:paraId="7B144125" w14:textId="77777777" w:rsidR="00000000" w:rsidRDefault="001A570A">
            <w:pPr>
              <w:rPr>
                <w:rFonts w:eastAsia="Times New Roman"/>
              </w:rPr>
            </w:pPr>
            <w:r>
              <w:rPr>
                <w:rFonts w:eastAsia="Times New Roman"/>
                <w:color w:val="000000"/>
                <w:sz w:val="20"/>
                <w:szCs w:val="20"/>
              </w:rPr>
              <w:t> Aviation Systems</w:t>
            </w:r>
          </w:p>
        </w:tc>
        <w:tc>
          <w:tcPr>
            <w:tcW w:w="0" w:type="auto"/>
            <w:gridSpan w:val="2"/>
            <w:shd w:val="clear" w:color="auto" w:fill="CCEEFF"/>
            <w:tcMar>
              <w:top w:w="30" w:type="dxa"/>
              <w:left w:w="20" w:type="dxa"/>
              <w:bottom w:w="30" w:type="dxa"/>
              <w:right w:w="0" w:type="dxa"/>
            </w:tcMar>
            <w:vAlign w:val="bottom"/>
            <w:hideMark/>
          </w:tcPr>
          <w:p w14:paraId="53142366" w14:textId="77777777" w:rsidR="00000000" w:rsidRDefault="001A570A">
            <w:pPr>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14:paraId="469EDCB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732F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BA6A84" w14:textId="77777777" w:rsidR="00000000" w:rsidRDefault="001A570A">
            <w:pPr>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14:paraId="22954CC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F4D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98831"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3FAB942" w14:textId="77777777" w:rsidR="00000000" w:rsidRDefault="001A570A">
            <w:pPr>
              <w:jc w:val="right"/>
              <w:rPr>
                <w:rFonts w:eastAsia="Times New Roman"/>
              </w:rPr>
            </w:pPr>
            <w:r>
              <w:rPr>
                <w:rFonts w:eastAsia="Times New Roman"/>
                <w:color w:val="000000"/>
                <w:sz w:val="20"/>
                <w:szCs w:val="20"/>
              </w:rPr>
              <w:t>%</w:t>
            </w:r>
          </w:p>
        </w:tc>
      </w:tr>
      <w:tr w:rsidR="00000000" w14:paraId="548E6863" w14:textId="77777777">
        <w:trPr>
          <w:divId w:val="2059744168"/>
        </w:trPr>
        <w:tc>
          <w:tcPr>
            <w:tcW w:w="0" w:type="auto"/>
            <w:gridSpan w:val="3"/>
            <w:shd w:val="clear" w:color="auto" w:fill="FFFFFF"/>
            <w:tcMar>
              <w:top w:w="30" w:type="dxa"/>
              <w:left w:w="290" w:type="dxa"/>
              <w:bottom w:w="30" w:type="dxa"/>
              <w:right w:w="20" w:type="dxa"/>
            </w:tcMar>
            <w:hideMark/>
          </w:tcPr>
          <w:p w14:paraId="0673D081" w14:textId="77777777" w:rsidR="00000000" w:rsidRDefault="001A570A">
            <w:pPr>
              <w:rPr>
                <w:rFonts w:eastAsia="Times New Roman"/>
              </w:rPr>
            </w:pPr>
            <w:r>
              <w:rPr>
                <w:rFonts w:eastAsia="Times New Roman"/>
                <w:color w:val="000000"/>
                <w:sz w:val="20"/>
                <w:szCs w:val="20"/>
              </w:rPr>
              <w:t>Other non-reportable business segments</w:t>
            </w:r>
          </w:p>
        </w:tc>
        <w:tc>
          <w:tcPr>
            <w:tcW w:w="0" w:type="auto"/>
            <w:gridSpan w:val="2"/>
            <w:shd w:val="clear" w:color="auto" w:fill="FFFFFF"/>
            <w:tcMar>
              <w:top w:w="30" w:type="dxa"/>
              <w:left w:w="20" w:type="dxa"/>
              <w:bottom w:w="30" w:type="dxa"/>
              <w:right w:w="0" w:type="dxa"/>
            </w:tcMar>
            <w:vAlign w:val="bottom"/>
            <w:hideMark/>
          </w:tcPr>
          <w:p w14:paraId="24129173" w14:textId="77777777" w:rsidR="00000000" w:rsidRDefault="001A570A">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14:paraId="77629F2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156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D65AB9" w14:textId="77777777" w:rsidR="00000000" w:rsidRDefault="001A570A">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14:paraId="0B6328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B400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4DABD"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33F83823" w14:textId="77777777" w:rsidR="00000000" w:rsidRDefault="001A570A">
            <w:pPr>
              <w:jc w:val="right"/>
              <w:rPr>
                <w:rFonts w:eastAsia="Times New Roman"/>
              </w:rPr>
            </w:pPr>
            <w:r>
              <w:rPr>
                <w:rFonts w:eastAsia="Times New Roman"/>
                <w:color w:val="000000"/>
                <w:sz w:val="20"/>
                <w:szCs w:val="20"/>
              </w:rPr>
              <w:t>%</w:t>
            </w:r>
          </w:p>
        </w:tc>
      </w:tr>
      <w:tr w:rsidR="00000000" w14:paraId="65595968" w14:textId="77777777">
        <w:trPr>
          <w:divId w:val="2059744168"/>
        </w:trPr>
        <w:tc>
          <w:tcPr>
            <w:tcW w:w="0" w:type="auto"/>
            <w:gridSpan w:val="3"/>
            <w:shd w:val="clear" w:color="auto" w:fill="CCEEFF"/>
            <w:tcMar>
              <w:top w:w="30" w:type="dxa"/>
              <w:left w:w="260" w:type="dxa"/>
              <w:bottom w:w="30" w:type="dxa"/>
              <w:right w:w="20" w:type="dxa"/>
            </w:tcMar>
            <w:hideMark/>
          </w:tcPr>
          <w:p w14:paraId="7647775A" w14:textId="77777777" w:rsidR="00000000" w:rsidRDefault="001A570A">
            <w:pPr>
              <w:rPr>
                <w:rFonts w:eastAsia="Times New Roman"/>
              </w:rPr>
            </w:pPr>
            <w:r>
              <w:rPr>
                <w:rFonts w:eastAsia="Times New Roman"/>
                <w:color w:val="000000"/>
                <w:sz w:val="20"/>
                <w:szCs w:val="20"/>
              </w:rPr>
              <w:t xml:space="preserve"> Corporate eliminations </w:t>
            </w:r>
          </w:p>
        </w:tc>
        <w:tc>
          <w:tcPr>
            <w:tcW w:w="0" w:type="auto"/>
            <w:gridSpan w:val="2"/>
            <w:shd w:val="clear" w:color="auto" w:fill="CCEEFF"/>
            <w:tcMar>
              <w:top w:w="30" w:type="dxa"/>
              <w:left w:w="20" w:type="dxa"/>
              <w:bottom w:w="30" w:type="dxa"/>
              <w:right w:w="0" w:type="dxa"/>
            </w:tcMar>
            <w:vAlign w:val="bottom"/>
            <w:hideMark/>
          </w:tcPr>
          <w:p w14:paraId="2EBAAC49"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4A7038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BA16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BF3A9"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631F95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E9A6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785C4" w14:textId="77777777" w:rsidR="00000000" w:rsidRDefault="001A570A">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14:paraId="24838A32" w14:textId="77777777" w:rsidR="00000000" w:rsidRDefault="001A570A">
            <w:pPr>
              <w:jc w:val="right"/>
              <w:rPr>
                <w:rFonts w:eastAsia="Times New Roman"/>
              </w:rPr>
            </w:pPr>
            <w:r>
              <w:rPr>
                <w:rFonts w:eastAsia="Times New Roman"/>
                <w:color w:val="000000"/>
                <w:sz w:val="20"/>
                <w:szCs w:val="20"/>
              </w:rPr>
              <w:t>%</w:t>
            </w:r>
          </w:p>
        </w:tc>
      </w:tr>
      <w:tr w:rsidR="00000000" w14:paraId="6F1DE1F1" w14:textId="77777777">
        <w:trPr>
          <w:divId w:val="2059744168"/>
        </w:trPr>
        <w:tc>
          <w:tcPr>
            <w:tcW w:w="0" w:type="auto"/>
            <w:gridSpan w:val="3"/>
            <w:shd w:val="clear" w:color="auto" w:fill="FFFFFF"/>
            <w:tcMar>
              <w:top w:w="30" w:type="dxa"/>
              <w:left w:w="20" w:type="dxa"/>
              <w:bottom w:w="30" w:type="dxa"/>
              <w:right w:w="20" w:type="dxa"/>
            </w:tcMar>
            <w:hideMark/>
          </w:tcPr>
          <w:p w14:paraId="2FC7E24B" w14:textId="77777777" w:rsidR="00000000" w:rsidRDefault="001A570A">
            <w:pPr>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412639" w14:textId="77777777" w:rsidR="00000000" w:rsidRDefault="001A570A">
            <w:pPr>
              <w:jc w:val="right"/>
              <w:rPr>
                <w:rFonts w:eastAsia="Times New Roman"/>
              </w:rPr>
            </w:pPr>
            <w:r>
              <w:rPr>
                <w:rFonts w:eastAsia="Times New Roman"/>
                <w:color w:val="000000"/>
                <w:sz w:val="20"/>
                <w:szCs w:val="20"/>
              </w:rPr>
              <w:t>6,801 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641D6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95B0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B4F3A2" w14:textId="77777777" w:rsidR="00000000" w:rsidRDefault="001A570A">
            <w:pPr>
              <w:jc w:val="right"/>
              <w:rPr>
                <w:rFonts w:eastAsia="Times New Roman"/>
              </w:rPr>
            </w:pPr>
            <w:r>
              <w:rPr>
                <w:rFonts w:eastAsia="Times New Roman"/>
                <w:color w:val="000000"/>
                <w:sz w:val="20"/>
                <w:szCs w:val="20"/>
              </w:rPr>
              <w:t>6,168 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F33F3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D88C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646E4"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57DA5C90" w14:textId="77777777" w:rsidR="00000000" w:rsidRDefault="001A570A">
            <w:pPr>
              <w:jc w:val="right"/>
              <w:rPr>
                <w:rFonts w:eastAsia="Times New Roman"/>
              </w:rPr>
            </w:pPr>
            <w:r>
              <w:rPr>
                <w:rFonts w:eastAsia="Times New Roman"/>
                <w:color w:val="000000"/>
                <w:sz w:val="20"/>
                <w:szCs w:val="20"/>
              </w:rPr>
              <w:t>%</w:t>
            </w:r>
          </w:p>
        </w:tc>
      </w:tr>
      <w:tr w:rsidR="00000000" w14:paraId="41DC3E87" w14:textId="77777777">
        <w:trPr>
          <w:divId w:val="2059744168"/>
        </w:trPr>
        <w:tc>
          <w:tcPr>
            <w:tcW w:w="0" w:type="auto"/>
            <w:gridSpan w:val="3"/>
            <w:shd w:val="clear" w:color="auto" w:fill="CCEEFF"/>
            <w:tcMar>
              <w:top w:w="30" w:type="dxa"/>
              <w:left w:w="20" w:type="dxa"/>
              <w:bottom w:w="30" w:type="dxa"/>
              <w:right w:w="20" w:type="dxa"/>
            </w:tcMar>
            <w:hideMark/>
          </w:tcPr>
          <w:p w14:paraId="6871CE63" w14:textId="77777777" w:rsidR="00000000" w:rsidRDefault="001A570A">
            <w:pPr>
              <w:rPr>
                <w:rFonts w:eastAsia="Times New Roman"/>
              </w:rPr>
            </w:pPr>
            <w:r>
              <w:rPr>
                <w:rFonts w:eastAsia="Times New Roman"/>
                <w:color w:val="000000"/>
                <w:sz w:val="20"/>
                <w:szCs w:val="20"/>
              </w:rPr>
              <w:t>Total cost of product sales and services</w:t>
            </w:r>
          </w:p>
        </w:tc>
        <w:tc>
          <w:tcPr>
            <w:tcW w:w="0" w:type="auto"/>
            <w:gridSpan w:val="2"/>
            <w:shd w:val="clear" w:color="auto" w:fill="CCEEFF"/>
            <w:tcMar>
              <w:top w:w="30" w:type="dxa"/>
              <w:left w:w="20" w:type="dxa"/>
              <w:bottom w:w="30" w:type="dxa"/>
              <w:right w:w="0" w:type="dxa"/>
            </w:tcMar>
            <w:vAlign w:val="bottom"/>
            <w:hideMark/>
          </w:tcPr>
          <w:p w14:paraId="7107A545" w14:textId="77777777" w:rsidR="00000000" w:rsidRDefault="001A570A">
            <w:pPr>
              <w:jc w:val="right"/>
              <w:rPr>
                <w:rFonts w:eastAsia="Times New Roman"/>
              </w:rPr>
            </w:pPr>
            <w:r>
              <w:rPr>
                <w:rFonts w:eastAsia="Times New Roman"/>
                <w:color w:val="000000"/>
                <w:sz w:val="20"/>
                <w:szCs w:val="20"/>
              </w:rPr>
              <w:t>(4,467)</w:t>
            </w:r>
          </w:p>
        </w:tc>
        <w:tc>
          <w:tcPr>
            <w:tcW w:w="0" w:type="auto"/>
            <w:shd w:val="clear" w:color="auto" w:fill="CCEEFF"/>
            <w:tcMar>
              <w:top w:w="30" w:type="dxa"/>
              <w:left w:w="0" w:type="dxa"/>
              <w:bottom w:w="30" w:type="dxa"/>
              <w:right w:w="20" w:type="dxa"/>
            </w:tcMar>
            <w:vAlign w:val="bottom"/>
            <w:hideMark/>
          </w:tcPr>
          <w:p w14:paraId="4D5C4B3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D6BD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DF1D87" w14:textId="77777777" w:rsidR="00000000" w:rsidRDefault="001A570A">
            <w:pPr>
              <w:jc w:val="right"/>
              <w:rPr>
                <w:rFonts w:eastAsia="Times New Roman"/>
              </w:rPr>
            </w:pPr>
            <w:r>
              <w:rPr>
                <w:rFonts w:eastAsia="Times New Roman"/>
                <w:color w:val="000000"/>
                <w:sz w:val="20"/>
                <w:szCs w:val="20"/>
              </w:rPr>
              <w:t>(4,066)</w:t>
            </w:r>
          </w:p>
        </w:tc>
        <w:tc>
          <w:tcPr>
            <w:tcW w:w="0" w:type="auto"/>
            <w:shd w:val="clear" w:color="auto" w:fill="CCEEFF"/>
            <w:tcMar>
              <w:top w:w="30" w:type="dxa"/>
              <w:left w:w="0" w:type="dxa"/>
              <w:bottom w:w="30" w:type="dxa"/>
              <w:right w:w="20" w:type="dxa"/>
            </w:tcMar>
            <w:vAlign w:val="bottom"/>
            <w:hideMark/>
          </w:tcPr>
          <w:p w14:paraId="1B7C98A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881D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9968F8"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0D5CF2D3" w14:textId="77777777" w:rsidR="00000000" w:rsidRDefault="001A570A">
            <w:pPr>
              <w:jc w:val="right"/>
              <w:rPr>
                <w:rFonts w:eastAsia="Times New Roman"/>
              </w:rPr>
            </w:pPr>
            <w:r>
              <w:rPr>
                <w:rFonts w:eastAsia="Times New Roman"/>
                <w:color w:val="000000"/>
                <w:sz w:val="20"/>
                <w:szCs w:val="20"/>
              </w:rPr>
              <w:t>%</w:t>
            </w:r>
          </w:p>
        </w:tc>
      </w:tr>
      <w:tr w:rsidR="00000000" w14:paraId="5B73B461" w14:textId="77777777">
        <w:trPr>
          <w:divId w:val="2059744168"/>
        </w:trPr>
        <w:tc>
          <w:tcPr>
            <w:tcW w:w="0" w:type="auto"/>
            <w:gridSpan w:val="3"/>
            <w:shd w:val="clear" w:color="auto" w:fill="FFFFFF"/>
            <w:tcMar>
              <w:top w:w="30" w:type="dxa"/>
              <w:left w:w="155" w:type="dxa"/>
              <w:bottom w:w="30" w:type="dxa"/>
              <w:right w:w="20" w:type="dxa"/>
            </w:tcMar>
            <w:hideMark/>
          </w:tcPr>
          <w:p w14:paraId="39578B86"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6E905C48" w14:textId="77777777" w:rsidR="00000000" w:rsidRDefault="001A570A">
            <w:pPr>
              <w:jc w:val="right"/>
              <w:rPr>
                <w:rFonts w:eastAsia="Times New Roman"/>
              </w:rPr>
            </w:pPr>
            <w:r>
              <w:rPr>
                <w:rFonts w:eastAsia="Times New Roman"/>
                <w:i/>
                <w:iCs/>
                <w:color w:val="000000"/>
                <w:sz w:val="20"/>
                <w:szCs w:val="20"/>
              </w:rPr>
              <w:t>66 </w:t>
            </w:r>
          </w:p>
        </w:tc>
        <w:tc>
          <w:tcPr>
            <w:tcW w:w="0" w:type="auto"/>
            <w:shd w:val="clear" w:color="auto" w:fill="FFFFFF"/>
            <w:tcMar>
              <w:top w:w="30" w:type="dxa"/>
              <w:left w:w="0" w:type="dxa"/>
              <w:bottom w:w="30" w:type="dxa"/>
              <w:right w:w="20" w:type="dxa"/>
            </w:tcMar>
            <w:vAlign w:val="bottom"/>
            <w:hideMark/>
          </w:tcPr>
          <w:p w14:paraId="333136B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20D9874"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9E388F" w14:textId="77777777" w:rsidR="00000000" w:rsidRDefault="001A570A">
            <w:pPr>
              <w:jc w:val="right"/>
              <w:rPr>
                <w:rFonts w:eastAsia="Times New Roman"/>
              </w:rPr>
            </w:pPr>
            <w:r>
              <w:rPr>
                <w:rFonts w:eastAsia="Times New Roman"/>
                <w:i/>
                <w:iCs/>
                <w:color w:val="000000"/>
                <w:sz w:val="20"/>
                <w:szCs w:val="20"/>
              </w:rPr>
              <w:t>66 </w:t>
            </w:r>
          </w:p>
        </w:tc>
        <w:tc>
          <w:tcPr>
            <w:tcW w:w="0" w:type="auto"/>
            <w:shd w:val="clear" w:color="auto" w:fill="FFFFFF"/>
            <w:tcMar>
              <w:top w:w="30" w:type="dxa"/>
              <w:left w:w="0" w:type="dxa"/>
              <w:bottom w:w="30" w:type="dxa"/>
              <w:right w:w="20" w:type="dxa"/>
            </w:tcMar>
            <w:vAlign w:val="bottom"/>
            <w:hideMark/>
          </w:tcPr>
          <w:p w14:paraId="76ECBC69"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04FF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09F15" w14:textId="77777777" w:rsidR="00000000" w:rsidRDefault="001A570A">
            <w:pPr>
              <w:rPr>
                <w:rFonts w:eastAsia="Times New Roman"/>
                <w:sz w:val="20"/>
                <w:szCs w:val="20"/>
              </w:rPr>
            </w:pPr>
          </w:p>
        </w:tc>
      </w:tr>
      <w:tr w:rsidR="00000000" w14:paraId="7FE164EC" w14:textId="77777777">
        <w:trPr>
          <w:divId w:val="2059744168"/>
        </w:trPr>
        <w:tc>
          <w:tcPr>
            <w:tcW w:w="0" w:type="auto"/>
            <w:gridSpan w:val="3"/>
            <w:shd w:val="clear" w:color="auto" w:fill="CCEEFF"/>
            <w:tcMar>
              <w:top w:w="30" w:type="dxa"/>
              <w:left w:w="20" w:type="dxa"/>
              <w:bottom w:w="30" w:type="dxa"/>
              <w:right w:w="20" w:type="dxa"/>
            </w:tcMar>
            <w:hideMark/>
          </w:tcPr>
          <w:p w14:paraId="00DBDF95" w14:textId="77777777" w:rsidR="00000000" w:rsidRDefault="001A570A">
            <w:pPr>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1D11A7" w14:textId="77777777" w:rsidR="00000000" w:rsidRDefault="001A570A">
            <w:pPr>
              <w:jc w:val="right"/>
              <w:rPr>
                <w:rFonts w:eastAsia="Times New Roman"/>
              </w:rPr>
            </w:pPr>
            <w:r>
              <w:rPr>
                <w:rFonts w:eastAsia="Times New Roman"/>
                <w:color w:val="000000"/>
                <w:sz w:val="20"/>
                <w:szCs w:val="20"/>
              </w:rPr>
              <w:t>2,334 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3AE1D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63CC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737D7" w14:textId="77777777" w:rsidR="00000000" w:rsidRDefault="001A570A">
            <w:pPr>
              <w:jc w:val="right"/>
              <w:rPr>
                <w:rFonts w:eastAsia="Times New Roman"/>
              </w:rPr>
            </w:pPr>
            <w:r>
              <w:rPr>
                <w:rFonts w:eastAsia="Times New Roman"/>
                <w:color w:val="000000"/>
                <w:sz w:val="20"/>
                <w:szCs w:val="20"/>
              </w:rPr>
              <w:t>2,102 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5E71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FD2E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A7E19"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08455EE" w14:textId="77777777" w:rsidR="00000000" w:rsidRDefault="001A570A">
            <w:pPr>
              <w:jc w:val="right"/>
              <w:rPr>
                <w:rFonts w:eastAsia="Times New Roman"/>
              </w:rPr>
            </w:pPr>
            <w:r>
              <w:rPr>
                <w:rFonts w:eastAsia="Times New Roman"/>
                <w:color w:val="000000"/>
                <w:sz w:val="20"/>
                <w:szCs w:val="20"/>
              </w:rPr>
              <w:t>%</w:t>
            </w:r>
          </w:p>
        </w:tc>
      </w:tr>
      <w:tr w:rsidR="00000000" w14:paraId="0AC70931" w14:textId="77777777">
        <w:trPr>
          <w:divId w:val="2059744168"/>
        </w:trPr>
        <w:tc>
          <w:tcPr>
            <w:tcW w:w="0" w:type="auto"/>
            <w:gridSpan w:val="3"/>
            <w:shd w:val="clear" w:color="auto" w:fill="FFFFFF"/>
            <w:tcMar>
              <w:top w:w="30" w:type="dxa"/>
              <w:left w:w="155" w:type="dxa"/>
              <w:bottom w:w="30" w:type="dxa"/>
              <w:right w:w="20" w:type="dxa"/>
            </w:tcMar>
            <w:hideMark/>
          </w:tcPr>
          <w:p w14:paraId="04E9AD4C"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13A9DDF5" w14:textId="77777777" w:rsidR="00000000" w:rsidRDefault="001A570A">
            <w:pPr>
              <w:jc w:val="right"/>
              <w:rPr>
                <w:rFonts w:eastAsia="Times New Roman"/>
              </w:rPr>
            </w:pPr>
            <w:r>
              <w:rPr>
                <w:rFonts w:eastAsia="Times New Roman"/>
                <w:i/>
                <w:iCs/>
                <w:color w:val="000000"/>
                <w:sz w:val="20"/>
                <w:szCs w:val="20"/>
              </w:rPr>
              <w:t>34 </w:t>
            </w:r>
          </w:p>
        </w:tc>
        <w:tc>
          <w:tcPr>
            <w:tcW w:w="0" w:type="auto"/>
            <w:shd w:val="clear" w:color="auto" w:fill="FFFFFF"/>
            <w:tcMar>
              <w:top w:w="30" w:type="dxa"/>
              <w:left w:w="0" w:type="dxa"/>
              <w:bottom w:w="30" w:type="dxa"/>
              <w:right w:w="20" w:type="dxa"/>
            </w:tcMar>
            <w:vAlign w:val="bottom"/>
            <w:hideMark/>
          </w:tcPr>
          <w:p w14:paraId="76B4ACF5"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C5C329C"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0E4B09" w14:textId="77777777" w:rsidR="00000000" w:rsidRDefault="001A570A">
            <w:pPr>
              <w:jc w:val="right"/>
              <w:rPr>
                <w:rFonts w:eastAsia="Times New Roman"/>
              </w:rPr>
            </w:pPr>
            <w:r>
              <w:rPr>
                <w:rFonts w:eastAsia="Times New Roman"/>
                <w:i/>
                <w:iCs/>
                <w:color w:val="000000"/>
                <w:sz w:val="20"/>
                <w:szCs w:val="20"/>
              </w:rPr>
              <w:t>34 </w:t>
            </w:r>
          </w:p>
        </w:tc>
        <w:tc>
          <w:tcPr>
            <w:tcW w:w="0" w:type="auto"/>
            <w:shd w:val="clear" w:color="auto" w:fill="FFFFFF"/>
            <w:tcMar>
              <w:top w:w="30" w:type="dxa"/>
              <w:left w:w="0" w:type="dxa"/>
              <w:bottom w:w="30" w:type="dxa"/>
              <w:right w:w="20" w:type="dxa"/>
            </w:tcMar>
            <w:vAlign w:val="bottom"/>
            <w:hideMark/>
          </w:tcPr>
          <w:p w14:paraId="6761733B"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8E8BE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A0539" w14:textId="77777777" w:rsidR="00000000" w:rsidRDefault="001A570A">
            <w:pPr>
              <w:rPr>
                <w:rFonts w:eastAsia="Times New Roman"/>
                <w:sz w:val="20"/>
                <w:szCs w:val="20"/>
              </w:rPr>
            </w:pPr>
          </w:p>
        </w:tc>
      </w:tr>
      <w:tr w:rsidR="00000000" w14:paraId="188E51A0" w14:textId="77777777">
        <w:trPr>
          <w:divId w:val="2059744168"/>
        </w:trPr>
        <w:tc>
          <w:tcPr>
            <w:tcW w:w="0" w:type="auto"/>
            <w:gridSpan w:val="3"/>
            <w:shd w:val="clear" w:color="auto" w:fill="CCEEFF"/>
            <w:tcMar>
              <w:top w:w="30" w:type="dxa"/>
              <w:left w:w="20" w:type="dxa"/>
              <w:bottom w:w="30" w:type="dxa"/>
              <w:right w:w="20" w:type="dxa"/>
            </w:tcMar>
            <w:hideMark/>
          </w:tcPr>
          <w:p w14:paraId="10B85A18" w14:textId="77777777" w:rsidR="00000000" w:rsidRDefault="001A570A">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0B651487" w14:textId="77777777" w:rsidR="00000000" w:rsidRDefault="001A570A">
            <w:pPr>
              <w:jc w:val="right"/>
              <w:rPr>
                <w:rFonts w:eastAsia="Times New Roman"/>
              </w:rPr>
            </w:pPr>
            <w:r>
              <w:rPr>
                <w:rFonts w:eastAsia="Times New Roman"/>
                <w:color w:val="000000"/>
                <w:sz w:val="20"/>
                <w:szCs w:val="20"/>
              </w:rPr>
              <w:t>(1,242)</w:t>
            </w:r>
          </w:p>
        </w:tc>
        <w:tc>
          <w:tcPr>
            <w:tcW w:w="0" w:type="auto"/>
            <w:shd w:val="clear" w:color="auto" w:fill="CCEEFF"/>
            <w:tcMar>
              <w:top w:w="30" w:type="dxa"/>
              <w:left w:w="0" w:type="dxa"/>
              <w:bottom w:w="30" w:type="dxa"/>
              <w:right w:w="20" w:type="dxa"/>
            </w:tcMar>
            <w:vAlign w:val="bottom"/>
            <w:hideMark/>
          </w:tcPr>
          <w:p w14:paraId="3FD12F4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04F8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C89F01" w14:textId="77777777" w:rsidR="00000000" w:rsidRDefault="001A570A">
            <w:pPr>
              <w:jc w:val="right"/>
              <w:rPr>
                <w:rFonts w:eastAsia="Times New Roman"/>
              </w:rPr>
            </w:pPr>
            <w:r>
              <w:rPr>
                <w:rFonts w:eastAsia="Times New Roman"/>
                <w:color w:val="000000"/>
                <w:sz w:val="20"/>
                <w:szCs w:val="20"/>
              </w:rPr>
              <w:t>(1,182)</w:t>
            </w:r>
          </w:p>
        </w:tc>
        <w:tc>
          <w:tcPr>
            <w:tcW w:w="0" w:type="auto"/>
            <w:shd w:val="clear" w:color="auto" w:fill="CCEEFF"/>
            <w:tcMar>
              <w:top w:w="30" w:type="dxa"/>
              <w:left w:w="0" w:type="dxa"/>
              <w:bottom w:w="30" w:type="dxa"/>
              <w:right w:w="20" w:type="dxa"/>
            </w:tcMar>
            <w:vAlign w:val="bottom"/>
            <w:hideMark/>
          </w:tcPr>
          <w:p w14:paraId="5688A77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DE36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A2929"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6EE9C097" w14:textId="77777777" w:rsidR="00000000" w:rsidRDefault="001A570A">
            <w:pPr>
              <w:jc w:val="right"/>
              <w:rPr>
                <w:rFonts w:eastAsia="Times New Roman"/>
              </w:rPr>
            </w:pPr>
            <w:r>
              <w:rPr>
                <w:rFonts w:eastAsia="Times New Roman"/>
                <w:color w:val="000000"/>
                <w:sz w:val="20"/>
                <w:szCs w:val="20"/>
              </w:rPr>
              <w:t>%</w:t>
            </w:r>
          </w:p>
        </w:tc>
      </w:tr>
      <w:tr w:rsidR="00000000" w14:paraId="40A7FCDD" w14:textId="77777777">
        <w:trPr>
          <w:divId w:val="2059744168"/>
        </w:trPr>
        <w:tc>
          <w:tcPr>
            <w:tcW w:w="0" w:type="auto"/>
            <w:gridSpan w:val="3"/>
            <w:shd w:val="clear" w:color="auto" w:fill="FFFFFF"/>
            <w:tcMar>
              <w:top w:w="30" w:type="dxa"/>
              <w:left w:w="155" w:type="dxa"/>
              <w:bottom w:w="30" w:type="dxa"/>
              <w:right w:w="20" w:type="dxa"/>
            </w:tcMar>
            <w:hideMark/>
          </w:tcPr>
          <w:p w14:paraId="26DE28D7"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14:paraId="33D17F0C" w14:textId="77777777" w:rsidR="00000000" w:rsidRDefault="001A570A">
            <w:pPr>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14:paraId="0703B905"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4DD9722"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FBD489"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FFFFFF"/>
            <w:tcMar>
              <w:top w:w="30" w:type="dxa"/>
              <w:left w:w="0" w:type="dxa"/>
              <w:bottom w:w="30" w:type="dxa"/>
              <w:right w:w="20" w:type="dxa"/>
            </w:tcMar>
            <w:vAlign w:val="bottom"/>
            <w:hideMark/>
          </w:tcPr>
          <w:p w14:paraId="5F1555C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895EA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0396E" w14:textId="77777777" w:rsidR="00000000" w:rsidRDefault="001A570A">
            <w:pPr>
              <w:rPr>
                <w:rFonts w:eastAsia="Times New Roman"/>
                <w:sz w:val="20"/>
                <w:szCs w:val="20"/>
              </w:rPr>
            </w:pPr>
          </w:p>
        </w:tc>
      </w:tr>
      <w:tr w:rsidR="00000000" w14:paraId="2371196B" w14:textId="77777777">
        <w:trPr>
          <w:divId w:val="2059744168"/>
        </w:trPr>
        <w:tc>
          <w:tcPr>
            <w:tcW w:w="0" w:type="auto"/>
            <w:gridSpan w:val="3"/>
            <w:vAlign w:val="center"/>
            <w:hideMark/>
          </w:tcPr>
          <w:p w14:paraId="079C8434" w14:textId="77777777" w:rsidR="00000000" w:rsidRDefault="001A570A">
            <w:pPr>
              <w:rPr>
                <w:rFonts w:eastAsia="Times New Roman"/>
                <w:sz w:val="20"/>
                <w:szCs w:val="20"/>
              </w:rPr>
            </w:pPr>
          </w:p>
        </w:tc>
        <w:tc>
          <w:tcPr>
            <w:tcW w:w="0" w:type="auto"/>
            <w:gridSpan w:val="3"/>
            <w:vAlign w:val="center"/>
            <w:hideMark/>
          </w:tcPr>
          <w:p w14:paraId="1A88712C" w14:textId="77777777" w:rsidR="00000000" w:rsidRDefault="001A570A">
            <w:pPr>
              <w:rPr>
                <w:rFonts w:eastAsia="Times New Roman"/>
                <w:sz w:val="20"/>
                <w:szCs w:val="20"/>
              </w:rPr>
            </w:pPr>
          </w:p>
        </w:tc>
        <w:tc>
          <w:tcPr>
            <w:tcW w:w="0" w:type="auto"/>
            <w:gridSpan w:val="3"/>
            <w:vAlign w:val="center"/>
            <w:hideMark/>
          </w:tcPr>
          <w:p w14:paraId="7F6A53E3" w14:textId="77777777" w:rsidR="00000000" w:rsidRDefault="001A570A">
            <w:pPr>
              <w:rPr>
                <w:rFonts w:eastAsia="Times New Roman"/>
                <w:sz w:val="20"/>
                <w:szCs w:val="20"/>
              </w:rPr>
            </w:pPr>
          </w:p>
        </w:tc>
        <w:tc>
          <w:tcPr>
            <w:tcW w:w="0" w:type="auto"/>
            <w:gridSpan w:val="3"/>
            <w:vAlign w:val="center"/>
            <w:hideMark/>
          </w:tcPr>
          <w:p w14:paraId="2D21206E" w14:textId="77777777" w:rsidR="00000000" w:rsidRDefault="001A570A">
            <w:pPr>
              <w:rPr>
                <w:rFonts w:eastAsia="Times New Roman"/>
                <w:sz w:val="20"/>
                <w:szCs w:val="20"/>
              </w:rPr>
            </w:pPr>
          </w:p>
        </w:tc>
        <w:tc>
          <w:tcPr>
            <w:tcW w:w="0" w:type="auto"/>
            <w:gridSpan w:val="3"/>
            <w:vAlign w:val="center"/>
            <w:hideMark/>
          </w:tcPr>
          <w:p w14:paraId="6AE5E444" w14:textId="77777777" w:rsidR="00000000" w:rsidRDefault="001A570A">
            <w:pPr>
              <w:rPr>
                <w:rFonts w:eastAsia="Times New Roman"/>
                <w:sz w:val="20"/>
                <w:szCs w:val="20"/>
              </w:rPr>
            </w:pPr>
          </w:p>
        </w:tc>
        <w:tc>
          <w:tcPr>
            <w:tcW w:w="0" w:type="auto"/>
            <w:gridSpan w:val="3"/>
            <w:vAlign w:val="center"/>
            <w:hideMark/>
          </w:tcPr>
          <w:p w14:paraId="1072E969" w14:textId="77777777" w:rsidR="00000000" w:rsidRDefault="001A570A">
            <w:pPr>
              <w:rPr>
                <w:rFonts w:eastAsia="Times New Roman"/>
                <w:sz w:val="20"/>
                <w:szCs w:val="20"/>
              </w:rPr>
            </w:pPr>
          </w:p>
        </w:tc>
      </w:tr>
      <w:tr w:rsidR="00000000" w14:paraId="31FF4188" w14:textId="77777777">
        <w:trPr>
          <w:divId w:val="2059744168"/>
        </w:trPr>
        <w:tc>
          <w:tcPr>
            <w:tcW w:w="0" w:type="auto"/>
            <w:gridSpan w:val="3"/>
            <w:vAlign w:val="center"/>
            <w:hideMark/>
          </w:tcPr>
          <w:p w14:paraId="44E8E128" w14:textId="77777777" w:rsidR="00000000" w:rsidRDefault="001A570A">
            <w:pPr>
              <w:rPr>
                <w:rFonts w:eastAsia="Times New Roman"/>
                <w:sz w:val="20"/>
                <w:szCs w:val="20"/>
              </w:rPr>
            </w:pPr>
          </w:p>
        </w:tc>
        <w:tc>
          <w:tcPr>
            <w:tcW w:w="0" w:type="auto"/>
            <w:gridSpan w:val="3"/>
            <w:vAlign w:val="center"/>
            <w:hideMark/>
          </w:tcPr>
          <w:p w14:paraId="351299B8" w14:textId="77777777" w:rsidR="00000000" w:rsidRDefault="001A570A">
            <w:pPr>
              <w:rPr>
                <w:rFonts w:eastAsia="Times New Roman"/>
                <w:sz w:val="20"/>
                <w:szCs w:val="20"/>
              </w:rPr>
            </w:pPr>
          </w:p>
        </w:tc>
        <w:tc>
          <w:tcPr>
            <w:tcW w:w="0" w:type="auto"/>
            <w:gridSpan w:val="3"/>
            <w:vAlign w:val="center"/>
            <w:hideMark/>
          </w:tcPr>
          <w:p w14:paraId="259FE7AF" w14:textId="77777777" w:rsidR="00000000" w:rsidRDefault="001A570A">
            <w:pPr>
              <w:rPr>
                <w:rFonts w:eastAsia="Times New Roman"/>
                <w:sz w:val="20"/>
                <w:szCs w:val="20"/>
              </w:rPr>
            </w:pPr>
          </w:p>
        </w:tc>
        <w:tc>
          <w:tcPr>
            <w:tcW w:w="0" w:type="auto"/>
            <w:gridSpan w:val="3"/>
            <w:vAlign w:val="center"/>
            <w:hideMark/>
          </w:tcPr>
          <w:p w14:paraId="0287F520" w14:textId="77777777" w:rsidR="00000000" w:rsidRDefault="001A570A">
            <w:pPr>
              <w:rPr>
                <w:rFonts w:eastAsia="Times New Roman"/>
                <w:sz w:val="20"/>
                <w:szCs w:val="20"/>
              </w:rPr>
            </w:pPr>
          </w:p>
        </w:tc>
        <w:tc>
          <w:tcPr>
            <w:tcW w:w="0" w:type="auto"/>
            <w:gridSpan w:val="3"/>
            <w:vAlign w:val="center"/>
            <w:hideMark/>
          </w:tcPr>
          <w:p w14:paraId="34D38A38" w14:textId="77777777" w:rsidR="00000000" w:rsidRDefault="001A570A">
            <w:pPr>
              <w:rPr>
                <w:rFonts w:eastAsia="Times New Roman"/>
                <w:sz w:val="20"/>
                <w:szCs w:val="20"/>
              </w:rPr>
            </w:pPr>
          </w:p>
        </w:tc>
        <w:tc>
          <w:tcPr>
            <w:tcW w:w="0" w:type="auto"/>
            <w:gridSpan w:val="3"/>
            <w:vAlign w:val="center"/>
            <w:hideMark/>
          </w:tcPr>
          <w:p w14:paraId="326A45A9" w14:textId="77777777" w:rsidR="00000000" w:rsidRDefault="001A570A">
            <w:pPr>
              <w:rPr>
                <w:rFonts w:eastAsia="Times New Roman"/>
                <w:sz w:val="20"/>
                <w:szCs w:val="20"/>
              </w:rPr>
            </w:pPr>
          </w:p>
        </w:tc>
      </w:tr>
      <w:tr w:rsidR="00000000" w14:paraId="3ADA11B7" w14:textId="77777777">
        <w:trPr>
          <w:divId w:val="2059744168"/>
        </w:trPr>
        <w:tc>
          <w:tcPr>
            <w:tcW w:w="0" w:type="auto"/>
            <w:gridSpan w:val="3"/>
            <w:shd w:val="clear" w:color="auto" w:fill="CCEEFF"/>
            <w:tcMar>
              <w:top w:w="30" w:type="dxa"/>
              <w:left w:w="20" w:type="dxa"/>
              <w:bottom w:w="30" w:type="dxa"/>
              <w:right w:w="20" w:type="dxa"/>
            </w:tcMar>
            <w:hideMark/>
          </w:tcPr>
          <w:p w14:paraId="2881CFC8" w14:textId="77777777" w:rsidR="00000000" w:rsidRDefault="001A570A">
            <w:pPr>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14:paraId="170CE92D" w14:textId="77777777" w:rsidR="00000000" w:rsidRDefault="001A570A">
            <w:pPr>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655A1BB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545E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82270" w14:textId="77777777" w:rsidR="00000000" w:rsidRDefault="001A570A">
            <w:pPr>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14:paraId="3D0DE2E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684F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70743"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40E7CE5" w14:textId="77777777" w:rsidR="00000000" w:rsidRDefault="001A570A">
            <w:pPr>
              <w:jc w:val="right"/>
              <w:rPr>
                <w:rFonts w:eastAsia="Times New Roman"/>
              </w:rPr>
            </w:pPr>
            <w:r>
              <w:rPr>
                <w:rFonts w:eastAsia="Times New Roman"/>
                <w:color w:val="000000"/>
                <w:sz w:val="20"/>
                <w:szCs w:val="20"/>
              </w:rPr>
              <w:t>%</w:t>
            </w:r>
          </w:p>
        </w:tc>
      </w:tr>
      <w:tr w:rsidR="00000000" w14:paraId="453D500F" w14:textId="77777777">
        <w:trPr>
          <w:divId w:val="2059744168"/>
        </w:trPr>
        <w:tc>
          <w:tcPr>
            <w:tcW w:w="0" w:type="auto"/>
            <w:gridSpan w:val="3"/>
            <w:shd w:val="clear" w:color="auto" w:fill="FFFFFF"/>
            <w:tcMar>
              <w:top w:w="30" w:type="dxa"/>
              <w:left w:w="20" w:type="dxa"/>
              <w:bottom w:w="30" w:type="dxa"/>
              <w:right w:w="20" w:type="dxa"/>
            </w:tcMar>
            <w:hideMark/>
          </w:tcPr>
          <w:p w14:paraId="5AE67FFB" w14:textId="77777777" w:rsidR="00000000" w:rsidRDefault="001A570A">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14:paraId="57C8AC9B" w14:textId="77777777" w:rsidR="00000000" w:rsidRDefault="001A570A">
            <w:pPr>
              <w:jc w:val="right"/>
              <w:rPr>
                <w:rFonts w:eastAsia="Times New Roman"/>
              </w:rPr>
            </w:pPr>
            <w:r>
              <w:rPr>
                <w:rFonts w:eastAsia="Times New Roman"/>
                <w:color w:val="000000"/>
                <w:sz w:val="20"/>
                <w:szCs w:val="20"/>
              </w:rPr>
              <w:t>(167)</w:t>
            </w:r>
          </w:p>
        </w:tc>
        <w:tc>
          <w:tcPr>
            <w:tcW w:w="0" w:type="auto"/>
            <w:shd w:val="clear" w:color="auto" w:fill="FFFFFF"/>
            <w:tcMar>
              <w:top w:w="30" w:type="dxa"/>
              <w:left w:w="0" w:type="dxa"/>
              <w:bottom w:w="30" w:type="dxa"/>
              <w:right w:w="20" w:type="dxa"/>
            </w:tcMar>
            <w:vAlign w:val="bottom"/>
            <w:hideMark/>
          </w:tcPr>
          <w:p w14:paraId="489289C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C7E7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4CA001" w14:textId="77777777" w:rsidR="00000000" w:rsidRDefault="001A570A">
            <w:pPr>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14:paraId="40A31B1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3C55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71923"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51C2ED4" w14:textId="77777777" w:rsidR="00000000" w:rsidRDefault="001A570A">
            <w:pPr>
              <w:jc w:val="right"/>
              <w:rPr>
                <w:rFonts w:eastAsia="Times New Roman"/>
              </w:rPr>
            </w:pPr>
            <w:r>
              <w:rPr>
                <w:rFonts w:eastAsia="Times New Roman"/>
                <w:color w:val="000000"/>
                <w:sz w:val="20"/>
                <w:szCs w:val="20"/>
              </w:rPr>
              <w:t>%</w:t>
            </w:r>
          </w:p>
        </w:tc>
      </w:tr>
      <w:tr w:rsidR="00000000" w14:paraId="64EEFC2C" w14:textId="77777777">
        <w:trPr>
          <w:divId w:val="2059744168"/>
        </w:trPr>
        <w:tc>
          <w:tcPr>
            <w:tcW w:w="0" w:type="auto"/>
            <w:gridSpan w:val="3"/>
            <w:shd w:val="clear" w:color="auto" w:fill="CCEEFF"/>
            <w:tcMar>
              <w:top w:w="30" w:type="dxa"/>
              <w:left w:w="20" w:type="dxa"/>
              <w:bottom w:w="30" w:type="dxa"/>
              <w:right w:w="20" w:type="dxa"/>
            </w:tcMar>
            <w:hideMark/>
          </w:tcPr>
          <w:p w14:paraId="5C352F82" w14:textId="77777777" w:rsidR="00000000" w:rsidRDefault="001A570A">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6C62D1" w14:textId="77777777" w:rsidR="00000000" w:rsidRDefault="001A570A">
            <w:pPr>
              <w:jc w:val="right"/>
              <w:rPr>
                <w:rFonts w:eastAsia="Times New Roman"/>
              </w:rPr>
            </w:pPr>
            <w:r>
              <w:rPr>
                <w:rFonts w:eastAsia="Times New Roman"/>
                <w:color w:val="000000"/>
                <w:sz w:val="20"/>
                <w:szCs w:val="20"/>
              </w:rPr>
              <w:t>1,113 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17EEE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4DAE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BD9DD1"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5C179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2E72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6BC74C"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03C9848E" w14:textId="77777777" w:rsidR="00000000" w:rsidRDefault="001A570A">
            <w:pPr>
              <w:jc w:val="right"/>
              <w:rPr>
                <w:rFonts w:eastAsia="Times New Roman"/>
              </w:rPr>
            </w:pPr>
            <w:r>
              <w:rPr>
                <w:rFonts w:eastAsia="Times New Roman"/>
                <w:color w:val="000000"/>
                <w:sz w:val="20"/>
                <w:szCs w:val="20"/>
              </w:rPr>
              <w:t>%</w:t>
            </w:r>
          </w:p>
        </w:tc>
      </w:tr>
      <w:tr w:rsidR="00000000" w14:paraId="3D296079" w14:textId="77777777">
        <w:trPr>
          <w:divId w:val="2059744168"/>
        </w:trPr>
        <w:tc>
          <w:tcPr>
            <w:tcW w:w="0" w:type="auto"/>
            <w:gridSpan w:val="3"/>
            <w:shd w:val="clear" w:color="auto" w:fill="FFFFFF"/>
            <w:tcMar>
              <w:top w:w="30" w:type="dxa"/>
              <w:left w:w="20" w:type="dxa"/>
              <w:bottom w:w="30" w:type="dxa"/>
              <w:right w:w="20" w:type="dxa"/>
            </w:tcMar>
            <w:hideMark/>
          </w:tcPr>
          <w:p w14:paraId="3F4D13DA"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0AFF734E" w14:textId="77777777" w:rsidR="00000000" w:rsidRDefault="001A570A">
            <w:pPr>
              <w:jc w:val="right"/>
              <w:rPr>
                <w:rFonts w:eastAsia="Times New Roman"/>
              </w:rPr>
            </w:pPr>
            <w:r>
              <w:rPr>
                <w:rFonts w:eastAsia="Times New Roman"/>
                <w:color w:val="000000"/>
                <w:sz w:val="20"/>
                <w:szCs w:val="20"/>
              </w:rPr>
              <w:t>(160)</w:t>
            </w:r>
          </w:p>
        </w:tc>
        <w:tc>
          <w:tcPr>
            <w:tcW w:w="0" w:type="auto"/>
            <w:shd w:val="clear" w:color="auto" w:fill="FFFFFF"/>
            <w:tcMar>
              <w:top w:w="30" w:type="dxa"/>
              <w:left w:w="0" w:type="dxa"/>
              <w:bottom w:w="30" w:type="dxa"/>
              <w:right w:w="20" w:type="dxa"/>
            </w:tcMar>
            <w:vAlign w:val="bottom"/>
            <w:hideMark/>
          </w:tcPr>
          <w:p w14:paraId="04F73A6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8245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6C372" w14:textId="77777777" w:rsidR="00000000" w:rsidRDefault="001A570A">
            <w:pPr>
              <w:jc w:val="right"/>
              <w:rPr>
                <w:rFonts w:eastAsia="Times New Roman"/>
              </w:rPr>
            </w:pPr>
            <w:r>
              <w:rPr>
                <w:rFonts w:eastAsia="Times New Roman"/>
                <w:color w:val="000000"/>
                <w:sz w:val="20"/>
                <w:szCs w:val="20"/>
              </w:rPr>
              <w:t>(206)</w:t>
            </w:r>
          </w:p>
        </w:tc>
        <w:tc>
          <w:tcPr>
            <w:tcW w:w="0" w:type="auto"/>
            <w:shd w:val="clear" w:color="auto" w:fill="FFFFFF"/>
            <w:tcMar>
              <w:top w:w="30" w:type="dxa"/>
              <w:left w:w="0" w:type="dxa"/>
              <w:bottom w:w="30" w:type="dxa"/>
              <w:right w:w="20" w:type="dxa"/>
            </w:tcMar>
            <w:vAlign w:val="bottom"/>
            <w:hideMark/>
          </w:tcPr>
          <w:p w14:paraId="3FE4BB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6EF4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5B41C" w14:textId="77777777" w:rsidR="00000000" w:rsidRDefault="001A570A">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14:paraId="79AB56AF" w14:textId="77777777" w:rsidR="00000000" w:rsidRDefault="001A570A">
            <w:pPr>
              <w:jc w:val="right"/>
              <w:rPr>
                <w:rFonts w:eastAsia="Times New Roman"/>
              </w:rPr>
            </w:pPr>
            <w:r>
              <w:rPr>
                <w:rFonts w:eastAsia="Times New Roman"/>
                <w:color w:val="000000"/>
                <w:sz w:val="20"/>
                <w:szCs w:val="20"/>
              </w:rPr>
              <w:t>%</w:t>
            </w:r>
          </w:p>
        </w:tc>
      </w:tr>
      <w:tr w:rsidR="00000000" w14:paraId="67AEC009" w14:textId="77777777">
        <w:trPr>
          <w:divId w:val="2059744168"/>
        </w:trPr>
        <w:tc>
          <w:tcPr>
            <w:tcW w:w="0" w:type="auto"/>
            <w:gridSpan w:val="3"/>
            <w:shd w:val="clear" w:color="auto" w:fill="CCEEFF"/>
            <w:tcMar>
              <w:top w:w="30" w:type="dxa"/>
              <w:left w:w="155" w:type="dxa"/>
              <w:bottom w:w="30" w:type="dxa"/>
              <w:right w:w="20" w:type="dxa"/>
            </w:tcMar>
            <w:hideMark/>
          </w:tcPr>
          <w:p w14:paraId="7766E72F" w14:textId="77777777" w:rsidR="00000000" w:rsidRDefault="001A570A">
            <w:pPr>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14:paraId="41BFDF20" w14:textId="77777777" w:rsidR="00000000" w:rsidRDefault="001A570A">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14:paraId="78DF9B93"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604526"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498843" w14:textId="77777777" w:rsidR="00000000" w:rsidRDefault="001A570A">
            <w:pPr>
              <w:jc w:val="right"/>
              <w:rPr>
                <w:rFonts w:eastAsia="Times New Roman"/>
              </w:rPr>
            </w:pPr>
            <w:r>
              <w:rPr>
                <w:rFonts w:eastAsia="Times New Roman"/>
                <w:i/>
                <w:iCs/>
                <w:color w:val="000000"/>
                <w:sz w:val="20"/>
                <w:szCs w:val="20"/>
              </w:rPr>
              <w:t>23 </w:t>
            </w:r>
          </w:p>
        </w:tc>
        <w:tc>
          <w:tcPr>
            <w:tcW w:w="0" w:type="auto"/>
            <w:shd w:val="clear" w:color="auto" w:fill="CCEEFF"/>
            <w:tcMar>
              <w:top w:w="30" w:type="dxa"/>
              <w:left w:w="0" w:type="dxa"/>
              <w:bottom w:w="30" w:type="dxa"/>
              <w:right w:w="20" w:type="dxa"/>
            </w:tcMar>
            <w:vAlign w:val="bottom"/>
            <w:hideMark/>
          </w:tcPr>
          <w:p w14:paraId="24FD5ACB"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90D92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7FBAC" w14:textId="77777777" w:rsidR="00000000" w:rsidRDefault="001A570A">
            <w:pPr>
              <w:rPr>
                <w:rFonts w:eastAsia="Times New Roman"/>
                <w:sz w:val="20"/>
                <w:szCs w:val="20"/>
              </w:rPr>
            </w:pPr>
          </w:p>
        </w:tc>
      </w:tr>
      <w:tr w:rsidR="00000000" w14:paraId="7143FFE6" w14:textId="77777777">
        <w:trPr>
          <w:divId w:val="2059744168"/>
        </w:trPr>
        <w:tc>
          <w:tcPr>
            <w:tcW w:w="0" w:type="auto"/>
            <w:gridSpan w:val="3"/>
            <w:vAlign w:val="center"/>
            <w:hideMark/>
          </w:tcPr>
          <w:p w14:paraId="360A0F35" w14:textId="77777777" w:rsidR="00000000" w:rsidRDefault="001A570A">
            <w:pPr>
              <w:rPr>
                <w:rFonts w:eastAsia="Times New Roman"/>
                <w:sz w:val="20"/>
                <w:szCs w:val="20"/>
              </w:rPr>
            </w:pPr>
          </w:p>
        </w:tc>
        <w:tc>
          <w:tcPr>
            <w:tcW w:w="0" w:type="auto"/>
            <w:gridSpan w:val="3"/>
            <w:vAlign w:val="center"/>
            <w:hideMark/>
          </w:tcPr>
          <w:p w14:paraId="3AF63A59" w14:textId="77777777" w:rsidR="00000000" w:rsidRDefault="001A570A">
            <w:pPr>
              <w:rPr>
                <w:rFonts w:eastAsia="Times New Roman"/>
                <w:sz w:val="20"/>
                <w:szCs w:val="20"/>
              </w:rPr>
            </w:pPr>
          </w:p>
        </w:tc>
        <w:tc>
          <w:tcPr>
            <w:tcW w:w="0" w:type="auto"/>
            <w:gridSpan w:val="3"/>
            <w:vAlign w:val="center"/>
            <w:hideMark/>
          </w:tcPr>
          <w:p w14:paraId="132936DC" w14:textId="77777777" w:rsidR="00000000" w:rsidRDefault="001A570A">
            <w:pPr>
              <w:rPr>
                <w:rFonts w:eastAsia="Times New Roman"/>
                <w:sz w:val="20"/>
                <w:szCs w:val="20"/>
              </w:rPr>
            </w:pPr>
          </w:p>
        </w:tc>
        <w:tc>
          <w:tcPr>
            <w:tcW w:w="0" w:type="auto"/>
            <w:gridSpan w:val="3"/>
            <w:vAlign w:val="center"/>
            <w:hideMark/>
          </w:tcPr>
          <w:p w14:paraId="2F2A5730" w14:textId="77777777" w:rsidR="00000000" w:rsidRDefault="001A570A">
            <w:pPr>
              <w:rPr>
                <w:rFonts w:eastAsia="Times New Roman"/>
                <w:sz w:val="20"/>
                <w:szCs w:val="20"/>
              </w:rPr>
            </w:pPr>
          </w:p>
        </w:tc>
        <w:tc>
          <w:tcPr>
            <w:tcW w:w="0" w:type="auto"/>
            <w:gridSpan w:val="3"/>
            <w:vAlign w:val="center"/>
            <w:hideMark/>
          </w:tcPr>
          <w:p w14:paraId="065F87EF" w14:textId="77777777" w:rsidR="00000000" w:rsidRDefault="001A570A">
            <w:pPr>
              <w:rPr>
                <w:rFonts w:eastAsia="Times New Roman"/>
                <w:sz w:val="20"/>
                <w:szCs w:val="20"/>
              </w:rPr>
            </w:pPr>
          </w:p>
        </w:tc>
        <w:tc>
          <w:tcPr>
            <w:tcW w:w="0" w:type="auto"/>
            <w:gridSpan w:val="3"/>
            <w:vAlign w:val="center"/>
            <w:hideMark/>
          </w:tcPr>
          <w:p w14:paraId="19EE97D8" w14:textId="77777777" w:rsidR="00000000" w:rsidRDefault="001A570A">
            <w:pPr>
              <w:rPr>
                <w:rFonts w:eastAsia="Times New Roman"/>
                <w:sz w:val="20"/>
                <w:szCs w:val="20"/>
              </w:rPr>
            </w:pPr>
          </w:p>
        </w:tc>
      </w:tr>
      <w:tr w:rsidR="00000000" w14:paraId="4C8573B5" w14:textId="77777777">
        <w:trPr>
          <w:divId w:val="2059744168"/>
        </w:trPr>
        <w:tc>
          <w:tcPr>
            <w:tcW w:w="0" w:type="auto"/>
            <w:gridSpan w:val="3"/>
            <w:vAlign w:val="center"/>
            <w:hideMark/>
          </w:tcPr>
          <w:p w14:paraId="58BD10DE" w14:textId="77777777" w:rsidR="00000000" w:rsidRDefault="001A570A">
            <w:pPr>
              <w:rPr>
                <w:rFonts w:eastAsia="Times New Roman"/>
                <w:sz w:val="20"/>
                <w:szCs w:val="20"/>
              </w:rPr>
            </w:pPr>
          </w:p>
        </w:tc>
        <w:tc>
          <w:tcPr>
            <w:tcW w:w="0" w:type="auto"/>
            <w:gridSpan w:val="3"/>
            <w:vAlign w:val="center"/>
            <w:hideMark/>
          </w:tcPr>
          <w:p w14:paraId="683CE74B" w14:textId="77777777" w:rsidR="00000000" w:rsidRDefault="001A570A">
            <w:pPr>
              <w:rPr>
                <w:rFonts w:eastAsia="Times New Roman"/>
                <w:sz w:val="20"/>
                <w:szCs w:val="20"/>
              </w:rPr>
            </w:pPr>
          </w:p>
        </w:tc>
        <w:tc>
          <w:tcPr>
            <w:tcW w:w="0" w:type="auto"/>
            <w:gridSpan w:val="3"/>
            <w:vAlign w:val="center"/>
            <w:hideMark/>
          </w:tcPr>
          <w:p w14:paraId="03820F80" w14:textId="77777777" w:rsidR="00000000" w:rsidRDefault="001A570A">
            <w:pPr>
              <w:rPr>
                <w:rFonts w:eastAsia="Times New Roman"/>
                <w:sz w:val="20"/>
                <w:szCs w:val="20"/>
              </w:rPr>
            </w:pPr>
          </w:p>
        </w:tc>
        <w:tc>
          <w:tcPr>
            <w:tcW w:w="0" w:type="auto"/>
            <w:gridSpan w:val="3"/>
            <w:vAlign w:val="center"/>
            <w:hideMark/>
          </w:tcPr>
          <w:p w14:paraId="2F996084" w14:textId="77777777" w:rsidR="00000000" w:rsidRDefault="001A570A">
            <w:pPr>
              <w:rPr>
                <w:rFonts w:eastAsia="Times New Roman"/>
                <w:sz w:val="20"/>
                <w:szCs w:val="20"/>
              </w:rPr>
            </w:pPr>
          </w:p>
        </w:tc>
        <w:tc>
          <w:tcPr>
            <w:tcW w:w="0" w:type="auto"/>
            <w:gridSpan w:val="3"/>
            <w:vAlign w:val="center"/>
            <w:hideMark/>
          </w:tcPr>
          <w:p w14:paraId="2A187894" w14:textId="77777777" w:rsidR="00000000" w:rsidRDefault="001A570A">
            <w:pPr>
              <w:rPr>
                <w:rFonts w:eastAsia="Times New Roman"/>
                <w:sz w:val="20"/>
                <w:szCs w:val="20"/>
              </w:rPr>
            </w:pPr>
          </w:p>
        </w:tc>
        <w:tc>
          <w:tcPr>
            <w:tcW w:w="0" w:type="auto"/>
            <w:gridSpan w:val="3"/>
            <w:vAlign w:val="center"/>
            <w:hideMark/>
          </w:tcPr>
          <w:p w14:paraId="07D68A54" w14:textId="77777777" w:rsidR="00000000" w:rsidRDefault="001A570A">
            <w:pPr>
              <w:rPr>
                <w:rFonts w:eastAsia="Times New Roman"/>
                <w:sz w:val="20"/>
                <w:szCs w:val="20"/>
              </w:rPr>
            </w:pPr>
          </w:p>
        </w:tc>
      </w:tr>
      <w:tr w:rsidR="00000000" w14:paraId="23629FE8" w14:textId="77777777">
        <w:trPr>
          <w:divId w:val="2059744168"/>
        </w:trPr>
        <w:tc>
          <w:tcPr>
            <w:tcW w:w="0" w:type="auto"/>
            <w:gridSpan w:val="3"/>
            <w:shd w:val="clear" w:color="auto" w:fill="FFFFFF"/>
            <w:tcMar>
              <w:top w:w="30" w:type="dxa"/>
              <w:left w:w="200" w:type="dxa"/>
              <w:bottom w:w="30" w:type="dxa"/>
              <w:right w:w="20" w:type="dxa"/>
            </w:tcMar>
            <w:hideMark/>
          </w:tcPr>
          <w:p w14:paraId="36B4D3A0" w14:textId="77777777" w:rsidR="00000000" w:rsidRDefault="001A570A">
            <w:pPr>
              <w:ind w:hanging="180"/>
              <w:rPr>
                <w:rFonts w:eastAsia="Times New Roman"/>
              </w:rPr>
            </w:pPr>
            <w:r>
              <w:rPr>
                <w:rFonts w:eastAsia="Times New Roman"/>
                <w:color w:val="000000"/>
                <w:sz w:val="20"/>
                <w:szCs w:val="20"/>
              </w:rPr>
              <w:t>Income from continuing operations attributable to L3Harris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27780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350C72" w14:textId="77777777" w:rsidR="00000000" w:rsidRDefault="001A570A">
            <w:pPr>
              <w:jc w:val="right"/>
              <w:rPr>
                <w:rFonts w:eastAsia="Times New Roman"/>
              </w:rPr>
            </w:pPr>
            <w:r>
              <w:rPr>
                <w:rFonts w:eastAsia="Times New Roman"/>
                <w:color w:val="000000"/>
                <w:sz w:val="20"/>
                <w:szCs w:val="20"/>
              </w:rPr>
              <w:t>953 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2B521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86284"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E843F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83FE53" w14:textId="77777777" w:rsidR="00000000" w:rsidRDefault="001A570A">
            <w:pPr>
              <w:jc w:val="right"/>
              <w:rPr>
                <w:rFonts w:eastAsia="Times New Roman"/>
              </w:rPr>
            </w:pPr>
            <w:r>
              <w:rPr>
                <w:rFonts w:eastAsia="Times New Roman"/>
                <w:color w:val="000000"/>
                <w:sz w:val="20"/>
                <w:szCs w:val="20"/>
              </w:rPr>
              <w:t>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C0745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C24A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77FA6" w14:textId="77777777" w:rsidR="00000000" w:rsidRDefault="001A570A">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46C8E0BD" w14:textId="77777777" w:rsidR="00000000" w:rsidRDefault="001A570A">
            <w:pPr>
              <w:jc w:val="right"/>
              <w:rPr>
                <w:rFonts w:eastAsia="Times New Roman"/>
              </w:rPr>
            </w:pPr>
            <w:r>
              <w:rPr>
                <w:rFonts w:eastAsia="Times New Roman"/>
                <w:color w:val="000000"/>
                <w:sz w:val="20"/>
                <w:szCs w:val="20"/>
              </w:rPr>
              <w:t>%</w:t>
            </w:r>
          </w:p>
        </w:tc>
      </w:tr>
      <w:tr w:rsidR="00000000" w14:paraId="2988CE4F" w14:textId="77777777">
        <w:trPr>
          <w:divId w:val="2059744168"/>
        </w:trPr>
        <w:tc>
          <w:tcPr>
            <w:tcW w:w="0" w:type="auto"/>
            <w:gridSpan w:val="3"/>
            <w:shd w:val="clear" w:color="auto" w:fill="CCEEFF"/>
            <w:tcMar>
              <w:top w:w="30" w:type="dxa"/>
              <w:left w:w="215" w:type="dxa"/>
              <w:bottom w:w="30" w:type="dxa"/>
              <w:right w:w="20" w:type="dxa"/>
            </w:tcMar>
            <w:hideMark/>
          </w:tcPr>
          <w:p w14:paraId="199D5AAE" w14:textId="77777777" w:rsidR="00000000" w:rsidRDefault="001A570A">
            <w:pPr>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4AC7F0E" w14:textId="77777777" w:rsidR="00000000" w:rsidRDefault="001A570A">
            <w:pPr>
              <w:jc w:val="right"/>
              <w:rPr>
                <w:rFonts w:eastAsia="Times New Roman"/>
              </w:rPr>
            </w:pPr>
            <w:r>
              <w:rPr>
                <w:rFonts w:eastAsia="Times New Roman"/>
                <w:i/>
                <w:iCs/>
                <w:color w:val="000000"/>
                <w:sz w:val="20"/>
                <w:szCs w:val="20"/>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8931E9E"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F0A67C5" w14:textId="77777777" w:rsidR="00000000" w:rsidRDefault="001A570A">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D3BB846" w14:textId="77777777" w:rsidR="00000000" w:rsidRDefault="001A570A">
            <w:pPr>
              <w:jc w:val="right"/>
              <w:rPr>
                <w:rFonts w:eastAsia="Times New Roman"/>
              </w:rPr>
            </w:pPr>
            <w:r>
              <w:rPr>
                <w:rFonts w:eastAsia="Times New Roman"/>
                <w:i/>
                <w:iCs/>
                <w:color w:val="000000"/>
                <w:sz w:val="20"/>
                <w:szCs w:val="20"/>
              </w:rPr>
              <w:t>11 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71928C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3D26F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D9E90" w14:textId="77777777" w:rsidR="00000000" w:rsidRDefault="001A570A">
            <w:pPr>
              <w:rPr>
                <w:rFonts w:eastAsia="Times New Roman"/>
                <w:sz w:val="20"/>
                <w:szCs w:val="20"/>
              </w:rPr>
            </w:pPr>
          </w:p>
        </w:tc>
      </w:tr>
      <w:tr w:rsidR="00000000" w14:paraId="3CBA6B8F" w14:textId="77777777">
        <w:trPr>
          <w:divId w:val="2059744168"/>
        </w:trPr>
        <w:tc>
          <w:tcPr>
            <w:tcW w:w="0" w:type="auto"/>
            <w:gridSpan w:val="3"/>
            <w:shd w:val="clear" w:color="auto" w:fill="FFFFFF"/>
            <w:tcMar>
              <w:top w:w="30" w:type="dxa"/>
              <w:left w:w="200" w:type="dxa"/>
              <w:bottom w:w="30" w:type="dxa"/>
              <w:right w:w="20" w:type="dxa"/>
            </w:tcMar>
            <w:hideMark/>
          </w:tcPr>
          <w:p w14:paraId="005F77EE" w14:textId="77777777" w:rsidR="00000000" w:rsidRDefault="001A570A">
            <w:pPr>
              <w:ind w:hanging="180"/>
              <w:rPr>
                <w:rFonts w:eastAsia="Times New Roman"/>
              </w:rPr>
            </w:pPr>
            <w:r>
              <w:rPr>
                <w:rFonts w:eastAsia="Times New Roman"/>
                <w:color w:val="000000"/>
                <w:sz w:val="20"/>
                <w:szCs w:val="20"/>
              </w:rPr>
              <w:t>Income from continuing operations per diluted common share attributable to L3Harris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988A705"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A7C688C" w14:textId="77777777" w:rsidR="00000000" w:rsidRDefault="001A570A">
            <w:pPr>
              <w:jc w:val="right"/>
              <w:rPr>
                <w:rFonts w:eastAsia="Times New Roman"/>
              </w:rPr>
            </w:pPr>
            <w:r>
              <w:rPr>
                <w:rFonts w:eastAsia="Times New Roman"/>
                <w:color w:val="000000"/>
                <w:sz w:val="20"/>
                <w:szCs w:val="20"/>
              </w:rPr>
              <w:t>7.89 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1C3A32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68593" w14:textId="77777777" w:rsidR="00000000" w:rsidRDefault="001A570A">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74F4F03" w14:textId="77777777" w:rsidR="00000000" w:rsidRDefault="001A570A">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8971488" w14:textId="77777777" w:rsidR="00000000" w:rsidRDefault="001A570A">
            <w:pPr>
              <w:jc w:val="right"/>
              <w:rPr>
                <w:rFonts w:eastAsia="Times New Roman"/>
              </w:rPr>
            </w:pPr>
            <w:r>
              <w:rPr>
                <w:rFonts w:eastAsia="Times New Roman"/>
                <w:color w:val="000000"/>
                <w:sz w:val="20"/>
                <w:szCs w:val="20"/>
              </w:rPr>
              <w:t>5.78 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6FB9B9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BF4A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65302"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281B5C8E" w14:textId="77777777" w:rsidR="00000000" w:rsidRDefault="001A570A">
            <w:pPr>
              <w:jc w:val="right"/>
              <w:rPr>
                <w:rFonts w:eastAsia="Times New Roman"/>
              </w:rPr>
            </w:pPr>
            <w:r>
              <w:rPr>
                <w:rFonts w:eastAsia="Times New Roman"/>
                <w:color w:val="000000"/>
                <w:sz w:val="20"/>
                <w:szCs w:val="20"/>
              </w:rPr>
              <w:t>%</w:t>
            </w:r>
          </w:p>
        </w:tc>
      </w:tr>
    </w:tbl>
    <w:p w14:paraId="56BD1AB9" w14:textId="77777777" w:rsidR="00000000" w:rsidRDefault="001A570A">
      <w:pPr>
        <w:divId w:val="1566332091"/>
        <w:rPr>
          <w:rFonts w:eastAsia="Times New Roman"/>
        </w:rPr>
      </w:pPr>
      <w:r>
        <w:rPr>
          <w:rFonts w:eastAsia="Times New Roman"/>
          <w:b/>
          <w:bCs/>
          <w:i/>
          <w:iCs/>
          <w:color w:val="000000"/>
          <w:sz w:val="20"/>
          <w:szCs w:val="20"/>
        </w:rPr>
        <w:t>Revenue</w:t>
      </w:r>
    </w:p>
    <w:p w14:paraId="2FB719E1" w14:textId="77777777" w:rsidR="00000000" w:rsidRDefault="001A570A">
      <w:pPr>
        <w:ind w:firstLine="450"/>
        <w:divId w:val="835262147"/>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The increase in revenue in fiscal 2020 compared with the four quarters ended January 3, 2020 was primarily due to the inclusion of $5</w:t>
      </w:r>
      <w:r>
        <w:rPr>
          <w:rFonts w:eastAsia="Times New Roman"/>
          <w:color w:val="000000"/>
          <w:sz w:val="20"/>
          <w:szCs w:val="20"/>
        </w:rPr>
        <w:t xml:space="preserve">.5 billion of revenue (net of intercompany sales eliminations) from L3 operations in operating results for the two quarters ended July 3, 2020 (but not for the comparable prior-year two quarters preceding the L3Harris Merger) and organic revenue growth in </w:t>
      </w:r>
      <w:r>
        <w:rPr>
          <w:rFonts w:eastAsia="Times New Roman"/>
          <w:color w:val="000000"/>
          <w:sz w:val="20"/>
          <w:szCs w:val="20"/>
        </w:rPr>
        <w:t xml:space="preserve">our Space and Airborne Systems, Integrated Mission Systems and Communication Systems, partially offset by the impact of divestitures and the COVID-related downturn in the commercial aviation market and its impact on customer operations in fiscal 2020. </w:t>
      </w:r>
    </w:p>
    <w:p w14:paraId="1E688B15" w14:textId="77777777" w:rsidR="00000000" w:rsidRDefault="001A570A">
      <w:pPr>
        <w:ind w:firstLine="450"/>
        <w:divId w:val="1097293163"/>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revenue in the two quarters ended January 3, 2020 compared with the two quarters ended December 28, 2018 was primarily due to the inclusion of $5.7 billi</w:t>
      </w:r>
      <w:r>
        <w:rPr>
          <w:rFonts w:eastAsia="Times New Roman"/>
          <w:color w:val="000000"/>
          <w:sz w:val="20"/>
          <w:szCs w:val="20"/>
        </w:rPr>
        <w:t>on of revenue (net of intercompany sales eliminations) from L3 operations in operating results for the two quarters ended January 3, 2020 and organic revenue growth in all four segments.</w:t>
      </w:r>
    </w:p>
    <w:p w14:paraId="2BAC5CE7" w14:textId="77777777" w:rsidR="00000000" w:rsidRDefault="001A570A">
      <w:pPr>
        <w:ind w:firstLine="450"/>
        <w:divId w:val="1899323202"/>
        <w:rPr>
          <w:rFonts w:eastAsia="Times New Roman"/>
        </w:rPr>
      </w:pPr>
      <w:r>
        <w:rPr>
          <w:rFonts w:eastAsia="Times New Roman"/>
          <w:color w:val="000000"/>
          <w:sz w:val="20"/>
          <w:szCs w:val="20"/>
        </w:rPr>
        <w:t>See the “Discussion of Business Segment Results of Operations” discus</w:t>
      </w:r>
      <w:r>
        <w:rPr>
          <w:rFonts w:eastAsia="Times New Roman"/>
          <w:color w:val="000000"/>
          <w:sz w:val="20"/>
          <w:szCs w:val="20"/>
        </w:rPr>
        <w:t>sion below in this MD&amp;A for further information.</w:t>
      </w:r>
    </w:p>
    <w:p w14:paraId="0E74CD35" w14:textId="77777777" w:rsidR="00000000" w:rsidRDefault="001A570A">
      <w:pPr>
        <w:divId w:val="226232739"/>
        <w:rPr>
          <w:rFonts w:eastAsia="Times New Roman"/>
        </w:rPr>
      </w:pPr>
      <w:r>
        <w:rPr>
          <w:rFonts w:eastAsia="Times New Roman"/>
          <w:b/>
          <w:bCs/>
          <w:i/>
          <w:iCs/>
          <w:color w:val="000000"/>
          <w:sz w:val="20"/>
          <w:szCs w:val="20"/>
        </w:rPr>
        <w:t>Gross Margin</w:t>
      </w:r>
    </w:p>
    <w:p w14:paraId="31F12214" w14:textId="77777777" w:rsidR="00000000" w:rsidRDefault="001A570A">
      <w:pPr>
        <w:ind w:firstLine="450"/>
        <w:divId w:val="1170561353"/>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xml:space="preserve"> Gross margin increased in fiscal 2020 compared with the four quarters ended January 3, 2020 primarily due to </w:t>
      </w:r>
      <w:r>
        <w:rPr>
          <w:rFonts w:eastAsia="Times New Roman"/>
          <w:color w:val="000000"/>
          <w:sz w:val="20"/>
          <w:szCs w:val="20"/>
        </w:rPr>
        <w:t>the inclusion of L3 operations in operating results for the two quarters ended July 3, 2020 (but not for the comparable prior-year two quarters preceding the L3Harris Merger). Gross margin as a percentage of revenue (“gross margin percentage”) for fiscal 2</w:t>
      </w:r>
      <w:r>
        <w:rPr>
          <w:rFonts w:eastAsia="Times New Roman"/>
          <w:color w:val="000000"/>
          <w:sz w:val="20"/>
          <w:szCs w:val="20"/>
        </w:rPr>
        <w:t xml:space="preserve">020 was comparable with the four quarters ended January 3, 2020 reflecting integration benefits and operational excellence, and $111 million of lower cost of sales related to the fair value step-up in inventory sold, offset by a mix of program revenue and </w:t>
      </w:r>
      <w:r>
        <w:rPr>
          <w:rFonts w:eastAsia="Times New Roman"/>
          <w:color w:val="000000"/>
          <w:sz w:val="20"/>
          <w:szCs w:val="20"/>
        </w:rPr>
        <w:t>product sales with relatively lower gross margin percentage and $37 million of higher amortization of identifiable intangible assets acquired as a result of the L3Harris Merger.</w:t>
      </w:r>
    </w:p>
    <w:p w14:paraId="0AB5191C" w14:textId="77777777" w:rsidR="00000000" w:rsidRDefault="001A570A">
      <w:pPr>
        <w:ind w:firstLine="450"/>
        <w:divId w:val="1467772458"/>
        <w:rPr>
          <w:rFonts w:eastAsia="Times New Roman"/>
        </w:rPr>
      </w:pPr>
      <w:r>
        <w:rPr>
          <w:rFonts w:eastAsia="Times New Roman"/>
          <w:i/>
          <w:iCs/>
          <w:color w:val="000000"/>
          <w:sz w:val="20"/>
          <w:szCs w:val="20"/>
        </w:rPr>
        <w:t>Two Quarters Ended January 3, 2020 Compared With Two Quarters Ended December 2</w:t>
      </w:r>
      <w:r>
        <w:rPr>
          <w:rFonts w:eastAsia="Times New Roman"/>
          <w:i/>
          <w:iCs/>
          <w:color w:val="000000"/>
          <w:sz w:val="20"/>
          <w:szCs w:val="20"/>
        </w:rPr>
        <w:t xml:space="preserve">8, 2018: </w:t>
      </w:r>
      <w:r>
        <w:rPr>
          <w:rFonts w:eastAsia="Times New Roman"/>
          <w:color w:val="000000"/>
          <w:sz w:val="20"/>
          <w:szCs w:val="20"/>
        </w:rPr>
        <w:t>Gross margin increased in the two quarters ended January 3, 2020 compared with the two quarters ended December 28, 2018 primarily due to the inclusion of L3 operations in operating results for the two quarters ended January 3, 2020. The decrease i</w:t>
      </w:r>
      <w:r>
        <w:rPr>
          <w:rFonts w:eastAsia="Times New Roman"/>
          <w:color w:val="000000"/>
          <w:sz w:val="20"/>
          <w:szCs w:val="20"/>
        </w:rPr>
        <w:t xml:space="preserve">n gross margin percentage for the </w:t>
      </w:r>
    </w:p>
    <w:p w14:paraId="6090F15B" w14:textId="77777777" w:rsidR="00000000" w:rsidRDefault="001A570A">
      <w:pPr>
        <w:ind w:firstLine="450"/>
        <w:jc w:val="center"/>
        <w:divId w:val="1677535078"/>
        <w:rPr>
          <w:rFonts w:eastAsia="Times New Roman"/>
        </w:rPr>
      </w:pPr>
      <w:r>
        <w:rPr>
          <w:rFonts w:eastAsia="Times New Roman"/>
          <w:color w:val="000000"/>
          <w:sz w:val="20"/>
          <w:szCs w:val="20"/>
        </w:rPr>
        <w:t>41</w:t>
      </w:r>
    </w:p>
    <w:p w14:paraId="33881404" w14:textId="77777777" w:rsidR="00000000" w:rsidRDefault="001A570A">
      <w:pPr>
        <w:rPr>
          <w:rFonts w:eastAsia="Times New Roman"/>
        </w:rPr>
      </w:pPr>
      <w:r>
        <w:rPr>
          <w:rFonts w:eastAsia="Times New Roman"/>
        </w:rPr>
        <w:pict w14:anchorId="481FE312">
          <v:rect id="_x0000_i1069" style="width:0;height:1.5pt" o:hralign="center" o:hrstd="t" o:hr="t" fillcolor="#a0a0a0" stroked="f"/>
        </w:pict>
      </w:r>
    </w:p>
    <w:p w14:paraId="06749CC5" w14:textId="77777777" w:rsidR="00000000" w:rsidRDefault="001A570A">
      <w:pPr>
        <w:ind w:firstLine="450"/>
        <w:divId w:val="198708343"/>
        <w:rPr>
          <w:rFonts w:eastAsia="Times New Roman"/>
        </w:rPr>
      </w:pPr>
    </w:p>
    <w:p w14:paraId="42AEF7B3" w14:textId="77777777" w:rsidR="00000000" w:rsidRDefault="001A570A">
      <w:pPr>
        <w:divId w:val="1670520242"/>
        <w:rPr>
          <w:rFonts w:eastAsia="Times New Roman"/>
        </w:rPr>
      </w:pPr>
      <w:r>
        <w:rPr>
          <w:rFonts w:eastAsia="Times New Roman"/>
          <w:color w:val="000000"/>
          <w:sz w:val="20"/>
          <w:szCs w:val="20"/>
        </w:rPr>
        <w:t>two quarters ended January 3, 2020 compared with the two quarters ended December 28, 2018 was primarily due to a mix of program revenue and product sales with relatively lower gross margin, $142 million of additional cost of sales related to the fair value</w:t>
      </w:r>
      <w:r>
        <w:rPr>
          <w:rFonts w:eastAsia="Times New Roman"/>
          <w:color w:val="000000"/>
          <w:sz w:val="20"/>
          <w:szCs w:val="20"/>
        </w:rPr>
        <w:t xml:space="preserve"> step-up in inventory sold and $42 million of amortization of identifiable intangible assets acquired as a result of the L3Harris Merger in the two quarters ended January 3, 2020.</w:t>
      </w:r>
    </w:p>
    <w:p w14:paraId="4D616877" w14:textId="77777777" w:rsidR="00000000" w:rsidRDefault="001A570A">
      <w:pPr>
        <w:ind w:firstLine="450"/>
        <w:divId w:val="1224414752"/>
        <w:rPr>
          <w:rFonts w:eastAsia="Times New Roman"/>
        </w:rPr>
      </w:pPr>
      <w:r>
        <w:rPr>
          <w:rFonts w:eastAsia="Times New Roman"/>
          <w:color w:val="000000"/>
          <w:sz w:val="20"/>
          <w:szCs w:val="20"/>
        </w:rPr>
        <w:t>See the “Discussion of Business Segment Results of Operations” discussion be</w:t>
      </w:r>
      <w:r>
        <w:rPr>
          <w:rFonts w:eastAsia="Times New Roman"/>
          <w:color w:val="000000"/>
          <w:sz w:val="20"/>
          <w:szCs w:val="20"/>
        </w:rPr>
        <w:t>low in this MD&amp;A for further information.</w:t>
      </w:r>
    </w:p>
    <w:p w14:paraId="2CF1804A" w14:textId="77777777" w:rsidR="00000000" w:rsidRDefault="001A570A">
      <w:pPr>
        <w:divId w:val="1469588336"/>
        <w:rPr>
          <w:rFonts w:eastAsia="Times New Roman"/>
        </w:rPr>
      </w:pPr>
      <w:r>
        <w:rPr>
          <w:rFonts w:eastAsia="Times New Roman"/>
          <w:b/>
          <w:bCs/>
          <w:i/>
          <w:iCs/>
          <w:color w:val="000000"/>
          <w:sz w:val="20"/>
          <w:szCs w:val="20"/>
        </w:rPr>
        <w:t>Engineering, Selling and Administrative Expenses</w:t>
      </w:r>
    </w:p>
    <w:p w14:paraId="47D34F4E" w14:textId="77777777" w:rsidR="00000000" w:rsidRDefault="001A570A">
      <w:pPr>
        <w:ind w:firstLine="450"/>
        <w:divId w:val="451166886"/>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The increase in engineering, selling and administrative (“ESA”) expenses in fisc</w:t>
      </w:r>
      <w:r>
        <w:rPr>
          <w:rFonts w:eastAsia="Times New Roman"/>
          <w:color w:val="000000"/>
          <w:sz w:val="20"/>
          <w:szCs w:val="20"/>
        </w:rPr>
        <w:t>al 2020 compared with the four quarters ended January 3, 2020 was primarily due to the inclusion of L3 operations in operating results (but not for the comparable prior-year two quarters preceding the L3Harris Merger), $333 million of higher amortization o</w:t>
      </w:r>
      <w:r>
        <w:rPr>
          <w:rFonts w:eastAsia="Times New Roman"/>
          <w:color w:val="000000"/>
          <w:sz w:val="20"/>
          <w:szCs w:val="20"/>
        </w:rPr>
        <w:t>f identifiable intangible assets acquired as a result of the L3Harris Merger, $16 million of COVID-related restructuring expenses and other costs and $13 million of higher divestiture-related expenses, partially offset by $254 million of lower L3Harris Mer</w:t>
      </w:r>
      <w:r>
        <w:rPr>
          <w:rFonts w:eastAsia="Times New Roman"/>
          <w:color w:val="000000"/>
          <w:sz w:val="20"/>
          <w:szCs w:val="20"/>
        </w:rPr>
        <w:t xml:space="preserve">ger-related transaction, integration and restructuring expenses and a $22 million gain on sale of property, plant and equipment. </w:t>
      </w:r>
    </w:p>
    <w:p w14:paraId="10963490" w14:textId="77777777" w:rsidR="00000000" w:rsidRDefault="001A570A">
      <w:pPr>
        <w:ind w:firstLine="450"/>
        <w:divId w:val="23795952"/>
        <w:rPr>
          <w:rFonts w:eastAsia="Times New Roman"/>
        </w:rPr>
      </w:pPr>
      <w:r>
        <w:rPr>
          <w:rFonts w:eastAsia="Times New Roman"/>
          <w:color w:val="000000"/>
          <w:sz w:val="20"/>
          <w:szCs w:val="20"/>
        </w:rPr>
        <w:t>The decrease in ESA expenses as a percentage of revenue (“ESA percentage”) in fiscal 2020 compared with the four quarters ende</w:t>
      </w:r>
      <w:r>
        <w:rPr>
          <w:rFonts w:eastAsia="Times New Roman"/>
          <w:color w:val="000000"/>
          <w:sz w:val="20"/>
          <w:szCs w:val="20"/>
        </w:rPr>
        <w:t>d January 3, 2020 was primarily driven by cost management, operational excellence, integration benefits, as well as lower L3Harris Merger-related transaction, integration and restructuring expenses and a gain on sale of property, plant and equipment, parti</w:t>
      </w:r>
      <w:r>
        <w:rPr>
          <w:rFonts w:eastAsia="Times New Roman"/>
          <w:color w:val="000000"/>
          <w:sz w:val="20"/>
          <w:szCs w:val="20"/>
        </w:rPr>
        <w:t xml:space="preserve">ally offset by higher amortization of identifiable intangible assets acquired as a result of the L3Harris Merger, COVID-related restructuring expenses and other items, and divestiture-related expenses, as discussed above. </w:t>
      </w:r>
    </w:p>
    <w:p w14:paraId="6D6B27E4" w14:textId="77777777" w:rsidR="00000000" w:rsidRDefault="001A570A">
      <w:pPr>
        <w:ind w:firstLine="450"/>
        <w:divId w:val="1186794174"/>
        <w:rPr>
          <w:rFonts w:eastAsia="Times New Roman"/>
        </w:rPr>
      </w:pPr>
      <w:r>
        <w:rPr>
          <w:rFonts w:eastAsia="Times New Roman"/>
          <w:color w:val="000000"/>
          <w:sz w:val="20"/>
          <w:szCs w:val="20"/>
        </w:rPr>
        <w:t>Overall Company-sponsored R&amp;D cos</w:t>
      </w:r>
      <w:r>
        <w:rPr>
          <w:rFonts w:eastAsia="Times New Roman"/>
          <w:color w:val="000000"/>
          <w:sz w:val="20"/>
          <w:szCs w:val="20"/>
        </w:rPr>
        <w:t xml:space="preserve">ts were $684 million in fiscal 2020 compared with $504 million in the four quarters ended January 3, 2020. </w:t>
      </w:r>
    </w:p>
    <w:p w14:paraId="42E63CC8" w14:textId="77777777" w:rsidR="00000000" w:rsidRDefault="001A570A">
      <w:pPr>
        <w:ind w:firstLine="450"/>
        <w:divId w:val="928848217"/>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ESA expenses and ESA percentage in the two qu</w:t>
      </w:r>
      <w:r>
        <w:rPr>
          <w:rFonts w:eastAsia="Times New Roman"/>
          <w:color w:val="000000"/>
          <w:sz w:val="20"/>
          <w:szCs w:val="20"/>
        </w:rPr>
        <w:t>arters ended January 3, 2020 compared with the two quarters ended December 28, 2018 was primarily due to the inclusion of L3 operations in operating results, as well as $344 million of L3Harris Merger-related transaction, integration and restructuring expe</w:t>
      </w:r>
      <w:r>
        <w:rPr>
          <w:rFonts w:eastAsia="Times New Roman"/>
          <w:color w:val="000000"/>
          <w:sz w:val="20"/>
          <w:szCs w:val="20"/>
        </w:rPr>
        <w:t xml:space="preserve">nses and $197 million of amortization of identifiable intangible assets acquired as a result of the L3Harris Merger in the two quarters ended January 3, 2020. ESA expenses for the two quarters ended January 3, 2020 also included a $12 million gain on sale </w:t>
      </w:r>
      <w:r>
        <w:rPr>
          <w:rFonts w:eastAsia="Times New Roman"/>
          <w:color w:val="000000"/>
          <w:sz w:val="20"/>
          <w:szCs w:val="20"/>
        </w:rPr>
        <w:t>of a product line, offset by a $10 million non-cash cumulative adjustment to lease expense.</w:t>
      </w:r>
    </w:p>
    <w:p w14:paraId="15B68E50" w14:textId="77777777" w:rsidR="00000000" w:rsidRDefault="001A570A">
      <w:pPr>
        <w:ind w:firstLine="450"/>
        <w:divId w:val="1953052570"/>
        <w:rPr>
          <w:rFonts w:eastAsia="Times New Roman"/>
        </w:rPr>
      </w:pPr>
      <w:r>
        <w:rPr>
          <w:rFonts w:eastAsia="Times New Roman"/>
          <w:color w:val="000000"/>
          <w:sz w:val="20"/>
          <w:szCs w:val="20"/>
        </w:rPr>
        <w:t>Overall Company-sponsored R&amp;D costs were $329 million in the two quarters ended January 3, 2020 compared with $144 million in the two quarters ended December 28, 20</w:t>
      </w:r>
      <w:r>
        <w:rPr>
          <w:rFonts w:eastAsia="Times New Roman"/>
          <w:color w:val="000000"/>
          <w:sz w:val="20"/>
          <w:szCs w:val="20"/>
        </w:rPr>
        <w:t>18.</w:t>
      </w:r>
    </w:p>
    <w:p w14:paraId="177E5BBF" w14:textId="77777777" w:rsidR="00000000" w:rsidRDefault="001A570A">
      <w:pPr>
        <w:ind w:firstLine="450"/>
        <w:divId w:val="913465877"/>
        <w:rPr>
          <w:rFonts w:eastAsia="Times New Roman"/>
        </w:rPr>
      </w:pPr>
      <w:r>
        <w:rPr>
          <w:rFonts w:eastAsia="Times New Roman"/>
          <w:color w:val="000000"/>
          <w:sz w:val="20"/>
          <w:szCs w:val="20"/>
        </w:rPr>
        <w:t>See the “Discussion of Business Segment Results of Operations” discussion below in this MD&amp;A for further information.</w:t>
      </w:r>
    </w:p>
    <w:p w14:paraId="65926934" w14:textId="77777777" w:rsidR="00000000" w:rsidRDefault="001A570A">
      <w:pPr>
        <w:divId w:val="1993101112"/>
        <w:rPr>
          <w:rFonts w:eastAsia="Times New Roman"/>
        </w:rPr>
      </w:pPr>
      <w:r>
        <w:rPr>
          <w:rFonts w:eastAsia="Times New Roman"/>
          <w:b/>
          <w:bCs/>
          <w:i/>
          <w:iCs/>
          <w:color w:val="000000"/>
          <w:sz w:val="20"/>
          <w:szCs w:val="20"/>
        </w:rPr>
        <w:t>Business Divestiture-Related (Losses) Gains</w:t>
      </w:r>
      <w:r>
        <w:rPr>
          <w:rFonts w:eastAsia="Times New Roman"/>
          <w:b/>
          <w:bCs/>
          <w:color w:val="000000"/>
          <w:sz w:val="20"/>
          <w:szCs w:val="20"/>
        </w:rPr>
        <w:t xml:space="preserve"> </w:t>
      </w:r>
    </w:p>
    <w:p w14:paraId="3CDAE049" w14:textId="77777777" w:rsidR="00000000" w:rsidRDefault="001A570A">
      <w:pPr>
        <w:ind w:firstLine="450"/>
        <w:divId w:val="1062024142"/>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Busi</w:t>
      </w:r>
      <w:r>
        <w:rPr>
          <w:rFonts w:eastAsia="Times New Roman"/>
          <w:color w:val="000000"/>
          <w:sz w:val="20"/>
          <w:szCs w:val="20"/>
        </w:rPr>
        <w:t>ness divestiture-related (losses) gains for fiscal 2020 included a $23 million pre-tax loss on the sale of the airport security and automation business divestiture, an $18 million non-cash remeasurement loss on a potential divestiture, a $12 million non-ca</w:t>
      </w:r>
      <w:r>
        <w:rPr>
          <w:rFonts w:eastAsia="Times New Roman"/>
          <w:color w:val="000000"/>
          <w:sz w:val="20"/>
          <w:szCs w:val="20"/>
        </w:rPr>
        <w:t>sh adjustment to the gain on the sale of the Harris Night Vision business, partially offset by a $2 million pre-tax gain on the sale of the EOTech business. The business divestiture-related gain for the four quarters ended January 3, 2020 was a $229 millio</w:t>
      </w:r>
      <w:r>
        <w:rPr>
          <w:rFonts w:eastAsia="Times New Roman"/>
          <w:color w:val="000000"/>
          <w:sz w:val="20"/>
          <w:szCs w:val="20"/>
        </w:rPr>
        <w:t xml:space="preserve">n pre-tax gain on the sale of the Harris Night Vision business. </w:t>
      </w:r>
    </w:p>
    <w:p w14:paraId="33DB15AE" w14:textId="77777777" w:rsidR="00000000" w:rsidRDefault="001A570A">
      <w:pPr>
        <w:ind w:firstLine="450"/>
        <w:divId w:val="2133088084"/>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business divestiture-related gain for the two quarters ended January 3, 2020 was the same item as no</w:t>
      </w:r>
      <w:r>
        <w:rPr>
          <w:rFonts w:eastAsia="Times New Roman"/>
          <w:color w:val="000000"/>
          <w:sz w:val="20"/>
          <w:szCs w:val="20"/>
        </w:rPr>
        <w:t>ted above for the four quarters ended January 3, 2020.</w:t>
      </w:r>
    </w:p>
    <w:p w14:paraId="76DB80C9" w14:textId="77777777" w:rsidR="00000000" w:rsidRDefault="001A570A">
      <w:pPr>
        <w:ind w:firstLine="450"/>
        <w:divId w:val="1628319271"/>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3: Business Divestitures and Asset Sales </w:t>
      </w:r>
      <w:r>
        <w:rPr>
          <w:rFonts w:eastAsia="Times New Roman"/>
          <w:color w:val="000000"/>
          <w:sz w:val="20"/>
          <w:szCs w:val="20"/>
        </w:rPr>
        <w:t>in the Notes for further information.</w:t>
      </w:r>
    </w:p>
    <w:p w14:paraId="5DE89149" w14:textId="77777777" w:rsidR="00000000" w:rsidRDefault="001A570A">
      <w:pPr>
        <w:divId w:val="384138755"/>
        <w:rPr>
          <w:rFonts w:eastAsia="Times New Roman"/>
        </w:rPr>
      </w:pPr>
      <w:r>
        <w:rPr>
          <w:rFonts w:eastAsia="Times New Roman"/>
          <w:b/>
          <w:bCs/>
          <w:i/>
          <w:iCs/>
          <w:color w:val="000000"/>
          <w:sz w:val="20"/>
          <w:szCs w:val="20"/>
        </w:rPr>
        <w:t>Impairment of Goodwill and Other Assets</w:t>
      </w:r>
    </w:p>
    <w:p w14:paraId="3E1A7782" w14:textId="77777777" w:rsidR="00000000" w:rsidRDefault="001A570A">
      <w:pPr>
        <w:ind w:firstLine="450"/>
        <w:divId w:val="1808932568"/>
        <w:rPr>
          <w:rFonts w:eastAsia="Times New Roman"/>
        </w:rPr>
      </w:pPr>
      <w:r>
        <w:rPr>
          <w:rFonts w:eastAsia="Times New Roman"/>
          <w:i/>
          <w:iCs/>
          <w:color w:val="000000"/>
          <w:sz w:val="20"/>
          <w:szCs w:val="20"/>
        </w:rPr>
        <w:t>Fiscal Year Ended January 1, 2021 Compared With Four Quarters Ended Janua</w:t>
      </w:r>
      <w:r>
        <w:rPr>
          <w:rFonts w:eastAsia="Times New Roman"/>
          <w:i/>
          <w:iCs/>
          <w:color w:val="000000"/>
          <w:sz w:val="20"/>
          <w:szCs w:val="20"/>
        </w:rPr>
        <w:t>ry 3, 2020:</w:t>
      </w:r>
      <w:r>
        <w:rPr>
          <w:rFonts w:eastAsia="Times New Roman"/>
          <w:color w:val="000000"/>
          <w:sz w:val="20"/>
          <w:szCs w:val="20"/>
        </w:rPr>
        <w:t xml:space="preserve"> Impairment of goodwill and other assets for fiscal 2020 reflects $748 million of non-cash charges for the impairment of goodwill and other assets associated with the COVID-related downturn in the commercial aviation market and its impact on cus</w:t>
      </w:r>
      <w:r>
        <w:rPr>
          <w:rFonts w:eastAsia="Times New Roman"/>
          <w:color w:val="000000"/>
          <w:sz w:val="20"/>
          <w:szCs w:val="20"/>
        </w:rPr>
        <w:t>tomer operations, a $14 million non-cash charge for impairment of goodwill recorded in the quarter ended July 3, 2020 in connection with a potential divestiture and a $5 million non-cash charge for impairment of goodwill recorded in the quarter ended April</w:t>
      </w:r>
      <w:r>
        <w:rPr>
          <w:rFonts w:eastAsia="Times New Roman"/>
          <w:color w:val="000000"/>
          <w:sz w:val="20"/>
          <w:szCs w:val="20"/>
        </w:rPr>
        <w:t xml:space="preserve"> 3, 2020 in connection with the then-pending divestiture of our Applied Kilovolts and Analytical Instrumentation business.</w:t>
      </w:r>
    </w:p>
    <w:p w14:paraId="186795D6" w14:textId="77777777" w:rsidR="00000000" w:rsidRDefault="001A570A">
      <w:pPr>
        <w:ind w:firstLine="450"/>
        <w:divId w:val="1362634143"/>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Impairment of goodwill and other assets for th</w:t>
      </w:r>
      <w:r>
        <w:rPr>
          <w:rFonts w:eastAsia="Times New Roman"/>
          <w:color w:val="000000"/>
          <w:sz w:val="20"/>
          <w:szCs w:val="20"/>
        </w:rPr>
        <w:t xml:space="preserve">e two quarters ended January 3, 2020 reflects a $46 million impairment of right-of-use assets associated with L3Harris Merger-related facilities consolidation. </w:t>
      </w:r>
    </w:p>
    <w:p w14:paraId="58EC03E3" w14:textId="77777777" w:rsidR="00000000" w:rsidRDefault="001A570A">
      <w:pPr>
        <w:ind w:firstLine="450"/>
        <w:jc w:val="center"/>
        <w:divId w:val="1547570608"/>
        <w:rPr>
          <w:rFonts w:eastAsia="Times New Roman"/>
        </w:rPr>
      </w:pPr>
      <w:r>
        <w:rPr>
          <w:rFonts w:eastAsia="Times New Roman"/>
          <w:color w:val="000000"/>
          <w:sz w:val="20"/>
          <w:szCs w:val="20"/>
        </w:rPr>
        <w:t>42</w:t>
      </w:r>
    </w:p>
    <w:p w14:paraId="715E10CD" w14:textId="77777777" w:rsidR="00000000" w:rsidRDefault="001A570A">
      <w:pPr>
        <w:rPr>
          <w:rFonts w:eastAsia="Times New Roman"/>
        </w:rPr>
      </w:pPr>
      <w:r>
        <w:rPr>
          <w:rFonts w:eastAsia="Times New Roman"/>
        </w:rPr>
        <w:pict w14:anchorId="0A56F5E5">
          <v:rect id="_x0000_i1070" style="width:0;height:1.5pt" o:hralign="center" o:hrstd="t" o:hr="t" fillcolor="#a0a0a0" stroked="f"/>
        </w:pict>
      </w:r>
    </w:p>
    <w:p w14:paraId="40B7738C" w14:textId="77777777" w:rsidR="00000000" w:rsidRDefault="001A570A">
      <w:pPr>
        <w:ind w:firstLine="450"/>
        <w:divId w:val="659579205"/>
        <w:rPr>
          <w:rFonts w:eastAsia="Times New Roman"/>
        </w:rPr>
      </w:pPr>
    </w:p>
    <w:p w14:paraId="58D88B10" w14:textId="77777777" w:rsidR="00000000" w:rsidRDefault="001A570A">
      <w:pPr>
        <w:ind w:firstLine="450"/>
        <w:divId w:val="1738935132"/>
        <w:rPr>
          <w:rFonts w:eastAsia="Times New Roman"/>
        </w:rPr>
      </w:pPr>
      <w:r>
        <w:rPr>
          <w:rFonts w:eastAsia="Times New Roman"/>
          <w:color w:val="000000"/>
          <w:sz w:val="20"/>
          <w:szCs w:val="20"/>
        </w:rPr>
        <w:t xml:space="preserve">See </w:t>
      </w:r>
      <w:r>
        <w:rPr>
          <w:rFonts w:eastAsia="Times New Roman"/>
          <w:i/>
          <w:iCs/>
          <w:color w:val="000000"/>
          <w:sz w:val="20"/>
          <w:szCs w:val="20"/>
        </w:rPr>
        <w:t>Note 3: Business Divestitures and Asset Sales, Note 4: Restructuring and Other Exit Costs</w:t>
      </w:r>
      <w:r>
        <w:rPr>
          <w:rFonts w:eastAsia="Times New Roman"/>
          <w:color w:val="000000"/>
          <w:sz w:val="20"/>
          <w:szCs w:val="20"/>
        </w:rPr>
        <w:t xml:space="preserve"> and </w:t>
      </w:r>
      <w:r>
        <w:rPr>
          <w:rFonts w:eastAsia="Times New Roman"/>
          <w:i/>
          <w:iCs/>
          <w:color w:val="000000"/>
          <w:sz w:val="20"/>
          <w:szCs w:val="20"/>
        </w:rPr>
        <w:t>Note 10: Goodwill</w:t>
      </w:r>
      <w:r>
        <w:rPr>
          <w:rFonts w:eastAsia="Times New Roman"/>
          <w:color w:val="000000"/>
          <w:sz w:val="20"/>
          <w:szCs w:val="20"/>
        </w:rPr>
        <w:t xml:space="preserve"> in the Notes for further information.</w:t>
      </w:r>
    </w:p>
    <w:p w14:paraId="065BD06A" w14:textId="77777777" w:rsidR="00000000" w:rsidRDefault="001A570A">
      <w:pPr>
        <w:divId w:val="1280648655"/>
        <w:rPr>
          <w:rFonts w:eastAsia="Times New Roman"/>
        </w:rPr>
      </w:pPr>
      <w:r>
        <w:rPr>
          <w:rFonts w:eastAsia="Times New Roman"/>
          <w:b/>
          <w:bCs/>
          <w:i/>
          <w:iCs/>
          <w:color w:val="000000"/>
          <w:sz w:val="20"/>
          <w:szCs w:val="20"/>
        </w:rPr>
        <w:t xml:space="preserve">Non-Operating Income </w:t>
      </w:r>
    </w:p>
    <w:p w14:paraId="0B571FB1" w14:textId="77777777" w:rsidR="00000000" w:rsidRDefault="001A570A">
      <w:pPr>
        <w:ind w:firstLine="450"/>
        <w:divId w:val="154300685"/>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The increase in non-operating income in fiscal 2020 compared with the four quarters ended January 3, 2020 was primarily due to an increase in the non-service cost components of pension and other postretirement benefit plan income, reflecting the inclusion</w:t>
      </w:r>
      <w:r>
        <w:rPr>
          <w:rFonts w:eastAsia="Times New Roman"/>
          <w:color w:val="000000"/>
          <w:sz w:val="20"/>
          <w:szCs w:val="20"/>
        </w:rPr>
        <w:t xml:space="preserve"> of income from benefit plans assumed in connection with the L3Harris Merger. </w:t>
      </w:r>
    </w:p>
    <w:p w14:paraId="28679115" w14:textId="77777777" w:rsidR="00000000" w:rsidRDefault="001A570A">
      <w:pPr>
        <w:ind w:firstLine="450"/>
        <w:divId w:val="541021899"/>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non-operating income in the two quarters ended January 3, 2020 compared wi</w:t>
      </w:r>
      <w:r>
        <w:rPr>
          <w:rFonts w:eastAsia="Times New Roman"/>
          <w:color w:val="000000"/>
          <w:sz w:val="20"/>
          <w:szCs w:val="20"/>
        </w:rPr>
        <w:t>th the two quarters ended December 28, 2018 was primarily due to an increase in the non-service cost components of pension and other postretirement benefit plan income, including a $23 million gain on a pension plan curtailment, reflecting the inclusion in</w:t>
      </w:r>
      <w:r>
        <w:rPr>
          <w:rFonts w:eastAsia="Times New Roman"/>
          <w:color w:val="000000"/>
          <w:sz w:val="20"/>
          <w:szCs w:val="20"/>
        </w:rPr>
        <w:t xml:space="preserve"> pension and other postretirement benefit plan income of benefit plans assumed in connection with the L3Harris Merger.</w:t>
      </w:r>
    </w:p>
    <w:p w14:paraId="2835ACEB" w14:textId="77777777" w:rsidR="00000000" w:rsidRDefault="001A570A">
      <w:pPr>
        <w:ind w:firstLine="450"/>
        <w:divId w:val="955259457"/>
        <w:rPr>
          <w:rFonts w:eastAsia="Times New Roman"/>
        </w:rPr>
      </w:pPr>
      <w:r>
        <w:rPr>
          <w:rFonts w:eastAsia="Times New Roman"/>
          <w:color w:val="000000"/>
          <w:sz w:val="20"/>
          <w:szCs w:val="20"/>
        </w:rPr>
        <w:t xml:space="preserve">See </w:t>
      </w:r>
      <w:r>
        <w:rPr>
          <w:rFonts w:eastAsia="Times New Roman"/>
          <w:i/>
          <w:iCs/>
          <w:color w:val="000000"/>
          <w:sz w:val="20"/>
          <w:szCs w:val="20"/>
        </w:rPr>
        <w:t>Note 21: Non-Operating Income</w:t>
      </w:r>
      <w:r>
        <w:rPr>
          <w:rFonts w:eastAsia="Times New Roman"/>
          <w:color w:val="000000"/>
          <w:sz w:val="20"/>
          <w:szCs w:val="20"/>
        </w:rPr>
        <w:t xml:space="preserve"> in the Notes for further information.</w:t>
      </w:r>
    </w:p>
    <w:p w14:paraId="2E37887E" w14:textId="77777777" w:rsidR="00000000" w:rsidRDefault="001A570A">
      <w:pPr>
        <w:divId w:val="1380935001"/>
        <w:rPr>
          <w:rFonts w:eastAsia="Times New Roman"/>
        </w:rPr>
      </w:pPr>
      <w:r>
        <w:rPr>
          <w:rFonts w:eastAsia="Times New Roman"/>
          <w:b/>
          <w:bCs/>
          <w:i/>
          <w:iCs/>
          <w:color w:val="000000"/>
          <w:sz w:val="20"/>
          <w:szCs w:val="20"/>
        </w:rPr>
        <w:t>Net Interest Expense</w:t>
      </w:r>
    </w:p>
    <w:p w14:paraId="237C0A70" w14:textId="77777777" w:rsidR="00000000" w:rsidRDefault="001A570A">
      <w:pPr>
        <w:ind w:firstLine="450"/>
        <w:divId w:val="797911856"/>
        <w:rPr>
          <w:rFonts w:eastAsia="Times New Roman"/>
        </w:rPr>
      </w:pPr>
      <w:r>
        <w:rPr>
          <w:rFonts w:eastAsia="Times New Roman"/>
          <w:i/>
          <w:iCs/>
          <w:color w:val="000000"/>
          <w:sz w:val="20"/>
          <w:szCs w:val="20"/>
        </w:rPr>
        <w:t>Fiscal Year Ended January 1, 2021 Compared W</w:t>
      </w:r>
      <w:r>
        <w:rPr>
          <w:rFonts w:eastAsia="Times New Roman"/>
          <w:i/>
          <w:iCs/>
          <w:color w:val="000000"/>
          <w:sz w:val="20"/>
          <w:szCs w:val="20"/>
        </w:rPr>
        <w:t>ith Four quarters ended January 3, 2020:</w:t>
      </w:r>
      <w:r>
        <w:rPr>
          <w:rFonts w:eastAsia="Times New Roman"/>
          <w:color w:val="000000"/>
          <w:sz w:val="20"/>
          <w:szCs w:val="20"/>
        </w:rPr>
        <w:t> Our net interest expense increased in fiscal 2020 compared with the four quarters ended January 3, 2020 primarily due to higher average debt levels as a result of the assumption of $3.5 billion of debt in connection</w:t>
      </w:r>
      <w:r>
        <w:rPr>
          <w:rFonts w:eastAsia="Times New Roman"/>
          <w:color w:val="000000"/>
          <w:sz w:val="20"/>
          <w:szCs w:val="20"/>
        </w:rPr>
        <w:t xml:space="preserve"> with the L3Harris Merger. </w:t>
      </w:r>
    </w:p>
    <w:p w14:paraId="68A93B29" w14:textId="77777777" w:rsidR="00000000" w:rsidRDefault="001A570A">
      <w:pPr>
        <w:ind w:firstLine="450"/>
        <w:divId w:val="1978534045"/>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net interest expense in the two quarters ended January 3, 2020 compared with the two quarters ended December 28, 2018 was due</w:t>
      </w:r>
      <w:r>
        <w:rPr>
          <w:rFonts w:eastAsia="Times New Roman"/>
          <w:color w:val="000000"/>
          <w:sz w:val="20"/>
          <w:szCs w:val="20"/>
        </w:rPr>
        <w:t xml:space="preserve"> to the same reason as noted above for fiscal 2020 compared with the four quarters ended January 3, 2020. </w:t>
      </w:r>
    </w:p>
    <w:p w14:paraId="3F4F70E2" w14:textId="77777777" w:rsidR="00000000" w:rsidRDefault="001A570A">
      <w:pPr>
        <w:ind w:firstLine="450"/>
        <w:divId w:val="123158704"/>
        <w:rPr>
          <w:rFonts w:eastAsia="Times New Roman"/>
        </w:rPr>
      </w:pPr>
      <w:r>
        <w:rPr>
          <w:rFonts w:eastAsia="Times New Roman"/>
          <w:color w:val="000000"/>
          <w:sz w:val="20"/>
          <w:szCs w:val="20"/>
        </w:rPr>
        <w:t xml:space="preserve">See </w:t>
      </w:r>
      <w:r>
        <w:rPr>
          <w:rFonts w:eastAsia="Times New Roman"/>
          <w:i/>
          <w:iCs/>
          <w:color w:val="000000"/>
          <w:sz w:val="20"/>
          <w:szCs w:val="20"/>
        </w:rPr>
        <w:t>Note 14: Debt</w:t>
      </w:r>
      <w:r>
        <w:rPr>
          <w:rFonts w:eastAsia="Times New Roman"/>
          <w:color w:val="000000"/>
          <w:sz w:val="20"/>
          <w:szCs w:val="20"/>
        </w:rPr>
        <w:t xml:space="preserve"> in the Notes for further information.</w:t>
      </w:r>
    </w:p>
    <w:p w14:paraId="65AA5189" w14:textId="77777777" w:rsidR="00000000" w:rsidRDefault="001A570A">
      <w:pPr>
        <w:divId w:val="810291300"/>
        <w:rPr>
          <w:rFonts w:eastAsia="Times New Roman"/>
        </w:rPr>
      </w:pPr>
      <w:r>
        <w:rPr>
          <w:rFonts w:eastAsia="Times New Roman"/>
          <w:b/>
          <w:bCs/>
          <w:i/>
          <w:iCs/>
          <w:color w:val="000000"/>
          <w:sz w:val="20"/>
          <w:szCs w:val="20"/>
        </w:rPr>
        <w:t>Income Taxes</w:t>
      </w:r>
    </w:p>
    <w:p w14:paraId="5206E0E4" w14:textId="77777777" w:rsidR="00000000" w:rsidRDefault="001A570A">
      <w:pPr>
        <w:ind w:firstLine="450"/>
        <w:divId w:val="1344674004"/>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Our effective tax rate (income taxes as a percentage of income from continuing operations before income taxes) was 18 percent in fiscal 2020 compared with 10 percent in th</w:t>
      </w:r>
      <w:r>
        <w:rPr>
          <w:rFonts w:eastAsia="Times New Roman"/>
          <w:color w:val="000000"/>
          <w:sz w:val="20"/>
          <w:szCs w:val="20"/>
        </w:rPr>
        <w:t>e four quarters ended January 3, 2020. During fiscal 2020, we benefited from the favorable impact of:</w:t>
      </w:r>
    </w:p>
    <w:p w14:paraId="6CEE68C9" w14:textId="77777777" w:rsidR="00000000" w:rsidRDefault="001A570A">
      <w:pPr>
        <w:ind w:hanging="360"/>
        <w:divId w:val="23361119"/>
        <w:rPr>
          <w:rFonts w:eastAsia="Times New Roman"/>
        </w:rPr>
      </w:pPr>
      <w:r>
        <w:rPr>
          <w:rFonts w:eastAsia="Times New Roman"/>
          <w:color w:val="000000"/>
          <w:sz w:val="20"/>
          <w:szCs w:val="20"/>
        </w:rPr>
        <w:t>•Favorable adjustments upon the finalization of our Federal tax returns, primarily due to recently released tax regulations and the resolution of audit un</w:t>
      </w:r>
      <w:r>
        <w:rPr>
          <w:rFonts w:eastAsia="Times New Roman"/>
          <w:color w:val="000000"/>
          <w:sz w:val="20"/>
          <w:szCs w:val="20"/>
        </w:rPr>
        <w:t>certainties;</w:t>
      </w:r>
    </w:p>
    <w:p w14:paraId="1136DEAF" w14:textId="77777777" w:rsidR="00000000" w:rsidRDefault="001A570A">
      <w:pPr>
        <w:ind w:hanging="360"/>
        <w:divId w:val="1333609842"/>
        <w:rPr>
          <w:rFonts w:eastAsia="Times New Roman"/>
        </w:rPr>
      </w:pPr>
      <w:r>
        <w:rPr>
          <w:rFonts w:eastAsia="Times New Roman"/>
          <w:color w:val="000000"/>
          <w:sz w:val="20"/>
          <w:szCs w:val="20"/>
        </w:rPr>
        <w:t>•Favorable impact of R&amp;D credits; and</w:t>
      </w:r>
    </w:p>
    <w:p w14:paraId="01099633" w14:textId="77777777" w:rsidR="00000000" w:rsidRDefault="001A570A">
      <w:pPr>
        <w:ind w:hanging="360"/>
        <w:divId w:val="1116677800"/>
        <w:rPr>
          <w:rFonts w:eastAsia="Times New Roman"/>
        </w:rPr>
      </w:pPr>
      <w:r>
        <w:rPr>
          <w:rFonts w:eastAsia="Times New Roman"/>
          <w:color w:val="000000"/>
          <w:sz w:val="20"/>
          <w:szCs w:val="20"/>
        </w:rPr>
        <w:t>•Excess tax benefits related to equity-based compensation; partially offset by</w:t>
      </w:r>
    </w:p>
    <w:p w14:paraId="67D3E5F6" w14:textId="77777777" w:rsidR="00000000" w:rsidRDefault="001A570A">
      <w:pPr>
        <w:ind w:hanging="360"/>
        <w:divId w:val="437993729"/>
        <w:rPr>
          <w:rFonts w:eastAsia="Times New Roman"/>
        </w:rPr>
      </w:pPr>
      <w:r>
        <w:rPr>
          <w:rFonts w:eastAsia="Times New Roman"/>
          <w:color w:val="000000"/>
          <w:sz w:val="20"/>
          <w:szCs w:val="20"/>
        </w:rPr>
        <w:t>•Unfavorable impact of non-deductible goodwill impairment charges.</w:t>
      </w:r>
    </w:p>
    <w:p w14:paraId="4729FA7D" w14:textId="77777777" w:rsidR="00000000" w:rsidRDefault="001A570A">
      <w:pPr>
        <w:ind w:firstLine="450"/>
        <w:divId w:val="1684671640"/>
        <w:rPr>
          <w:rFonts w:eastAsia="Times New Roman"/>
        </w:rPr>
      </w:pPr>
      <w:r>
        <w:rPr>
          <w:rFonts w:eastAsia="Times New Roman"/>
          <w:color w:val="000000"/>
          <w:sz w:val="20"/>
          <w:szCs w:val="20"/>
        </w:rPr>
        <w:t>In the four quarters ended January 3, 2020, our effective t</w:t>
      </w:r>
      <w:r>
        <w:rPr>
          <w:rFonts w:eastAsia="Times New Roman"/>
          <w:color w:val="000000"/>
          <w:sz w:val="20"/>
          <w:szCs w:val="20"/>
        </w:rPr>
        <w:t>ax rate benefited from the net favorable impact of:</w:t>
      </w:r>
    </w:p>
    <w:p w14:paraId="307B76D6" w14:textId="77777777" w:rsidR="00000000" w:rsidRDefault="001A570A">
      <w:pPr>
        <w:ind w:hanging="360"/>
        <w:divId w:val="853541595"/>
        <w:rPr>
          <w:rFonts w:eastAsia="Times New Roman"/>
        </w:rPr>
      </w:pPr>
      <w:r>
        <w:rPr>
          <w:rFonts w:eastAsia="Times New Roman"/>
          <w:color w:val="000000"/>
          <w:sz w:val="20"/>
          <w:szCs w:val="20"/>
        </w:rPr>
        <w:t xml:space="preserve">•Excess tax benefits related to equity-based compensation; </w:t>
      </w:r>
    </w:p>
    <w:p w14:paraId="0B8AB907" w14:textId="77777777" w:rsidR="00000000" w:rsidRDefault="001A570A">
      <w:pPr>
        <w:ind w:hanging="360"/>
        <w:divId w:val="626666787"/>
        <w:rPr>
          <w:rFonts w:eastAsia="Times New Roman"/>
        </w:rPr>
      </w:pPr>
      <w:r>
        <w:rPr>
          <w:rFonts w:eastAsia="Times New Roman"/>
          <w:color w:val="000000"/>
          <w:sz w:val="20"/>
          <w:szCs w:val="20"/>
        </w:rPr>
        <w:t xml:space="preserve">•The ability to utilize capital loss carryforwards with a full valuation allowance against capital gains generated from the Harris Night Vision </w:t>
      </w:r>
      <w:r>
        <w:rPr>
          <w:rFonts w:eastAsia="Times New Roman"/>
          <w:color w:val="000000"/>
          <w:sz w:val="20"/>
          <w:szCs w:val="20"/>
        </w:rPr>
        <w:t xml:space="preserve">business divestiture; </w:t>
      </w:r>
    </w:p>
    <w:p w14:paraId="63E8E761" w14:textId="77777777" w:rsidR="00000000" w:rsidRDefault="001A570A">
      <w:pPr>
        <w:ind w:hanging="360"/>
        <w:divId w:val="929655304"/>
        <w:rPr>
          <w:rFonts w:eastAsia="Times New Roman"/>
        </w:rPr>
      </w:pPr>
      <w:r>
        <w:rPr>
          <w:rFonts w:eastAsia="Times New Roman"/>
          <w:color w:val="000000"/>
          <w:sz w:val="20"/>
          <w:szCs w:val="20"/>
        </w:rPr>
        <w:t>•The release of reserves for uncertain tax positions due to statute of limitations expirations;</w:t>
      </w:r>
    </w:p>
    <w:p w14:paraId="79016A06" w14:textId="77777777" w:rsidR="00000000" w:rsidRDefault="001A570A">
      <w:pPr>
        <w:ind w:hanging="360"/>
        <w:divId w:val="1394231056"/>
        <w:rPr>
          <w:rFonts w:eastAsia="Times New Roman"/>
        </w:rPr>
      </w:pPr>
      <w:r>
        <w:rPr>
          <w:rFonts w:eastAsia="Times New Roman"/>
          <w:color w:val="000000"/>
          <w:sz w:val="20"/>
          <w:szCs w:val="20"/>
        </w:rPr>
        <w:t>•Additional research credits claimed on our prior year tax returns; and</w:t>
      </w:r>
    </w:p>
    <w:p w14:paraId="464D56B3" w14:textId="77777777" w:rsidR="00000000" w:rsidRDefault="001A570A">
      <w:pPr>
        <w:ind w:hanging="360"/>
        <w:divId w:val="1444155966"/>
        <w:rPr>
          <w:rFonts w:eastAsia="Times New Roman"/>
        </w:rPr>
      </w:pPr>
      <w:r>
        <w:rPr>
          <w:rFonts w:eastAsia="Times New Roman"/>
          <w:color w:val="000000"/>
          <w:sz w:val="20"/>
          <w:szCs w:val="20"/>
        </w:rPr>
        <w:t>•Favorable adjustments recorded upon the filing of our Federal ta</w:t>
      </w:r>
      <w:r>
        <w:rPr>
          <w:rFonts w:eastAsia="Times New Roman"/>
          <w:color w:val="000000"/>
          <w:sz w:val="20"/>
          <w:szCs w:val="20"/>
        </w:rPr>
        <w:t>x returns.</w:t>
      </w:r>
    </w:p>
    <w:p w14:paraId="2003E7DF" w14:textId="77777777" w:rsidR="00000000" w:rsidRDefault="001A570A">
      <w:pPr>
        <w:ind w:firstLine="450"/>
        <w:divId w:val="1729644642"/>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Our effective tax rate was 8 percent in the two quarters ended January 3, 2020 compared with 16 percent in the two quarters ended December 28, 2018. In the tw</w:t>
      </w:r>
      <w:r>
        <w:rPr>
          <w:rFonts w:eastAsia="Times New Roman"/>
          <w:color w:val="000000"/>
          <w:sz w:val="20"/>
          <w:szCs w:val="20"/>
        </w:rPr>
        <w:t>o quarters ended January 3, 2020, our effective tax rate benefited from the favorable impact of:</w:t>
      </w:r>
    </w:p>
    <w:p w14:paraId="50E31D7E" w14:textId="77777777" w:rsidR="00000000" w:rsidRDefault="001A570A">
      <w:pPr>
        <w:ind w:hanging="360"/>
        <w:divId w:val="1844008264"/>
        <w:rPr>
          <w:rFonts w:eastAsia="Times New Roman"/>
        </w:rPr>
      </w:pPr>
      <w:r>
        <w:rPr>
          <w:rFonts w:eastAsia="Times New Roman"/>
          <w:color w:val="000000"/>
          <w:sz w:val="20"/>
          <w:szCs w:val="20"/>
        </w:rPr>
        <w:t>• Excess tax benefits related to equity-based compensation;</w:t>
      </w:r>
    </w:p>
    <w:p w14:paraId="33EF4F8E" w14:textId="77777777" w:rsidR="00000000" w:rsidRDefault="001A570A">
      <w:pPr>
        <w:ind w:hanging="360"/>
        <w:divId w:val="1348562109"/>
        <w:rPr>
          <w:rFonts w:eastAsia="Times New Roman"/>
        </w:rPr>
      </w:pPr>
      <w:r>
        <w:rPr>
          <w:rFonts w:eastAsia="Times New Roman"/>
          <w:color w:val="000000"/>
          <w:sz w:val="20"/>
          <w:szCs w:val="20"/>
        </w:rPr>
        <w:t>• The ability to utilize capital loss carryforwards with a full valuation allowance against capital</w:t>
      </w:r>
      <w:r>
        <w:rPr>
          <w:rFonts w:eastAsia="Times New Roman"/>
          <w:color w:val="000000"/>
          <w:sz w:val="20"/>
          <w:szCs w:val="20"/>
        </w:rPr>
        <w:t xml:space="preserve"> gains generated from the Harris Night Vision business divestiture; and</w:t>
      </w:r>
    </w:p>
    <w:p w14:paraId="7ECBB9D2" w14:textId="77777777" w:rsidR="00000000" w:rsidRDefault="001A570A">
      <w:pPr>
        <w:ind w:hanging="360"/>
        <w:divId w:val="752094107"/>
        <w:rPr>
          <w:rFonts w:eastAsia="Times New Roman"/>
        </w:rPr>
      </w:pPr>
      <w:r>
        <w:rPr>
          <w:rFonts w:eastAsia="Times New Roman"/>
          <w:color w:val="000000"/>
          <w:sz w:val="20"/>
          <w:szCs w:val="20"/>
        </w:rPr>
        <w:t>• The release of reserves for uncertain tax positions due to statute of limitations expirations.</w:t>
      </w:r>
    </w:p>
    <w:p w14:paraId="68A4B92E" w14:textId="77777777" w:rsidR="00000000" w:rsidRDefault="001A570A">
      <w:pPr>
        <w:ind w:firstLine="450"/>
        <w:divId w:val="1016348122"/>
        <w:rPr>
          <w:rFonts w:eastAsia="Times New Roman"/>
        </w:rPr>
      </w:pPr>
      <w:r>
        <w:rPr>
          <w:rFonts w:eastAsia="Times New Roman"/>
          <w:color w:val="000000"/>
          <w:sz w:val="20"/>
          <w:szCs w:val="20"/>
        </w:rPr>
        <w:t xml:space="preserve">In the two quarters ended December 28, 2018, our effective tax rate benefited from the </w:t>
      </w:r>
      <w:r>
        <w:rPr>
          <w:rFonts w:eastAsia="Times New Roman"/>
          <w:color w:val="000000"/>
          <w:sz w:val="20"/>
          <w:szCs w:val="20"/>
        </w:rPr>
        <w:t>net favorable impact of:</w:t>
      </w:r>
    </w:p>
    <w:p w14:paraId="1260F859" w14:textId="77777777" w:rsidR="00000000" w:rsidRDefault="001A570A">
      <w:pPr>
        <w:ind w:hanging="360"/>
        <w:divId w:val="1867061573"/>
        <w:rPr>
          <w:rFonts w:eastAsia="Times New Roman"/>
        </w:rPr>
      </w:pPr>
      <w:r>
        <w:rPr>
          <w:rFonts w:eastAsia="Times New Roman"/>
          <w:color w:val="000000"/>
          <w:sz w:val="20"/>
          <w:szCs w:val="20"/>
        </w:rPr>
        <w:t>• A reduction in the deferred tax liability maintained on the basis differences related to the unremitted foreign earnings;</w:t>
      </w:r>
    </w:p>
    <w:p w14:paraId="2D24319E" w14:textId="77777777" w:rsidR="00000000" w:rsidRDefault="001A570A">
      <w:pPr>
        <w:ind w:hanging="360"/>
        <w:divId w:val="14504152"/>
        <w:rPr>
          <w:rFonts w:eastAsia="Times New Roman"/>
        </w:rPr>
      </w:pPr>
      <w:r>
        <w:rPr>
          <w:rFonts w:eastAsia="Times New Roman"/>
          <w:color w:val="000000"/>
          <w:sz w:val="20"/>
          <w:szCs w:val="20"/>
        </w:rPr>
        <w:t>• The favorable impact of excess tax benefits related to equity-based compensation; and</w:t>
      </w:r>
    </w:p>
    <w:p w14:paraId="60905895" w14:textId="77777777" w:rsidR="00000000" w:rsidRDefault="001A570A">
      <w:pPr>
        <w:ind w:hanging="360"/>
        <w:divId w:val="561064075"/>
        <w:rPr>
          <w:rFonts w:eastAsia="Times New Roman"/>
        </w:rPr>
      </w:pPr>
      <w:r>
        <w:rPr>
          <w:rFonts w:eastAsia="Times New Roman"/>
          <w:color w:val="000000"/>
          <w:sz w:val="20"/>
          <w:szCs w:val="20"/>
        </w:rPr>
        <w:t xml:space="preserve">• </w:t>
      </w:r>
      <w:r>
        <w:rPr>
          <w:rFonts w:eastAsia="Times New Roman"/>
          <w:color w:val="000000"/>
          <w:sz w:val="20"/>
          <w:szCs w:val="20"/>
        </w:rPr>
        <w:t>An increase in the R&amp;D credit; partially offset by</w:t>
      </w:r>
    </w:p>
    <w:p w14:paraId="1CA33255" w14:textId="77777777" w:rsidR="00000000" w:rsidRDefault="001A570A">
      <w:pPr>
        <w:ind w:firstLine="450"/>
        <w:jc w:val="center"/>
        <w:divId w:val="1785416360"/>
        <w:rPr>
          <w:rFonts w:eastAsia="Times New Roman"/>
        </w:rPr>
      </w:pPr>
      <w:r>
        <w:rPr>
          <w:rFonts w:eastAsia="Times New Roman"/>
          <w:color w:val="000000"/>
          <w:sz w:val="20"/>
          <w:szCs w:val="20"/>
        </w:rPr>
        <w:t>43</w:t>
      </w:r>
    </w:p>
    <w:p w14:paraId="3BCEB76D" w14:textId="77777777" w:rsidR="00000000" w:rsidRDefault="001A570A">
      <w:pPr>
        <w:rPr>
          <w:rFonts w:eastAsia="Times New Roman"/>
        </w:rPr>
      </w:pPr>
      <w:r>
        <w:rPr>
          <w:rFonts w:eastAsia="Times New Roman"/>
        </w:rPr>
        <w:pict w14:anchorId="45240930">
          <v:rect id="_x0000_i1071" style="width:0;height:1.5pt" o:hralign="center" o:hrstd="t" o:hr="t" fillcolor="#a0a0a0" stroked="f"/>
        </w:pict>
      </w:r>
    </w:p>
    <w:p w14:paraId="045FB48E" w14:textId="77777777" w:rsidR="00000000" w:rsidRDefault="001A570A">
      <w:pPr>
        <w:ind w:firstLine="450"/>
        <w:divId w:val="199435975"/>
        <w:rPr>
          <w:rFonts w:eastAsia="Times New Roman"/>
        </w:rPr>
      </w:pPr>
    </w:p>
    <w:p w14:paraId="669E6AE6" w14:textId="77777777" w:rsidR="00000000" w:rsidRDefault="001A570A">
      <w:pPr>
        <w:ind w:hanging="360"/>
        <w:divId w:val="1744453729"/>
        <w:rPr>
          <w:rFonts w:eastAsia="Times New Roman"/>
        </w:rPr>
      </w:pPr>
      <w:r>
        <w:rPr>
          <w:rFonts w:eastAsia="Times New Roman"/>
          <w:color w:val="000000"/>
          <w:sz w:val="20"/>
          <w:szCs w:val="20"/>
        </w:rPr>
        <w:t>• An unfavorable impact of the differences in U.S. generally accepted accounting principles (“GAAP”) and tax accounting related to investments.</w:t>
      </w:r>
    </w:p>
    <w:p w14:paraId="6677E60D" w14:textId="77777777" w:rsidR="00000000" w:rsidRDefault="001A570A">
      <w:pPr>
        <w:divId w:val="1908103283"/>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23: Income </w:t>
      </w:r>
      <w:r>
        <w:rPr>
          <w:rFonts w:eastAsia="Times New Roman"/>
          <w:i/>
          <w:iCs/>
          <w:color w:val="000000"/>
          <w:sz w:val="20"/>
          <w:szCs w:val="20"/>
        </w:rPr>
        <w:t>Taxes</w:t>
      </w:r>
      <w:r>
        <w:rPr>
          <w:rFonts w:eastAsia="Times New Roman"/>
          <w:color w:val="000000"/>
          <w:sz w:val="20"/>
          <w:szCs w:val="20"/>
        </w:rPr>
        <w:t xml:space="preserve"> in the Notes for further information.</w:t>
      </w:r>
    </w:p>
    <w:p w14:paraId="20C15B2A" w14:textId="77777777" w:rsidR="00000000" w:rsidRDefault="001A570A">
      <w:pPr>
        <w:divId w:val="1275789628"/>
        <w:rPr>
          <w:rFonts w:eastAsia="Times New Roman"/>
        </w:rPr>
      </w:pPr>
      <w:r>
        <w:rPr>
          <w:rFonts w:eastAsia="Times New Roman"/>
          <w:b/>
          <w:bCs/>
          <w:i/>
          <w:iCs/>
          <w:color w:val="000000"/>
          <w:sz w:val="20"/>
          <w:szCs w:val="20"/>
        </w:rPr>
        <w:t>Income From Continuing Operations</w:t>
      </w:r>
    </w:p>
    <w:p w14:paraId="34D316F3" w14:textId="77777777" w:rsidR="00000000" w:rsidRDefault="001A570A">
      <w:pPr>
        <w:ind w:firstLine="450"/>
        <w:divId w:val="1732192208"/>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The decrease in income from continuing operations in fiscal 2020 compared with the four quart</w:t>
      </w:r>
      <w:r>
        <w:rPr>
          <w:rFonts w:eastAsia="Times New Roman"/>
          <w:color w:val="000000"/>
          <w:sz w:val="20"/>
          <w:szCs w:val="20"/>
        </w:rPr>
        <w:t>ers ended January 3, 2020 was primarily due to the combined effects of the reasons noted above regarding the fiscal year ended January 1, 2021 and four quarters ended January 3, 2020.</w:t>
      </w:r>
    </w:p>
    <w:p w14:paraId="21244710" w14:textId="77777777" w:rsidR="00000000" w:rsidRDefault="001A570A">
      <w:pPr>
        <w:ind w:firstLine="450"/>
        <w:divId w:val="1863860230"/>
        <w:rPr>
          <w:rFonts w:eastAsia="Times New Roman"/>
        </w:rPr>
      </w:pPr>
      <w:r>
        <w:rPr>
          <w:rFonts w:eastAsia="Times New Roman"/>
          <w:i/>
          <w:iCs/>
          <w:color w:val="000000"/>
          <w:sz w:val="20"/>
          <w:szCs w:val="20"/>
        </w:rPr>
        <w:t>Two Quarters Ended January 3, 2020 Compared With Two Quarters Ended Dece</w:t>
      </w:r>
      <w:r>
        <w:rPr>
          <w:rFonts w:eastAsia="Times New Roman"/>
          <w:i/>
          <w:iCs/>
          <w:color w:val="000000"/>
          <w:sz w:val="20"/>
          <w:szCs w:val="20"/>
        </w:rPr>
        <w:t xml:space="preserve">mber 28, 2018: </w:t>
      </w:r>
      <w:r>
        <w:rPr>
          <w:rFonts w:eastAsia="Times New Roman"/>
          <w:color w:val="000000"/>
          <w:sz w:val="20"/>
          <w:szCs w:val="20"/>
        </w:rPr>
        <w:t>The increase in income from continuing operations in the two quarters ended January 3, 2020 compared with the two quarters ended December 28, 2018 was primarily due to the combined effects of the reasons noted above regarding the two quarter</w:t>
      </w:r>
      <w:r>
        <w:rPr>
          <w:rFonts w:eastAsia="Times New Roman"/>
          <w:color w:val="000000"/>
          <w:sz w:val="20"/>
          <w:szCs w:val="20"/>
        </w:rPr>
        <w:t>s ended January 3, 2020 and two quarters ended December 28, 2018.</w:t>
      </w:r>
    </w:p>
    <w:p w14:paraId="07C7020A" w14:textId="77777777" w:rsidR="00000000" w:rsidRDefault="001A570A">
      <w:pPr>
        <w:divId w:val="887762171"/>
        <w:rPr>
          <w:rFonts w:eastAsia="Times New Roman"/>
        </w:rPr>
      </w:pPr>
      <w:r>
        <w:rPr>
          <w:rFonts w:eastAsia="Times New Roman"/>
          <w:b/>
          <w:bCs/>
          <w:i/>
          <w:iCs/>
          <w:color w:val="000000"/>
          <w:sz w:val="20"/>
          <w:szCs w:val="20"/>
        </w:rPr>
        <w:t>Income From Continuing Operations Per Diluted Common Share Attributable to L3Harris Common Shareholders</w:t>
      </w:r>
    </w:p>
    <w:p w14:paraId="78A5E936" w14:textId="77777777" w:rsidR="00000000" w:rsidRDefault="001A570A">
      <w:pPr>
        <w:ind w:firstLine="495"/>
        <w:divId w:val="474033368"/>
        <w:rPr>
          <w:rFonts w:eastAsia="Times New Roman"/>
        </w:rPr>
      </w:pPr>
      <w:r>
        <w:rPr>
          <w:rFonts w:eastAsia="Times New Roman"/>
          <w:i/>
          <w:iCs/>
          <w:color w:val="000000"/>
          <w:sz w:val="20"/>
          <w:szCs w:val="20"/>
        </w:rPr>
        <w:t>Fiscal Year Ended January 1, 2021 Compared With Four Quarters Ended January 3, 2020:  </w:t>
      </w:r>
      <w:r>
        <w:rPr>
          <w:rFonts w:eastAsia="Times New Roman"/>
          <w:color w:val="000000"/>
          <w:sz w:val="20"/>
          <w:szCs w:val="20"/>
        </w:rPr>
        <w:t>The decrease in income from continuing operations per diluted common share attributable to L3Harris common shareholders in fiscal 2020 compared with the four quarters ended January 3, 2020 was primarily due to the combined effects of the reasons noted abov</w:t>
      </w:r>
      <w:r>
        <w:rPr>
          <w:rFonts w:eastAsia="Times New Roman"/>
          <w:color w:val="000000"/>
          <w:sz w:val="20"/>
          <w:szCs w:val="20"/>
        </w:rPr>
        <w:t>e regarding the fiscal year ended January 1, 2021 and four quarters ended January 3, 2020, particularly the non-cash charges for impairment of goodwill and other assets and other COVID-related impacts in our Commercial Aviation Solutions reporting unit ass</w:t>
      </w:r>
      <w:r>
        <w:rPr>
          <w:rFonts w:eastAsia="Times New Roman"/>
          <w:color w:val="000000"/>
          <w:sz w:val="20"/>
          <w:szCs w:val="20"/>
        </w:rPr>
        <w:t xml:space="preserve">ociated with the downturn in the commercial aviation market and its impact on customer operations, the absence of a prior-year benefit from the gain on the sale of the Harris Night Vision business and divestitures in fiscal 2020, as well as higher diluted </w:t>
      </w:r>
      <w:r>
        <w:rPr>
          <w:rFonts w:eastAsia="Times New Roman"/>
          <w:color w:val="000000"/>
          <w:sz w:val="20"/>
          <w:szCs w:val="20"/>
        </w:rPr>
        <w:t xml:space="preserve">weighted average common shares outstanding as a result of 104 million shares issued in connection with the L3Harris Merger, partially offset by share repurchases during fiscal 2020. </w:t>
      </w:r>
    </w:p>
    <w:p w14:paraId="0FF0A392" w14:textId="77777777" w:rsidR="00000000" w:rsidRDefault="001A570A">
      <w:pPr>
        <w:ind w:firstLine="450"/>
        <w:divId w:val="1611473451"/>
        <w:rPr>
          <w:rFonts w:eastAsia="Times New Roman"/>
        </w:rPr>
      </w:pPr>
      <w:r>
        <w:rPr>
          <w:rFonts w:eastAsia="Times New Roman"/>
          <w:i/>
          <w:iCs/>
          <w:color w:val="000000"/>
          <w:sz w:val="20"/>
          <w:szCs w:val="20"/>
        </w:rPr>
        <w:t>Two Quarters Ended January 3, 2020 Compared With Two Quarters Ended Decem</w:t>
      </w:r>
      <w:r>
        <w:rPr>
          <w:rFonts w:eastAsia="Times New Roman"/>
          <w:i/>
          <w:iCs/>
          <w:color w:val="000000"/>
          <w:sz w:val="20"/>
          <w:szCs w:val="20"/>
        </w:rPr>
        <w:t>ber 28, 2018</w:t>
      </w:r>
      <w:r>
        <w:rPr>
          <w:rFonts w:eastAsia="Times New Roman"/>
          <w:color w:val="000000"/>
          <w:sz w:val="20"/>
          <w:szCs w:val="20"/>
        </w:rPr>
        <w:t>: The increase in income from continuing operations per diluted common share attributable to L3Harris common shareholders in the two quarters ended January 3, 2020 compared with the two quarters ended December 28, 2018 was primarily due to high</w:t>
      </w:r>
      <w:r>
        <w:rPr>
          <w:rFonts w:eastAsia="Times New Roman"/>
          <w:color w:val="000000"/>
          <w:sz w:val="20"/>
          <w:szCs w:val="20"/>
        </w:rPr>
        <w:t>er income from continuing operations, as discussed above, partially offset by higher diluted weighted average common shares outstanding as a result of 104 million shares issued in connection with the L3Harris Merger, partially offset by share repurchases d</w:t>
      </w:r>
      <w:r>
        <w:rPr>
          <w:rFonts w:eastAsia="Times New Roman"/>
          <w:color w:val="000000"/>
          <w:sz w:val="20"/>
          <w:szCs w:val="20"/>
        </w:rPr>
        <w:t>uring fiscal 2020.</w:t>
      </w:r>
    </w:p>
    <w:p w14:paraId="1DBFE1B2" w14:textId="77777777" w:rsidR="00000000" w:rsidRDefault="001A570A">
      <w:pPr>
        <w:ind w:firstLine="450"/>
        <w:divId w:val="1610430572"/>
        <w:rPr>
          <w:rFonts w:eastAsia="Times New Roman"/>
        </w:rPr>
      </w:pPr>
      <w:r>
        <w:rPr>
          <w:rFonts w:eastAsia="Times New Roman"/>
          <w:color w:val="000000"/>
          <w:sz w:val="20"/>
          <w:szCs w:val="20"/>
        </w:rPr>
        <w:t>See the “Common Stock Repurchases” discussion below in this MD&amp;A for further information.</w:t>
      </w:r>
    </w:p>
    <w:p w14:paraId="65423258" w14:textId="77777777" w:rsidR="00000000" w:rsidRDefault="001A570A">
      <w:pPr>
        <w:divId w:val="485441385"/>
        <w:rPr>
          <w:rFonts w:eastAsia="Times New Roman"/>
        </w:rPr>
      </w:pPr>
      <w:r>
        <w:rPr>
          <w:rFonts w:eastAsia="Times New Roman"/>
          <w:b/>
          <w:bCs/>
          <w:color w:val="000000"/>
          <w:sz w:val="20"/>
          <w:szCs w:val="20"/>
        </w:rPr>
        <w:t>Pro Forma Basis Discussion for Fiscal Year Ended January 1, 2021 Compared With the Four Quarters Ended January 3, 2020</w:t>
      </w:r>
    </w:p>
    <w:p w14:paraId="37923B27" w14:textId="77777777" w:rsidR="00000000" w:rsidRDefault="001A570A">
      <w:pPr>
        <w:divId w:val="1264454086"/>
        <w:rPr>
          <w:rFonts w:eastAsia="Times New Roman"/>
        </w:rPr>
      </w:pPr>
      <w:r>
        <w:rPr>
          <w:rFonts w:eastAsia="Times New Roman"/>
          <w:b/>
          <w:bCs/>
          <w:i/>
          <w:iCs/>
          <w:color w:val="000000"/>
          <w:sz w:val="20"/>
          <w:szCs w:val="20"/>
        </w:rPr>
        <w:t>Revenue</w:t>
      </w:r>
    </w:p>
    <w:p w14:paraId="7FF41132" w14:textId="77777777" w:rsidR="00000000" w:rsidRDefault="001A570A">
      <w:pPr>
        <w:ind w:firstLine="450"/>
        <w:divId w:val="31656440"/>
        <w:rPr>
          <w:rFonts w:eastAsia="Times New Roman"/>
        </w:rPr>
      </w:pPr>
      <w:r>
        <w:rPr>
          <w:rFonts w:eastAsia="Times New Roman"/>
          <w:i/>
          <w:iCs/>
          <w:color w:val="000000"/>
          <w:sz w:val="20"/>
          <w:szCs w:val="20"/>
        </w:rPr>
        <w:t>Fiscal Year Ended Ja</w:t>
      </w:r>
      <w:r>
        <w:rPr>
          <w:rFonts w:eastAsia="Times New Roman"/>
          <w:i/>
          <w:iCs/>
          <w:color w:val="000000"/>
          <w:sz w:val="20"/>
          <w:szCs w:val="20"/>
        </w:rPr>
        <w:t xml:space="preserve">nuary 1, 2021 Compared With Four Quarters Ended January 3, 2020: </w:t>
      </w:r>
      <w:r>
        <w:rPr>
          <w:rFonts w:eastAsia="Times New Roman"/>
          <w:color w:val="000000"/>
          <w:sz w:val="20"/>
          <w:szCs w:val="20"/>
        </w:rPr>
        <w:t>The increase in revenue for fiscal 2020 compared with pro forma revenue for the four quarters ended January </w:t>
      </w:r>
      <w:r>
        <w:rPr>
          <w:rFonts w:eastAsia="Times New Roman"/>
          <w:color w:val="000000"/>
          <w:sz w:val="20"/>
          <w:szCs w:val="20"/>
        </w:rPr>
        <w:t>3, 2020 was primarily due to growth in core U.S. and international businesses, excluding commercial aviation and public safety markets, which more than offset the COVID-related decline. Revenue growth was driven by $257 million of higher revenue in our Spa</w:t>
      </w:r>
      <w:r>
        <w:rPr>
          <w:rFonts w:eastAsia="Times New Roman"/>
          <w:color w:val="000000"/>
          <w:sz w:val="20"/>
          <w:szCs w:val="20"/>
        </w:rPr>
        <w:t>ce and Airborne Systems segment, $178 million of higher revenue in our Integrated Mission Systems segment and $165 million of higher revenue in our Communication Systems segment, partially offset by a decline in our Aviation Systems segment, due to the div</w:t>
      </w:r>
      <w:r>
        <w:rPr>
          <w:rFonts w:eastAsia="Times New Roman"/>
          <w:color w:val="000000"/>
          <w:sz w:val="20"/>
          <w:szCs w:val="20"/>
        </w:rPr>
        <w:t xml:space="preserve">estiture of the airport security and automation business and COVID-related impacts. </w:t>
      </w:r>
    </w:p>
    <w:p w14:paraId="514496AF" w14:textId="77777777" w:rsidR="00000000" w:rsidRDefault="001A570A">
      <w:pPr>
        <w:ind w:firstLine="450"/>
        <w:divId w:val="1982687638"/>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revenue for the two quarters ended January 3, 2020 compared with pro</w:t>
      </w:r>
      <w:r>
        <w:rPr>
          <w:rFonts w:eastAsia="Times New Roman"/>
          <w:color w:val="000000"/>
          <w:sz w:val="20"/>
          <w:szCs w:val="20"/>
        </w:rPr>
        <w:t xml:space="preserve"> forma revenue for the two quarters ended December 28, 2018 was primarily due to $321 million higher revenue in our Space and Airborne Systems segment, from a ramp in modernization of the F-35 platform in Mission Avionics, increased production of electroni</w:t>
      </w:r>
      <w:r>
        <w:rPr>
          <w:rFonts w:eastAsia="Times New Roman"/>
          <w:color w:val="000000"/>
          <w:sz w:val="20"/>
          <w:szCs w:val="20"/>
        </w:rPr>
        <w:t>c warfare systems for F/A-18 and B-52 aircraft in Electronic Warfare and growth in ground-based adjacencies and exquisite systems in classified areas; $257 million higher revenue in our Integrated Mission Systems segment, driven by growth in all three busi</w:t>
      </w:r>
      <w:r>
        <w:rPr>
          <w:rFonts w:eastAsia="Times New Roman"/>
          <w:color w:val="000000"/>
          <w:sz w:val="20"/>
          <w:szCs w:val="20"/>
        </w:rPr>
        <w:t>ness sectors: ISR, Electro Optical and Maritime; $202 million higher revenue in our Communication Systems segment, from a ramp in DoD modernization programs in Tactical Communications and Integrated Vision Solutions as well as increased demand with state a</w:t>
      </w:r>
      <w:r>
        <w:rPr>
          <w:rFonts w:eastAsia="Times New Roman"/>
          <w:color w:val="000000"/>
          <w:sz w:val="20"/>
          <w:szCs w:val="20"/>
        </w:rPr>
        <w:t>nd federal customers in Public Safety; and higher revenue in our Aviation Systems segment, reflecting organic growth from precision engagement sensors and systems, partially offset by the prior period competitive loss of the USAF C-17 training contract.</w:t>
      </w:r>
    </w:p>
    <w:p w14:paraId="4F55AA97" w14:textId="77777777" w:rsidR="00000000" w:rsidRDefault="001A570A">
      <w:pPr>
        <w:ind w:firstLine="450"/>
        <w:jc w:val="center"/>
        <w:divId w:val="971060648"/>
        <w:rPr>
          <w:rFonts w:eastAsia="Times New Roman"/>
        </w:rPr>
      </w:pPr>
      <w:r>
        <w:rPr>
          <w:rFonts w:eastAsia="Times New Roman"/>
          <w:color w:val="000000"/>
          <w:sz w:val="20"/>
          <w:szCs w:val="20"/>
        </w:rPr>
        <w:t>44</w:t>
      </w:r>
    </w:p>
    <w:p w14:paraId="247E35BA" w14:textId="77777777" w:rsidR="00000000" w:rsidRDefault="001A570A">
      <w:pPr>
        <w:rPr>
          <w:rFonts w:eastAsia="Times New Roman"/>
        </w:rPr>
      </w:pPr>
      <w:r>
        <w:rPr>
          <w:rFonts w:eastAsia="Times New Roman"/>
        </w:rPr>
        <w:pict w14:anchorId="12815CB8">
          <v:rect id="_x0000_i1072" style="width:0;height:1.5pt" o:hralign="center" o:hrstd="t" o:hr="t" fillcolor="#a0a0a0" stroked="f"/>
        </w:pict>
      </w:r>
    </w:p>
    <w:p w14:paraId="18DFF65E" w14:textId="77777777" w:rsidR="00000000" w:rsidRDefault="001A570A">
      <w:pPr>
        <w:ind w:firstLine="450"/>
        <w:divId w:val="901720457"/>
        <w:rPr>
          <w:rFonts w:eastAsia="Times New Roman"/>
        </w:rPr>
      </w:pPr>
    </w:p>
    <w:p w14:paraId="62FB26CC" w14:textId="77777777" w:rsidR="00000000" w:rsidRDefault="001A570A">
      <w:pPr>
        <w:divId w:val="1308633957"/>
        <w:rPr>
          <w:rFonts w:eastAsia="Times New Roman"/>
        </w:rPr>
      </w:pPr>
      <w:r>
        <w:rPr>
          <w:rFonts w:eastAsia="Times New Roman"/>
          <w:b/>
          <w:bCs/>
          <w:i/>
          <w:iCs/>
          <w:color w:val="000000"/>
          <w:sz w:val="20"/>
          <w:szCs w:val="20"/>
        </w:rPr>
        <w:t>Gross Margin</w:t>
      </w:r>
    </w:p>
    <w:p w14:paraId="580C5838" w14:textId="77777777" w:rsidR="00000000" w:rsidRDefault="001A570A">
      <w:pPr>
        <w:ind w:firstLine="450"/>
        <w:divId w:val="1575820207"/>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The increase in gross margin and comparability of gross margin percentage for fiscal 2020 compared with pro forma gros</w:t>
      </w:r>
      <w:r>
        <w:rPr>
          <w:rFonts w:eastAsia="Times New Roman"/>
          <w:color w:val="000000"/>
          <w:sz w:val="20"/>
          <w:szCs w:val="20"/>
        </w:rPr>
        <w:t>s margin and gross margin percentage for the four quarters ended January 3, 2020 reflects integration benefits, higher volume, operational excellence and $111 million of lower cost of sales related to the fair value step-up in inventory sold in the L3Harri</w:t>
      </w:r>
      <w:r>
        <w:rPr>
          <w:rFonts w:eastAsia="Times New Roman"/>
          <w:color w:val="000000"/>
          <w:sz w:val="20"/>
          <w:szCs w:val="20"/>
        </w:rPr>
        <w:t>s Merger, partially offset by a mix of program revenue and product sales with relatively lower gross margin percentage in fiscal 2020.</w:t>
      </w:r>
    </w:p>
    <w:p w14:paraId="6CA13CB3" w14:textId="77777777" w:rsidR="00000000" w:rsidRDefault="001A570A">
      <w:pPr>
        <w:ind w:firstLine="450"/>
        <w:divId w:val="721640474"/>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gross margin and d</w:t>
      </w:r>
      <w:r>
        <w:rPr>
          <w:rFonts w:eastAsia="Times New Roman"/>
          <w:color w:val="000000"/>
          <w:sz w:val="20"/>
          <w:szCs w:val="20"/>
        </w:rPr>
        <w:t>ecrease in gross margin percentage for the two quarters ended January 3, 2020 compared with pro forma gross margin and gross margin percentage for the two quarters ended December 28, 2018 were primarily due to higher volume and strong operational performan</w:t>
      </w:r>
      <w:r>
        <w:rPr>
          <w:rFonts w:eastAsia="Times New Roman"/>
          <w:color w:val="000000"/>
          <w:sz w:val="20"/>
          <w:szCs w:val="20"/>
        </w:rPr>
        <w:t>ce, partially offset by $142 million of additional cost of sales related to the fair value step-up in inventory sold in the two quarters ended January 3, 2020.</w:t>
      </w:r>
    </w:p>
    <w:p w14:paraId="00A28F80" w14:textId="77777777" w:rsidR="00000000" w:rsidRDefault="001A570A">
      <w:pPr>
        <w:divId w:val="1992631398"/>
        <w:rPr>
          <w:rFonts w:eastAsia="Times New Roman"/>
        </w:rPr>
      </w:pPr>
      <w:r>
        <w:rPr>
          <w:rFonts w:eastAsia="Times New Roman"/>
          <w:b/>
          <w:bCs/>
          <w:i/>
          <w:iCs/>
          <w:color w:val="000000"/>
          <w:sz w:val="20"/>
          <w:szCs w:val="20"/>
        </w:rPr>
        <w:t>Engineering, Selling and Administrative Expenses</w:t>
      </w:r>
    </w:p>
    <w:p w14:paraId="7767C756" w14:textId="77777777" w:rsidR="00000000" w:rsidRDefault="001A570A">
      <w:pPr>
        <w:ind w:firstLine="450"/>
        <w:divId w:val="1963728649"/>
        <w:rPr>
          <w:rFonts w:eastAsia="Times New Roman"/>
        </w:rPr>
      </w:pPr>
      <w:r>
        <w:rPr>
          <w:rFonts w:eastAsia="Times New Roman"/>
          <w:i/>
          <w:iCs/>
          <w:color w:val="000000"/>
          <w:sz w:val="20"/>
          <w:szCs w:val="20"/>
        </w:rPr>
        <w:t>Fiscal Year Ended January 1, 2021 Compared With</w:t>
      </w:r>
      <w:r>
        <w:rPr>
          <w:rFonts w:eastAsia="Times New Roman"/>
          <w:i/>
          <w:iCs/>
          <w:color w:val="000000"/>
          <w:sz w:val="20"/>
          <w:szCs w:val="20"/>
        </w:rPr>
        <w:t xml:space="preserve"> Four Quarters Ended January 3, 2020: </w:t>
      </w:r>
      <w:r>
        <w:rPr>
          <w:rFonts w:eastAsia="Times New Roman"/>
          <w:color w:val="000000"/>
          <w:sz w:val="20"/>
          <w:szCs w:val="20"/>
        </w:rPr>
        <w:t xml:space="preserve">The decreases in ESA expenses and ESA percentage for fiscal 2020 compared with pro forma ESA expenses and ESA percentage for the four quarters ended January 3, 2020 were primarily due to $262 million of lower L3Harris </w:t>
      </w:r>
      <w:r>
        <w:rPr>
          <w:rFonts w:eastAsia="Times New Roman"/>
          <w:color w:val="000000"/>
          <w:sz w:val="20"/>
          <w:szCs w:val="20"/>
        </w:rPr>
        <w:t>Merger-related transaction, integration and restructuring expenses, a $22 million gain on sale of property, plant and equipment and integration savings, partially offset by $105 million of higher amortization of identifiable intangible assets acquired as a</w:t>
      </w:r>
      <w:r>
        <w:rPr>
          <w:rFonts w:eastAsia="Times New Roman"/>
          <w:color w:val="000000"/>
          <w:sz w:val="20"/>
          <w:szCs w:val="20"/>
        </w:rPr>
        <w:t xml:space="preserve"> result of the L3Harris Merger, $16 million of COVID-related restructuring expenses and other costs and $13 million of higher divestiture-related expenses in fiscal 2020.</w:t>
      </w:r>
    </w:p>
    <w:p w14:paraId="63572407" w14:textId="77777777" w:rsidR="00000000" w:rsidRDefault="001A570A">
      <w:pPr>
        <w:ind w:firstLine="450"/>
        <w:divId w:val="676882891"/>
        <w:rPr>
          <w:rFonts w:eastAsia="Times New Roman"/>
        </w:rPr>
      </w:pPr>
      <w:r>
        <w:rPr>
          <w:rFonts w:eastAsia="Times New Roman"/>
          <w:i/>
          <w:iCs/>
          <w:color w:val="000000"/>
          <w:sz w:val="20"/>
          <w:szCs w:val="20"/>
        </w:rPr>
        <w:t>Two Quarters Ended January 3, 2020 Compared With Two Quarters Ended December 28, 2018</w:t>
      </w:r>
      <w:r>
        <w:rPr>
          <w:rFonts w:eastAsia="Times New Roman"/>
          <w:i/>
          <w:iCs/>
          <w:color w:val="000000"/>
          <w:sz w:val="20"/>
          <w:szCs w:val="20"/>
        </w:rPr>
        <w:t xml:space="preserve">: </w:t>
      </w:r>
      <w:r>
        <w:rPr>
          <w:rFonts w:eastAsia="Times New Roman"/>
          <w:color w:val="000000"/>
          <w:sz w:val="20"/>
          <w:szCs w:val="20"/>
        </w:rPr>
        <w:t>The increases in ESA expenses and ESA percentage for the two quarters ended January 3, 2020 compared with pro forma ESA expenses and ESA percentage for the two quarters ended December 28, 2018 were primarily due to $344 million of L3Harris Merger-related</w:t>
      </w:r>
      <w:r>
        <w:rPr>
          <w:rFonts w:eastAsia="Times New Roman"/>
          <w:color w:val="000000"/>
          <w:sz w:val="20"/>
          <w:szCs w:val="20"/>
        </w:rPr>
        <w:t xml:space="preserve"> transaction, integration and restructuring expenses in the two quarters ended January 3, 2020, partially offset by integration savings.</w:t>
      </w:r>
    </w:p>
    <w:p w14:paraId="210E1A9A" w14:textId="77777777" w:rsidR="00000000" w:rsidRDefault="001A570A">
      <w:pPr>
        <w:divId w:val="1091436613"/>
        <w:rPr>
          <w:rFonts w:eastAsia="Times New Roman"/>
        </w:rPr>
      </w:pPr>
      <w:r>
        <w:rPr>
          <w:rFonts w:eastAsia="Times New Roman"/>
          <w:b/>
          <w:bCs/>
          <w:i/>
          <w:iCs/>
          <w:color w:val="000000"/>
          <w:sz w:val="20"/>
          <w:szCs w:val="20"/>
        </w:rPr>
        <w:t>Business Divestiture-Related (Losses) Gains</w:t>
      </w:r>
    </w:p>
    <w:p w14:paraId="351F5BAA" w14:textId="77777777" w:rsidR="00000000" w:rsidRDefault="001A570A">
      <w:pPr>
        <w:ind w:firstLine="450"/>
        <w:divId w:val="1834570003"/>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Business divestiture-related (losses) gains for fiscal 2020 and the four quarters ended January 3, 2020 on a pro forma basis included the same items as noted above for fis</w:t>
      </w:r>
      <w:r>
        <w:rPr>
          <w:rFonts w:eastAsia="Times New Roman"/>
          <w:color w:val="000000"/>
          <w:sz w:val="20"/>
          <w:szCs w:val="20"/>
        </w:rPr>
        <w:t>cal 2020 and the four quarters ended January 3, 2020 on an as reported basis.</w:t>
      </w:r>
    </w:p>
    <w:p w14:paraId="0F0C5ACF" w14:textId="77777777" w:rsidR="00000000" w:rsidRDefault="001A570A">
      <w:pPr>
        <w:ind w:firstLine="450"/>
        <w:divId w:val="1544634461"/>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Business divestiture-related (losses) gains for the two quarters ended January 3, 2020 incl</w:t>
      </w:r>
      <w:r>
        <w:rPr>
          <w:rFonts w:eastAsia="Times New Roman"/>
          <w:color w:val="000000"/>
          <w:sz w:val="20"/>
          <w:szCs w:val="20"/>
        </w:rPr>
        <w:t>uded the same items as noted above for the two quarters ended January 3, 2020 and December 28, 2018 on an as reported basis.</w:t>
      </w:r>
    </w:p>
    <w:p w14:paraId="680466B4" w14:textId="77777777" w:rsidR="00000000" w:rsidRDefault="001A570A">
      <w:pPr>
        <w:ind w:firstLine="450"/>
        <w:divId w:val="967394658"/>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3: Business Divestitures and Asset Sales </w:t>
      </w:r>
      <w:r>
        <w:rPr>
          <w:rFonts w:eastAsia="Times New Roman"/>
          <w:color w:val="000000"/>
          <w:sz w:val="20"/>
          <w:szCs w:val="20"/>
        </w:rPr>
        <w:t>in the Notes for further information.</w:t>
      </w:r>
    </w:p>
    <w:p w14:paraId="0BE4E761" w14:textId="77777777" w:rsidR="00000000" w:rsidRDefault="001A570A">
      <w:pPr>
        <w:divId w:val="1400857448"/>
        <w:rPr>
          <w:rFonts w:eastAsia="Times New Roman"/>
        </w:rPr>
      </w:pPr>
      <w:r>
        <w:rPr>
          <w:rFonts w:eastAsia="Times New Roman"/>
          <w:b/>
          <w:bCs/>
          <w:i/>
          <w:iCs/>
          <w:color w:val="000000"/>
          <w:sz w:val="20"/>
          <w:szCs w:val="20"/>
        </w:rPr>
        <w:t>Impairment of Goodwill and Other Assets</w:t>
      </w:r>
      <w:r>
        <w:rPr>
          <w:rFonts w:eastAsia="Times New Roman"/>
          <w:i/>
          <w:iCs/>
          <w:color w:val="000000"/>
          <w:sz w:val="20"/>
          <w:szCs w:val="20"/>
        </w:rPr>
        <w:t xml:space="preserve"> </w:t>
      </w:r>
    </w:p>
    <w:p w14:paraId="678D1B80" w14:textId="77777777" w:rsidR="00000000" w:rsidRDefault="001A570A">
      <w:pPr>
        <w:ind w:firstLine="450"/>
        <w:divId w:val="1058481846"/>
        <w:rPr>
          <w:rFonts w:eastAsia="Times New Roman"/>
        </w:rPr>
      </w:pPr>
      <w:r>
        <w:rPr>
          <w:rFonts w:eastAsia="Times New Roman"/>
          <w:i/>
          <w:iCs/>
          <w:color w:val="000000"/>
          <w:sz w:val="20"/>
          <w:szCs w:val="20"/>
        </w:rPr>
        <w:t>Fi</w:t>
      </w:r>
      <w:r>
        <w:rPr>
          <w:rFonts w:eastAsia="Times New Roman"/>
          <w:i/>
          <w:iCs/>
          <w:color w:val="000000"/>
          <w:sz w:val="20"/>
          <w:szCs w:val="20"/>
        </w:rPr>
        <w:t xml:space="preserve">scal Year Ended January 1, 2021 Compared With Four Quarters Ended January 3, 2020: </w:t>
      </w:r>
      <w:r>
        <w:rPr>
          <w:rFonts w:eastAsia="Times New Roman"/>
          <w:color w:val="000000"/>
          <w:sz w:val="20"/>
          <w:szCs w:val="20"/>
        </w:rPr>
        <w:t xml:space="preserve">Impairment of goodwill and other assets for fiscal 2020 and the four quarters ended January 3, 2020 on a pro forma basis reflects the same charges as noted above for fiscal </w:t>
      </w:r>
      <w:r>
        <w:rPr>
          <w:rFonts w:eastAsia="Times New Roman"/>
          <w:color w:val="000000"/>
          <w:sz w:val="20"/>
          <w:szCs w:val="20"/>
        </w:rPr>
        <w:t>2020 and the four quarters ended January 3, 2020 on an as reported basis.</w:t>
      </w:r>
    </w:p>
    <w:p w14:paraId="2B64DE3C" w14:textId="77777777" w:rsidR="00000000" w:rsidRDefault="001A570A">
      <w:pPr>
        <w:ind w:firstLine="450"/>
        <w:divId w:val="529732010"/>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Impairment of goodwill and other assets for the two quarters ended January 3, 2020 reflects the</w:t>
      </w:r>
      <w:r>
        <w:rPr>
          <w:rFonts w:eastAsia="Times New Roman"/>
          <w:color w:val="000000"/>
          <w:sz w:val="20"/>
          <w:szCs w:val="20"/>
        </w:rPr>
        <w:t xml:space="preserve"> same charges as noted above for the two quarters ended January 3, 2020 and December 28, 2018 on an as reported basis. </w:t>
      </w:r>
    </w:p>
    <w:p w14:paraId="57AE6A61" w14:textId="77777777" w:rsidR="00000000" w:rsidRDefault="001A570A">
      <w:pPr>
        <w:ind w:firstLine="450"/>
        <w:divId w:val="812601854"/>
        <w:rPr>
          <w:rFonts w:eastAsia="Times New Roman"/>
        </w:rPr>
      </w:pPr>
      <w:r>
        <w:rPr>
          <w:rFonts w:eastAsia="Times New Roman"/>
          <w:color w:val="000000"/>
          <w:sz w:val="20"/>
          <w:szCs w:val="20"/>
        </w:rPr>
        <w:t xml:space="preserve">See </w:t>
      </w:r>
      <w:r>
        <w:rPr>
          <w:rFonts w:eastAsia="Times New Roman"/>
          <w:i/>
          <w:iCs/>
          <w:color w:val="000000"/>
          <w:sz w:val="20"/>
          <w:szCs w:val="20"/>
        </w:rPr>
        <w:t>Note 3: Business Divestitures and Asset Sales, Note 4: Restructuring and Other Exit Costs</w:t>
      </w:r>
      <w:r>
        <w:rPr>
          <w:rFonts w:eastAsia="Times New Roman"/>
          <w:color w:val="000000"/>
          <w:sz w:val="20"/>
          <w:szCs w:val="20"/>
        </w:rPr>
        <w:t xml:space="preserve"> and </w:t>
      </w:r>
      <w:r>
        <w:rPr>
          <w:rFonts w:eastAsia="Times New Roman"/>
          <w:i/>
          <w:iCs/>
          <w:color w:val="000000"/>
          <w:sz w:val="20"/>
          <w:szCs w:val="20"/>
        </w:rPr>
        <w:t>Note 10: Goodwill</w:t>
      </w:r>
      <w:r>
        <w:rPr>
          <w:rFonts w:eastAsia="Times New Roman"/>
          <w:color w:val="000000"/>
          <w:sz w:val="20"/>
          <w:szCs w:val="20"/>
        </w:rPr>
        <w:t xml:space="preserve"> in the Notes for fur</w:t>
      </w:r>
      <w:r>
        <w:rPr>
          <w:rFonts w:eastAsia="Times New Roman"/>
          <w:color w:val="000000"/>
          <w:sz w:val="20"/>
          <w:szCs w:val="20"/>
        </w:rPr>
        <w:t>ther information.</w:t>
      </w:r>
    </w:p>
    <w:p w14:paraId="5933E91F" w14:textId="77777777" w:rsidR="00000000" w:rsidRDefault="001A570A">
      <w:pPr>
        <w:divId w:val="210269874"/>
        <w:rPr>
          <w:rFonts w:eastAsia="Times New Roman"/>
        </w:rPr>
      </w:pPr>
      <w:r>
        <w:rPr>
          <w:rFonts w:eastAsia="Times New Roman"/>
          <w:b/>
          <w:bCs/>
          <w:i/>
          <w:iCs/>
          <w:color w:val="000000"/>
          <w:sz w:val="20"/>
          <w:szCs w:val="20"/>
        </w:rPr>
        <w:t xml:space="preserve">Non-Operating Income </w:t>
      </w:r>
    </w:p>
    <w:p w14:paraId="37833AF4" w14:textId="77777777" w:rsidR="00000000" w:rsidRDefault="001A570A">
      <w:pPr>
        <w:ind w:firstLine="450"/>
        <w:divId w:val="814375493"/>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The increase in non-operating income for fiscal 2020 compared with pro forma non-operating income for the four quarters ended Janua</w:t>
      </w:r>
      <w:r>
        <w:rPr>
          <w:rFonts w:eastAsia="Times New Roman"/>
          <w:color w:val="000000"/>
          <w:sz w:val="20"/>
          <w:szCs w:val="20"/>
        </w:rPr>
        <w:t>ry 3, 2020 was primarily due to an increase in the non-service cost components of pension and other postretirement benefit plan income, partially offset by a $23 million gain on a pension plan curtailment in the four quarters ended January 3, 2020.</w:t>
      </w:r>
    </w:p>
    <w:p w14:paraId="407983AC" w14:textId="77777777" w:rsidR="00000000" w:rsidRDefault="001A570A">
      <w:pPr>
        <w:ind w:firstLine="450"/>
        <w:jc w:val="center"/>
        <w:divId w:val="223613554"/>
        <w:rPr>
          <w:rFonts w:eastAsia="Times New Roman"/>
        </w:rPr>
      </w:pPr>
      <w:r>
        <w:rPr>
          <w:rFonts w:eastAsia="Times New Roman"/>
          <w:color w:val="000000"/>
          <w:sz w:val="20"/>
          <w:szCs w:val="20"/>
        </w:rPr>
        <w:t>45</w:t>
      </w:r>
    </w:p>
    <w:p w14:paraId="10BD3FF2" w14:textId="77777777" w:rsidR="00000000" w:rsidRDefault="001A570A">
      <w:pPr>
        <w:rPr>
          <w:rFonts w:eastAsia="Times New Roman"/>
        </w:rPr>
      </w:pPr>
      <w:r>
        <w:rPr>
          <w:rFonts w:eastAsia="Times New Roman"/>
        </w:rPr>
        <w:pict w14:anchorId="07CEB000">
          <v:rect id="_x0000_i1073" style="width:0;height:1.5pt" o:hralign="center" o:hrstd="t" o:hr="t" fillcolor="#a0a0a0" stroked="f"/>
        </w:pict>
      </w:r>
    </w:p>
    <w:p w14:paraId="474ACDF4" w14:textId="77777777" w:rsidR="00000000" w:rsidRDefault="001A570A">
      <w:pPr>
        <w:ind w:firstLine="450"/>
        <w:divId w:val="2111317190"/>
        <w:rPr>
          <w:rFonts w:eastAsia="Times New Roman"/>
        </w:rPr>
      </w:pPr>
    </w:p>
    <w:p w14:paraId="1BCBD578" w14:textId="77777777" w:rsidR="00000000" w:rsidRDefault="001A570A">
      <w:pPr>
        <w:ind w:firstLine="450"/>
        <w:divId w:val="424955475"/>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non-operating income for the two quarters ended January 3, 2020 compared with pro forma non-operating income for the tw</w:t>
      </w:r>
      <w:r>
        <w:rPr>
          <w:rFonts w:eastAsia="Times New Roman"/>
          <w:color w:val="000000"/>
          <w:sz w:val="20"/>
          <w:szCs w:val="20"/>
        </w:rPr>
        <w:t>o quarters ended December 28, 2018 was primarily due to an increase in the non-service cost components of pension and other postretirement benefit plan income, including a $23 million gain on a pension plan curtailment, in the two quarters ended January 3,</w:t>
      </w:r>
      <w:r>
        <w:rPr>
          <w:rFonts w:eastAsia="Times New Roman"/>
          <w:color w:val="000000"/>
          <w:sz w:val="20"/>
          <w:szCs w:val="20"/>
        </w:rPr>
        <w:t xml:space="preserve"> 2020 and a $21 million debt extinguishment loss recognized by L3 in the two quarters ended December 28, 2018.</w:t>
      </w:r>
    </w:p>
    <w:p w14:paraId="75C92F89" w14:textId="77777777" w:rsidR="00000000" w:rsidRDefault="001A570A">
      <w:pPr>
        <w:divId w:val="1564294040"/>
        <w:rPr>
          <w:rFonts w:eastAsia="Times New Roman"/>
        </w:rPr>
      </w:pPr>
      <w:r>
        <w:rPr>
          <w:rFonts w:eastAsia="Times New Roman"/>
          <w:b/>
          <w:bCs/>
          <w:i/>
          <w:iCs/>
          <w:color w:val="000000"/>
          <w:sz w:val="20"/>
          <w:szCs w:val="20"/>
        </w:rPr>
        <w:t>Net Interest Expense</w:t>
      </w:r>
    </w:p>
    <w:p w14:paraId="42319DE5" w14:textId="77777777" w:rsidR="00000000" w:rsidRDefault="001A570A">
      <w:pPr>
        <w:ind w:firstLine="450"/>
        <w:divId w:val="1161585869"/>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Net interest expense for fiscal 2020 wa</w:t>
      </w:r>
      <w:r>
        <w:rPr>
          <w:rFonts w:eastAsia="Times New Roman"/>
          <w:color w:val="000000"/>
          <w:sz w:val="20"/>
          <w:szCs w:val="20"/>
        </w:rPr>
        <w:t>s largely unchanged compared with pro forma net interest expense for the four quarters ended January 3, 2020.</w:t>
      </w:r>
    </w:p>
    <w:p w14:paraId="04832F3D" w14:textId="77777777" w:rsidR="00000000" w:rsidRDefault="001A570A">
      <w:pPr>
        <w:ind w:firstLine="450"/>
        <w:divId w:val="664434499"/>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decrease in net interest expense for the two quarters e</w:t>
      </w:r>
      <w:r>
        <w:rPr>
          <w:rFonts w:eastAsia="Times New Roman"/>
          <w:color w:val="000000"/>
          <w:sz w:val="20"/>
          <w:szCs w:val="20"/>
        </w:rPr>
        <w:t>nded January 3, 2020 compared with pro forma net interest expense for the two quarters ended December 28, 2018 was primarily due to lower average debt levels as a result of the repayment at maturity of the entire outstanding $300 million aggregate principa</w:t>
      </w:r>
      <w:r>
        <w:rPr>
          <w:rFonts w:eastAsia="Times New Roman"/>
          <w:color w:val="000000"/>
          <w:sz w:val="20"/>
          <w:szCs w:val="20"/>
        </w:rPr>
        <w:t xml:space="preserve">l amount of our Floating Rate Notes due February 27, 2019. See </w:t>
      </w:r>
      <w:r>
        <w:rPr>
          <w:rFonts w:eastAsia="Times New Roman"/>
          <w:i/>
          <w:iCs/>
          <w:color w:val="000000"/>
          <w:sz w:val="20"/>
          <w:szCs w:val="20"/>
        </w:rPr>
        <w:t>Note 14: Debt</w:t>
      </w:r>
      <w:r>
        <w:rPr>
          <w:rFonts w:eastAsia="Times New Roman"/>
          <w:color w:val="000000"/>
          <w:sz w:val="20"/>
          <w:szCs w:val="20"/>
        </w:rPr>
        <w:t xml:space="preserve"> in the Notes for further information.</w:t>
      </w:r>
    </w:p>
    <w:p w14:paraId="37B7F0DB" w14:textId="77777777" w:rsidR="00000000" w:rsidRDefault="001A570A">
      <w:pPr>
        <w:divId w:val="2116634815"/>
        <w:rPr>
          <w:rFonts w:eastAsia="Times New Roman"/>
        </w:rPr>
      </w:pPr>
      <w:r>
        <w:rPr>
          <w:rFonts w:eastAsia="Times New Roman"/>
          <w:b/>
          <w:bCs/>
          <w:i/>
          <w:iCs/>
          <w:color w:val="000000"/>
          <w:sz w:val="20"/>
          <w:szCs w:val="20"/>
        </w:rPr>
        <w:t>Income Taxes</w:t>
      </w:r>
    </w:p>
    <w:p w14:paraId="269FD628" w14:textId="77777777" w:rsidR="00000000" w:rsidRDefault="001A570A">
      <w:pPr>
        <w:ind w:firstLine="450"/>
        <w:divId w:val="2003702317"/>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Our effective tax rate was 18 percent in fiscal 2020 compared with a 10 percent pro forma effective tax rate for the four quarters ended January 3, 2020. Our effective tax rate for fiscal 2020 was impacted by the same items as noted above for fiscal 2020 o</w:t>
      </w:r>
      <w:r>
        <w:rPr>
          <w:rFonts w:eastAsia="Times New Roman"/>
          <w:color w:val="000000"/>
          <w:sz w:val="20"/>
          <w:szCs w:val="20"/>
        </w:rPr>
        <w:t>n an as reported basis.</w:t>
      </w:r>
    </w:p>
    <w:p w14:paraId="5CE772C7" w14:textId="77777777" w:rsidR="00000000" w:rsidRDefault="001A570A">
      <w:pPr>
        <w:ind w:firstLine="450"/>
        <w:divId w:val="1652975999"/>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Our effective tax rate was 8 percent in the two quarters ended January 3, 2020 compared with a 10 percent pro forma effective tax rate for the tw</w:t>
      </w:r>
      <w:r>
        <w:rPr>
          <w:rFonts w:eastAsia="Times New Roman"/>
          <w:color w:val="000000"/>
          <w:sz w:val="20"/>
          <w:szCs w:val="20"/>
        </w:rPr>
        <w:t>o quarters ended December 28, 2018. Our effective tax rate for the two quarters ended January 3, 2020 was impacted by the same items as noted above for the two quarters ended January 3, 2020 on an as reported basis.</w:t>
      </w:r>
    </w:p>
    <w:p w14:paraId="362B299D" w14:textId="77777777" w:rsidR="00000000" w:rsidRDefault="001A570A">
      <w:pPr>
        <w:ind w:firstLine="450"/>
        <w:divId w:val="1408384061"/>
        <w:rPr>
          <w:rFonts w:eastAsia="Times New Roman"/>
        </w:rPr>
      </w:pPr>
      <w:r>
        <w:rPr>
          <w:rFonts w:eastAsia="Times New Roman"/>
          <w:color w:val="000000"/>
          <w:sz w:val="20"/>
          <w:szCs w:val="20"/>
        </w:rPr>
        <w:t>See “Supplemental Unaudited Pro Forma Co</w:t>
      </w:r>
      <w:r>
        <w:rPr>
          <w:rFonts w:eastAsia="Times New Roman"/>
          <w:color w:val="000000"/>
          <w:sz w:val="20"/>
          <w:szCs w:val="20"/>
        </w:rPr>
        <w:t>ndensed Combined Income Statement Information” below in this MD&amp;A for information regarding our pro forma effective tax rate for the four quarters ended January 3, 2020.</w:t>
      </w:r>
    </w:p>
    <w:p w14:paraId="30E84666" w14:textId="77777777" w:rsidR="00000000" w:rsidRDefault="001A570A">
      <w:pPr>
        <w:divId w:val="300841584"/>
        <w:rPr>
          <w:rFonts w:eastAsia="Times New Roman"/>
        </w:rPr>
      </w:pPr>
      <w:r>
        <w:rPr>
          <w:rFonts w:eastAsia="Times New Roman"/>
          <w:b/>
          <w:bCs/>
          <w:i/>
          <w:iCs/>
          <w:color w:val="000000"/>
          <w:sz w:val="20"/>
          <w:szCs w:val="20"/>
        </w:rPr>
        <w:t>Income From Continuing Operations</w:t>
      </w:r>
    </w:p>
    <w:p w14:paraId="59E19324" w14:textId="77777777" w:rsidR="00000000" w:rsidRDefault="001A570A">
      <w:pPr>
        <w:ind w:firstLine="495"/>
        <w:divId w:val="1251816498"/>
        <w:rPr>
          <w:rFonts w:eastAsia="Times New Roman"/>
        </w:rPr>
      </w:pPr>
      <w:r>
        <w:rPr>
          <w:rFonts w:eastAsia="Times New Roman"/>
          <w:i/>
          <w:iCs/>
          <w:color w:val="000000"/>
          <w:sz w:val="20"/>
          <w:szCs w:val="20"/>
        </w:rPr>
        <w:t>Fiscal Year Ended January 1, 2021 Compared With Four</w:t>
      </w:r>
      <w:r>
        <w:rPr>
          <w:rFonts w:eastAsia="Times New Roman"/>
          <w:i/>
          <w:iCs/>
          <w:color w:val="000000"/>
          <w:sz w:val="20"/>
          <w:szCs w:val="20"/>
        </w:rPr>
        <w:t xml:space="preserve"> Quarters Ended January 3, 2020: </w:t>
      </w:r>
      <w:r>
        <w:rPr>
          <w:rFonts w:eastAsia="Times New Roman"/>
          <w:color w:val="000000"/>
          <w:sz w:val="20"/>
          <w:szCs w:val="20"/>
        </w:rPr>
        <w:t>The decrease in income from continuing operations for fiscal 2020 compared with pro forma income from continuing operations for the four quarters ended January 3, 2020 was primarily due to the combined effects of the reason</w:t>
      </w:r>
      <w:r>
        <w:rPr>
          <w:rFonts w:eastAsia="Times New Roman"/>
          <w:color w:val="000000"/>
          <w:sz w:val="20"/>
          <w:szCs w:val="20"/>
        </w:rPr>
        <w:t>s noted above in this “Pro Forma” discussion regarding the fiscal year ended January 1, 2021 and four quarters ended January 3, 2020, particularly the non-cash charges for impairment of goodwill and other assets in our Commercial Aviation Solutions reporti</w:t>
      </w:r>
      <w:r>
        <w:rPr>
          <w:rFonts w:eastAsia="Times New Roman"/>
          <w:color w:val="000000"/>
          <w:sz w:val="20"/>
          <w:szCs w:val="20"/>
        </w:rPr>
        <w:t>ng unit associated with the COVID-related downturn in the commercial aviation market and its impact on customer operations, the absence of a prior-year benefit from the gain on the sale of the Harris Night Vision business, and divestitures in fiscal 2020.</w:t>
      </w:r>
    </w:p>
    <w:p w14:paraId="3DD6AEFC" w14:textId="77777777" w:rsidR="00000000" w:rsidRDefault="001A570A">
      <w:pPr>
        <w:ind w:firstLine="450"/>
        <w:divId w:val="1765880695"/>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 in income from continuing operations for the two quarters ended January 3, 2020 compared with pro forma income from continuing operations for the two quarte</w:t>
      </w:r>
      <w:r>
        <w:rPr>
          <w:rFonts w:eastAsia="Times New Roman"/>
          <w:color w:val="000000"/>
          <w:sz w:val="20"/>
          <w:szCs w:val="20"/>
        </w:rPr>
        <w:t>rs ended December 28, 2018 was primarily due to the combined effects of the reasons noted above in this “Pro Forma” discussion regarding the two quarters ended January 3, 2020 and two quarters ended December 28, 2018.</w:t>
      </w:r>
    </w:p>
    <w:p w14:paraId="7003CA64" w14:textId="77777777" w:rsidR="00000000" w:rsidRDefault="001A570A">
      <w:pPr>
        <w:divId w:val="1938948670"/>
        <w:rPr>
          <w:rFonts w:eastAsia="Times New Roman"/>
        </w:rPr>
      </w:pPr>
      <w:r>
        <w:rPr>
          <w:rFonts w:eastAsia="Times New Roman"/>
          <w:b/>
          <w:bCs/>
          <w:i/>
          <w:iCs/>
          <w:color w:val="000000"/>
          <w:sz w:val="20"/>
          <w:szCs w:val="20"/>
        </w:rPr>
        <w:t xml:space="preserve">Income From Continuing Operations Per </w:t>
      </w:r>
      <w:r>
        <w:rPr>
          <w:rFonts w:eastAsia="Times New Roman"/>
          <w:b/>
          <w:bCs/>
          <w:i/>
          <w:iCs/>
          <w:color w:val="000000"/>
          <w:sz w:val="20"/>
          <w:szCs w:val="20"/>
        </w:rPr>
        <w:t>Diluted Common Share Attributable to L3Harris Common Shareholders</w:t>
      </w:r>
    </w:p>
    <w:p w14:paraId="5C785E28" w14:textId="77777777" w:rsidR="00000000" w:rsidRDefault="001A570A">
      <w:pPr>
        <w:ind w:firstLine="450"/>
        <w:divId w:val="2092894744"/>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The decrease in income from continuing operations per diluted common share attributable to L3Harris commo</w:t>
      </w:r>
      <w:r>
        <w:rPr>
          <w:rFonts w:eastAsia="Times New Roman"/>
          <w:color w:val="000000"/>
          <w:sz w:val="20"/>
          <w:szCs w:val="20"/>
        </w:rPr>
        <w:t>n shareholders for fiscal 2020 compared with pro forma income from continuing operations per diluted common share attributable to L3Harris common shareholders for the four quarters ended January 3, 2020 was primarily due to lower income from continuing ope</w:t>
      </w:r>
      <w:r>
        <w:rPr>
          <w:rFonts w:eastAsia="Times New Roman"/>
          <w:color w:val="000000"/>
          <w:sz w:val="20"/>
          <w:szCs w:val="20"/>
        </w:rPr>
        <w:t xml:space="preserve">rations, as discussed above, partially offset by a decrease in our diluted weighted average common shares outstanding from shares of our common stock repurchased under our repurchase program during fiscal 2020. </w:t>
      </w:r>
    </w:p>
    <w:p w14:paraId="10C0F9E1" w14:textId="77777777" w:rsidR="00000000" w:rsidRDefault="001A570A">
      <w:pPr>
        <w:ind w:firstLine="450"/>
        <w:divId w:val="1305886846"/>
        <w:rPr>
          <w:rFonts w:eastAsia="Times New Roman"/>
        </w:rPr>
      </w:pPr>
      <w:r>
        <w:rPr>
          <w:rFonts w:eastAsia="Times New Roman"/>
          <w:i/>
          <w:iCs/>
          <w:color w:val="000000"/>
          <w:sz w:val="20"/>
          <w:szCs w:val="20"/>
        </w:rPr>
        <w:t xml:space="preserve">Two Quarters Ended January 3, 2020 Compared </w:t>
      </w:r>
      <w:r>
        <w:rPr>
          <w:rFonts w:eastAsia="Times New Roman"/>
          <w:i/>
          <w:iCs/>
          <w:color w:val="000000"/>
          <w:sz w:val="20"/>
          <w:szCs w:val="20"/>
        </w:rPr>
        <w:t xml:space="preserve">With Two Quarters Ended December 28, 2018: </w:t>
      </w:r>
      <w:r>
        <w:rPr>
          <w:rFonts w:eastAsia="Times New Roman"/>
          <w:color w:val="000000"/>
          <w:sz w:val="20"/>
          <w:szCs w:val="20"/>
        </w:rPr>
        <w:t>The increase in income from continuing operations per diluted common share attributable to L3Harris common shareholders for the two quarters ended January 3, 2020 compared with pro forma income from continuing ope</w:t>
      </w:r>
      <w:r>
        <w:rPr>
          <w:rFonts w:eastAsia="Times New Roman"/>
          <w:color w:val="000000"/>
          <w:sz w:val="20"/>
          <w:szCs w:val="20"/>
        </w:rPr>
        <w:t>rations per diluted common share attributable to L3Harris common shareholders for the two quarters ended December 28, 2018 was primarily due to higher income from continuing operations, as discussed above, and the decrease in our diluted weighted average c</w:t>
      </w:r>
      <w:r>
        <w:rPr>
          <w:rFonts w:eastAsia="Times New Roman"/>
          <w:color w:val="000000"/>
          <w:sz w:val="20"/>
          <w:szCs w:val="20"/>
        </w:rPr>
        <w:t>ommon shares outstanding from shares of our common stock repurchased under our repurchase program during the two quarters ended January 3, 2020.</w:t>
      </w:r>
    </w:p>
    <w:p w14:paraId="563EDBF1" w14:textId="77777777" w:rsidR="00000000" w:rsidRDefault="001A570A">
      <w:pPr>
        <w:ind w:firstLine="450"/>
        <w:divId w:val="1283072050"/>
        <w:rPr>
          <w:rFonts w:eastAsia="Times New Roman"/>
        </w:rPr>
      </w:pPr>
      <w:r>
        <w:rPr>
          <w:rFonts w:eastAsia="Times New Roman"/>
          <w:color w:val="000000"/>
          <w:sz w:val="20"/>
          <w:szCs w:val="20"/>
        </w:rPr>
        <w:t>See the “Common Stock Repurchases” discussion below in this MD&amp;</w:t>
      </w:r>
      <w:r>
        <w:rPr>
          <w:rFonts w:eastAsia="Times New Roman"/>
          <w:color w:val="000000"/>
          <w:sz w:val="20"/>
          <w:szCs w:val="20"/>
        </w:rPr>
        <w:t>A for further information.</w:t>
      </w:r>
    </w:p>
    <w:p w14:paraId="44889706" w14:textId="77777777" w:rsidR="00000000" w:rsidRDefault="001A570A">
      <w:pPr>
        <w:ind w:firstLine="450"/>
        <w:jc w:val="center"/>
        <w:divId w:val="524102936"/>
        <w:rPr>
          <w:rFonts w:eastAsia="Times New Roman"/>
        </w:rPr>
      </w:pPr>
      <w:r>
        <w:rPr>
          <w:rFonts w:eastAsia="Times New Roman"/>
          <w:color w:val="000000"/>
          <w:sz w:val="20"/>
          <w:szCs w:val="20"/>
        </w:rPr>
        <w:t>46</w:t>
      </w:r>
    </w:p>
    <w:p w14:paraId="47169F4A" w14:textId="77777777" w:rsidR="00000000" w:rsidRDefault="001A570A">
      <w:pPr>
        <w:rPr>
          <w:rFonts w:eastAsia="Times New Roman"/>
        </w:rPr>
      </w:pPr>
      <w:r>
        <w:rPr>
          <w:rFonts w:eastAsia="Times New Roman"/>
        </w:rPr>
        <w:pict w14:anchorId="1F42A979">
          <v:rect id="_x0000_i1074" style="width:0;height:1.5pt" o:hralign="center" o:hrstd="t" o:hr="t" fillcolor="#a0a0a0" stroked="f"/>
        </w:pict>
      </w:r>
    </w:p>
    <w:p w14:paraId="49E9B91E" w14:textId="77777777" w:rsidR="00000000" w:rsidRDefault="001A570A">
      <w:pPr>
        <w:ind w:firstLine="450"/>
        <w:divId w:val="1658651967"/>
        <w:rPr>
          <w:rFonts w:eastAsia="Times New Roman"/>
        </w:rPr>
      </w:pPr>
    </w:p>
    <w:p w14:paraId="266F8892" w14:textId="77777777" w:rsidR="00000000" w:rsidRDefault="001A570A">
      <w:pPr>
        <w:divId w:val="1941331747"/>
        <w:rPr>
          <w:rFonts w:eastAsia="Times New Roman"/>
        </w:rPr>
      </w:pPr>
      <w:r>
        <w:rPr>
          <w:rFonts w:eastAsia="Times New Roman"/>
          <w:b/>
          <w:bCs/>
          <w:color w:val="000000"/>
          <w:sz w:val="20"/>
          <w:szCs w:val="20"/>
        </w:rPr>
        <w:t xml:space="preserve">Supplemental Unaudited Pro Forma Condensed Combined Income Statement Information </w:t>
      </w:r>
    </w:p>
    <w:p w14:paraId="1FD70642" w14:textId="77777777" w:rsidR="00000000" w:rsidRDefault="001A570A">
      <w:pPr>
        <w:ind w:firstLine="450"/>
        <w:divId w:val="1785492551"/>
        <w:rPr>
          <w:rFonts w:eastAsia="Times New Roman"/>
        </w:rPr>
      </w:pPr>
      <w:r>
        <w:rPr>
          <w:rFonts w:eastAsia="Times New Roman"/>
          <w:color w:val="000000"/>
          <w:sz w:val="20"/>
          <w:szCs w:val="20"/>
        </w:rPr>
        <w:t>The following supplemental unaudited pro forma condensed combined income statement information prepared in</w:t>
      </w:r>
      <w:r>
        <w:rPr>
          <w:rFonts w:eastAsia="Times New Roman"/>
          <w:color w:val="000000"/>
          <w:sz w:val="20"/>
          <w:szCs w:val="20"/>
        </w:rPr>
        <w:t xml:space="preserve"> accordance with the requirements of Article 11 of Regulation S-X provides further information supporting the preparation of the supplemental unaudited pro forma condensed combined financial information for the four quarters ended January 3, 2020 provided </w:t>
      </w:r>
      <w:r>
        <w:rPr>
          <w:rFonts w:eastAsia="Times New Roman"/>
          <w:color w:val="000000"/>
          <w:sz w:val="20"/>
          <w:szCs w:val="20"/>
        </w:rPr>
        <w:t>above in the “Consolidated Results of Operations” discussion in this MD&amp;A and has been prepared to give effect to the L3Harris Merger under the acquisition method of accounting. It combines the historical results of operations of Harris and L3 and reflects</w:t>
      </w:r>
      <w:r>
        <w:rPr>
          <w:rFonts w:eastAsia="Times New Roman"/>
          <w:color w:val="000000"/>
          <w:sz w:val="20"/>
          <w:szCs w:val="20"/>
        </w:rPr>
        <w:t xml:space="preserve"> the L3Harris Merger as if it closed on June 30, 2018, the first day of Harris’ fiscal 2019, and gives effect to pro forma events that are (a) directly attributable to the L3Harris Merger, (b) factually supportable and (c) expected to have a continuing imp</w:t>
      </w:r>
      <w:r>
        <w:rPr>
          <w:rFonts w:eastAsia="Times New Roman"/>
          <w:color w:val="000000"/>
          <w:sz w:val="20"/>
          <w:szCs w:val="20"/>
        </w:rPr>
        <w:t>act on our results of operations. The adjustments include adjustments to reflect the sale of the Harris Night Vision business, which is directly attributable to the L3Harris Merger, but do not include any adjustments for the use of proceeds from such sale,</w:t>
      </w:r>
      <w:r>
        <w:rPr>
          <w:rFonts w:eastAsia="Times New Roman"/>
          <w:color w:val="000000"/>
          <w:sz w:val="20"/>
          <w:szCs w:val="20"/>
        </w:rPr>
        <w:t xml:space="preserve"> because the use is not directly attributable to the L3Harris Merger. The pro forma condensed combined income statement information is provided for informational and supplemental purposes only, and does not purport to indicate what L3Harris’ results of ope</w:t>
      </w:r>
      <w:r>
        <w:rPr>
          <w:rFonts w:eastAsia="Times New Roman"/>
          <w:color w:val="000000"/>
          <w:sz w:val="20"/>
          <w:szCs w:val="20"/>
        </w:rPr>
        <w:t>rations would have been, or L3Harris’ future results of operations, had the L3Harris Merger actually occurred on June 30, 2018. The supplemental unaudited pro forma condensed combined income statement information should be read in conjunction with other se</w:t>
      </w:r>
      <w:r>
        <w:rPr>
          <w:rFonts w:eastAsia="Times New Roman"/>
          <w:color w:val="000000"/>
          <w:sz w:val="20"/>
          <w:szCs w:val="20"/>
        </w:rPr>
        <w:t xml:space="preserve">ctions of this MD&amp;A, our Consolidated Financial Statements and the Notes appearing elsewhere in this Report. </w:t>
      </w:r>
    </w:p>
    <w:p w14:paraId="1717D4D1" w14:textId="77777777" w:rsidR="00000000" w:rsidRDefault="001A570A">
      <w:pPr>
        <w:ind w:firstLine="450"/>
        <w:jc w:val="center"/>
        <w:divId w:val="1969701289"/>
        <w:rPr>
          <w:rFonts w:eastAsia="Times New Roman"/>
        </w:rPr>
      </w:pPr>
      <w:r>
        <w:rPr>
          <w:rFonts w:eastAsia="Times New Roman"/>
          <w:color w:val="000000"/>
          <w:sz w:val="20"/>
          <w:szCs w:val="20"/>
        </w:rPr>
        <w:t>47</w:t>
      </w:r>
    </w:p>
    <w:p w14:paraId="084C0A4E" w14:textId="77777777" w:rsidR="00000000" w:rsidRDefault="001A570A">
      <w:pPr>
        <w:rPr>
          <w:rFonts w:eastAsia="Times New Roman"/>
        </w:rPr>
      </w:pPr>
      <w:r>
        <w:rPr>
          <w:rFonts w:eastAsia="Times New Roman"/>
        </w:rPr>
        <w:pict w14:anchorId="5B6C46A5">
          <v:rect id="_x0000_i1075" style="width:0;height:1.5pt" o:hralign="center" o:hrstd="t" o:hr="t" fillcolor="#a0a0a0" stroked="f"/>
        </w:pict>
      </w:r>
    </w:p>
    <w:p w14:paraId="68340489" w14:textId="77777777" w:rsidR="00000000" w:rsidRDefault="001A570A">
      <w:pPr>
        <w:ind w:firstLine="450"/>
        <w:divId w:val="46655653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526"/>
        <w:gridCol w:w="37"/>
        <w:gridCol w:w="121"/>
        <w:gridCol w:w="612"/>
        <w:gridCol w:w="37"/>
        <w:gridCol w:w="36"/>
        <w:gridCol w:w="36"/>
        <w:gridCol w:w="36"/>
        <w:gridCol w:w="121"/>
        <w:gridCol w:w="618"/>
        <w:gridCol w:w="37"/>
        <w:gridCol w:w="36"/>
        <w:gridCol w:w="36"/>
        <w:gridCol w:w="36"/>
        <w:gridCol w:w="121"/>
        <w:gridCol w:w="809"/>
        <w:gridCol w:w="36"/>
        <w:gridCol w:w="36"/>
        <w:gridCol w:w="36"/>
        <w:gridCol w:w="36"/>
        <w:gridCol w:w="82"/>
        <w:gridCol w:w="270"/>
        <w:gridCol w:w="36"/>
        <w:gridCol w:w="36"/>
        <w:gridCol w:w="36"/>
        <w:gridCol w:w="36"/>
        <w:gridCol w:w="120"/>
        <w:gridCol w:w="500"/>
        <w:gridCol w:w="36"/>
        <w:gridCol w:w="36"/>
        <w:gridCol w:w="36"/>
        <w:gridCol w:w="36"/>
        <w:gridCol w:w="121"/>
        <w:gridCol w:w="587"/>
        <w:gridCol w:w="37"/>
        <w:gridCol w:w="36"/>
        <w:gridCol w:w="36"/>
        <w:gridCol w:w="36"/>
        <w:gridCol w:w="120"/>
        <w:gridCol w:w="600"/>
        <w:gridCol w:w="36"/>
      </w:tblGrid>
      <w:tr w:rsidR="00000000" w14:paraId="7F1B5E2F" w14:textId="77777777">
        <w:trPr>
          <w:divId w:val="2061785806"/>
          <w:jc w:val="center"/>
        </w:trPr>
        <w:tc>
          <w:tcPr>
            <w:tcW w:w="50" w:type="pct"/>
            <w:vAlign w:val="center"/>
            <w:hideMark/>
          </w:tcPr>
          <w:p w14:paraId="2E9EF06F" w14:textId="77777777" w:rsidR="00000000" w:rsidRDefault="001A570A">
            <w:pPr>
              <w:ind w:firstLine="450"/>
              <w:rPr>
                <w:rFonts w:eastAsia="Times New Roman"/>
              </w:rPr>
            </w:pPr>
          </w:p>
        </w:tc>
        <w:tc>
          <w:tcPr>
            <w:tcW w:w="1899" w:type="pct"/>
            <w:vAlign w:val="center"/>
            <w:hideMark/>
          </w:tcPr>
          <w:p w14:paraId="227AA50C" w14:textId="77777777" w:rsidR="00000000" w:rsidRDefault="001A570A">
            <w:pPr>
              <w:rPr>
                <w:rFonts w:eastAsia="Times New Roman"/>
                <w:sz w:val="20"/>
                <w:szCs w:val="20"/>
              </w:rPr>
            </w:pPr>
          </w:p>
        </w:tc>
        <w:tc>
          <w:tcPr>
            <w:tcW w:w="5" w:type="pct"/>
            <w:vAlign w:val="center"/>
            <w:hideMark/>
          </w:tcPr>
          <w:p w14:paraId="561A8537" w14:textId="77777777" w:rsidR="00000000" w:rsidRDefault="001A570A">
            <w:pPr>
              <w:rPr>
                <w:rFonts w:eastAsia="Times New Roman"/>
                <w:sz w:val="20"/>
                <w:szCs w:val="20"/>
              </w:rPr>
            </w:pPr>
          </w:p>
        </w:tc>
        <w:tc>
          <w:tcPr>
            <w:tcW w:w="50" w:type="pct"/>
            <w:vAlign w:val="center"/>
            <w:hideMark/>
          </w:tcPr>
          <w:p w14:paraId="5275703D" w14:textId="77777777" w:rsidR="00000000" w:rsidRDefault="001A570A">
            <w:pPr>
              <w:rPr>
                <w:rFonts w:eastAsia="Times New Roman"/>
                <w:sz w:val="20"/>
                <w:szCs w:val="20"/>
              </w:rPr>
            </w:pPr>
          </w:p>
        </w:tc>
        <w:tc>
          <w:tcPr>
            <w:tcW w:w="325" w:type="pct"/>
            <w:vAlign w:val="center"/>
            <w:hideMark/>
          </w:tcPr>
          <w:p w14:paraId="7E5FA527" w14:textId="77777777" w:rsidR="00000000" w:rsidRDefault="001A570A">
            <w:pPr>
              <w:rPr>
                <w:rFonts w:eastAsia="Times New Roman"/>
                <w:sz w:val="20"/>
                <w:szCs w:val="20"/>
              </w:rPr>
            </w:pPr>
          </w:p>
        </w:tc>
        <w:tc>
          <w:tcPr>
            <w:tcW w:w="5" w:type="pct"/>
            <w:vAlign w:val="center"/>
            <w:hideMark/>
          </w:tcPr>
          <w:p w14:paraId="364FD6EF" w14:textId="77777777" w:rsidR="00000000" w:rsidRDefault="001A570A">
            <w:pPr>
              <w:rPr>
                <w:rFonts w:eastAsia="Times New Roman"/>
                <w:sz w:val="20"/>
                <w:szCs w:val="20"/>
              </w:rPr>
            </w:pPr>
          </w:p>
        </w:tc>
        <w:tc>
          <w:tcPr>
            <w:tcW w:w="5" w:type="pct"/>
            <w:vAlign w:val="center"/>
            <w:hideMark/>
          </w:tcPr>
          <w:p w14:paraId="2FF55BC7" w14:textId="77777777" w:rsidR="00000000" w:rsidRDefault="001A570A">
            <w:pPr>
              <w:rPr>
                <w:rFonts w:eastAsia="Times New Roman"/>
                <w:sz w:val="20"/>
                <w:szCs w:val="20"/>
              </w:rPr>
            </w:pPr>
          </w:p>
        </w:tc>
        <w:tc>
          <w:tcPr>
            <w:tcW w:w="25" w:type="pct"/>
            <w:vAlign w:val="center"/>
            <w:hideMark/>
          </w:tcPr>
          <w:p w14:paraId="72CEA9AC" w14:textId="77777777" w:rsidR="00000000" w:rsidRDefault="001A570A">
            <w:pPr>
              <w:rPr>
                <w:rFonts w:eastAsia="Times New Roman"/>
                <w:sz w:val="20"/>
                <w:szCs w:val="20"/>
              </w:rPr>
            </w:pPr>
          </w:p>
        </w:tc>
        <w:tc>
          <w:tcPr>
            <w:tcW w:w="5" w:type="pct"/>
            <w:vAlign w:val="center"/>
            <w:hideMark/>
          </w:tcPr>
          <w:p w14:paraId="7D501727" w14:textId="77777777" w:rsidR="00000000" w:rsidRDefault="001A570A">
            <w:pPr>
              <w:rPr>
                <w:rFonts w:eastAsia="Times New Roman"/>
                <w:sz w:val="20"/>
                <w:szCs w:val="20"/>
              </w:rPr>
            </w:pPr>
          </w:p>
        </w:tc>
        <w:tc>
          <w:tcPr>
            <w:tcW w:w="50" w:type="pct"/>
            <w:vAlign w:val="center"/>
            <w:hideMark/>
          </w:tcPr>
          <w:p w14:paraId="04953420" w14:textId="77777777" w:rsidR="00000000" w:rsidRDefault="001A570A">
            <w:pPr>
              <w:rPr>
                <w:rFonts w:eastAsia="Times New Roman"/>
                <w:sz w:val="20"/>
                <w:szCs w:val="20"/>
              </w:rPr>
            </w:pPr>
          </w:p>
        </w:tc>
        <w:tc>
          <w:tcPr>
            <w:tcW w:w="347" w:type="pct"/>
            <w:vAlign w:val="center"/>
            <w:hideMark/>
          </w:tcPr>
          <w:p w14:paraId="6AFD53F7" w14:textId="77777777" w:rsidR="00000000" w:rsidRDefault="001A570A">
            <w:pPr>
              <w:rPr>
                <w:rFonts w:eastAsia="Times New Roman"/>
                <w:sz w:val="20"/>
                <w:szCs w:val="20"/>
              </w:rPr>
            </w:pPr>
          </w:p>
        </w:tc>
        <w:tc>
          <w:tcPr>
            <w:tcW w:w="5" w:type="pct"/>
            <w:vAlign w:val="center"/>
            <w:hideMark/>
          </w:tcPr>
          <w:p w14:paraId="138B083E" w14:textId="77777777" w:rsidR="00000000" w:rsidRDefault="001A570A">
            <w:pPr>
              <w:rPr>
                <w:rFonts w:eastAsia="Times New Roman"/>
                <w:sz w:val="20"/>
                <w:szCs w:val="20"/>
              </w:rPr>
            </w:pPr>
          </w:p>
        </w:tc>
        <w:tc>
          <w:tcPr>
            <w:tcW w:w="5" w:type="pct"/>
            <w:vAlign w:val="center"/>
            <w:hideMark/>
          </w:tcPr>
          <w:p w14:paraId="57C8005F" w14:textId="77777777" w:rsidR="00000000" w:rsidRDefault="001A570A">
            <w:pPr>
              <w:rPr>
                <w:rFonts w:eastAsia="Times New Roman"/>
                <w:sz w:val="20"/>
                <w:szCs w:val="20"/>
              </w:rPr>
            </w:pPr>
          </w:p>
        </w:tc>
        <w:tc>
          <w:tcPr>
            <w:tcW w:w="25" w:type="pct"/>
            <w:vAlign w:val="center"/>
            <w:hideMark/>
          </w:tcPr>
          <w:p w14:paraId="2EC33227" w14:textId="77777777" w:rsidR="00000000" w:rsidRDefault="001A570A">
            <w:pPr>
              <w:rPr>
                <w:rFonts w:eastAsia="Times New Roman"/>
                <w:sz w:val="20"/>
                <w:szCs w:val="20"/>
              </w:rPr>
            </w:pPr>
          </w:p>
        </w:tc>
        <w:tc>
          <w:tcPr>
            <w:tcW w:w="5" w:type="pct"/>
            <w:vAlign w:val="center"/>
            <w:hideMark/>
          </w:tcPr>
          <w:p w14:paraId="1167BC64" w14:textId="77777777" w:rsidR="00000000" w:rsidRDefault="001A570A">
            <w:pPr>
              <w:rPr>
                <w:rFonts w:eastAsia="Times New Roman"/>
                <w:sz w:val="20"/>
                <w:szCs w:val="20"/>
              </w:rPr>
            </w:pPr>
          </w:p>
        </w:tc>
        <w:tc>
          <w:tcPr>
            <w:tcW w:w="50" w:type="pct"/>
            <w:vAlign w:val="center"/>
            <w:hideMark/>
          </w:tcPr>
          <w:p w14:paraId="53B300F9" w14:textId="77777777" w:rsidR="00000000" w:rsidRDefault="001A570A">
            <w:pPr>
              <w:rPr>
                <w:rFonts w:eastAsia="Times New Roman"/>
                <w:sz w:val="20"/>
                <w:szCs w:val="20"/>
              </w:rPr>
            </w:pPr>
          </w:p>
        </w:tc>
        <w:tc>
          <w:tcPr>
            <w:tcW w:w="433" w:type="pct"/>
            <w:vAlign w:val="center"/>
            <w:hideMark/>
          </w:tcPr>
          <w:p w14:paraId="15393696" w14:textId="77777777" w:rsidR="00000000" w:rsidRDefault="001A570A">
            <w:pPr>
              <w:rPr>
                <w:rFonts w:eastAsia="Times New Roman"/>
                <w:sz w:val="20"/>
                <w:szCs w:val="20"/>
              </w:rPr>
            </w:pPr>
          </w:p>
        </w:tc>
        <w:tc>
          <w:tcPr>
            <w:tcW w:w="5" w:type="pct"/>
            <w:vAlign w:val="center"/>
            <w:hideMark/>
          </w:tcPr>
          <w:p w14:paraId="4EEFE212" w14:textId="77777777" w:rsidR="00000000" w:rsidRDefault="001A570A">
            <w:pPr>
              <w:rPr>
                <w:rFonts w:eastAsia="Times New Roman"/>
                <w:sz w:val="20"/>
                <w:szCs w:val="20"/>
              </w:rPr>
            </w:pPr>
          </w:p>
        </w:tc>
        <w:tc>
          <w:tcPr>
            <w:tcW w:w="5" w:type="pct"/>
            <w:vAlign w:val="center"/>
            <w:hideMark/>
          </w:tcPr>
          <w:p w14:paraId="63C0B49D" w14:textId="77777777" w:rsidR="00000000" w:rsidRDefault="001A570A">
            <w:pPr>
              <w:rPr>
                <w:rFonts w:eastAsia="Times New Roman"/>
                <w:sz w:val="20"/>
                <w:szCs w:val="20"/>
              </w:rPr>
            </w:pPr>
          </w:p>
        </w:tc>
        <w:tc>
          <w:tcPr>
            <w:tcW w:w="25" w:type="pct"/>
            <w:vAlign w:val="center"/>
            <w:hideMark/>
          </w:tcPr>
          <w:p w14:paraId="72DDD056" w14:textId="77777777" w:rsidR="00000000" w:rsidRDefault="001A570A">
            <w:pPr>
              <w:rPr>
                <w:rFonts w:eastAsia="Times New Roman"/>
                <w:sz w:val="20"/>
                <w:szCs w:val="20"/>
              </w:rPr>
            </w:pPr>
          </w:p>
        </w:tc>
        <w:tc>
          <w:tcPr>
            <w:tcW w:w="5" w:type="pct"/>
            <w:vAlign w:val="center"/>
            <w:hideMark/>
          </w:tcPr>
          <w:p w14:paraId="428E6343" w14:textId="77777777" w:rsidR="00000000" w:rsidRDefault="001A570A">
            <w:pPr>
              <w:rPr>
                <w:rFonts w:eastAsia="Times New Roman"/>
                <w:sz w:val="20"/>
                <w:szCs w:val="20"/>
              </w:rPr>
            </w:pPr>
          </w:p>
        </w:tc>
        <w:tc>
          <w:tcPr>
            <w:tcW w:w="50" w:type="pct"/>
            <w:vAlign w:val="center"/>
            <w:hideMark/>
          </w:tcPr>
          <w:p w14:paraId="6B82CA18" w14:textId="77777777" w:rsidR="00000000" w:rsidRDefault="001A570A">
            <w:pPr>
              <w:rPr>
                <w:rFonts w:eastAsia="Times New Roman"/>
                <w:sz w:val="20"/>
                <w:szCs w:val="20"/>
              </w:rPr>
            </w:pPr>
          </w:p>
        </w:tc>
        <w:tc>
          <w:tcPr>
            <w:tcW w:w="167" w:type="pct"/>
            <w:vAlign w:val="center"/>
            <w:hideMark/>
          </w:tcPr>
          <w:p w14:paraId="138FE2DF" w14:textId="77777777" w:rsidR="00000000" w:rsidRDefault="001A570A">
            <w:pPr>
              <w:rPr>
                <w:rFonts w:eastAsia="Times New Roman"/>
                <w:sz w:val="20"/>
                <w:szCs w:val="20"/>
              </w:rPr>
            </w:pPr>
          </w:p>
        </w:tc>
        <w:tc>
          <w:tcPr>
            <w:tcW w:w="5" w:type="pct"/>
            <w:vAlign w:val="center"/>
            <w:hideMark/>
          </w:tcPr>
          <w:p w14:paraId="11FF4B13" w14:textId="77777777" w:rsidR="00000000" w:rsidRDefault="001A570A">
            <w:pPr>
              <w:rPr>
                <w:rFonts w:eastAsia="Times New Roman"/>
                <w:sz w:val="20"/>
                <w:szCs w:val="20"/>
              </w:rPr>
            </w:pPr>
          </w:p>
        </w:tc>
        <w:tc>
          <w:tcPr>
            <w:tcW w:w="5" w:type="pct"/>
            <w:vAlign w:val="center"/>
            <w:hideMark/>
          </w:tcPr>
          <w:p w14:paraId="09EFC503" w14:textId="77777777" w:rsidR="00000000" w:rsidRDefault="001A570A">
            <w:pPr>
              <w:rPr>
                <w:rFonts w:eastAsia="Times New Roman"/>
                <w:sz w:val="20"/>
                <w:szCs w:val="20"/>
              </w:rPr>
            </w:pPr>
          </w:p>
        </w:tc>
        <w:tc>
          <w:tcPr>
            <w:tcW w:w="25" w:type="pct"/>
            <w:vAlign w:val="center"/>
            <w:hideMark/>
          </w:tcPr>
          <w:p w14:paraId="4E65C4E7" w14:textId="77777777" w:rsidR="00000000" w:rsidRDefault="001A570A">
            <w:pPr>
              <w:rPr>
                <w:rFonts w:eastAsia="Times New Roman"/>
                <w:sz w:val="20"/>
                <w:szCs w:val="20"/>
              </w:rPr>
            </w:pPr>
          </w:p>
        </w:tc>
        <w:tc>
          <w:tcPr>
            <w:tcW w:w="5" w:type="pct"/>
            <w:vAlign w:val="center"/>
            <w:hideMark/>
          </w:tcPr>
          <w:p w14:paraId="313FB054" w14:textId="77777777" w:rsidR="00000000" w:rsidRDefault="001A570A">
            <w:pPr>
              <w:rPr>
                <w:rFonts w:eastAsia="Times New Roman"/>
                <w:sz w:val="20"/>
                <w:szCs w:val="20"/>
              </w:rPr>
            </w:pPr>
          </w:p>
        </w:tc>
        <w:tc>
          <w:tcPr>
            <w:tcW w:w="50" w:type="pct"/>
            <w:vAlign w:val="center"/>
            <w:hideMark/>
          </w:tcPr>
          <w:p w14:paraId="735C5B42" w14:textId="77777777" w:rsidR="00000000" w:rsidRDefault="001A570A">
            <w:pPr>
              <w:rPr>
                <w:rFonts w:eastAsia="Times New Roman"/>
                <w:sz w:val="20"/>
                <w:szCs w:val="20"/>
              </w:rPr>
            </w:pPr>
          </w:p>
        </w:tc>
        <w:tc>
          <w:tcPr>
            <w:tcW w:w="368" w:type="pct"/>
            <w:vAlign w:val="center"/>
            <w:hideMark/>
          </w:tcPr>
          <w:p w14:paraId="3925DD86" w14:textId="77777777" w:rsidR="00000000" w:rsidRDefault="001A570A">
            <w:pPr>
              <w:rPr>
                <w:rFonts w:eastAsia="Times New Roman"/>
                <w:sz w:val="20"/>
                <w:szCs w:val="20"/>
              </w:rPr>
            </w:pPr>
          </w:p>
        </w:tc>
        <w:tc>
          <w:tcPr>
            <w:tcW w:w="5" w:type="pct"/>
            <w:vAlign w:val="center"/>
            <w:hideMark/>
          </w:tcPr>
          <w:p w14:paraId="7CB042E8" w14:textId="77777777" w:rsidR="00000000" w:rsidRDefault="001A570A">
            <w:pPr>
              <w:rPr>
                <w:rFonts w:eastAsia="Times New Roman"/>
                <w:sz w:val="20"/>
                <w:szCs w:val="20"/>
              </w:rPr>
            </w:pPr>
          </w:p>
        </w:tc>
        <w:tc>
          <w:tcPr>
            <w:tcW w:w="5" w:type="pct"/>
            <w:vAlign w:val="center"/>
            <w:hideMark/>
          </w:tcPr>
          <w:p w14:paraId="1103A755" w14:textId="77777777" w:rsidR="00000000" w:rsidRDefault="001A570A">
            <w:pPr>
              <w:rPr>
                <w:rFonts w:eastAsia="Times New Roman"/>
                <w:sz w:val="20"/>
                <w:szCs w:val="20"/>
              </w:rPr>
            </w:pPr>
          </w:p>
        </w:tc>
        <w:tc>
          <w:tcPr>
            <w:tcW w:w="25" w:type="pct"/>
            <w:vAlign w:val="center"/>
            <w:hideMark/>
          </w:tcPr>
          <w:p w14:paraId="543734D4" w14:textId="77777777" w:rsidR="00000000" w:rsidRDefault="001A570A">
            <w:pPr>
              <w:rPr>
                <w:rFonts w:eastAsia="Times New Roman"/>
                <w:sz w:val="20"/>
                <w:szCs w:val="20"/>
              </w:rPr>
            </w:pPr>
          </w:p>
        </w:tc>
        <w:tc>
          <w:tcPr>
            <w:tcW w:w="5" w:type="pct"/>
            <w:vAlign w:val="center"/>
            <w:hideMark/>
          </w:tcPr>
          <w:p w14:paraId="64F297C2" w14:textId="77777777" w:rsidR="00000000" w:rsidRDefault="001A570A">
            <w:pPr>
              <w:rPr>
                <w:rFonts w:eastAsia="Times New Roman"/>
                <w:sz w:val="20"/>
                <w:szCs w:val="20"/>
              </w:rPr>
            </w:pPr>
          </w:p>
        </w:tc>
        <w:tc>
          <w:tcPr>
            <w:tcW w:w="50" w:type="pct"/>
            <w:vAlign w:val="center"/>
            <w:hideMark/>
          </w:tcPr>
          <w:p w14:paraId="49B4D926" w14:textId="77777777" w:rsidR="00000000" w:rsidRDefault="001A570A">
            <w:pPr>
              <w:rPr>
                <w:rFonts w:eastAsia="Times New Roman"/>
                <w:sz w:val="20"/>
                <w:szCs w:val="20"/>
              </w:rPr>
            </w:pPr>
          </w:p>
        </w:tc>
        <w:tc>
          <w:tcPr>
            <w:tcW w:w="426" w:type="pct"/>
            <w:vAlign w:val="center"/>
            <w:hideMark/>
          </w:tcPr>
          <w:p w14:paraId="39FB6152" w14:textId="77777777" w:rsidR="00000000" w:rsidRDefault="001A570A">
            <w:pPr>
              <w:rPr>
                <w:rFonts w:eastAsia="Times New Roman"/>
                <w:sz w:val="20"/>
                <w:szCs w:val="20"/>
              </w:rPr>
            </w:pPr>
          </w:p>
        </w:tc>
        <w:tc>
          <w:tcPr>
            <w:tcW w:w="5" w:type="pct"/>
            <w:vAlign w:val="center"/>
            <w:hideMark/>
          </w:tcPr>
          <w:p w14:paraId="7BD14A72" w14:textId="77777777" w:rsidR="00000000" w:rsidRDefault="001A570A">
            <w:pPr>
              <w:rPr>
                <w:rFonts w:eastAsia="Times New Roman"/>
                <w:sz w:val="20"/>
                <w:szCs w:val="20"/>
              </w:rPr>
            </w:pPr>
          </w:p>
        </w:tc>
        <w:tc>
          <w:tcPr>
            <w:tcW w:w="5" w:type="pct"/>
            <w:vAlign w:val="center"/>
            <w:hideMark/>
          </w:tcPr>
          <w:p w14:paraId="2721F871" w14:textId="77777777" w:rsidR="00000000" w:rsidRDefault="001A570A">
            <w:pPr>
              <w:rPr>
                <w:rFonts w:eastAsia="Times New Roman"/>
                <w:sz w:val="20"/>
                <w:szCs w:val="20"/>
              </w:rPr>
            </w:pPr>
          </w:p>
        </w:tc>
        <w:tc>
          <w:tcPr>
            <w:tcW w:w="25" w:type="pct"/>
            <w:vAlign w:val="center"/>
            <w:hideMark/>
          </w:tcPr>
          <w:p w14:paraId="5D44D8CC" w14:textId="77777777" w:rsidR="00000000" w:rsidRDefault="001A570A">
            <w:pPr>
              <w:rPr>
                <w:rFonts w:eastAsia="Times New Roman"/>
                <w:sz w:val="20"/>
                <w:szCs w:val="20"/>
              </w:rPr>
            </w:pPr>
          </w:p>
        </w:tc>
        <w:tc>
          <w:tcPr>
            <w:tcW w:w="5" w:type="pct"/>
            <w:vAlign w:val="center"/>
            <w:hideMark/>
          </w:tcPr>
          <w:p w14:paraId="353DEA78" w14:textId="77777777" w:rsidR="00000000" w:rsidRDefault="001A570A">
            <w:pPr>
              <w:rPr>
                <w:rFonts w:eastAsia="Times New Roman"/>
                <w:sz w:val="20"/>
                <w:szCs w:val="20"/>
              </w:rPr>
            </w:pPr>
          </w:p>
        </w:tc>
        <w:tc>
          <w:tcPr>
            <w:tcW w:w="50" w:type="pct"/>
            <w:vAlign w:val="center"/>
            <w:hideMark/>
          </w:tcPr>
          <w:p w14:paraId="2358C7B3" w14:textId="77777777" w:rsidR="00000000" w:rsidRDefault="001A570A">
            <w:pPr>
              <w:rPr>
                <w:rFonts w:eastAsia="Times New Roman"/>
                <w:sz w:val="20"/>
                <w:szCs w:val="20"/>
              </w:rPr>
            </w:pPr>
          </w:p>
        </w:tc>
        <w:tc>
          <w:tcPr>
            <w:tcW w:w="376" w:type="pct"/>
            <w:vAlign w:val="center"/>
            <w:hideMark/>
          </w:tcPr>
          <w:p w14:paraId="1FF1EA28" w14:textId="77777777" w:rsidR="00000000" w:rsidRDefault="001A570A">
            <w:pPr>
              <w:rPr>
                <w:rFonts w:eastAsia="Times New Roman"/>
                <w:sz w:val="20"/>
                <w:szCs w:val="20"/>
              </w:rPr>
            </w:pPr>
          </w:p>
        </w:tc>
        <w:tc>
          <w:tcPr>
            <w:tcW w:w="5" w:type="pct"/>
            <w:vAlign w:val="center"/>
            <w:hideMark/>
          </w:tcPr>
          <w:p w14:paraId="1EB0C8FD" w14:textId="77777777" w:rsidR="00000000" w:rsidRDefault="001A570A">
            <w:pPr>
              <w:rPr>
                <w:rFonts w:eastAsia="Times New Roman"/>
                <w:sz w:val="20"/>
                <w:szCs w:val="20"/>
              </w:rPr>
            </w:pPr>
          </w:p>
        </w:tc>
      </w:tr>
      <w:tr w:rsidR="00000000" w14:paraId="0D60087E" w14:textId="77777777">
        <w:trPr>
          <w:divId w:val="2061785806"/>
          <w:jc w:val="center"/>
        </w:trPr>
        <w:tc>
          <w:tcPr>
            <w:tcW w:w="0" w:type="auto"/>
            <w:gridSpan w:val="42"/>
            <w:tcMar>
              <w:top w:w="30" w:type="dxa"/>
              <w:left w:w="20" w:type="dxa"/>
              <w:bottom w:w="30" w:type="dxa"/>
              <w:right w:w="20" w:type="dxa"/>
            </w:tcMar>
            <w:vAlign w:val="bottom"/>
            <w:hideMark/>
          </w:tcPr>
          <w:p w14:paraId="57F92DD4" w14:textId="77777777" w:rsidR="00000000" w:rsidRDefault="001A570A">
            <w:pPr>
              <w:jc w:val="center"/>
              <w:rPr>
                <w:rFonts w:eastAsia="Times New Roman"/>
              </w:rPr>
            </w:pPr>
            <w:r>
              <w:rPr>
                <w:rFonts w:eastAsia="Times New Roman"/>
                <w:b/>
                <w:bCs/>
                <w:color w:val="000000"/>
                <w:sz w:val="20"/>
                <w:szCs w:val="20"/>
              </w:rPr>
              <w:t>Unaudited Pro Forma Condensed Combined Statement of Income</w:t>
            </w:r>
          </w:p>
        </w:tc>
      </w:tr>
      <w:tr w:rsidR="00000000" w14:paraId="049FAA8E" w14:textId="77777777">
        <w:trPr>
          <w:divId w:val="2061785806"/>
          <w:jc w:val="center"/>
        </w:trPr>
        <w:tc>
          <w:tcPr>
            <w:tcW w:w="0" w:type="auto"/>
            <w:gridSpan w:val="42"/>
            <w:tcMar>
              <w:top w:w="30" w:type="dxa"/>
              <w:left w:w="20" w:type="dxa"/>
              <w:bottom w:w="30" w:type="dxa"/>
              <w:right w:w="20" w:type="dxa"/>
            </w:tcMar>
            <w:vAlign w:val="bottom"/>
            <w:hideMark/>
          </w:tcPr>
          <w:p w14:paraId="38328185" w14:textId="77777777" w:rsidR="00000000" w:rsidRDefault="001A570A">
            <w:pPr>
              <w:jc w:val="center"/>
              <w:rPr>
                <w:rFonts w:eastAsia="Times New Roman"/>
              </w:rPr>
            </w:pPr>
            <w:r>
              <w:rPr>
                <w:rFonts w:eastAsia="Times New Roman"/>
                <w:b/>
                <w:bCs/>
                <w:color w:val="000000"/>
                <w:sz w:val="20"/>
                <w:szCs w:val="20"/>
              </w:rPr>
              <w:t>For the Four Quarters Ended January 3, 2020</w:t>
            </w:r>
          </w:p>
        </w:tc>
      </w:tr>
      <w:tr w:rsidR="00000000" w14:paraId="345A3866" w14:textId="77777777">
        <w:trPr>
          <w:divId w:val="2061785806"/>
          <w:trHeight w:val="100"/>
          <w:jc w:val="center"/>
        </w:trPr>
        <w:tc>
          <w:tcPr>
            <w:tcW w:w="0" w:type="auto"/>
            <w:gridSpan w:val="3"/>
            <w:tcMar>
              <w:top w:w="0" w:type="dxa"/>
              <w:left w:w="20" w:type="dxa"/>
              <w:bottom w:w="0" w:type="dxa"/>
              <w:right w:w="20" w:type="dxa"/>
            </w:tcMar>
            <w:vAlign w:val="center"/>
            <w:hideMark/>
          </w:tcPr>
          <w:p w14:paraId="7C5EB7E3" w14:textId="77777777" w:rsidR="00000000" w:rsidRDefault="001A570A">
            <w:pPr>
              <w:jc w:val="center"/>
              <w:rPr>
                <w:rFonts w:eastAsia="Times New Roman"/>
              </w:rPr>
            </w:pPr>
          </w:p>
        </w:tc>
        <w:tc>
          <w:tcPr>
            <w:tcW w:w="0" w:type="auto"/>
            <w:gridSpan w:val="3"/>
            <w:tcMar>
              <w:top w:w="0" w:type="dxa"/>
              <w:left w:w="20" w:type="dxa"/>
              <w:bottom w:w="0" w:type="dxa"/>
              <w:right w:w="20" w:type="dxa"/>
            </w:tcMar>
            <w:vAlign w:val="center"/>
            <w:hideMark/>
          </w:tcPr>
          <w:p w14:paraId="58C1896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3C1440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85CAEC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6AA763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485048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E0C6B6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D80B0D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D0C4BC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BC48CF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E6131A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1BBB86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99E193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13B207D" w14:textId="77777777" w:rsidR="00000000" w:rsidRDefault="001A570A">
            <w:pPr>
              <w:rPr>
                <w:rFonts w:eastAsia="Times New Roman"/>
                <w:sz w:val="20"/>
                <w:szCs w:val="20"/>
              </w:rPr>
            </w:pPr>
          </w:p>
        </w:tc>
      </w:tr>
      <w:tr w:rsidR="00000000" w14:paraId="2C57AA6D" w14:textId="77777777">
        <w:trPr>
          <w:divId w:val="2061785806"/>
          <w:jc w:val="center"/>
        </w:trPr>
        <w:tc>
          <w:tcPr>
            <w:tcW w:w="0" w:type="auto"/>
            <w:gridSpan w:val="3"/>
            <w:tcMar>
              <w:top w:w="0" w:type="dxa"/>
              <w:left w:w="20" w:type="dxa"/>
              <w:bottom w:w="0" w:type="dxa"/>
              <w:right w:w="20" w:type="dxa"/>
            </w:tcMar>
            <w:vAlign w:val="center"/>
            <w:hideMark/>
          </w:tcPr>
          <w:p w14:paraId="0432647E" w14:textId="77777777" w:rsidR="00000000" w:rsidRDefault="001A570A">
            <w:pPr>
              <w:rPr>
                <w:rFonts w:eastAsia="Times New Roman"/>
                <w:sz w:val="20"/>
                <w:szCs w:val="20"/>
              </w:rPr>
            </w:pPr>
          </w:p>
        </w:tc>
        <w:tc>
          <w:tcPr>
            <w:tcW w:w="0" w:type="auto"/>
            <w:gridSpan w:val="27"/>
            <w:tcMar>
              <w:top w:w="30" w:type="dxa"/>
              <w:left w:w="20" w:type="dxa"/>
              <w:bottom w:w="30" w:type="dxa"/>
              <w:right w:w="20" w:type="dxa"/>
            </w:tcMar>
            <w:vAlign w:val="bottom"/>
            <w:hideMark/>
          </w:tcPr>
          <w:p w14:paraId="1C45FB89" w14:textId="77777777" w:rsidR="00000000" w:rsidRDefault="001A570A">
            <w:pPr>
              <w:jc w:val="center"/>
              <w:rPr>
                <w:rFonts w:eastAsia="Times New Roman"/>
              </w:rPr>
            </w:pPr>
            <w:r>
              <w:rPr>
                <w:rFonts w:eastAsia="Times New Roman"/>
                <w:b/>
                <w:bCs/>
                <w:color w:val="000000"/>
                <w:sz w:val="16"/>
                <w:szCs w:val="16"/>
              </w:rPr>
              <w:t>Two Quarters Ended June 28, 2019</w:t>
            </w:r>
          </w:p>
        </w:tc>
        <w:tc>
          <w:tcPr>
            <w:tcW w:w="0" w:type="auto"/>
            <w:gridSpan w:val="3"/>
            <w:tcMar>
              <w:top w:w="0" w:type="dxa"/>
              <w:left w:w="20" w:type="dxa"/>
              <w:bottom w:w="0" w:type="dxa"/>
              <w:right w:w="20" w:type="dxa"/>
            </w:tcMar>
            <w:vAlign w:val="center"/>
            <w:hideMark/>
          </w:tcPr>
          <w:p w14:paraId="43CF6E5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7C9DD73" w14:textId="77777777" w:rsidR="00000000" w:rsidRDefault="001A570A">
            <w:pPr>
              <w:jc w:val="center"/>
              <w:rPr>
                <w:rFonts w:eastAsia="Times New Roman"/>
              </w:rPr>
            </w:pPr>
            <w:r>
              <w:rPr>
                <w:rFonts w:eastAsia="Times New Roman"/>
                <w:b/>
                <w:bCs/>
                <w:color w:val="000000"/>
                <w:sz w:val="16"/>
                <w:szCs w:val="16"/>
              </w:rPr>
              <w:t>Two Quarters Ended January 3, 2020</w:t>
            </w:r>
          </w:p>
        </w:tc>
        <w:tc>
          <w:tcPr>
            <w:tcW w:w="0" w:type="auto"/>
            <w:gridSpan w:val="3"/>
            <w:tcMar>
              <w:top w:w="0" w:type="dxa"/>
              <w:left w:w="20" w:type="dxa"/>
              <w:bottom w:w="0" w:type="dxa"/>
              <w:right w:w="20" w:type="dxa"/>
            </w:tcMar>
            <w:vAlign w:val="center"/>
            <w:hideMark/>
          </w:tcPr>
          <w:p w14:paraId="66413B53"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F8DC1FB" w14:textId="77777777" w:rsidR="00000000" w:rsidRDefault="001A570A">
            <w:pPr>
              <w:jc w:val="center"/>
              <w:rPr>
                <w:rFonts w:eastAsia="Times New Roman"/>
              </w:rPr>
            </w:pPr>
            <w:r>
              <w:rPr>
                <w:rFonts w:eastAsia="Times New Roman"/>
                <w:b/>
                <w:bCs/>
                <w:color w:val="000000"/>
                <w:sz w:val="16"/>
                <w:szCs w:val="16"/>
              </w:rPr>
              <w:t>Four Quarters Ended January 3, 2020</w:t>
            </w:r>
          </w:p>
        </w:tc>
      </w:tr>
      <w:tr w:rsidR="00000000" w14:paraId="120F42F1" w14:textId="77777777">
        <w:trPr>
          <w:divId w:val="2061785806"/>
          <w:jc w:val="center"/>
        </w:trPr>
        <w:tc>
          <w:tcPr>
            <w:tcW w:w="0" w:type="auto"/>
            <w:gridSpan w:val="3"/>
            <w:tcMar>
              <w:top w:w="30" w:type="dxa"/>
              <w:left w:w="20" w:type="dxa"/>
              <w:bottom w:w="30" w:type="dxa"/>
              <w:right w:w="20" w:type="dxa"/>
            </w:tcMar>
            <w:vAlign w:val="bottom"/>
            <w:hideMark/>
          </w:tcPr>
          <w:p w14:paraId="3A31F555" w14:textId="77777777" w:rsidR="00000000" w:rsidRDefault="001A570A">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299DA0A3" w14:textId="77777777" w:rsidR="00000000" w:rsidRDefault="001A570A">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Harris</w:t>
            </w:r>
          </w:p>
        </w:tc>
        <w:tc>
          <w:tcPr>
            <w:tcW w:w="0" w:type="auto"/>
            <w:gridSpan w:val="3"/>
            <w:tcBorders>
              <w:top w:val="single" w:sz="8" w:space="0" w:color="000000"/>
            </w:tcBorders>
            <w:tcMar>
              <w:top w:w="0" w:type="dxa"/>
              <w:left w:w="20" w:type="dxa"/>
              <w:bottom w:w="0" w:type="dxa"/>
              <w:right w:w="20" w:type="dxa"/>
            </w:tcMar>
            <w:vAlign w:val="center"/>
            <w:hideMark/>
          </w:tcPr>
          <w:p w14:paraId="1F28502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96BD54" w14:textId="77777777" w:rsidR="00000000" w:rsidRDefault="001A570A">
            <w:pPr>
              <w:jc w:val="center"/>
              <w:rPr>
                <w:rFonts w:eastAsia="Times New Roman"/>
              </w:rPr>
            </w:pPr>
            <w:r>
              <w:rPr>
                <w:rFonts w:eastAsia="Times New Roman"/>
                <w:b/>
                <w:bCs/>
                <w:color w:val="000000"/>
                <w:sz w:val="16"/>
                <w:szCs w:val="16"/>
              </w:rPr>
              <w:t xml:space="preserve">Historical </w:t>
            </w:r>
            <w:r>
              <w:rPr>
                <w:rFonts w:eastAsia="Times New Roman"/>
                <w:b/>
                <w:bCs/>
                <w:color w:val="000000"/>
                <w:sz w:val="16"/>
                <w:szCs w:val="16"/>
              </w:rPr>
              <w:br/>
              <w:t xml:space="preserve">L3 </w:t>
            </w:r>
          </w:p>
        </w:tc>
        <w:tc>
          <w:tcPr>
            <w:tcW w:w="0" w:type="auto"/>
            <w:gridSpan w:val="3"/>
            <w:tcBorders>
              <w:top w:val="single" w:sz="8" w:space="0" w:color="000000"/>
            </w:tcBorders>
            <w:tcMar>
              <w:top w:w="0" w:type="dxa"/>
              <w:left w:w="20" w:type="dxa"/>
              <w:bottom w:w="0" w:type="dxa"/>
              <w:right w:w="20" w:type="dxa"/>
            </w:tcMar>
            <w:vAlign w:val="center"/>
            <w:hideMark/>
          </w:tcPr>
          <w:p w14:paraId="79EA3A5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CC50D4" w14:textId="77777777" w:rsidR="00000000" w:rsidRDefault="001A570A">
            <w:pPr>
              <w:jc w:val="center"/>
              <w:rPr>
                <w:rFonts w:eastAsia="Times New Roman"/>
              </w:rPr>
            </w:pPr>
            <w:r>
              <w:rPr>
                <w:rFonts w:eastAsia="Times New Roman"/>
                <w:b/>
                <w:bCs/>
                <w:color w:val="000000"/>
                <w:sz w:val="16"/>
                <w:szCs w:val="16"/>
              </w:rPr>
              <w:t xml:space="preserve">Pro Forma </w:t>
            </w:r>
            <w:r>
              <w:rPr>
                <w:rFonts w:eastAsia="Times New Roman"/>
                <w:b/>
                <w:bCs/>
                <w:color w:val="000000"/>
                <w:sz w:val="16"/>
                <w:szCs w:val="16"/>
              </w:rPr>
              <w:br/>
            </w:r>
            <w:r>
              <w:rPr>
                <w:rFonts w:eastAsia="Times New Roman"/>
                <w:b/>
                <w:bCs/>
                <w:color w:val="000000"/>
                <w:sz w:val="16"/>
                <w:szCs w:val="16"/>
              </w:rPr>
              <w:t>Adjustments</w:t>
            </w:r>
          </w:p>
        </w:tc>
        <w:tc>
          <w:tcPr>
            <w:tcW w:w="0" w:type="auto"/>
            <w:gridSpan w:val="3"/>
            <w:tcBorders>
              <w:top w:val="single" w:sz="8" w:space="0" w:color="000000"/>
            </w:tcBorders>
            <w:tcMar>
              <w:top w:w="0" w:type="dxa"/>
              <w:left w:w="20" w:type="dxa"/>
              <w:bottom w:w="0" w:type="dxa"/>
              <w:right w:w="20" w:type="dxa"/>
            </w:tcMar>
            <w:vAlign w:val="center"/>
            <w:hideMark/>
          </w:tcPr>
          <w:p w14:paraId="1E45A45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BF6B55" w14:textId="77777777" w:rsidR="00000000" w:rsidRDefault="001A570A">
            <w:pPr>
              <w:jc w:val="center"/>
              <w:rPr>
                <w:rFonts w:eastAsia="Times New Roman"/>
              </w:rPr>
            </w:pPr>
            <w:r>
              <w:rPr>
                <w:rFonts w:eastAsia="Times New Roman"/>
                <w:b/>
                <w:bCs/>
                <w:color w:val="000000"/>
                <w:sz w:val="16"/>
                <w:szCs w:val="16"/>
              </w:rPr>
              <w:t xml:space="preserve">Note </w:t>
            </w:r>
            <w:r>
              <w:rPr>
                <w:rFonts w:eastAsia="Times New Roman"/>
                <w:b/>
                <w:bCs/>
                <w:color w:val="000000"/>
                <w:sz w:val="16"/>
                <w:szCs w:val="16"/>
              </w:rPr>
              <w:br/>
              <w:t>Ref</w:t>
            </w:r>
          </w:p>
        </w:tc>
        <w:tc>
          <w:tcPr>
            <w:tcW w:w="0" w:type="auto"/>
            <w:gridSpan w:val="3"/>
            <w:tcBorders>
              <w:top w:val="single" w:sz="8" w:space="0" w:color="000000"/>
            </w:tcBorders>
            <w:tcMar>
              <w:top w:w="0" w:type="dxa"/>
              <w:left w:w="20" w:type="dxa"/>
              <w:bottom w:w="0" w:type="dxa"/>
              <w:right w:w="20" w:type="dxa"/>
            </w:tcMar>
            <w:vAlign w:val="center"/>
            <w:hideMark/>
          </w:tcPr>
          <w:p w14:paraId="7A859D2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E9E190"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117F44C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7E5CAF" w14:textId="77777777" w:rsidR="00000000" w:rsidRDefault="001A570A">
            <w:pPr>
              <w:jc w:val="center"/>
              <w:rPr>
                <w:rFonts w:eastAsia="Times New Roman"/>
              </w:rPr>
            </w:pPr>
            <w:r>
              <w:rPr>
                <w:rFonts w:eastAsia="Times New Roman"/>
                <w:b/>
                <w:bCs/>
                <w:color w:val="000000"/>
                <w:sz w:val="16"/>
                <w:szCs w:val="16"/>
              </w:rPr>
              <w:t>L3Harris As Reported</w:t>
            </w:r>
          </w:p>
        </w:tc>
        <w:tc>
          <w:tcPr>
            <w:tcW w:w="0" w:type="auto"/>
            <w:gridSpan w:val="3"/>
            <w:tcMar>
              <w:top w:w="0" w:type="dxa"/>
              <w:left w:w="20" w:type="dxa"/>
              <w:bottom w:w="0" w:type="dxa"/>
              <w:right w:w="20" w:type="dxa"/>
            </w:tcMar>
            <w:vAlign w:val="center"/>
            <w:hideMark/>
          </w:tcPr>
          <w:p w14:paraId="3CB68FF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BE1A99" w14:textId="77777777" w:rsidR="00000000" w:rsidRDefault="001A570A">
            <w:pPr>
              <w:jc w:val="center"/>
              <w:rPr>
                <w:rFonts w:eastAsia="Times New Roman"/>
              </w:rPr>
            </w:pPr>
            <w:r>
              <w:rPr>
                <w:rFonts w:eastAsia="Times New Roman"/>
                <w:b/>
                <w:bCs/>
                <w:color w:val="000000"/>
                <w:sz w:val="16"/>
                <w:szCs w:val="16"/>
              </w:rPr>
              <w:t>Pro Forma</w:t>
            </w:r>
          </w:p>
        </w:tc>
      </w:tr>
      <w:tr w:rsidR="00000000" w14:paraId="178BE798" w14:textId="77777777">
        <w:trPr>
          <w:divId w:val="2061785806"/>
          <w:trHeight w:val="60"/>
          <w:jc w:val="center"/>
        </w:trPr>
        <w:tc>
          <w:tcPr>
            <w:tcW w:w="0" w:type="auto"/>
            <w:gridSpan w:val="3"/>
            <w:tcMar>
              <w:top w:w="0" w:type="dxa"/>
              <w:left w:w="20" w:type="dxa"/>
              <w:bottom w:w="0" w:type="dxa"/>
              <w:right w:w="20" w:type="dxa"/>
            </w:tcMar>
            <w:vAlign w:val="center"/>
            <w:hideMark/>
          </w:tcPr>
          <w:p w14:paraId="6E87C57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9AFE6C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C35847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277BB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1C29F1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5EB76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6AF008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B301A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853EEC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FC83E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05D7B4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4E3EF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DD22EB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5824E2" w14:textId="77777777" w:rsidR="00000000" w:rsidRDefault="001A570A">
            <w:pPr>
              <w:rPr>
                <w:rFonts w:eastAsia="Times New Roman"/>
                <w:sz w:val="20"/>
                <w:szCs w:val="20"/>
              </w:rPr>
            </w:pPr>
          </w:p>
        </w:tc>
      </w:tr>
      <w:tr w:rsidR="001A570A" w14:paraId="6C6ED457"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6D405E80" w14:textId="77777777" w:rsidR="00000000" w:rsidRDefault="001A570A">
            <w:pPr>
              <w:ind w:hanging="180"/>
              <w:divId w:val="1135879312"/>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14:paraId="59763BC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DF1A48" w14:textId="77777777" w:rsidR="00000000" w:rsidRDefault="001A570A">
            <w:pPr>
              <w:jc w:val="right"/>
              <w:rPr>
                <w:rFonts w:eastAsia="Times New Roman"/>
              </w:rPr>
            </w:pPr>
            <w:r>
              <w:rPr>
                <w:rFonts w:eastAsia="Times New Roman"/>
                <w:color w:val="000000"/>
                <w:sz w:val="20"/>
                <w:szCs w:val="20"/>
              </w:rPr>
              <w:t>3,593 </w:t>
            </w:r>
          </w:p>
        </w:tc>
        <w:tc>
          <w:tcPr>
            <w:tcW w:w="0" w:type="auto"/>
            <w:shd w:val="clear" w:color="auto" w:fill="CCEEFF"/>
            <w:tcMar>
              <w:top w:w="30" w:type="dxa"/>
              <w:left w:w="0" w:type="dxa"/>
              <w:bottom w:w="30" w:type="dxa"/>
              <w:right w:w="20" w:type="dxa"/>
            </w:tcMar>
            <w:vAlign w:val="bottom"/>
            <w:hideMark/>
          </w:tcPr>
          <w:p w14:paraId="34FFF45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E036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E45C2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B1368A" w14:textId="77777777" w:rsidR="00000000" w:rsidRDefault="001A570A">
            <w:pPr>
              <w:jc w:val="right"/>
              <w:rPr>
                <w:rFonts w:eastAsia="Times New Roman"/>
              </w:rPr>
            </w:pPr>
            <w:r>
              <w:rPr>
                <w:rFonts w:eastAsia="Times New Roman"/>
                <w:color w:val="000000"/>
                <w:sz w:val="20"/>
                <w:szCs w:val="20"/>
              </w:rPr>
              <w:t>5,331 </w:t>
            </w:r>
          </w:p>
        </w:tc>
        <w:tc>
          <w:tcPr>
            <w:tcW w:w="0" w:type="auto"/>
            <w:shd w:val="clear" w:color="auto" w:fill="CCEEFF"/>
            <w:tcMar>
              <w:top w:w="30" w:type="dxa"/>
              <w:left w:w="0" w:type="dxa"/>
              <w:bottom w:w="30" w:type="dxa"/>
              <w:right w:w="20" w:type="dxa"/>
            </w:tcMar>
            <w:vAlign w:val="bottom"/>
            <w:hideMark/>
          </w:tcPr>
          <w:p w14:paraId="758620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11CF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10C2D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0F71CB" w14:textId="77777777" w:rsidR="00000000" w:rsidRDefault="001A570A">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048D61B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ABC1E"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E3F906E" w14:textId="77777777" w:rsidR="00000000" w:rsidRDefault="001A570A">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7794BB60" w14:textId="77777777" w:rsidR="00000000" w:rsidRDefault="001A570A">
            <w:pPr>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1FE555E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1D347E" w14:textId="77777777" w:rsidR="00000000" w:rsidRDefault="001A570A">
            <w:pPr>
              <w:jc w:val="right"/>
              <w:rPr>
                <w:rFonts w:eastAsia="Times New Roman"/>
              </w:rPr>
            </w:pPr>
            <w:r>
              <w:rPr>
                <w:rFonts w:eastAsia="Times New Roman"/>
                <w:color w:val="000000"/>
                <w:sz w:val="20"/>
                <w:szCs w:val="20"/>
              </w:rPr>
              <w:t>8,834 </w:t>
            </w:r>
          </w:p>
        </w:tc>
        <w:tc>
          <w:tcPr>
            <w:tcW w:w="0" w:type="auto"/>
            <w:shd w:val="clear" w:color="auto" w:fill="CCEEFF"/>
            <w:tcMar>
              <w:top w:w="30" w:type="dxa"/>
              <w:left w:w="0" w:type="dxa"/>
              <w:bottom w:w="30" w:type="dxa"/>
              <w:right w:w="20" w:type="dxa"/>
            </w:tcMar>
            <w:vAlign w:val="bottom"/>
            <w:hideMark/>
          </w:tcPr>
          <w:p w14:paraId="47739AB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4441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B5E53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28A47D" w14:textId="77777777" w:rsidR="00000000" w:rsidRDefault="001A570A">
            <w:pPr>
              <w:jc w:val="right"/>
              <w:rPr>
                <w:rFonts w:eastAsia="Times New Roman"/>
              </w:rPr>
            </w:pPr>
            <w:r>
              <w:rPr>
                <w:rFonts w:eastAsia="Times New Roman"/>
                <w:color w:val="000000"/>
                <w:sz w:val="20"/>
                <w:szCs w:val="20"/>
              </w:rPr>
              <w:t>9,263 </w:t>
            </w:r>
          </w:p>
        </w:tc>
        <w:tc>
          <w:tcPr>
            <w:tcW w:w="0" w:type="auto"/>
            <w:shd w:val="clear" w:color="auto" w:fill="CCEEFF"/>
            <w:tcMar>
              <w:top w:w="30" w:type="dxa"/>
              <w:left w:w="0" w:type="dxa"/>
              <w:bottom w:w="30" w:type="dxa"/>
              <w:right w:w="20" w:type="dxa"/>
            </w:tcMar>
            <w:vAlign w:val="bottom"/>
            <w:hideMark/>
          </w:tcPr>
          <w:p w14:paraId="463B19F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FE84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5FCE6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7F207C" w14:textId="77777777" w:rsidR="00000000" w:rsidRDefault="001A570A">
            <w:pPr>
              <w:jc w:val="right"/>
              <w:rPr>
                <w:rFonts w:eastAsia="Times New Roman"/>
              </w:rPr>
            </w:pPr>
            <w:r>
              <w:rPr>
                <w:rFonts w:eastAsia="Times New Roman"/>
                <w:color w:val="000000"/>
                <w:sz w:val="20"/>
                <w:szCs w:val="20"/>
              </w:rPr>
              <w:t>18,097 </w:t>
            </w:r>
          </w:p>
        </w:tc>
        <w:tc>
          <w:tcPr>
            <w:tcW w:w="0" w:type="auto"/>
            <w:shd w:val="clear" w:color="auto" w:fill="CCEEFF"/>
            <w:tcMar>
              <w:top w:w="30" w:type="dxa"/>
              <w:left w:w="0" w:type="dxa"/>
              <w:bottom w:w="30" w:type="dxa"/>
              <w:right w:w="20" w:type="dxa"/>
            </w:tcMar>
            <w:vAlign w:val="bottom"/>
            <w:hideMark/>
          </w:tcPr>
          <w:p w14:paraId="440E1CAC" w14:textId="77777777" w:rsidR="00000000" w:rsidRDefault="001A570A">
            <w:pPr>
              <w:jc w:val="right"/>
              <w:rPr>
                <w:rFonts w:eastAsia="Times New Roman"/>
              </w:rPr>
            </w:pPr>
          </w:p>
        </w:tc>
      </w:tr>
      <w:tr w:rsidR="00000000" w14:paraId="0A83BAB3" w14:textId="77777777">
        <w:trPr>
          <w:divId w:val="2061785806"/>
          <w:jc w:val="center"/>
        </w:trPr>
        <w:tc>
          <w:tcPr>
            <w:tcW w:w="0" w:type="auto"/>
            <w:gridSpan w:val="3"/>
            <w:shd w:val="clear" w:color="auto" w:fill="FFFFFF"/>
            <w:tcMar>
              <w:top w:w="0" w:type="dxa"/>
              <w:left w:w="20" w:type="dxa"/>
              <w:bottom w:w="0" w:type="dxa"/>
              <w:right w:w="20" w:type="dxa"/>
            </w:tcMar>
            <w:vAlign w:val="center"/>
            <w:hideMark/>
          </w:tcPr>
          <w:p w14:paraId="72D4EFFC"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07836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4976D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1D1C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B9A2CC"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A74E56" w14:textId="77777777" w:rsidR="00000000" w:rsidRDefault="001A570A">
            <w:pPr>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14:paraId="16753E7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A3393"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5C947CB" w14:textId="77777777" w:rsidR="00000000" w:rsidRDefault="001A570A">
            <w:pPr>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14:paraId="45D43C31" w14:textId="77777777" w:rsidR="00000000" w:rsidRDefault="001A570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610F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95ECE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AD7E6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D8241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EE6ACB" w14:textId="77777777" w:rsidR="00000000" w:rsidRDefault="001A570A">
            <w:pPr>
              <w:rPr>
                <w:rFonts w:eastAsia="Times New Roman"/>
                <w:sz w:val="20"/>
                <w:szCs w:val="20"/>
              </w:rPr>
            </w:pPr>
          </w:p>
        </w:tc>
      </w:tr>
      <w:tr w:rsidR="00000000" w14:paraId="3C9DAB10"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7A9E2D68" w14:textId="77777777" w:rsidR="00000000" w:rsidRDefault="001A570A">
            <w:pPr>
              <w:rPr>
                <w:rFonts w:eastAsia="Times New Roman"/>
              </w:rPr>
            </w:pPr>
            <w:r>
              <w:rPr>
                <w:rFonts w:eastAsia="Times New Roman"/>
                <w:color w:val="000000"/>
                <w:sz w:val="20"/>
                <w:szCs w:val="20"/>
              </w:rPr>
              <w:t>Cost of product sales and services</w:t>
            </w:r>
          </w:p>
        </w:tc>
        <w:tc>
          <w:tcPr>
            <w:tcW w:w="0" w:type="auto"/>
            <w:gridSpan w:val="2"/>
            <w:shd w:val="clear" w:color="auto" w:fill="CCEEFF"/>
            <w:tcMar>
              <w:top w:w="30" w:type="dxa"/>
              <w:left w:w="20" w:type="dxa"/>
              <w:bottom w:w="30" w:type="dxa"/>
              <w:right w:w="0" w:type="dxa"/>
            </w:tcMar>
            <w:vAlign w:val="bottom"/>
            <w:hideMark/>
          </w:tcPr>
          <w:p w14:paraId="2140DA75" w14:textId="77777777" w:rsidR="00000000" w:rsidRDefault="001A570A">
            <w:pPr>
              <w:jc w:val="right"/>
              <w:rPr>
                <w:rFonts w:eastAsia="Times New Roman"/>
              </w:rPr>
            </w:pPr>
            <w:r>
              <w:rPr>
                <w:rFonts w:eastAsia="Times New Roman"/>
                <w:color w:val="000000"/>
                <w:sz w:val="20"/>
                <w:szCs w:val="20"/>
              </w:rPr>
              <w:t>(2,362)</w:t>
            </w:r>
          </w:p>
        </w:tc>
        <w:tc>
          <w:tcPr>
            <w:tcW w:w="0" w:type="auto"/>
            <w:shd w:val="clear" w:color="auto" w:fill="CCEEFF"/>
            <w:tcMar>
              <w:top w:w="30" w:type="dxa"/>
              <w:left w:w="0" w:type="dxa"/>
              <w:bottom w:w="30" w:type="dxa"/>
              <w:right w:w="20" w:type="dxa"/>
            </w:tcMar>
            <w:vAlign w:val="bottom"/>
            <w:hideMark/>
          </w:tcPr>
          <w:p w14:paraId="50096E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9C6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358DA" w14:textId="77777777" w:rsidR="00000000" w:rsidRDefault="001A570A">
            <w:pPr>
              <w:jc w:val="right"/>
              <w:rPr>
                <w:rFonts w:eastAsia="Times New Roman"/>
              </w:rPr>
            </w:pPr>
            <w:r>
              <w:rPr>
                <w:rFonts w:eastAsia="Times New Roman"/>
                <w:color w:val="000000"/>
                <w:sz w:val="20"/>
                <w:szCs w:val="20"/>
              </w:rPr>
              <w:t>(3,875)</w:t>
            </w:r>
          </w:p>
        </w:tc>
        <w:tc>
          <w:tcPr>
            <w:tcW w:w="0" w:type="auto"/>
            <w:shd w:val="clear" w:color="auto" w:fill="CCEEFF"/>
            <w:tcMar>
              <w:top w:w="30" w:type="dxa"/>
              <w:left w:w="0" w:type="dxa"/>
              <w:bottom w:w="30" w:type="dxa"/>
              <w:right w:w="20" w:type="dxa"/>
            </w:tcMar>
            <w:vAlign w:val="bottom"/>
            <w:hideMark/>
          </w:tcPr>
          <w:p w14:paraId="4F249B8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F7F4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3B771"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C5137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36939"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DA8B142" w14:textId="77777777" w:rsidR="00000000" w:rsidRDefault="001A570A">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5BA50D10"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F301B7" w14:textId="77777777" w:rsidR="00000000" w:rsidRDefault="001A570A">
            <w:pPr>
              <w:jc w:val="right"/>
              <w:rPr>
                <w:rFonts w:eastAsia="Times New Roman"/>
              </w:rPr>
            </w:pPr>
            <w:r>
              <w:rPr>
                <w:rFonts w:eastAsia="Times New Roman"/>
                <w:color w:val="000000"/>
                <w:sz w:val="20"/>
                <w:szCs w:val="20"/>
              </w:rPr>
              <w:t>(6,181)</w:t>
            </w:r>
          </w:p>
        </w:tc>
        <w:tc>
          <w:tcPr>
            <w:tcW w:w="0" w:type="auto"/>
            <w:shd w:val="clear" w:color="auto" w:fill="CCEEFF"/>
            <w:tcMar>
              <w:top w:w="30" w:type="dxa"/>
              <w:left w:w="0" w:type="dxa"/>
              <w:bottom w:w="30" w:type="dxa"/>
              <w:right w:w="20" w:type="dxa"/>
            </w:tcMar>
            <w:vAlign w:val="bottom"/>
            <w:hideMark/>
          </w:tcPr>
          <w:p w14:paraId="3695C0B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E1FC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57765" w14:textId="77777777" w:rsidR="00000000" w:rsidRDefault="001A570A">
            <w:pPr>
              <w:jc w:val="right"/>
              <w:rPr>
                <w:rFonts w:eastAsia="Times New Roman"/>
              </w:rPr>
            </w:pPr>
            <w:r>
              <w:rPr>
                <w:rFonts w:eastAsia="Times New Roman"/>
                <w:color w:val="000000"/>
                <w:sz w:val="20"/>
                <w:szCs w:val="20"/>
              </w:rPr>
              <w:t>(6,726)</w:t>
            </w:r>
          </w:p>
        </w:tc>
        <w:tc>
          <w:tcPr>
            <w:tcW w:w="0" w:type="auto"/>
            <w:shd w:val="clear" w:color="auto" w:fill="CCEEFF"/>
            <w:tcMar>
              <w:top w:w="30" w:type="dxa"/>
              <w:left w:w="0" w:type="dxa"/>
              <w:bottom w:w="30" w:type="dxa"/>
              <w:right w:w="20" w:type="dxa"/>
            </w:tcMar>
            <w:vAlign w:val="bottom"/>
            <w:hideMark/>
          </w:tcPr>
          <w:p w14:paraId="50224BA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E6B4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6D33E" w14:textId="77777777" w:rsidR="00000000" w:rsidRDefault="001A570A">
            <w:pPr>
              <w:jc w:val="right"/>
              <w:rPr>
                <w:rFonts w:eastAsia="Times New Roman"/>
              </w:rPr>
            </w:pPr>
            <w:r>
              <w:rPr>
                <w:rFonts w:eastAsia="Times New Roman"/>
                <w:color w:val="000000"/>
                <w:sz w:val="20"/>
                <w:szCs w:val="20"/>
              </w:rPr>
              <w:t>(12,907)</w:t>
            </w:r>
          </w:p>
        </w:tc>
        <w:tc>
          <w:tcPr>
            <w:tcW w:w="0" w:type="auto"/>
            <w:shd w:val="clear" w:color="auto" w:fill="CCEEFF"/>
            <w:tcMar>
              <w:top w:w="30" w:type="dxa"/>
              <w:left w:w="0" w:type="dxa"/>
              <w:bottom w:w="30" w:type="dxa"/>
              <w:right w:w="20" w:type="dxa"/>
            </w:tcMar>
            <w:vAlign w:val="bottom"/>
            <w:hideMark/>
          </w:tcPr>
          <w:p w14:paraId="3E82D7CD" w14:textId="77777777" w:rsidR="00000000" w:rsidRDefault="001A570A">
            <w:pPr>
              <w:jc w:val="right"/>
              <w:rPr>
                <w:rFonts w:eastAsia="Times New Roman"/>
              </w:rPr>
            </w:pPr>
          </w:p>
        </w:tc>
      </w:tr>
      <w:tr w:rsidR="00000000" w14:paraId="4B9A3B6B" w14:textId="77777777">
        <w:trPr>
          <w:divId w:val="2061785806"/>
          <w:jc w:val="center"/>
        </w:trPr>
        <w:tc>
          <w:tcPr>
            <w:tcW w:w="0" w:type="auto"/>
            <w:gridSpan w:val="3"/>
            <w:shd w:val="clear" w:color="auto" w:fill="FFFFFF"/>
            <w:tcMar>
              <w:top w:w="0" w:type="dxa"/>
              <w:left w:w="20" w:type="dxa"/>
              <w:bottom w:w="0" w:type="dxa"/>
              <w:right w:w="20" w:type="dxa"/>
            </w:tcMar>
            <w:vAlign w:val="center"/>
            <w:hideMark/>
          </w:tcPr>
          <w:p w14:paraId="07B86B9E"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547F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6B81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0BFF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0050DF"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B706D"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2784D14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D55CE"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0B17E79" w14:textId="77777777" w:rsidR="00000000" w:rsidRDefault="001A570A">
            <w:pPr>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14:paraId="644DE277" w14:textId="77777777" w:rsidR="00000000" w:rsidRDefault="001A570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5C87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88A3E"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7C66E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83B75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1CF971" w14:textId="77777777" w:rsidR="00000000" w:rsidRDefault="001A570A">
            <w:pPr>
              <w:rPr>
                <w:rFonts w:eastAsia="Times New Roman"/>
                <w:sz w:val="20"/>
                <w:szCs w:val="20"/>
              </w:rPr>
            </w:pPr>
          </w:p>
        </w:tc>
      </w:tr>
      <w:tr w:rsidR="00000000" w14:paraId="0C6CF139" w14:textId="77777777">
        <w:trPr>
          <w:divId w:val="2061785806"/>
          <w:jc w:val="center"/>
        </w:trPr>
        <w:tc>
          <w:tcPr>
            <w:tcW w:w="0" w:type="auto"/>
            <w:gridSpan w:val="3"/>
            <w:shd w:val="clear" w:color="auto" w:fill="CCEEFF"/>
            <w:tcMar>
              <w:top w:w="0" w:type="dxa"/>
              <w:left w:w="20" w:type="dxa"/>
              <w:bottom w:w="0" w:type="dxa"/>
              <w:right w:w="20" w:type="dxa"/>
            </w:tcMar>
            <w:vAlign w:val="center"/>
            <w:hideMark/>
          </w:tcPr>
          <w:p w14:paraId="76E649C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A8D27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03A5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BCEB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66F10B"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39F84E"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72F7A2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F48DC"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E0AD44C" w14:textId="77777777" w:rsidR="00000000" w:rsidRDefault="001A570A">
            <w:pPr>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14:paraId="707F402C" w14:textId="77777777" w:rsidR="00000000" w:rsidRDefault="001A570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DCCA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30CF1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5E74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61F3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E7DF43" w14:textId="77777777" w:rsidR="00000000" w:rsidRDefault="001A570A">
            <w:pPr>
              <w:rPr>
                <w:rFonts w:eastAsia="Times New Roman"/>
                <w:sz w:val="20"/>
                <w:szCs w:val="20"/>
              </w:rPr>
            </w:pPr>
          </w:p>
        </w:tc>
      </w:tr>
      <w:tr w:rsidR="00000000" w14:paraId="6C91DDF5"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4A6ED00E" w14:textId="77777777" w:rsidR="00000000" w:rsidRDefault="001A570A">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14:paraId="18307358" w14:textId="77777777" w:rsidR="00000000" w:rsidRDefault="001A570A">
            <w:pPr>
              <w:jc w:val="right"/>
              <w:rPr>
                <w:rFonts w:eastAsia="Times New Roman"/>
              </w:rPr>
            </w:pPr>
            <w:r>
              <w:rPr>
                <w:rFonts w:eastAsia="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14:paraId="15C5AAA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148B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BEC80F" w14:textId="77777777" w:rsidR="00000000" w:rsidRDefault="001A570A">
            <w:pPr>
              <w:jc w:val="right"/>
              <w:rPr>
                <w:rFonts w:eastAsia="Times New Roman"/>
              </w:rPr>
            </w:pPr>
            <w:r>
              <w:rPr>
                <w:rFonts w:eastAsia="Times New Roman"/>
                <w:color w:val="000000"/>
                <w:sz w:val="20"/>
                <w:szCs w:val="20"/>
              </w:rPr>
              <w:t>(824)</w:t>
            </w:r>
          </w:p>
        </w:tc>
        <w:tc>
          <w:tcPr>
            <w:tcW w:w="0" w:type="auto"/>
            <w:shd w:val="clear" w:color="auto" w:fill="FFFFFF"/>
            <w:tcMar>
              <w:top w:w="30" w:type="dxa"/>
              <w:left w:w="0" w:type="dxa"/>
              <w:bottom w:w="30" w:type="dxa"/>
              <w:right w:w="20" w:type="dxa"/>
            </w:tcMar>
            <w:vAlign w:val="bottom"/>
            <w:hideMark/>
          </w:tcPr>
          <w:p w14:paraId="0E0D907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AD9E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354143"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3D158DD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F5D86"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FE3D783" w14:textId="77777777" w:rsidR="00000000" w:rsidRDefault="001A570A">
            <w:pPr>
              <w:jc w:val="cente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14:paraId="22CFA3EB"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D0345B" w14:textId="77777777" w:rsidR="00000000" w:rsidRDefault="001A570A">
            <w:pPr>
              <w:jc w:val="right"/>
              <w:rPr>
                <w:rFonts w:eastAsia="Times New Roman"/>
              </w:rPr>
            </w:pPr>
            <w:r>
              <w:rPr>
                <w:rFonts w:eastAsia="Times New Roman"/>
                <w:color w:val="000000"/>
                <w:sz w:val="20"/>
                <w:szCs w:val="20"/>
              </w:rPr>
              <w:t>(1,707)</w:t>
            </w:r>
          </w:p>
        </w:tc>
        <w:tc>
          <w:tcPr>
            <w:tcW w:w="0" w:type="auto"/>
            <w:shd w:val="clear" w:color="auto" w:fill="FFFFFF"/>
            <w:tcMar>
              <w:top w:w="30" w:type="dxa"/>
              <w:left w:w="0" w:type="dxa"/>
              <w:bottom w:w="30" w:type="dxa"/>
              <w:right w:w="20" w:type="dxa"/>
            </w:tcMar>
            <w:vAlign w:val="bottom"/>
            <w:hideMark/>
          </w:tcPr>
          <w:p w14:paraId="5875538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3804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2BCEED" w14:textId="77777777" w:rsidR="00000000" w:rsidRDefault="001A570A">
            <w:pPr>
              <w:jc w:val="right"/>
              <w:rPr>
                <w:rFonts w:eastAsia="Times New Roman"/>
              </w:rPr>
            </w:pPr>
            <w:r>
              <w:rPr>
                <w:rFonts w:eastAsia="Times New Roman"/>
                <w:color w:val="000000"/>
                <w:sz w:val="20"/>
                <w:szCs w:val="20"/>
              </w:rPr>
              <w:t>(1,881)</w:t>
            </w:r>
          </w:p>
        </w:tc>
        <w:tc>
          <w:tcPr>
            <w:tcW w:w="0" w:type="auto"/>
            <w:shd w:val="clear" w:color="auto" w:fill="FFFFFF"/>
            <w:tcMar>
              <w:top w:w="30" w:type="dxa"/>
              <w:left w:w="0" w:type="dxa"/>
              <w:bottom w:w="30" w:type="dxa"/>
              <w:right w:w="20" w:type="dxa"/>
            </w:tcMar>
            <w:vAlign w:val="bottom"/>
            <w:hideMark/>
          </w:tcPr>
          <w:p w14:paraId="1EAE0C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F34C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90C96" w14:textId="77777777" w:rsidR="00000000" w:rsidRDefault="001A570A">
            <w:pPr>
              <w:jc w:val="right"/>
              <w:rPr>
                <w:rFonts w:eastAsia="Times New Roman"/>
              </w:rPr>
            </w:pPr>
            <w:r>
              <w:rPr>
                <w:rFonts w:eastAsia="Times New Roman"/>
                <w:color w:val="000000"/>
                <w:sz w:val="20"/>
                <w:szCs w:val="20"/>
              </w:rPr>
              <w:t>(3,588)</w:t>
            </w:r>
          </w:p>
        </w:tc>
        <w:tc>
          <w:tcPr>
            <w:tcW w:w="0" w:type="auto"/>
            <w:shd w:val="clear" w:color="auto" w:fill="FFFFFF"/>
            <w:tcMar>
              <w:top w:w="30" w:type="dxa"/>
              <w:left w:w="0" w:type="dxa"/>
              <w:bottom w:w="30" w:type="dxa"/>
              <w:right w:w="20" w:type="dxa"/>
            </w:tcMar>
            <w:vAlign w:val="bottom"/>
            <w:hideMark/>
          </w:tcPr>
          <w:p w14:paraId="3914C337" w14:textId="77777777" w:rsidR="00000000" w:rsidRDefault="001A570A">
            <w:pPr>
              <w:jc w:val="right"/>
              <w:rPr>
                <w:rFonts w:eastAsia="Times New Roman"/>
              </w:rPr>
            </w:pPr>
          </w:p>
        </w:tc>
      </w:tr>
      <w:tr w:rsidR="00000000" w14:paraId="6F85D795" w14:textId="77777777">
        <w:trPr>
          <w:divId w:val="2061785806"/>
          <w:jc w:val="center"/>
        </w:trPr>
        <w:tc>
          <w:tcPr>
            <w:tcW w:w="0" w:type="auto"/>
            <w:gridSpan w:val="3"/>
            <w:shd w:val="clear" w:color="auto" w:fill="CCEEFF"/>
            <w:tcMar>
              <w:top w:w="0" w:type="dxa"/>
              <w:left w:w="20" w:type="dxa"/>
              <w:bottom w:w="0" w:type="dxa"/>
              <w:right w:w="20" w:type="dxa"/>
            </w:tcMar>
            <w:vAlign w:val="center"/>
            <w:hideMark/>
          </w:tcPr>
          <w:p w14:paraId="32FCFD0F"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85086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A157F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B7E60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FFC7AD"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BEF5F" w14:textId="77777777" w:rsidR="00000000" w:rsidRDefault="001A570A">
            <w:pPr>
              <w:jc w:val="right"/>
              <w:rPr>
                <w:rFonts w:eastAsia="Times New Roman"/>
              </w:rPr>
            </w:pPr>
            <w:r>
              <w:rPr>
                <w:rFonts w:eastAsia="Times New Roman"/>
                <w:color w:val="000000"/>
                <w:sz w:val="20"/>
                <w:szCs w:val="20"/>
              </w:rPr>
              <w:t>(228)</w:t>
            </w:r>
          </w:p>
        </w:tc>
        <w:tc>
          <w:tcPr>
            <w:tcW w:w="0" w:type="auto"/>
            <w:shd w:val="clear" w:color="auto" w:fill="CCEEFF"/>
            <w:tcMar>
              <w:top w:w="30" w:type="dxa"/>
              <w:left w:w="0" w:type="dxa"/>
              <w:bottom w:w="30" w:type="dxa"/>
              <w:right w:w="20" w:type="dxa"/>
            </w:tcMar>
            <w:vAlign w:val="bottom"/>
            <w:hideMark/>
          </w:tcPr>
          <w:p w14:paraId="253AD9D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3EE23"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093972C" w14:textId="77777777" w:rsidR="00000000" w:rsidRDefault="001A570A">
            <w:pPr>
              <w:jc w:val="center"/>
              <w:rPr>
                <w:rFonts w:eastAsia="Times New Roman"/>
              </w:rPr>
            </w:pPr>
            <w:r>
              <w:rPr>
                <w:rFonts w:eastAsia="Times New Roman"/>
                <w:color w:val="000000"/>
                <w:sz w:val="20"/>
                <w:szCs w:val="20"/>
              </w:rPr>
              <w:t>c</w:t>
            </w:r>
          </w:p>
        </w:tc>
        <w:tc>
          <w:tcPr>
            <w:tcW w:w="0" w:type="auto"/>
            <w:gridSpan w:val="3"/>
            <w:shd w:val="clear" w:color="auto" w:fill="CCEEFF"/>
            <w:tcMar>
              <w:top w:w="0" w:type="dxa"/>
              <w:left w:w="20" w:type="dxa"/>
              <w:bottom w:w="0" w:type="dxa"/>
              <w:right w:w="20" w:type="dxa"/>
            </w:tcMar>
            <w:vAlign w:val="center"/>
            <w:hideMark/>
          </w:tcPr>
          <w:p w14:paraId="791B4062" w14:textId="77777777" w:rsidR="00000000" w:rsidRDefault="001A570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1E1C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FFBB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27921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1B44B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7BCE0" w14:textId="77777777" w:rsidR="00000000" w:rsidRDefault="001A570A">
            <w:pPr>
              <w:rPr>
                <w:rFonts w:eastAsia="Times New Roman"/>
                <w:sz w:val="20"/>
                <w:szCs w:val="20"/>
              </w:rPr>
            </w:pPr>
          </w:p>
        </w:tc>
      </w:tr>
      <w:tr w:rsidR="00000000" w14:paraId="14A8221B" w14:textId="77777777">
        <w:trPr>
          <w:divId w:val="2061785806"/>
          <w:jc w:val="center"/>
        </w:trPr>
        <w:tc>
          <w:tcPr>
            <w:tcW w:w="0" w:type="auto"/>
            <w:gridSpan w:val="3"/>
            <w:shd w:val="clear" w:color="auto" w:fill="FFFFFF"/>
            <w:tcMar>
              <w:top w:w="0" w:type="dxa"/>
              <w:left w:w="20" w:type="dxa"/>
              <w:bottom w:w="0" w:type="dxa"/>
              <w:right w:w="20" w:type="dxa"/>
            </w:tcMar>
            <w:vAlign w:val="center"/>
            <w:hideMark/>
          </w:tcPr>
          <w:p w14:paraId="7CAC52C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0B2F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0EDF1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126B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87C8AB"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A482C" w14:textId="77777777" w:rsidR="00000000" w:rsidRDefault="001A570A">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731FAA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FA922"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99846B5" w14:textId="77777777" w:rsidR="00000000" w:rsidRDefault="001A570A">
            <w:pPr>
              <w:jc w:val="center"/>
              <w:rPr>
                <w:rFonts w:eastAsia="Times New Roman"/>
              </w:rPr>
            </w:pPr>
            <w:r>
              <w:rPr>
                <w:rFonts w:eastAsia="Times New Roman"/>
                <w:color w:val="000000"/>
                <w:sz w:val="20"/>
                <w:szCs w:val="20"/>
              </w:rPr>
              <w:t>d</w:t>
            </w:r>
          </w:p>
        </w:tc>
        <w:tc>
          <w:tcPr>
            <w:tcW w:w="0" w:type="auto"/>
            <w:gridSpan w:val="3"/>
            <w:shd w:val="clear" w:color="auto" w:fill="FFFFFF"/>
            <w:tcMar>
              <w:top w:w="0" w:type="dxa"/>
              <w:left w:w="20" w:type="dxa"/>
              <w:bottom w:w="0" w:type="dxa"/>
              <w:right w:w="20" w:type="dxa"/>
            </w:tcMar>
            <w:vAlign w:val="center"/>
            <w:hideMark/>
          </w:tcPr>
          <w:p w14:paraId="41DD60ED" w14:textId="77777777" w:rsidR="00000000" w:rsidRDefault="001A570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C2F6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134AF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F1F8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92A0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2E19FF" w14:textId="77777777" w:rsidR="00000000" w:rsidRDefault="001A570A">
            <w:pPr>
              <w:rPr>
                <w:rFonts w:eastAsia="Times New Roman"/>
                <w:sz w:val="20"/>
                <w:szCs w:val="20"/>
              </w:rPr>
            </w:pPr>
          </w:p>
        </w:tc>
      </w:tr>
      <w:tr w:rsidR="00000000" w14:paraId="6B2EB6E7" w14:textId="77777777">
        <w:trPr>
          <w:divId w:val="2061785806"/>
          <w:jc w:val="center"/>
        </w:trPr>
        <w:tc>
          <w:tcPr>
            <w:tcW w:w="0" w:type="auto"/>
            <w:gridSpan w:val="3"/>
            <w:shd w:val="clear" w:color="auto" w:fill="CCEEFF"/>
            <w:tcMar>
              <w:top w:w="0" w:type="dxa"/>
              <w:left w:w="20" w:type="dxa"/>
              <w:bottom w:w="0" w:type="dxa"/>
              <w:right w:w="20" w:type="dxa"/>
            </w:tcMar>
            <w:vAlign w:val="center"/>
            <w:hideMark/>
          </w:tcPr>
          <w:p w14:paraId="113130D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A6E9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E12DD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A921B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7E7C29"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E0A35"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048A80E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EE13F"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E941FDB" w14:textId="77777777" w:rsidR="00000000" w:rsidRDefault="001A570A">
            <w:pPr>
              <w:jc w:val="center"/>
              <w:rPr>
                <w:rFonts w:eastAsia="Times New Roman"/>
              </w:rPr>
            </w:pPr>
            <w:r>
              <w:rPr>
                <w:rFonts w:eastAsia="Times New Roman"/>
                <w:color w:val="000000"/>
                <w:sz w:val="20"/>
                <w:szCs w:val="20"/>
              </w:rPr>
              <w:t>e</w:t>
            </w:r>
          </w:p>
        </w:tc>
        <w:tc>
          <w:tcPr>
            <w:tcW w:w="0" w:type="auto"/>
            <w:gridSpan w:val="3"/>
            <w:shd w:val="clear" w:color="auto" w:fill="CCEEFF"/>
            <w:tcMar>
              <w:top w:w="0" w:type="dxa"/>
              <w:left w:w="20" w:type="dxa"/>
              <w:bottom w:w="0" w:type="dxa"/>
              <w:right w:w="20" w:type="dxa"/>
            </w:tcMar>
            <w:vAlign w:val="center"/>
            <w:hideMark/>
          </w:tcPr>
          <w:p w14:paraId="0396D29A" w14:textId="77777777" w:rsidR="00000000" w:rsidRDefault="001A570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A20B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65938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9585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FDC1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4A9B26" w14:textId="77777777" w:rsidR="00000000" w:rsidRDefault="001A570A">
            <w:pPr>
              <w:rPr>
                <w:rFonts w:eastAsia="Times New Roman"/>
                <w:sz w:val="20"/>
                <w:szCs w:val="20"/>
              </w:rPr>
            </w:pPr>
          </w:p>
        </w:tc>
      </w:tr>
      <w:tr w:rsidR="00000000" w14:paraId="04E28DB2" w14:textId="77777777">
        <w:trPr>
          <w:divId w:val="2061785806"/>
          <w:jc w:val="center"/>
        </w:trPr>
        <w:tc>
          <w:tcPr>
            <w:tcW w:w="0" w:type="auto"/>
            <w:gridSpan w:val="3"/>
            <w:shd w:val="clear" w:color="auto" w:fill="FFFFFF"/>
            <w:tcMar>
              <w:top w:w="0" w:type="dxa"/>
              <w:left w:w="20" w:type="dxa"/>
              <w:bottom w:w="0" w:type="dxa"/>
              <w:right w:w="20" w:type="dxa"/>
            </w:tcMar>
            <w:vAlign w:val="center"/>
            <w:hideMark/>
          </w:tcPr>
          <w:p w14:paraId="7A2B9B4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F1BBA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B8D80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5313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E7B5B"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EFA25"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4FDF3E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E2B36"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1AC8033" w14:textId="77777777" w:rsidR="00000000" w:rsidRDefault="001A570A">
            <w:pPr>
              <w:jc w:val="center"/>
              <w:rPr>
                <w:rFonts w:eastAsia="Times New Roman"/>
              </w:rPr>
            </w:pPr>
            <w:r>
              <w:rPr>
                <w:rFonts w:eastAsia="Times New Roman"/>
                <w:color w:val="000000"/>
                <w:sz w:val="20"/>
                <w:szCs w:val="20"/>
              </w:rPr>
              <w:t>f</w:t>
            </w:r>
          </w:p>
        </w:tc>
        <w:tc>
          <w:tcPr>
            <w:tcW w:w="0" w:type="auto"/>
            <w:gridSpan w:val="3"/>
            <w:shd w:val="clear" w:color="auto" w:fill="FFFFFF"/>
            <w:tcMar>
              <w:top w:w="0" w:type="dxa"/>
              <w:left w:w="20" w:type="dxa"/>
              <w:bottom w:w="0" w:type="dxa"/>
              <w:right w:w="20" w:type="dxa"/>
            </w:tcMar>
            <w:vAlign w:val="center"/>
            <w:hideMark/>
          </w:tcPr>
          <w:p w14:paraId="41BEE63D" w14:textId="77777777" w:rsidR="00000000" w:rsidRDefault="001A570A">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3977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2679E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1EC22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0AE6A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3E5228" w14:textId="77777777" w:rsidR="00000000" w:rsidRDefault="001A570A">
            <w:pPr>
              <w:rPr>
                <w:rFonts w:eastAsia="Times New Roman"/>
                <w:sz w:val="20"/>
                <w:szCs w:val="20"/>
              </w:rPr>
            </w:pPr>
          </w:p>
        </w:tc>
      </w:tr>
      <w:tr w:rsidR="00000000" w14:paraId="2198EF30" w14:textId="77777777">
        <w:trPr>
          <w:divId w:val="2061785806"/>
          <w:jc w:val="center"/>
        </w:trPr>
        <w:tc>
          <w:tcPr>
            <w:tcW w:w="0" w:type="auto"/>
            <w:gridSpan w:val="3"/>
            <w:shd w:val="clear" w:color="auto" w:fill="CCEEFF"/>
            <w:tcMar>
              <w:top w:w="0" w:type="dxa"/>
              <w:left w:w="20" w:type="dxa"/>
              <w:bottom w:w="0" w:type="dxa"/>
              <w:right w:w="20" w:type="dxa"/>
            </w:tcMar>
            <w:vAlign w:val="center"/>
            <w:hideMark/>
          </w:tcPr>
          <w:p w14:paraId="02628BE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D02A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B277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A6FC6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E6113"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EE553" w14:textId="77777777" w:rsidR="00000000" w:rsidRDefault="001A570A">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1EC08FA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49040"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32ECE21" w14:textId="77777777" w:rsidR="00000000" w:rsidRDefault="001A570A">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14:paraId="25A68A87" w14:textId="77777777" w:rsidR="00000000" w:rsidRDefault="001A570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D1BE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47C5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295A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95207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0BFA94" w14:textId="77777777" w:rsidR="00000000" w:rsidRDefault="001A570A">
            <w:pPr>
              <w:rPr>
                <w:rFonts w:eastAsia="Times New Roman"/>
                <w:sz w:val="20"/>
                <w:szCs w:val="20"/>
              </w:rPr>
            </w:pPr>
          </w:p>
        </w:tc>
      </w:tr>
      <w:tr w:rsidR="00000000" w14:paraId="58469BAB"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031CBBD0" w14:textId="77777777" w:rsidR="00000000" w:rsidRDefault="001A570A">
            <w:pPr>
              <w:rPr>
                <w:rFonts w:eastAsia="Times New Roman"/>
              </w:rPr>
            </w:pPr>
            <w:r>
              <w:rPr>
                <w:rFonts w:eastAsia="Times New Roman"/>
                <w:color w:val="000000"/>
                <w:sz w:val="20"/>
                <w:szCs w:val="20"/>
              </w:rPr>
              <w:t>Business divestiture-related gains</w:t>
            </w:r>
          </w:p>
        </w:tc>
        <w:tc>
          <w:tcPr>
            <w:tcW w:w="0" w:type="auto"/>
            <w:gridSpan w:val="2"/>
            <w:shd w:val="clear" w:color="auto" w:fill="FFFFFF"/>
            <w:tcMar>
              <w:top w:w="30" w:type="dxa"/>
              <w:left w:w="20" w:type="dxa"/>
              <w:bottom w:w="30" w:type="dxa"/>
              <w:right w:w="0" w:type="dxa"/>
            </w:tcMar>
            <w:vAlign w:val="bottom"/>
            <w:hideMark/>
          </w:tcPr>
          <w:p w14:paraId="005DD6F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0C37E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A04B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239B9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15227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8CA1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D7C1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1D7C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88347"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111AE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42D1A9"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7218E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3183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9FFF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CFB20"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243AB9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99A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FED553"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7C4AAFC9" w14:textId="77777777" w:rsidR="00000000" w:rsidRDefault="001A570A">
            <w:pPr>
              <w:jc w:val="right"/>
              <w:rPr>
                <w:rFonts w:eastAsia="Times New Roman"/>
              </w:rPr>
            </w:pPr>
          </w:p>
        </w:tc>
      </w:tr>
      <w:tr w:rsidR="00000000" w14:paraId="72658853"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27CECD75" w14:textId="77777777" w:rsidR="00000000" w:rsidRDefault="001A570A">
            <w:pPr>
              <w:rPr>
                <w:rFonts w:eastAsia="Times New Roman"/>
              </w:rPr>
            </w:pPr>
            <w:r>
              <w:rPr>
                <w:rFonts w:eastAsia="Times New Roman"/>
                <w:color w:val="000000"/>
                <w:sz w:val="20"/>
                <w:szCs w:val="20"/>
              </w:rPr>
              <w:t>Impairment of right-of-use asset</w:t>
            </w:r>
          </w:p>
        </w:tc>
        <w:tc>
          <w:tcPr>
            <w:tcW w:w="0" w:type="auto"/>
            <w:gridSpan w:val="2"/>
            <w:shd w:val="clear" w:color="auto" w:fill="CCEEFF"/>
            <w:tcMar>
              <w:top w:w="30" w:type="dxa"/>
              <w:left w:w="20" w:type="dxa"/>
              <w:bottom w:w="30" w:type="dxa"/>
              <w:right w:w="0" w:type="dxa"/>
            </w:tcMar>
            <w:vAlign w:val="bottom"/>
            <w:hideMark/>
          </w:tcPr>
          <w:p w14:paraId="43ACCF4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98C57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C249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3D3A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8C572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7918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71AF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F2930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E7151"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E161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B2D005"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30AD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2478D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D48C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E686B"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1B988E1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FCB3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2F18B"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75A913B2" w14:textId="77777777" w:rsidR="00000000" w:rsidRDefault="001A570A">
            <w:pPr>
              <w:jc w:val="right"/>
              <w:rPr>
                <w:rFonts w:eastAsia="Times New Roman"/>
              </w:rPr>
            </w:pPr>
          </w:p>
        </w:tc>
      </w:tr>
      <w:tr w:rsidR="00000000" w14:paraId="73DFE4A7"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3C2BD150" w14:textId="77777777" w:rsidR="00000000" w:rsidRDefault="001A570A">
            <w:pPr>
              <w:ind w:hanging="180"/>
              <w:divId w:val="1200706388"/>
              <w:rPr>
                <w:rFonts w:eastAsia="Times New Roman"/>
              </w:rPr>
            </w:pPr>
            <w:r>
              <w:rPr>
                <w:rFonts w:eastAsia="Times New Roman"/>
                <w:color w:val="000000"/>
                <w:sz w:val="20"/>
                <w:szCs w:val="20"/>
              </w:rPr>
              <w:t xml:space="preserve">Merger, acquisition and divestiture related expenses </w:t>
            </w:r>
          </w:p>
        </w:tc>
        <w:tc>
          <w:tcPr>
            <w:tcW w:w="0" w:type="auto"/>
            <w:gridSpan w:val="2"/>
            <w:shd w:val="clear" w:color="auto" w:fill="FFFFFF"/>
            <w:tcMar>
              <w:top w:w="30" w:type="dxa"/>
              <w:left w:w="20" w:type="dxa"/>
              <w:bottom w:w="30" w:type="dxa"/>
              <w:right w:w="0" w:type="dxa"/>
            </w:tcMar>
            <w:vAlign w:val="bottom"/>
            <w:hideMark/>
          </w:tcPr>
          <w:p w14:paraId="7809B8F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0999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1843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9C982" w14:textId="77777777" w:rsidR="00000000" w:rsidRDefault="001A570A">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5EC45B6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3CD8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04340" w14:textId="77777777" w:rsidR="00000000" w:rsidRDefault="001A570A">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59C0E99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DD25E"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B0C46CC" w14:textId="77777777" w:rsidR="00000000" w:rsidRDefault="001A570A">
            <w:pPr>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14:paraId="5104FA77"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0998E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3B781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AB73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D4716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1073B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4C6F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C2D3F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4B8952" w14:textId="77777777" w:rsidR="00000000" w:rsidRDefault="001A570A">
            <w:pPr>
              <w:jc w:val="right"/>
              <w:rPr>
                <w:rFonts w:eastAsia="Times New Roman"/>
              </w:rPr>
            </w:pPr>
          </w:p>
        </w:tc>
      </w:tr>
      <w:tr w:rsidR="00000000" w14:paraId="60FAF292"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6F53E103" w14:textId="77777777" w:rsidR="00000000" w:rsidRDefault="001A570A">
            <w:pPr>
              <w:ind w:hanging="180"/>
              <w:divId w:val="1753117677"/>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14:paraId="7FEC2426" w14:textId="77777777" w:rsidR="00000000" w:rsidRDefault="001A570A">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2133D3F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6B46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44DF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40593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C8F2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FD30D2"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2746DE1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26D6B"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1EC9F01" w14:textId="77777777" w:rsidR="00000000" w:rsidRDefault="001A570A">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14:paraId="3D9CA9E1"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2DDF46"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00DB65A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7C71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FD3D6F" w14:textId="77777777" w:rsidR="00000000" w:rsidRDefault="001A570A">
            <w:pPr>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14:paraId="512A91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8301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F909B7" w14:textId="77777777" w:rsidR="00000000" w:rsidRDefault="001A570A">
            <w:pPr>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14:paraId="6FF68FE3" w14:textId="77777777" w:rsidR="00000000" w:rsidRDefault="001A570A">
            <w:pPr>
              <w:jc w:val="right"/>
              <w:rPr>
                <w:rFonts w:eastAsia="Times New Roman"/>
              </w:rPr>
            </w:pPr>
          </w:p>
        </w:tc>
      </w:tr>
      <w:tr w:rsidR="00000000" w14:paraId="244B33D3"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1638B5AA" w14:textId="77777777" w:rsidR="00000000" w:rsidRDefault="001A570A">
            <w:pPr>
              <w:rPr>
                <w:rFonts w:eastAsia="Times New Roman"/>
              </w:rPr>
            </w:pPr>
            <w:r>
              <w:rPr>
                <w:rFonts w:eastAsia="Times New Roman"/>
                <w:color w:val="000000"/>
                <w:sz w:val="20"/>
                <w:szCs w:val="20"/>
              </w:rPr>
              <w:t>Interest and other income, net</w:t>
            </w:r>
          </w:p>
        </w:tc>
        <w:tc>
          <w:tcPr>
            <w:tcW w:w="0" w:type="auto"/>
            <w:gridSpan w:val="2"/>
            <w:shd w:val="clear" w:color="auto" w:fill="FFFFFF"/>
            <w:tcMar>
              <w:top w:w="30" w:type="dxa"/>
              <w:left w:w="20" w:type="dxa"/>
              <w:bottom w:w="30" w:type="dxa"/>
              <w:right w:w="0" w:type="dxa"/>
            </w:tcMar>
            <w:vAlign w:val="bottom"/>
            <w:hideMark/>
          </w:tcPr>
          <w:p w14:paraId="189E007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83C60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51696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5E40D"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144A6BD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6E10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C3C947"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100D7ED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8E10A"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56E2707" w14:textId="77777777" w:rsidR="00000000" w:rsidRDefault="001A570A">
            <w:pPr>
              <w:jc w:val="center"/>
              <w:rPr>
                <w:rFonts w:eastAsia="Times New Roman"/>
              </w:rPr>
            </w:pPr>
            <w:r>
              <w:rPr>
                <w:rFonts w:eastAsia="Times New Roman"/>
                <w:color w:val="000000"/>
                <w:sz w:val="20"/>
                <w:szCs w:val="20"/>
              </w:rPr>
              <w:t>g</w:t>
            </w:r>
          </w:p>
        </w:tc>
        <w:tc>
          <w:tcPr>
            <w:tcW w:w="0" w:type="auto"/>
            <w:gridSpan w:val="3"/>
            <w:shd w:val="clear" w:color="auto" w:fill="FFFFFF"/>
            <w:tcMar>
              <w:top w:w="0" w:type="dxa"/>
              <w:left w:w="20" w:type="dxa"/>
              <w:bottom w:w="0" w:type="dxa"/>
              <w:right w:w="20" w:type="dxa"/>
            </w:tcMar>
            <w:vAlign w:val="center"/>
            <w:hideMark/>
          </w:tcPr>
          <w:p w14:paraId="4DDC350C"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EBF0B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7E70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9430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D615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9C6C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FA45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05FD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E9AAD3" w14:textId="77777777" w:rsidR="00000000" w:rsidRDefault="001A570A">
            <w:pPr>
              <w:jc w:val="right"/>
              <w:rPr>
                <w:rFonts w:eastAsia="Times New Roman"/>
              </w:rPr>
            </w:pPr>
          </w:p>
        </w:tc>
      </w:tr>
      <w:tr w:rsidR="00000000" w14:paraId="326B3CAE" w14:textId="77777777">
        <w:trPr>
          <w:divId w:val="2061785806"/>
          <w:jc w:val="center"/>
        </w:trPr>
        <w:tc>
          <w:tcPr>
            <w:tcW w:w="0" w:type="auto"/>
            <w:gridSpan w:val="3"/>
            <w:shd w:val="clear" w:color="auto" w:fill="CCEEFF"/>
            <w:tcMar>
              <w:top w:w="0" w:type="dxa"/>
              <w:left w:w="20" w:type="dxa"/>
              <w:bottom w:w="0" w:type="dxa"/>
              <w:right w:w="20" w:type="dxa"/>
            </w:tcMar>
            <w:vAlign w:val="center"/>
            <w:hideMark/>
          </w:tcPr>
          <w:p w14:paraId="740FF0F4"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BAF8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A9EE0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1CE1B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0C60FB"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F150CD" w14:textId="77777777" w:rsidR="00000000" w:rsidRDefault="001A570A">
            <w:pPr>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5FB5BD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6F9A9"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149DE4" w14:textId="77777777" w:rsidR="00000000" w:rsidRDefault="001A570A">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14:paraId="53F9F0F8" w14:textId="77777777" w:rsidR="00000000" w:rsidRDefault="001A570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E3C5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7D1B0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821A4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370E0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22F705" w14:textId="77777777" w:rsidR="00000000" w:rsidRDefault="001A570A">
            <w:pPr>
              <w:rPr>
                <w:rFonts w:eastAsia="Times New Roman"/>
                <w:sz w:val="20"/>
                <w:szCs w:val="20"/>
              </w:rPr>
            </w:pPr>
          </w:p>
        </w:tc>
      </w:tr>
      <w:tr w:rsidR="00000000" w14:paraId="5BC6FB4B"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5703AC16" w14:textId="77777777" w:rsidR="00000000" w:rsidRDefault="001A570A">
            <w:pPr>
              <w:rPr>
                <w:rFonts w:eastAsia="Times New Roman"/>
              </w:rPr>
            </w:pPr>
            <w:r>
              <w:rPr>
                <w:rFonts w:eastAsia="Times New Roman"/>
                <w:color w:val="000000"/>
                <w:sz w:val="20"/>
                <w:szCs w:val="20"/>
              </w:rPr>
              <w:t>Debt retirement charges</w:t>
            </w:r>
          </w:p>
        </w:tc>
        <w:tc>
          <w:tcPr>
            <w:tcW w:w="0" w:type="auto"/>
            <w:gridSpan w:val="2"/>
            <w:shd w:val="clear" w:color="auto" w:fill="FFFFFF"/>
            <w:tcMar>
              <w:top w:w="30" w:type="dxa"/>
              <w:left w:w="20" w:type="dxa"/>
              <w:bottom w:w="30" w:type="dxa"/>
              <w:right w:w="0" w:type="dxa"/>
            </w:tcMar>
            <w:vAlign w:val="bottom"/>
            <w:hideMark/>
          </w:tcPr>
          <w:p w14:paraId="42EDAFC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7CE1F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6CDC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1127A"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4E6E9B3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5CFC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4182C7"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3D42D2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539C7"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2D6621B" w14:textId="77777777" w:rsidR="00000000" w:rsidRDefault="001A570A">
            <w:pPr>
              <w:jc w:val="center"/>
              <w:rPr>
                <w:rFonts w:eastAsia="Times New Roman"/>
              </w:rPr>
            </w:pPr>
            <w:r>
              <w:rPr>
                <w:rFonts w:eastAsia="Times New Roman"/>
                <w:color w:val="000000"/>
                <w:sz w:val="20"/>
                <w:szCs w:val="20"/>
              </w:rPr>
              <w:t>j</w:t>
            </w:r>
          </w:p>
        </w:tc>
        <w:tc>
          <w:tcPr>
            <w:tcW w:w="0" w:type="auto"/>
            <w:gridSpan w:val="3"/>
            <w:shd w:val="clear" w:color="auto" w:fill="FFFFFF"/>
            <w:tcMar>
              <w:top w:w="0" w:type="dxa"/>
              <w:left w:w="20" w:type="dxa"/>
              <w:bottom w:w="0" w:type="dxa"/>
              <w:right w:w="20" w:type="dxa"/>
            </w:tcMar>
            <w:vAlign w:val="center"/>
            <w:hideMark/>
          </w:tcPr>
          <w:p w14:paraId="357E8558"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CE4B2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25C3E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9394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763F4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65E6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B6B3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C41A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509093" w14:textId="77777777" w:rsidR="00000000" w:rsidRDefault="001A570A">
            <w:pPr>
              <w:jc w:val="right"/>
              <w:rPr>
                <w:rFonts w:eastAsia="Times New Roman"/>
              </w:rPr>
            </w:pPr>
          </w:p>
        </w:tc>
      </w:tr>
      <w:tr w:rsidR="00000000" w14:paraId="517A79C7"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7BA3464E" w14:textId="77777777" w:rsidR="00000000" w:rsidRDefault="001A570A">
            <w:pPr>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41CD2B47"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7020F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89A8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C50A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6F184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3D83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8B00E4"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3EADD9C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9AFC5"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328DCAC" w14:textId="77777777" w:rsidR="00000000" w:rsidRDefault="001A570A">
            <w:pPr>
              <w:jc w:val="center"/>
              <w:rPr>
                <w:rFonts w:eastAsia="Times New Roman"/>
              </w:rPr>
            </w:pPr>
            <w:r>
              <w:rPr>
                <w:rFonts w:eastAsia="Times New Roman"/>
                <w:color w:val="000000"/>
                <w:sz w:val="20"/>
                <w:szCs w:val="20"/>
              </w:rPr>
              <w:t>j</w:t>
            </w:r>
          </w:p>
        </w:tc>
        <w:tc>
          <w:tcPr>
            <w:tcW w:w="0" w:type="auto"/>
            <w:gridSpan w:val="3"/>
            <w:shd w:val="clear" w:color="auto" w:fill="CCEEFF"/>
            <w:tcMar>
              <w:top w:w="0" w:type="dxa"/>
              <w:left w:w="20" w:type="dxa"/>
              <w:bottom w:w="0" w:type="dxa"/>
              <w:right w:w="20" w:type="dxa"/>
            </w:tcMar>
            <w:vAlign w:val="center"/>
            <w:hideMark/>
          </w:tcPr>
          <w:p w14:paraId="01A6B6F6"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C5B43C"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02A05C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6202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DBA081"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68A951C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2FBC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131B8"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7C8D3D6D" w14:textId="77777777" w:rsidR="00000000" w:rsidRDefault="001A570A">
            <w:pPr>
              <w:jc w:val="right"/>
              <w:rPr>
                <w:rFonts w:eastAsia="Times New Roman"/>
              </w:rPr>
            </w:pPr>
          </w:p>
        </w:tc>
      </w:tr>
      <w:tr w:rsidR="00000000" w14:paraId="6FD8381B"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629EB8CF" w14:textId="77777777" w:rsidR="00000000" w:rsidRDefault="001A570A">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E24BE27" w14:textId="77777777" w:rsidR="00000000" w:rsidRDefault="001A570A">
            <w:pPr>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14:paraId="629FE0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1F16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741EF" w14:textId="77777777" w:rsidR="00000000" w:rsidRDefault="001A570A">
            <w:pPr>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14:paraId="1C2919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FE59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72E44"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49A6B5E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D3889"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98E9C88" w14:textId="77777777" w:rsidR="00000000" w:rsidRDefault="001A570A">
            <w:pPr>
              <w:jc w:val="center"/>
              <w:rPr>
                <w:rFonts w:eastAsia="Times New Roman"/>
              </w:rPr>
            </w:pPr>
            <w:r>
              <w:rPr>
                <w:rFonts w:eastAsia="Times New Roman"/>
                <w:color w:val="000000"/>
                <w:sz w:val="20"/>
                <w:szCs w:val="20"/>
              </w:rPr>
              <w:t>h</w:t>
            </w:r>
          </w:p>
        </w:tc>
        <w:tc>
          <w:tcPr>
            <w:tcW w:w="0" w:type="auto"/>
            <w:gridSpan w:val="3"/>
            <w:shd w:val="clear" w:color="auto" w:fill="FFFFFF"/>
            <w:tcMar>
              <w:top w:w="0" w:type="dxa"/>
              <w:left w:w="20" w:type="dxa"/>
              <w:bottom w:w="0" w:type="dxa"/>
              <w:right w:w="20" w:type="dxa"/>
            </w:tcMar>
            <w:vAlign w:val="center"/>
            <w:hideMark/>
          </w:tcPr>
          <w:p w14:paraId="6F181985"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97F6EF" w14:textId="77777777" w:rsidR="00000000" w:rsidRDefault="001A570A">
            <w:pPr>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14:paraId="02E8EC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0E38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B5FD07" w14:textId="77777777" w:rsidR="00000000" w:rsidRDefault="001A570A">
            <w:pPr>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14:paraId="44B8C2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A4A8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995A0" w14:textId="77777777" w:rsidR="00000000" w:rsidRDefault="001A570A">
            <w:pPr>
              <w:jc w:val="right"/>
              <w:rPr>
                <w:rFonts w:eastAsia="Times New Roman"/>
              </w:rPr>
            </w:pPr>
            <w:r>
              <w:rPr>
                <w:rFonts w:eastAsia="Times New Roman"/>
                <w:color w:val="000000"/>
                <w:sz w:val="20"/>
                <w:szCs w:val="20"/>
              </w:rPr>
              <w:t>(274)</w:t>
            </w:r>
          </w:p>
        </w:tc>
        <w:tc>
          <w:tcPr>
            <w:tcW w:w="0" w:type="auto"/>
            <w:shd w:val="clear" w:color="auto" w:fill="FFFFFF"/>
            <w:tcMar>
              <w:top w:w="30" w:type="dxa"/>
              <w:left w:w="0" w:type="dxa"/>
              <w:bottom w:w="30" w:type="dxa"/>
              <w:right w:w="20" w:type="dxa"/>
            </w:tcMar>
            <w:vAlign w:val="bottom"/>
            <w:hideMark/>
          </w:tcPr>
          <w:p w14:paraId="5E4DF5B6" w14:textId="77777777" w:rsidR="00000000" w:rsidRDefault="001A570A">
            <w:pPr>
              <w:jc w:val="right"/>
              <w:rPr>
                <w:rFonts w:eastAsia="Times New Roman"/>
              </w:rPr>
            </w:pPr>
          </w:p>
        </w:tc>
      </w:tr>
      <w:tr w:rsidR="00000000" w14:paraId="2A936E91" w14:textId="77777777">
        <w:trPr>
          <w:divId w:val="2061785806"/>
          <w:jc w:val="center"/>
        </w:trPr>
        <w:tc>
          <w:tcPr>
            <w:tcW w:w="0" w:type="auto"/>
            <w:gridSpan w:val="3"/>
            <w:shd w:val="clear" w:color="auto" w:fill="CCEEFF"/>
            <w:tcMar>
              <w:top w:w="0" w:type="dxa"/>
              <w:left w:w="20" w:type="dxa"/>
              <w:bottom w:w="0" w:type="dxa"/>
              <w:right w:w="20" w:type="dxa"/>
            </w:tcMar>
            <w:vAlign w:val="center"/>
            <w:hideMark/>
          </w:tcPr>
          <w:p w14:paraId="54ED60B7"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A41E8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3F6E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428A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E7761E"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AB25A8"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54D05FD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8C132"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A18870F" w14:textId="77777777" w:rsidR="00000000" w:rsidRDefault="001A570A">
            <w:pPr>
              <w:jc w:val="center"/>
              <w:rPr>
                <w:rFonts w:eastAsia="Times New Roman"/>
              </w:rPr>
            </w:pPr>
            <w:r>
              <w:rPr>
                <w:rFonts w:eastAsia="Times New Roman"/>
                <w:color w:val="000000"/>
                <w:sz w:val="20"/>
                <w:szCs w:val="20"/>
              </w:rPr>
              <w:t>i</w:t>
            </w:r>
          </w:p>
        </w:tc>
        <w:tc>
          <w:tcPr>
            <w:tcW w:w="0" w:type="auto"/>
            <w:gridSpan w:val="3"/>
            <w:shd w:val="clear" w:color="auto" w:fill="CCEEFF"/>
            <w:tcMar>
              <w:top w:w="0" w:type="dxa"/>
              <w:left w:w="20" w:type="dxa"/>
              <w:bottom w:w="0" w:type="dxa"/>
              <w:right w:w="20" w:type="dxa"/>
            </w:tcMar>
            <w:vAlign w:val="center"/>
            <w:hideMark/>
          </w:tcPr>
          <w:p w14:paraId="7A0239DD" w14:textId="77777777" w:rsidR="00000000" w:rsidRDefault="001A570A">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2D74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ACDA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FBB2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6CD32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DCB0C" w14:textId="77777777" w:rsidR="00000000" w:rsidRDefault="001A570A">
            <w:pPr>
              <w:rPr>
                <w:rFonts w:eastAsia="Times New Roman"/>
                <w:sz w:val="20"/>
                <w:szCs w:val="20"/>
              </w:rPr>
            </w:pPr>
          </w:p>
        </w:tc>
      </w:tr>
      <w:tr w:rsidR="00000000" w14:paraId="0EB2F41E" w14:textId="77777777">
        <w:trPr>
          <w:divId w:val="2061785806"/>
          <w:jc w:val="center"/>
        </w:trPr>
        <w:tc>
          <w:tcPr>
            <w:tcW w:w="0" w:type="auto"/>
            <w:gridSpan w:val="3"/>
            <w:shd w:val="clear" w:color="auto" w:fill="FFFFFF"/>
            <w:tcMar>
              <w:top w:w="30" w:type="dxa"/>
              <w:left w:w="200" w:type="dxa"/>
              <w:bottom w:w="30" w:type="dxa"/>
              <w:right w:w="20" w:type="dxa"/>
            </w:tcMar>
            <w:vAlign w:val="bottom"/>
            <w:hideMark/>
          </w:tcPr>
          <w:p w14:paraId="75057708" w14:textId="77777777" w:rsidR="00000000" w:rsidRDefault="001A570A">
            <w:pPr>
              <w:ind w:hanging="180"/>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B45D3F" w14:textId="77777777" w:rsidR="00000000" w:rsidRDefault="001A570A">
            <w:pPr>
              <w:jc w:val="right"/>
              <w:rPr>
                <w:rFonts w:eastAsia="Times New Roman"/>
              </w:rPr>
            </w:pPr>
            <w:r>
              <w:rPr>
                <w:rFonts w:eastAsia="Times New Roman"/>
                <w:color w:val="000000"/>
                <w:sz w:val="20"/>
                <w:szCs w:val="20"/>
              </w:rPr>
              <w:t>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A371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05B4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4A782C" w14:textId="77777777" w:rsidR="00000000" w:rsidRDefault="001A570A">
            <w:pPr>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F137F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D65B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34B710" w14:textId="77777777" w:rsidR="00000000" w:rsidRDefault="001A570A">
            <w:pPr>
              <w:jc w:val="right"/>
              <w:rPr>
                <w:rFonts w:eastAsia="Times New Roman"/>
              </w:rPr>
            </w:pPr>
            <w:r>
              <w:rPr>
                <w:rFonts w:eastAsia="Times New Roman"/>
                <w:color w:val="000000"/>
                <w:sz w:val="20"/>
                <w:szCs w:val="20"/>
              </w:rPr>
              <w:t>(176)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5FAB8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3C478"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D4D71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C0FE8"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0AF1A7" w14:textId="77777777" w:rsidR="00000000" w:rsidRDefault="001A570A">
            <w:pPr>
              <w:jc w:val="right"/>
              <w:rPr>
                <w:rFonts w:eastAsia="Times New Roman"/>
              </w:rPr>
            </w:pPr>
            <w:r>
              <w:rPr>
                <w:rFonts w:eastAsia="Times New Roman"/>
                <w:color w:val="000000"/>
                <w:sz w:val="20"/>
                <w:szCs w:val="20"/>
              </w:rPr>
              <w:t>933 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E55A4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4272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1E340D"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BF820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C464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519FD7" w14:textId="77777777" w:rsidR="00000000" w:rsidRDefault="001A570A">
            <w:pPr>
              <w:jc w:val="right"/>
              <w:rPr>
                <w:rFonts w:eastAsia="Times New Roman"/>
              </w:rPr>
            </w:pPr>
            <w:r>
              <w:rPr>
                <w:rFonts w:eastAsia="Times New Roman"/>
                <w:color w:val="000000"/>
                <w:sz w:val="20"/>
                <w:szCs w:val="20"/>
              </w:rPr>
              <w:t>1,841 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6DA07F" w14:textId="77777777" w:rsidR="00000000" w:rsidRDefault="001A570A">
            <w:pPr>
              <w:jc w:val="right"/>
              <w:rPr>
                <w:rFonts w:eastAsia="Times New Roman"/>
              </w:rPr>
            </w:pPr>
          </w:p>
        </w:tc>
      </w:tr>
      <w:tr w:rsidR="00000000" w14:paraId="2DA010D1"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024BDD6C"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337A2664"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14:paraId="701F9FF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8F58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08021" w14:textId="77777777" w:rsidR="00000000" w:rsidRDefault="001A570A">
            <w:pPr>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14:paraId="1840596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21E4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40788A" w14:textId="77777777" w:rsidR="00000000" w:rsidRDefault="001A570A">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4F5D0B9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2884E"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383FA1D" w14:textId="77777777" w:rsidR="00000000" w:rsidRDefault="001A570A">
            <w:pPr>
              <w:jc w:val="center"/>
              <w:rPr>
                <w:rFonts w:eastAsia="Times New Roman"/>
              </w:rPr>
            </w:pPr>
            <w:r>
              <w:rPr>
                <w:rFonts w:eastAsia="Times New Roman"/>
                <w:color w:val="000000"/>
                <w:sz w:val="20"/>
                <w:szCs w:val="20"/>
              </w:rPr>
              <w:t>k</w:t>
            </w:r>
          </w:p>
        </w:tc>
        <w:tc>
          <w:tcPr>
            <w:tcW w:w="0" w:type="auto"/>
            <w:gridSpan w:val="3"/>
            <w:shd w:val="clear" w:color="auto" w:fill="CCEEFF"/>
            <w:tcMar>
              <w:top w:w="0" w:type="dxa"/>
              <w:left w:w="20" w:type="dxa"/>
              <w:bottom w:w="0" w:type="dxa"/>
              <w:right w:w="20" w:type="dxa"/>
            </w:tcMar>
            <w:vAlign w:val="center"/>
            <w:hideMark/>
          </w:tcPr>
          <w:p w14:paraId="291F2C50"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F3C39E" w14:textId="77777777" w:rsidR="00000000" w:rsidRDefault="001A570A">
            <w:pPr>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14:paraId="41A453F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64D8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9E8C0"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14:paraId="4C72CF0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C87F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8314C" w14:textId="77777777" w:rsidR="00000000" w:rsidRDefault="001A570A">
            <w:pPr>
              <w:jc w:val="right"/>
              <w:rPr>
                <w:rFonts w:eastAsia="Times New Roman"/>
              </w:rPr>
            </w:pPr>
            <w:r>
              <w:rPr>
                <w:rFonts w:eastAsia="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14:paraId="5507F71E" w14:textId="77777777" w:rsidR="00000000" w:rsidRDefault="001A570A">
            <w:pPr>
              <w:jc w:val="right"/>
              <w:rPr>
                <w:rFonts w:eastAsia="Times New Roman"/>
              </w:rPr>
            </w:pPr>
          </w:p>
        </w:tc>
      </w:tr>
      <w:tr w:rsidR="00000000" w14:paraId="4AB7B95D"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70B1F060" w14:textId="77777777" w:rsidR="00000000" w:rsidRDefault="001A570A">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5F7388" w14:textId="77777777" w:rsidR="00000000" w:rsidRDefault="001A570A">
            <w:pPr>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E00E8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A676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7E8947" w14:textId="77777777" w:rsidR="00000000" w:rsidRDefault="001A570A">
            <w:pPr>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6549F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3C5D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5A015A" w14:textId="77777777" w:rsidR="00000000" w:rsidRDefault="001A570A">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F2CCA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1551D"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4B39D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F5B934"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CED52A" w14:textId="77777777" w:rsidR="00000000" w:rsidRDefault="001A570A">
            <w:pPr>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D454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BA545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4377E3" w14:textId="77777777" w:rsidR="00000000" w:rsidRDefault="001A570A">
            <w:pPr>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5AFB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CE9D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237217" w14:textId="77777777" w:rsidR="00000000" w:rsidRDefault="001A570A">
            <w:pPr>
              <w:jc w:val="right"/>
              <w:rPr>
                <w:rFonts w:eastAsia="Times New Roman"/>
              </w:rPr>
            </w:pPr>
            <w:r>
              <w:rPr>
                <w:rFonts w:eastAsia="Times New Roman"/>
                <w:color w:val="000000"/>
                <w:sz w:val="20"/>
                <w:szCs w:val="20"/>
              </w:rPr>
              <w:t>1,652 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DC8A6F" w14:textId="77777777" w:rsidR="00000000" w:rsidRDefault="001A570A">
            <w:pPr>
              <w:jc w:val="right"/>
              <w:rPr>
                <w:rFonts w:eastAsia="Times New Roman"/>
              </w:rPr>
            </w:pPr>
          </w:p>
        </w:tc>
      </w:tr>
      <w:tr w:rsidR="00000000" w14:paraId="435B70F4"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054EF423" w14:textId="77777777" w:rsidR="00000000" w:rsidRDefault="001A570A">
            <w:pPr>
              <w:ind w:hanging="180"/>
              <w:divId w:val="2106799844"/>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14:paraId="40F8A3E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B4AFC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9585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EC7AA"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634E983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2D03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6BDF4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623B5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BD63F"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A6EDC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BC7CD"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2CD047"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523EEE3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667B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059944"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24D5B1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9895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B7311D"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21E40333" w14:textId="77777777" w:rsidR="00000000" w:rsidRDefault="001A570A">
            <w:pPr>
              <w:jc w:val="right"/>
              <w:rPr>
                <w:rFonts w:eastAsia="Times New Roman"/>
              </w:rPr>
            </w:pPr>
          </w:p>
        </w:tc>
      </w:tr>
      <w:tr w:rsidR="001A570A" w14:paraId="50E607E2"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260907AD" w14:textId="77777777" w:rsidR="00000000" w:rsidRDefault="001A570A">
            <w:pPr>
              <w:ind w:hanging="180"/>
              <w:divId w:val="1427849180"/>
              <w:rPr>
                <w:rFonts w:eastAsia="Times New Roman"/>
              </w:rPr>
            </w:pPr>
            <w:r>
              <w:rPr>
                <w:rFonts w:eastAsia="Times New Roman"/>
                <w:color w:val="000000"/>
                <w:sz w:val="20"/>
                <w:szCs w:val="20"/>
              </w:rPr>
              <w:t>Income from continuing operations attributable to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7832D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4253E3" w14:textId="77777777" w:rsidR="00000000" w:rsidRDefault="001A570A">
            <w:pPr>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99351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74092"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95133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0F9161" w14:textId="77777777" w:rsidR="00000000" w:rsidRDefault="001A570A">
            <w:pPr>
              <w:jc w:val="right"/>
              <w:rPr>
                <w:rFonts w:eastAsia="Times New Roman"/>
              </w:rPr>
            </w:pPr>
            <w:r>
              <w:rPr>
                <w:rFonts w:eastAsia="Times New Roman"/>
                <w:color w:val="000000"/>
                <w:sz w:val="20"/>
                <w:szCs w:val="20"/>
              </w:rPr>
              <w:t>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4913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AC75C"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6EDE8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5BAD2C" w14:textId="77777777" w:rsidR="00000000" w:rsidRDefault="001A570A">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0F39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B7054"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11CE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EDAAF"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081C5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348C0E" w14:textId="77777777" w:rsidR="00000000" w:rsidRDefault="001A570A">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EDA3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3B78E"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F59A0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22D768" w14:textId="77777777" w:rsidR="00000000" w:rsidRDefault="001A570A">
            <w:pPr>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AE9AF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B6B3D"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CDF2E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EB74E8" w14:textId="77777777" w:rsidR="00000000" w:rsidRDefault="001A570A">
            <w:pPr>
              <w:jc w:val="right"/>
              <w:rPr>
                <w:rFonts w:eastAsia="Times New Roman"/>
              </w:rPr>
            </w:pPr>
            <w:r>
              <w:rPr>
                <w:rFonts w:eastAsia="Times New Roman"/>
                <w:color w:val="000000"/>
                <w:sz w:val="20"/>
                <w:szCs w:val="20"/>
              </w:rPr>
              <w:t>1,628 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F0D9F3" w14:textId="77777777" w:rsidR="00000000" w:rsidRDefault="001A570A">
            <w:pPr>
              <w:jc w:val="right"/>
              <w:rPr>
                <w:rFonts w:eastAsia="Times New Roman"/>
              </w:rPr>
            </w:pPr>
          </w:p>
        </w:tc>
      </w:tr>
      <w:tr w:rsidR="00000000" w14:paraId="7C4C211C" w14:textId="77777777">
        <w:trPr>
          <w:divId w:val="2061785806"/>
          <w:trHeight w:val="160"/>
          <w:jc w:val="center"/>
        </w:trPr>
        <w:tc>
          <w:tcPr>
            <w:tcW w:w="0" w:type="auto"/>
            <w:gridSpan w:val="3"/>
            <w:shd w:val="clear" w:color="auto" w:fill="CCEEFF"/>
            <w:tcMar>
              <w:top w:w="0" w:type="dxa"/>
              <w:left w:w="20" w:type="dxa"/>
              <w:bottom w:w="0" w:type="dxa"/>
              <w:right w:w="20" w:type="dxa"/>
            </w:tcMar>
            <w:vAlign w:val="center"/>
            <w:hideMark/>
          </w:tcPr>
          <w:p w14:paraId="23C94351" w14:textId="77777777" w:rsidR="00000000" w:rsidRDefault="001A570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28489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751A8D"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88637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CE109"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320C6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3C2F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B198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7F38DE"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B57AF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3BE352"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8CAF7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340035"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F8CFE3" w14:textId="77777777" w:rsidR="00000000" w:rsidRDefault="001A570A">
            <w:pPr>
              <w:rPr>
                <w:rFonts w:eastAsia="Times New Roman"/>
                <w:sz w:val="20"/>
                <w:szCs w:val="20"/>
              </w:rPr>
            </w:pPr>
          </w:p>
        </w:tc>
      </w:tr>
      <w:tr w:rsidR="00000000" w14:paraId="2A3F62E8"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0F9F33E0" w14:textId="77777777" w:rsidR="00000000" w:rsidRDefault="001A570A">
            <w:pPr>
              <w:ind w:hanging="180"/>
              <w:divId w:val="1694569540"/>
              <w:rPr>
                <w:rFonts w:eastAsia="Times New Roman"/>
              </w:rPr>
            </w:pPr>
            <w:r>
              <w:rPr>
                <w:rFonts w:eastAsia="Times New Roman"/>
                <w:color w:val="000000"/>
                <w:sz w:val="20"/>
                <w:szCs w:val="20"/>
              </w:rPr>
              <w:t>Income from continuing operations per basic common share attributable to common shareholders</w:t>
            </w:r>
          </w:p>
        </w:tc>
        <w:tc>
          <w:tcPr>
            <w:tcW w:w="0" w:type="auto"/>
            <w:shd w:val="clear" w:color="auto" w:fill="FFFFFF"/>
            <w:tcMar>
              <w:top w:w="30" w:type="dxa"/>
              <w:left w:w="20" w:type="dxa"/>
              <w:bottom w:w="30" w:type="dxa"/>
              <w:right w:w="0" w:type="dxa"/>
            </w:tcMar>
            <w:vAlign w:val="bottom"/>
            <w:hideMark/>
          </w:tcPr>
          <w:p w14:paraId="6995BFD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EE508F" w14:textId="77777777" w:rsidR="00000000" w:rsidRDefault="001A570A">
            <w:pPr>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14:paraId="41955E8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8666B"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5DD6A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FFF4C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EF7D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56189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FA48E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A820D" w14:textId="77777777" w:rsidR="00000000" w:rsidRDefault="001A570A">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EC344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9E052C" w14:textId="77777777" w:rsidR="00000000" w:rsidRDefault="001A570A">
            <w:pPr>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14:paraId="5339351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761F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37198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DC0C9D" w14:textId="77777777" w:rsidR="00000000" w:rsidRDefault="001A570A">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14:paraId="6ADCCD6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1F27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7FA2A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9008A8" w14:textId="77777777" w:rsidR="00000000" w:rsidRDefault="001A570A">
            <w:pPr>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14:paraId="61A8F803" w14:textId="77777777" w:rsidR="00000000" w:rsidRDefault="001A570A">
            <w:pPr>
              <w:jc w:val="right"/>
              <w:rPr>
                <w:rFonts w:eastAsia="Times New Roman"/>
              </w:rPr>
            </w:pPr>
          </w:p>
        </w:tc>
      </w:tr>
      <w:tr w:rsidR="00000000" w14:paraId="44AC139A"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5CC233A0" w14:textId="77777777" w:rsidR="00000000" w:rsidRDefault="001A570A">
            <w:pPr>
              <w:ind w:hanging="180"/>
              <w:divId w:val="1969970288"/>
              <w:rPr>
                <w:rFonts w:eastAsia="Times New Roman"/>
              </w:rPr>
            </w:pPr>
            <w:r>
              <w:rPr>
                <w:rFonts w:eastAsia="Times New Roman"/>
                <w:color w:val="000000"/>
                <w:sz w:val="20"/>
                <w:szCs w:val="20"/>
              </w:rPr>
              <w:t>Income from continuing operations per diluted common share attributable to common shareholders</w:t>
            </w:r>
          </w:p>
        </w:tc>
        <w:tc>
          <w:tcPr>
            <w:tcW w:w="0" w:type="auto"/>
            <w:shd w:val="clear" w:color="auto" w:fill="CCEEFF"/>
            <w:tcMar>
              <w:top w:w="30" w:type="dxa"/>
              <w:left w:w="20" w:type="dxa"/>
              <w:bottom w:w="30" w:type="dxa"/>
              <w:right w:w="0" w:type="dxa"/>
            </w:tcMar>
            <w:vAlign w:val="bottom"/>
            <w:hideMark/>
          </w:tcPr>
          <w:p w14:paraId="214356B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61AEC6" w14:textId="77777777" w:rsidR="00000000" w:rsidRDefault="001A570A">
            <w:pPr>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14:paraId="517AC00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61EDD"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AFF5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A1AA2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9914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82FD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FD7B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28EEC" w14:textId="77777777" w:rsidR="00000000" w:rsidRDefault="001A570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A1C39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DA0347" w14:textId="77777777" w:rsidR="00000000" w:rsidRDefault="001A570A">
            <w:pPr>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14:paraId="68BC78D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46C81"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7364A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E8778B" w14:textId="77777777" w:rsidR="00000000" w:rsidRDefault="001A570A">
            <w:pPr>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14:paraId="7C3EB70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190B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18B2D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91A219" w14:textId="77777777" w:rsidR="00000000" w:rsidRDefault="001A570A">
            <w:pPr>
              <w:jc w:val="right"/>
              <w:rPr>
                <w:rFonts w:eastAsia="Times New Roman"/>
              </w:rPr>
            </w:pPr>
            <w:r>
              <w:rPr>
                <w:rFonts w:eastAsia="Times New Roman"/>
                <w:color w:val="000000"/>
                <w:sz w:val="20"/>
                <w:szCs w:val="20"/>
              </w:rPr>
              <w:t>7.25 </w:t>
            </w:r>
          </w:p>
        </w:tc>
        <w:tc>
          <w:tcPr>
            <w:tcW w:w="0" w:type="auto"/>
            <w:shd w:val="clear" w:color="auto" w:fill="CCEEFF"/>
            <w:tcMar>
              <w:top w:w="30" w:type="dxa"/>
              <w:left w:w="0" w:type="dxa"/>
              <w:bottom w:w="30" w:type="dxa"/>
              <w:right w:w="20" w:type="dxa"/>
            </w:tcMar>
            <w:vAlign w:val="bottom"/>
            <w:hideMark/>
          </w:tcPr>
          <w:p w14:paraId="54045134" w14:textId="77777777" w:rsidR="00000000" w:rsidRDefault="001A570A">
            <w:pPr>
              <w:jc w:val="right"/>
              <w:rPr>
                <w:rFonts w:eastAsia="Times New Roman"/>
              </w:rPr>
            </w:pPr>
          </w:p>
        </w:tc>
      </w:tr>
      <w:tr w:rsidR="00000000" w14:paraId="5D3BFADE" w14:textId="77777777">
        <w:trPr>
          <w:divId w:val="2061785806"/>
          <w:jc w:val="center"/>
        </w:trPr>
        <w:tc>
          <w:tcPr>
            <w:tcW w:w="0" w:type="auto"/>
            <w:gridSpan w:val="3"/>
            <w:shd w:val="clear" w:color="auto" w:fill="FFFFFF"/>
            <w:tcMar>
              <w:top w:w="30" w:type="dxa"/>
              <w:left w:w="20" w:type="dxa"/>
              <w:bottom w:w="30" w:type="dxa"/>
              <w:right w:w="20" w:type="dxa"/>
            </w:tcMar>
            <w:vAlign w:val="bottom"/>
            <w:hideMark/>
          </w:tcPr>
          <w:p w14:paraId="1878E160" w14:textId="77777777" w:rsidR="00000000" w:rsidRDefault="001A570A">
            <w:pPr>
              <w:ind w:hanging="180"/>
              <w:divId w:val="1354192088"/>
              <w:rPr>
                <w:rFonts w:eastAsia="Times New Roman"/>
              </w:rPr>
            </w:pPr>
            <w:r>
              <w:rPr>
                <w:rFonts w:eastAsia="Times New Roman"/>
                <w:color w:val="000000"/>
                <w:sz w:val="20"/>
                <w:szCs w:val="20"/>
              </w:rPr>
              <w:t>Basic weighted average common shares outstanding</w:t>
            </w:r>
          </w:p>
        </w:tc>
        <w:tc>
          <w:tcPr>
            <w:tcW w:w="0" w:type="auto"/>
            <w:gridSpan w:val="2"/>
            <w:shd w:val="clear" w:color="auto" w:fill="FFFFFF"/>
            <w:tcMar>
              <w:top w:w="30" w:type="dxa"/>
              <w:left w:w="20" w:type="dxa"/>
              <w:bottom w:w="30" w:type="dxa"/>
              <w:right w:w="0" w:type="dxa"/>
            </w:tcMar>
            <w:vAlign w:val="bottom"/>
            <w:hideMark/>
          </w:tcPr>
          <w:p w14:paraId="706ADEF6" w14:textId="77777777" w:rsidR="00000000" w:rsidRDefault="001A570A">
            <w:pPr>
              <w:jc w:val="right"/>
              <w:rPr>
                <w:rFonts w:eastAsia="Times New Roman"/>
              </w:rPr>
            </w:pPr>
            <w:r>
              <w:rPr>
                <w:rFonts w:eastAsia="Times New Roman"/>
                <w:color w:val="000000"/>
                <w:sz w:val="20"/>
                <w:szCs w:val="20"/>
              </w:rPr>
              <w:t>118.1 </w:t>
            </w:r>
          </w:p>
        </w:tc>
        <w:tc>
          <w:tcPr>
            <w:tcW w:w="0" w:type="auto"/>
            <w:shd w:val="clear" w:color="auto" w:fill="FFFFFF"/>
            <w:tcMar>
              <w:top w:w="30" w:type="dxa"/>
              <w:left w:w="0" w:type="dxa"/>
              <w:bottom w:w="30" w:type="dxa"/>
              <w:right w:w="20" w:type="dxa"/>
            </w:tcMar>
            <w:vAlign w:val="bottom"/>
            <w:hideMark/>
          </w:tcPr>
          <w:p w14:paraId="4EF8815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860DAB"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C71BA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CE142"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A8A07" w14:textId="77777777" w:rsidR="00000000" w:rsidRDefault="001A570A">
            <w:pPr>
              <w:jc w:val="right"/>
              <w:rPr>
                <w:rFonts w:eastAsia="Times New Roman"/>
              </w:rPr>
            </w:pPr>
            <w:r>
              <w:rPr>
                <w:rFonts w:eastAsia="Times New Roman"/>
                <w:color w:val="000000"/>
                <w:sz w:val="20"/>
                <w:szCs w:val="20"/>
              </w:rPr>
              <w:t>104.1 </w:t>
            </w:r>
          </w:p>
        </w:tc>
        <w:tc>
          <w:tcPr>
            <w:tcW w:w="0" w:type="auto"/>
            <w:shd w:val="clear" w:color="auto" w:fill="FFFFFF"/>
            <w:tcMar>
              <w:top w:w="30" w:type="dxa"/>
              <w:left w:w="0" w:type="dxa"/>
              <w:bottom w:w="30" w:type="dxa"/>
              <w:right w:w="20" w:type="dxa"/>
            </w:tcMar>
            <w:vAlign w:val="bottom"/>
            <w:hideMark/>
          </w:tcPr>
          <w:p w14:paraId="03EDFB5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03FC6"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F2B82D8" w14:textId="77777777" w:rsidR="00000000" w:rsidRDefault="001A570A">
            <w:pPr>
              <w:jc w:val="center"/>
              <w:rPr>
                <w:rFonts w:eastAsia="Times New Roman"/>
              </w:rPr>
            </w:pPr>
            <w:r>
              <w:rPr>
                <w:rFonts w:eastAsia="Times New Roman"/>
                <w:color w:val="000000"/>
                <w:sz w:val="20"/>
                <w:szCs w:val="20"/>
              </w:rPr>
              <w:t>l</w:t>
            </w:r>
          </w:p>
        </w:tc>
        <w:tc>
          <w:tcPr>
            <w:tcW w:w="0" w:type="auto"/>
            <w:gridSpan w:val="3"/>
            <w:shd w:val="clear" w:color="auto" w:fill="FFFFFF"/>
            <w:tcMar>
              <w:top w:w="0" w:type="dxa"/>
              <w:left w:w="20" w:type="dxa"/>
              <w:bottom w:w="0" w:type="dxa"/>
              <w:right w:w="20" w:type="dxa"/>
            </w:tcMar>
            <w:vAlign w:val="center"/>
            <w:hideMark/>
          </w:tcPr>
          <w:p w14:paraId="2347723C"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F63281" w14:textId="77777777" w:rsidR="00000000" w:rsidRDefault="001A570A">
            <w:pPr>
              <w:jc w:val="right"/>
              <w:rPr>
                <w:rFonts w:eastAsia="Times New Roman"/>
              </w:rPr>
            </w:pPr>
            <w:r>
              <w:rPr>
                <w:rFonts w:eastAsia="Times New Roman"/>
                <w:color w:val="000000"/>
                <w:sz w:val="20"/>
                <w:szCs w:val="20"/>
              </w:rPr>
              <w:t>222.2 </w:t>
            </w:r>
          </w:p>
        </w:tc>
        <w:tc>
          <w:tcPr>
            <w:tcW w:w="0" w:type="auto"/>
            <w:shd w:val="clear" w:color="auto" w:fill="FFFFFF"/>
            <w:tcMar>
              <w:top w:w="30" w:type="dxa"/>
              <w:left w:w="0" w:type="dxa"/>
              <w:bottom w:w="30" w:type="dxa"/>
              <w:right w:w="20" w:type="dxa"/>
            </w:tcMar>
            <w:vAlign w:val="bottom"/>
            <w:hideMark/>
          </w:tcPr>
          <w:p w14:paraId="2DFC360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0DEF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6592D2" w14:textId="77777777" w:rsidR="00000000" w:rsidRDefault="001A570A">
            <w:pPr>
              <w:jc w:val="right"/>
              <w:rPr>
                <w:rFonts w:eastAsia="Times New Roman"/>
              </w:rPr>
            </w:pPr>
            <w:r>
              <w:rPr>
                <w:rFonts w:eastAsia="Times New Roman"/>
                <w:color w:val="000000"/>
                <w:sz w:val="20"/>
                <w:szCs w:val="20"/>
              </w:rPr>
              <w:t>221.2 </w:t>
            </w:r>
          </w:p>
        </w:tc>
        <w:tc>
          <w:tcPr>
            <w:tcW w:w="0" w:type="auto"/>
            <w:shd w:val="clear" w:color="auto" w:fill="FFFFFF"/>
            <w:tcMar>
              <w:top w:w="30" w:type="dxa"/>
              <w:left w:w="0" w:type="dxa"/>
              <w:bottom w:w="30" w:type="dxa"/>
              <w:right w:w="20" w:type="dxa"/>
            </w:tcMar>
            <w:vAlign w:val="bottom"/>
            <w:hideMark/>
          </w:tcPr>
          <w:p w14:paraId="76BE893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3A1E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621E9" w14:textId="77777777" w:rsidR="00000000" w:rsidRDefault="001A570A">
            <w:pPr>
              <w:jc w:val="right"/>
              <w:rPr>
                <w:rFonts w:eastAsia="Times New Roman"/>
              </w:rPr>
            </w:pPr>
            <w:r>
              <w:rPr>
                <w:rFonts w:eastAsia="Times New Roman"/>
                <w:color w:val="000000"/>
                <w:sz w:val="20"/>
                <w:szCs w:val="20"/>
              </w:rPr>
              <w:t>221.7 </w:t>
            </w:r>
          </w:p>
        </w:tc>
        <w:tc>
          <w:tcPr>
            <w:tcW w:w="0" w:type="auto"/>
            <w:shd w:val="clear" w:color="auto" w:fill="FFFFFF"/>
            <w:tcMar>
              <w:top w:w="30" w:type="dxa"/>
              <w:left w:w="0" w:type="dxa"/>
              <w:bottom w:w="30" w:type="dxa"/>
              <w:right w:w="20" w:type="dxa"/>
            </w:tcMar>
            <w:vAlign w:val="bottom"/>
            <w:hideMark/>
          </w:tcPr>
          <w:p w14:paraId="0ACFB413" w14:textId="77777777" w:rsidR="00000000" w:rsidRDefault="001A570A">
            <w:pPr>
              <w:jc w:val="right"/>
              <w:rPr>
                <w:rFonts w:eastAsia="Times New Roman"/>
              </w:rPr>
            </w:pPr>
          </w:p>
        </w:tc>
      </w:tr>
      <w:tr w:rsidR="00000000" w14:paraId="7212A72B" w14:textId="77777777">
        <w:trPr>
          <w:divId w:val="2061785806"/>
          <w:jc w:val="center"/>
        </w:trPr>
        <w:tc>
          <w:tcPr>
            <w:tcW w:w="0" w:type="auto"/>
            <w:gridSpan w:val="3"/>
            <w:shd w:val="clear" w:color="auto" w:fill="CCEEFF"/>
            <w:tcMar>
              <w:top w:w="30" w:type="dxa"/>
              <w:left w:w="20" w:type="dxa"/>
              <w:bottom w:w="30" w:type="dxa"/>
              <w:right w:w="20" w:type="dxa"/>
            </w:tcMar>
            <w:vAlign w:val="bottom"/>
            <w:hideMark/>
          </w:tcPr>
          <w:p w14:paraId="6113F8CE" w14:textId="77777777" w:rsidR="00000000" w:rsidRDefault="001A570A">
            <w:pPr>
              <w:ind w:hanging="180"/>
              <w:divId w:val="187181055"/>
              <w:rPr>
                <w:rFonts w:eastAsia="Times New Roman"/>
              </w:rPr>
            </w:pPr>
            <w:r>
              <w:rPr>
                <w:rFonts w:eastAsia="Times New Roman"/>
                <w:color w:val="000000"/>
                <w:sz w:val="20"/>
                <w:szCs w:val="20"/>
              </w:rPr>
              <w:t>Diluted weighted average common shares outstanding</w:t>
            </w:r>
          </w:p>
        </w:tc>
        <w:tc>
          <w:tcPr>
            <w:tcW w:w="0" w:type="auto"/>
            <w:gridSpan w:val="2"/>
            <w:shd w:val="clear" w:color="auto" w:fill="CCEEFF"/>
            <w:tcMar>
              <w:top w:w="30" w:type="dxa"/>
              <w:left w:w="20" w:type="dxa"/>
              <w:bottom w:w="30" w:type="dxa"/>
              <w:right w:w="0" w:type="dxa"/>
            </w:tcMar>
            <w:vAlign w:val="bottom"/>
            <w:hideMark/>
          </w:tcPr>
          <w:p w14:paraId="563CCEBA" w14:textId="77777777" w:rsidR="00000000" w:rsidRDefault="001A570A">
            <w:pPr>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14:paraId="75D391E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05C8C"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3B51C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D4736"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1CF7D" w14:textId="77777777" w:rsidR="00000000" w:rsidRDefault="001A570A">
            <w:pPr>
              <w:jc w:val="right"/>
              <w:rPr>
                <w:rFonts w:eastAsia="Times New Roman"/>
              </w:rPr>
            </w:pPr>
            <w:r>
              <w:rPr>
                <w:rFonts w:eastAsia="Times New Roman"/>
                <w:color w:val="000000"/>
                <w:sz w:val="20"/>
                <w:szCs w:val="20"/>
              </w:rPr>
              <w:t>104.6 </w:t>
            </w:r>
          </w:p>
        </w:tc>
        <w:tc>
          <w:tcPr>
            <w:tcW w:w="0" w:type="auto"/>
            <w:shd w:val="clear" w:color="auto" w:fill="CCEEFF"/>
            <w:tcMar>
              <w:top w:w="30" w:type="dxa"/>
              <w:left w:w="0" w:type="dxa"/>
              <w:bottom w:w="30" w:type="dxa"/>
              <w:right w:w="20" w:type="dxa"/>
            </w:tcMar>
            <w:vAlign w:val="bottom"/>
            <w:hideMark/>
          </w:tcPr>
          <w:p w14:paraId="4A61C56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ED5D7"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6BE4F48" w14:textId="77777777" w:rsidR="00000000" w:rsidRDefault="001A570A">
            <w:pPr>
              <w:jc w:val="center"/>
              <w:rPr>
                <w:rFonts w:eastAsia="Times New Roman"/>
              </w:rPr>
            </w:pPr>
            <w:r>
              <w:rPr>
                <w:rFonts w:eastAsia="Times New Roman"/>
                <w:color w:val="000000"/>
                <w:sz w:val="20"/>
                <w:szCs w:val="20"/>
              </w:rPr>
              <w:t>l</w:t>
            </w:r>
          </w:p>
        </w:tc>
        <w:tc>
          <w:tcPr>
            <w:tcW w:w="0" w:type="auto"/>
            <w:gridSpan w:val="3"/>
            <w:shd w:val="clear" w:color="auto" w:fill="CCEEFF"/>
            <w:tcMar>
              <w:top w:w="0" w:type="dxa"/>
              <w:left w:w="20" w:type="dxa"/>
              <w:bottom w:w="0" w:type="dxa"/>
              <w:right w:w="20" w:type="dxa"/>
            </w:tcMar>
            <w:vAlign w:val="center"/>
            <w:hideMark/>
          </w:tcPr>
          <w:p w14:paraId="3DF43D25"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DA92ED" w14:textId="77777777" w:rsidR="00000000" w:rsidRDefault="001A570A">
            <w:pPr>
              <w:jc w:val="right"/>
              <w:rPr>
                <w:rFonts w:eastAsia="Times New Roman"/>
              </w:rPr>
            </w:pPr>
            <w:r>
              <w:rPr>
                <w:rFonts w:eastAsia="Times New Roman"/>
                <w:color w:val="000000"/>
                <w:sz w:val="20"/>
                <w:szCs w:val="20"/>
              </w:rPr>
              <w:t>225.3 </w:t>
            </w:r>
          </w:p>
        </w:tc>
        <w:tc>
          <w:tcPr>
            <w:tcW w:w="0" w:type="auto"/>
            <w:shd w:val="clear" w:color="auto" w:fill="CCEEFF"/>
            <w:tcMar>
              <w:top w:w="30" w:type="dxa"/>
              <w:left w:w="0" w:type="dxa"/>
              <w:bottom w:w="30" w:type="dxa"/>
              <w:right w:w="20" w:type="dxa"/>
            </w:tcMar>
            <w:vAlign w:val="bottom"/>
            <w:hideMark/>
          </w:tcPr>
          <w:p w14:paraId="254369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F10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DAF94" w14:textId="77777777" w:rsidR="00000000" w:rsidRDefault="001A570A">
            <w:pPr>
              <w:jc w:val="right"/>
              <w:rPr>
                <w:rFonts w:eastAsia="Times New Roman"/>
              </w:rPr>
            </w:pPr>
            <w:r>
              <w:rPr>
                <w:rFonts w:eastAsia="Times New Roman"/>
                <w:color w:val="000000"/>
                <w:sz w:val="20"/>
                <w:szCs w:val="20"/>
              </w:rPr>
              <w:t>223.7 </w:t>
            </w:r>
          </w:p>
        </w:tc>
        <w:tc>
          <w:tcPr>
            <w:tcW w:w="0" w:type="auto"/>
            <w:shd w:val="clear" w:color="auto" w:fill="CCEEFF"/>
            <w:tcMar>
              <w:top w:w="30" w:type="dxa"/>
              <w:left w:w="0" w:type="dxa"/>
              <w:bottom w:w="30" w:type="dxa"/>
              <w:right w:w="20" w:type="dxa"/>
            </w:tcMar>
            <w:vAlign w:val="bottom"/>
            <w:hideMark/>
          </w:tcPr>
          <w:p w14:paraId="76F5985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2C1D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3F6DB" w14:textId="77777777" w:rsidR="00000000" w:rsidRDefault="001A570A">
            <w:pPr>
              <w:jc w:val="right"/>
              <w:rPr>
                <w:rFonts w:eastAsia="Times New Roman"/>
              </w:rPr>
            </w:pPr>
            <w:r>
              <w:rPr>
                <w:rFonts w:eastAsia="Times New Roman"/>
                <w:color w:val="000000"/>
                <w:sz w:val="20"/>
                <w:szCs w:val="20"/>
              </w:rPr>
              <w:t>224.5 </w:t>
            </w:r>
          </w:p>
        </w:tc>
        <w:tc>
          <w:tcPr>
            <w:tcW w:w="0" w:type="auto"/>
            <w:shd w:val="clear" w:color="auto" w:fill="CCEEFF"/>
            <w:tcMar>
              <w:top w:w="30" w:type="dxa"/>
              <w:left w:w="0" w:type="dxa"/>
              <w:bottom w:w="30" w:type="dxa"/>
              <w:right w:w="20" w:type="dxa"/>
            </w:tcMar>
            <w:vAlign w:val="bottom"/>
            <w:hideMark/>
          </w:tcPr>
          <w:p w14:paraId="5891F28B" w14:textId="77777777" w:rsidR="00000000" w:rsidRDefault="001A570A">
            <w:pPr>
              <w:jc w:val="right"/>
              <w:rPr>
                <w:rFonts w:eastAsia="Times New Roman"/>
              </w:rPr>
            </w:pPr>
          </w:p>
        </w:tc>
      </w:tr>
    </w:tbl>
    <w:p w14:paraId="50A4134F" w14:textId="77777777" w:rsidR="00000000" w:rsidRDefault="001A570A">
      <w:pPr>
        <w:divId w:val="968321076"/>
        <w:rPr>
          <w:rFonts w:eastAsia="Times New Roman"/>
        </w:rPr>
      </w:pPr>
      <w:r>
        <w:rPr>
          <w:rFonts w:eastAsia="Times New Roman"/>
          <w:color w:val="000000"/>
          <w:sz w:val="20"/>
          <w:szCs w:val="20"/>
        </w:rPr>
        <w:t>Notes:</w:t>
      </w:r>
    </w:p>
    <w:p w14:paraId="41858CC0" w14:textId="77777777" w:rsidR="00000000" w:rsidRDefault="001A570A">
      <w:pPr>
        <w:ind w:hanging="360"/>
        <w:divId w:val="850950716"/>
        <w:rPr>
          <w:rFonts w:eastAsia="Times New Roman"/>
        </w:rPr>
      </w:pPr>
      <w:r>
        <w:rPr>
          <w:rFonts w:eastAsia="Times New Roman"/>
          <w:color w:val="000000"/>
          <w:sz w:val="20"/>
          <w:szCs w:val="20"/>
        </w:rPr>
        <w:t>a.Reflects the elimination of intercompany balances and transactions between L3 a</w:t>
      </w:r>
      <w:r>
        <w:rPr>
          <w:rFonts w:eastAsia="Times New Roman"/>
          <w:color w:val="000000"/>
          <w:sz w:val="20"/>
          <w:szCs w:val="20"/>
        </w:rPr>
        <w:t>nd Harris.</w:t>
      </w:r>
    </w:p>
    <w:p w14:paraId="3B756D6E" w14:textId="77777777" w:rsidR="00000000" w:rsidRDefault="001A570A">
      <w:pPr>
        <w:ind w:hanging="360"/>
        <w:divId w:val="2066445903"/>
        <w:rPr>
          <w:rFonts w:eastAsia="Times New Roman"/>
        </w:rPr>
      </w:pPr>
      <w:r>
        <w:rPr>
          <w:rFonts w:eastAsia="Times New Roman"/>
          <w:color w:val="000000"/>
          <w:sz w:val="20"/>
          <w:szCs w:val="20"/>
        </w:rPr>
        <w:t xml:space="preserve">b.Reflects the sale of the Harris Night Vision business. </w:t>
      </w:r>
    </w:p>
    <w:p w14:paraId="22F3D9F9" w14:textId="77777777" w:rsidR="00000000" w:rsidRDefault="001A570A">
      <w:pPr>
        <w:ind w:firstLine="450"/>
        <w:jc w:val="center"/>
        <w:divId w:val="1831284165"/>
        <w:rPr>
          <w:rFonts w:eastAsia="Times New Roman"/>
        </w:rPr>
      </w:pPr>
      <w:r>
        <w:rPr>
          <w:rFonts w:eastAsia="Times New Roman"/>
          <w:color w:val="000000"/>
          <w:sz w:val="20"/>
          <w:szCs w:val="20"/>
        </w:rPr>
        <w:t>48</w:t>
      </w:r>
    </w:p>
    <w:p w14:paraId="7FFDE418" w14:textId="77777777" w:rsidR="00000000" w:rsidRDefault="001A570A">
      <w:pPr>
        <w:rPr>
          <w:rFonts w:eastAsia="Times New Roman"/>
        </w:rPr>
      </w:pPr>
      <w:r>
        <w:rPr>
          <w:rFonts w:eastAsia="Times New Roman"/>
        </w:rPr>
        <w:pict w14:anchorId="63DF10EA">
          <v:rect id="_x0000_i1076" style="width:0;height:1.5pt" o:hralign="center" o:hrstd="t" o:hr="t" fillcolor="#a0a0a0" stroked="f"/>
        </w:pict>
      </w:r>
    </w:p>
    <w:p w14:paraId="4A24673A" w14:textId="77777777" w:rsidR="00000000" w:rsidRDefault="001A570A">
      <w:pPr>
        <w:ind w:firstLine="450"/>
        <w:divId w:val="1435442697"/>
        <w:rPr>
          <w:rFonts w:eastAsia="Times New Roman"/>
        </w:rPr>
      </w:pPr>
    </w:p>
    <w:p w14:paraId="7198F54F" w14:textId="77777777" w:rsidR="00000000" w:rsidRDefault="001A570A">
      <w:pPr>
        <w:ind w:hanging="360"/>
        <w:divId w:val="382218901"/>
        <w:rPr>
          <w:rFonts w:eastAsia="Times New Roman"/>
        </w:rPr>
      </w:pPr>
      <w:r>
        <w:rPr>
          <w:rFonts w:eastAsia="Times New Roman"/>
          <w:color w:val="000000"/>
          <w:sz w:val="20"/>
          <w:szCs w:val="20"/>
        </w:rPr>
        <w:t>c.Reflects the net increase in amortization expense related to the fair value of acquired finite-lived identifiable intangible assets and the elim</w:t>
      </w:r>
      <w:r>
        <w:rPr>
          <w:rFonts w:eastAsia="Times New Roman"/>
          <w:color w:val="000000"/>
          <w:sz w:val="20"/>
          <w:szCs w:val="20"/>
        </w:rPr>
        <w:t xml:space="preserve">ination of historical amortization expense recognized by L3 for the two quarters ended June 28, 2019. Assumptions and details are as follows: </w:t>
      </w:r>
    </w:p>
    <w:tbl>
      <w:tblPr>
        <w:tblW w:w="4734" w:type="pct"/>
        <w:tblCellMar>
          <w:top w:w="15" w:type="dxa"/>
          <w:left w:w="15" w:type="dxa"/>
          <w:bottom w:w="15" w:type="dxa"/>
          <w:right w:w="15" w:type="dxa"/>
        </w:tblCellMar>
        <w:tblLook w:val="04A0" w:firstRow="1" w:lastRow="0" w:firstColumn="1" w:lastColumn="0" w:noHBand="0" w:noVBand="1"/>
      </w:tblPr>
      <w:tblGrid>
        <w:gridCol w:w="38"/>
        <w:gridCol w:w="4929"/>
        <w:gridCol w:w="37"/>
        <w:gridCol w:w="88"/>
        <w:gridCol w:w="860"/>
        <w:gridCol w:w="36"/>
        <w:gridCol w:w="36"/>
        <w:gridCol w:w="36"/>
        <w:gridCol w:w="36"/>
        <w:gridCol w:w="120"/>
        <w:gridCol w:w="643"/>
        <w:gridCol w:w="36"/>
        <w:gridCol w:w="36"/>
        <w:gridCol w:w="36"/>
        <w:gridCol w:w="36"/>
        <w:gridCol w:w="121"/>
        <w:gridCol w:w="704"/>
        <w:gridCol w:w="36"/>
      </w:tblGrid>
      <w:tr w:rsidR="00000000" w14:paraId="6BC27918" w14:textId="77777777">
        <w:trPr>
          <w:divId w:val="1552576207"/>
        </w:trPr>
        <w:tc>
          <w:tcPr>
            <w:tcW w:w="50" w:type="pct"/>
            <w:vAlign w:val="center"/>
            <w:hideMark/>
          </w:tcPr>
          <w:p w14:paraId="1407BE5B" w14:textId="77777777" w:rsidR="00000000" w:rsidRDefault="001A570A">
            <w:pPr>
              <w:ind w:hanging="360"/>
              <w:rPr>
                <w:rFonts w:eastAsia="Times New Roman"/>
              </w:rPr>
            </w:pPr>
          </w:p>
        </w:tc>
        <w:tc>
          <w:tcPr>
            <w:tcW w:w="3192" w:type="pct"/>
            <w:vAlign w:val="center"/>
            <w:hideMark/>
          </w:tcPr>
          <w:p w14:paraId="081E56D8" w14:textId="77777777" w:rsidR="00000000" w:rsidRDefault="001A570A">
            <w:pPr>
              <w:spacing w:after="100"/>
              <w:rPr>
                <w:rFonts w:eastAsia="Times New Roman"/>
                <w:sz w:val="20"/>
                <w:szCs w:val="20"/>
              </w:rPr>
            </w:pPr>
          </w:p>
        </w:tc>
        <w:tc>
          <w:tcPr>
            <w:tcW w:w="5" w:type="pct"/>
            <w:vAlign w:val="center"/>
            <w:hideMark/>
          </w:tcPr>
          <w:p w14:paraId="0EF64F46" w14:textId="77777777" w:rsidR="00000000" w:rsidRDefault="001A570A">
            <w:pPr>
              <w:spacing w:after="100"/>
              <w:rPr>
                <w:rFonts w:eastAsia="Times New Roman"/>
                <w:sz w:val="20"/>
                <w:szCs w:val="20"/>
              </w:rPr>
            </w:pPr>
          </w:p>
        </w:tc>
        <w:tc>
          <w:tcPr>
            <w:tcW w:w="50" w:type="pct"/>
            <w:vAlign w:val="center"/>
            <w:hideMark/>
          </w:tcPr>
          <w:p w14:paraId="1A4BE9C1" w14:textId="77777777" w:rsidR="00000000" w:rsidRDefault="001A570A">
            <w:pPr>
              <w:spacing w:after="100"/>
              <w:rPr>
                <w:rFonts w:eastAsia="Times New Roman"/>
                <w:sz w:val="20"/>
                <w:szCs w:val="20"/>
              </w:rPr>
            </w:pPr>
          </w:p>
        </w:tc>
        <w:tc>
          <w:tcPr>
            <w:tcW w:w="491" w:type="pct"/>
            <w:vAlign w:val="center"/>
            <w:hideMark/>
          </w:tcPr>
          <w:p w14:paraId="6D5342DD" w14:textId="77777777" w:rsidR="00000000" w:rsidRDefault="001A570A">
            <w:pPr>
              <w:spacing w:after="100"/>
              <w:rPr>
                <w:rFonts w:eastAsia="Times New Roman"/>
                <w:sz w:val="20"/>
                <w:szCs w:val="20"/>
              </w:rPr>
            </w:pPr>
          </w:p>
        </w:tc>
        <w:tc>
          <w:tcPr>
            <w:tcW w:w="5" w:type="pct"/>
            <w:vAlign w:val="center"/>
            <w:hideMark/>
          </w:tcPr>
          <w:p w14:paraId="2E390981" w14:textId="77777777" w:rsidR="00000000" w:rsidRDefault="001A570A">
            <w:pPr>
              <w:spacing w:after="100"/>
              <w:rPr>
                <w:rFonts w:eastAsia="Times New Roman"/>
                <w:sz w:val="20"/>
                <w:szCs w:val="20"/>
              </w:rPr>
            </w:pPr>
          </w:p>
        </w:tc>
        <w:tc>
          <w:tcPr>
            <w:tcW w:w="5" w:type="pct"/>
            <w:vAlign w:val="center"/>
            <w:hideMark/>
          </w:tcPr>
          <w:p w14:paraId="5D2E5F05" w14:textId="77777777" w:rsidR="00000000" w:rsidRDefault="001A570A">
            <w:pPr>
              <w:spacing w:after="100"/>
              <w:rPr>
                <w:rFonts w:eastAsia="Times New Roman"/>
                <w:sz w:val="20"/>
                <w:szCs w:val="20"/>
              </w:rPr>
            </w:pPr>
          </w:p>
        </w:tc>
        <w:tc>
          <w:tcPr>
            <w:tcW w:w="27" w:type="pct"/>
            <w:vAlign w:val="center"/>
            <w:hideMark/>
          </w:tcPr>
          <w:p w14:paraId="570035C1" w14:textId="77777777" w:rsidR="00000000" w:rsidRDefault="001A570A">
            <w:pPr>
              <w:spacing w:after="100"/>
              <w:rPr>
                <w:rFonts w:eastAsia="Times New Roman"/>
                <w:sz w:val="20"/>
                <w:szCs w:val="20"/>
              </w:rPr>
            </w:pPr>
          </w:p>
        </w:tc>
        <w:tc>
          <w:tcPr>
            <w:tcW w:w="5" w:type="pct"/>
            <w:vAlign w:val="center"/>
            <w:hideMark/>
          </w:tcPr>
          <w:p w14:paraId="3E1B1F61" w14:textId="77777777" w:rsidR="00000000" w:rsidRDefault="001A570A">
            <w:pPr>
              <w:spacing w:after="100"/>
              <w:rPr>
                <w:rFonts w:eastAsia="Times New Roman"/>
                <w:sz w:val="20"/>
                <w:szCs w:val="20"/>
              </w:rPr>
            </w:pPr>
          </w:p>
        </w:tc>
        <w:tc>
          <w:tcPr>
            <w:tcW w:w="50" w:type="pct"/>
            <w:vAlign w:val="center"/>
            <w:hideMark/>
          </w:tcPr>
          <w:p w14:paraId="318FA627" w14:textId="77777777" w:rsidR="00000000" w:rsidRDefault="001A570A">
            <w:pPr>
              <w:spacing w:after="100"/>
              <w:rPr>
                <w:rFonts w:eastAsia="Times New Roman"/>
                <w:sz w:val="20"/>
                <w:szCs w:val="20"/>
              </w:rPr>
            </w:pPr>
          </w:p>
        </w:tc>
        <w:tc>
          <w:tcPr>
            <w:tcW w:w="491" w:type="pct"/>
            <w:vAlign w:val="center"/>
            <w:hideMark/>
          </w:tcPr>
          <w:p w14:paraId="6EE5FECE" w14:textId="77777777" w:rsidR="00000000" w:rsidRDefault="001A570A">
            <w:pPr>
              <w:spacing w:after="100"/>
              <w:rPr>
                <w:rFonts w:eastAsia="Times New Roman"/>
                <w:sz w:val="20"/>
                <w:szCs w:val="20"/>
              </w:rPr>
            </w:pPr>
          </w:p>
        </w:tc>
        <w:tc>
          <w:tcPr>
            <w:tcW w:w="5" w:type="pct"/>
            <w:vAlign w:val="center"/>
            <w:hideMark/>
          </w:tcPr>
          <w:p w14:paraId="086D2079" w14:textId="77777777" w:rsidR="00000000" w:rsidRDefault="001A570A">
            <w:pPr>
              <w:spacing w:after="100"/>
              <w:rPr>
                <w:rFonts w:eastAsia="Times New Roman"/>
                <w:sz w:val="20"/>
                <w:szCs w:val="20"/>
              </w:rPr>
            </w:pPr>
          </w:p>
        </w:tc>
        <w:tc>
          <w:tcPr>
            <w:tcW w:w="5" w:type="pct"/>
            <w:vAlign w:val="center"/>
            <w:hideMark/>
          </w:tcPr>
          <w:p w14:paraId="5D836A58" w14:textId="77777777" w:rsidR="00000000" w:rsidRDefault="001A570A">
            <w:pPr>
              <w:spacing w:after="100"/>
              <w:rPr>
                <w:rFonts w:eastAsia="Times New Roman"/>
                <w:sz w:val="20"/>
                <w:szCs w:val="20"/>
              </w:rPr>
            </w:pPr>
          </w:p>
        </w:tc>
        <w:tc>
          <w:tcPr>
            <w:tcW w:w="27" w:type="pct"/>
            <w:vAlign w:val="center"/>
            <w:hideMark/>
          </w:tcPr>
          <w:p w14:paraId="15938824" w14:textId="77777777" w:rsidR="00000000" w:rsidRDefault="001A570A">
            <w:pPr>
              <w:spacing w:after="100"/>
              <w:rPr>
                <w:rFonts w:eastAsia="Times New Roman"/>
                <w:sz w:val="20"/>
                <w:szCs w:val="20"/>
              </w:rPr>
            </w:pPr>
          </w:p>
        </w:tc>
        <w:tc>
          <w:tcPr>
            <w:tcW w:w="5" w:type="pct"/>
            <w:vAlign w:val="center"/>
            <w:hideMark/>
          </w:tcPr>
          <w:p w14:paraId="57DA7C35" w14:textId="77777777" w:rsidR="00000000" w:rsidRDefault="001A570A">
            <w:pPr>
              <w:spacing w:after="100"/>
              <w:rPr>
                <w:rFonts w:eastAsia="Times New Roman"/>
                <w:sz w:val="20"/>
                <w:szCs w:val="20"/>
              </w:rPr>
            </w:pPr>
          </w:p>
        </w:tc>
        <w:tc>
          <w:tcPr>
            <w:tcW w:w="50" w:type="pct"/>
            <w:vAlign w:val="center"/>
            <w:hideMark/>
          </w:tcPr>
          <w:p w14:paraId="73DBE0C1" w14:textId="77777777" w:rsidR="00000000" w:rsidRDefault="001A570A">
            <w:pPr>
              <w:spacing w:after="100"/>
              <w:rPr>
                <w:rFonts w:eastAsia="Times New Roman"/>
                <w:sz w:val="20"/>
                <w:szCs w:val="20"/>
              </w:rPr>
            </w:pPr>
          </w:p>
        </w:tc>
        <w:tc>
          <w:tcPr>
            <w:tcW w:w="529" w:type="pct"/>
            <w:vAlign w:val="center"/>
            <w:hideMark/>
          </w:tcPr>
          <w:p w14:paraId="554A54B5" w14:textId="77777777" w:rsidR="00000000" w:rsidRDefault="001A570A">
            <w:pPr>
              <w:spacing w:after="100"/>
              <w:rPr>
                <w:rFonts w:eastAsia="Times New Roman"/>
                <w:sz w:val="20"/>
                <w:szCs w:val="20"/>
              </w:rPr>
            </w:pPr>
          </w:p>
        </w:tc>
        <w:tc>
          <w:tcPr>
            <w:tcW w:w="5" w:type="pct"/>
            <w:vAlign w:val="center"/>
            <w:hideMark/>
          </w:tcPr>
          <w:p w14:paraId="1FA082B1" w14:textId="77777777" w:rsidR="00000000" w:rsidRDefault="001A570A">
            <w:pPr>
              <w:spacing w:after="100"/>
              <w:rPr>
                <w:rFonts w:eastAsia="Times New Roman"/>
                <w:sz w:val="20"/>
                <w:szCs w:val="20"/>
              </w:rPr>
            </w:pPr>
          </w:p>
        </w:tc>
      </w:tr>
      <w:tr w:rsidR="00000000" w14:paraId="0EDD4E2E" w14:textId="77777777">
        <w:trPr>
          <w:divId w:val="1552576207"/>
        </w:trPr>
        <w:tc>
          <w:tcPr>
            <w:tcW w:w="0" w:type="auto"/>
            <w:gridSpan w:val="3"/>
            <w:tcMar>
              <w:top w:w="0" w:type="dxa"/>
              <w:left w:w="20" w:type="dxa"/>
              <w:bottom w:w="0" w:type="dxa"/>
              <w:right w:w="20" w:type="dxa"/>
            </w:tcMar>
            <w:vAlign w:val="center"/>
            <w:hideMark/>
          </w:tcPr>
          <w:p w14:paraId="1EAC81C9" w14:textId="77777777" w:rsidR="00000000" w:rsidRDefault="001A570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FBBD6E" w14:textId="77777777" w:rsidR="00000000" w:rsidRDefault="001A570A">
            <w:pPr>
              <w:spacing w:after="100"/>
              <w:jc w:val="center"/>
              <w:rPr>
                <w:rFonts w:eastAsia="Times New Roman"/>
              </w:rPr>
            </w:pPr>
            <w:r>
              <w:rPr>
                <w:rFonts w:eastAsia="Times New Roman"/>
                <w:b/>
                <w:bCs/>
                <w:color w:val="000000"/>
                <w:sz w:val="16"/>
                <w:szCs w:val="16"/>
              </w:rPr>
              <w:t>Weighted Average Amortization Period</w:t>
            </w:r>
          </w:p>
        </w:tc>
        <w:tc>
          <w:tcPr>
            <w:tcW w:w="0" w:type="auto"/>
            <w:gridSpan w:val="3"/>
            <w:tcMar>
              <w:top w:w="0" w:type="dxa"/>
              <w:left w:w="20" w:type="dxa"/>
              <w:bottom w:w="0" w:type="dxa"/>
              <w:right w:w="20" w:type="dxa"/>
            </w:tcMar>
            <w:vAlign w:val="center"/>
            <w:hideMark/>
          </w:tcPr>
          <w:p w14:paraId="069F14C2" w14:textId="77777777" w:rsidR="00000000" w:rsidRDefault="001A570A">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EC0A41" w14:textId="77777777" w:rsidR="00000000" w:rsidRDefault="001A570A">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D5226CC" w14:textId="77777777" w:rsidR="00000000" w:rsidRDefault="001A570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3A72905" w14:textId="77777777" w:rsidR="00000000" w:rsidRDefault="001A570A">
            <w:pPr>
              <w:spacing w:after="100"/>
              <w:jc w:val="center"/>
              <w:rPr>
                <w:rFonts w:eastAsia="Times New Roman"/>
              </w:rPr>
            </w:pPr>
            <w:r>
              <w:rPr>
                <w:rFonts w:eastAsia="Times New Roman"/>
                <w:b/>
                <w:bCs/>
                <w:color w:val="000000"/>
                <w:sz w:val="16"/>
                <w:szCs w:val="16"/>
              </w:rPr>
              <w:t>Two Quarters Ended June 28, 2019</w:t>
            </w:r>
          </w:p>
        </w:tc>
      </w:tr>
      <w:tr w:rsidR="00000000" w14:paraId="0D2A7E12" w14:textId="77777777">
        <w:trPr>
          <w:divId w:val="1552576207"/>
        </w:trPr>
        <w:tc>
          <w:tcPr>
            <w:tcW w:w="0" w:type="auto"/>
            <w:gridSpan w:val="3"/>
            <w:tcMar>
              <w:top w:w="0" w:type="dxa"/>
              <w:left w:w="20" w:type="dxa"/>
              <w:bottom w:w="0" w:type="dxa"/>
              <w:right w:w="20" w:type="dxa"/>
            </w:tcMar>
            <w:vAlign w:val="center"/>
            <w:hideMark/>
          </w:tcPr>
          <w:p w14:paraId="5B0CF860" w14:textId="77777777" w:rsidR="00000000" w:rsidRDefault="001A570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BA16786" w14:textId="77777777" w:rsidR="00000000" w:rsidRDefault="001A570A">
            <w:pPr>
              <w:spacing w:after="100"/>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14:paraId="1A0D41B2" w14:textId="77777777" w:rsidR="00000000" w:rsidRDefault="001A570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hideMark/>
          </w:tcPr>
          <w:p w14:paraId="099DFE1E" w14:textId="77777777" w:rsidR="00000000" w:rsidRDefault="001A570A">
            <w:pPr>
              <w:spacing w:after="100"/>
              <w:jc w:val="center"/>
              <w:rPr>
                <w:rFonts w:eastAsia="Times New Roman"/>
              </w:rPr>
            </w:pPr>
            <w:r>
              <w:rPr>
                <w:rFonts w:eastAsia="Times New Roman"/>
                <w:b/>
                <w:bCs/>
                <w:color w:val="000000"/>
                <w:sz w:val="16"/>
                <w:szCs w:val="16"/>
              </w:rPr>
              <w:t>(In millions)</w:t>
            </w:r>
          </w:p>
        </w:tc>
      </w:tr>
      <w:tr w:rsidR="00000000" w14:paraId="507F6D7A" w14:textId="77777777">
        <w:trPr>
          <w:divId w:val="1552576207"/>
          <w:trHeight w:val="60"/>
        </w:trPr>
        <w:tc>
          <w:tcPr>
            <w:tcW w:w="0" w:type="auto"/>
            <w:gridSpan w:val="3"/>
            <w:tcMar>
              <w:top w:w="0" w:type="dxa"/>
              <w:left w:w="20" w:type="dxa"/>
              <w:bottom w:w="0" w:type="dxa"/>
              <w:right w:w="20" w:type="dxa"/>
            </w:tcMar>
            <w:vAlign w:val="center"/>
            <w:hideMark/>
          </w:tcPr>
          <w:p w14:paraId="323342B8" w14:textId="77777777" w:rsidR="00000000" w:rsidRDefault="001A570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3935FF0" w14:textId="77777777" w:rsidR="00000000" w:rsidRDefault="001A570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D464E2" w14:textId="77777777" w:rsidR="00000000" w:rsidRDefault="001A570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2F251E" w14:textId="77777777" w:rsidR="00000000" w:rsidRDefault="001A570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AFC2D7" w14:textId="77777777" w:rsidR="00000000" w:rsidRDefault="001A570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D2B53C" w14:textId="77777777" w:rsidR="00000000" w:rsidRDefault="001A570A">
            <w:pPr>
              <w:spacing w:after="100"/>
              <w:rPr>
                <w:rFonts w:eastAsia="Times New Roman"/>
                <w:sz w:val="20"/>
                <w:szCs w:val="20"/>
              </w:rPr>
            </w:pPr>
          </w:p>
        </w:tc>
      </w:tr>
      <w:tr w:rsidR="00000000" w14:paraId="5DC2ABCF" w14:textId="77777777">
        <w:trPr>
          <w:divId w:val="1552576207"/>
        </w:trPr>
        <w:tc>
          <w:tcPr>
            <w:tcW w:w="0" w:type="auto"/>
            <w:gridSpan w:val="3"/>
            <w:shd w:val="clear" w:color="auto" w:fill="CCEEFF"/>
            <w:tcMar>
              <w:top w:w="30" w:type="dxa"/>
              <w:left w:w="20" w:type="dxa"/>
              <w:bottom w:w="30" w:type="dxa"/>
              <w:right w:w="20" w:type="dxa"/>
            </w:tcMar>
            <w:vAlign w:val="bottom"/>
            <w:hideMark/>
          </w:tcPr>
          <w:p w14:paraId="4397C161" w14:textId="77777777" w:rsidR="00000000" w:rsidRDefault="001A570A">
            <w:pPr>
              <w:spacing w:after="100"/>
              <w:rPr>
                <w:rFonts w:eastAsia="Times New Roman"/>
              </w:rPr>
            </w:pPr>
            <w:r>
              <w:rPr>
                <w:rFonts w:eastAsia="Times New Roman"/>
                <w:b/>
                <w:bCs/>
                <w:color w:val="000000"/>
                <w:sz w:val="20"/>
                <w:szCs w:val="20"/>
              </w:rPr>
              <w:t>Identifiable Intangible Assets Acquired:</w:t>
            </w:r>
          </w:p>
        </w:tc>
        <w:tc>
          <w:tcPr>
            <w:tcW w:w="0" w:type="auto"/>
            <w:gridSpan w:val="3"/>
            <w:shd w:val="clear" w:color="auto" w:fill="CCEEFF"/>
            <w:tcMar>
              <w:top w:w="0" w:type="dxa"/>
              <w:left w:w="20" w:type="dxa"/>
              <w:bottom w:w="0" w:type="dxa"/>
              <w:right w:w="20" w:type="dxa"/>
            </w:tcMar>
            <w:vAlign w:val="center"/>
            <w:hideMark/>
          </w:tcPr>
          <w:p w14:paraId="2FE27AD5" w14:textId="77777777" w:rsidR="00000000" w:rsidRDefault="001A570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F19FE" w14:textId="77777777" w:rsidR="00000000" w:rsidRDefault="001A570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E4EC3A" w14:textId="77777777" w:rsidR="00000000" w:rsidRDefault="001A570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476DCC" w14:textId="77777777" w:rsidR="00000000" w:rsidRDefault="001A570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4C0758" w14:textId="77777777" w:rsidR="00000000" w:rsidRDefault="001A570A">
            <w:pPr>
              <w:spacing w:after="100"/>
              <w:rPr>
                <w:rFonts w:eastAsia="Times New Roman"/>
                <w:sz w:val="20"/>
                <w:szCs w:val="20"/>
              </w:rPr>
            </w:pPr>
          </w:p>
        </w:tc>
      </w:tr>
      <w:tr w:rsidR="00000000" w14:paraId="3D72659B" w14:textId="77777777">
        <w:trPr>
          <w:divId w:val="1552576207"/>
        </w:trPr>
        <w:tc>
          <w:tcPr>
            <w:tcW w:w="0" w:type="auto"/>
            <w:gridSpan w:val="3"/>
            <w:shd w:val="clear" w:color="auto" w:fill="FFFFFF"/>
            <w:tcMar>
              <w:top w:w="30" w:type="dxa"/>
              <w:left w:w="140" w:type="dxa"/>
              <w:bottom w:w="30" w:type="dxa"/>
              <w:right w:w="20" w:type="dxa"/>
            </w:tcMar>
            <w:vAlign w:val="bottom"/>
            <w:hideMark/>
          </w:tcPr>
          <w:p w14:paraId="10461352" w14:textId="77777777" w:rsidR="00000000" w:rsidRDefault="001A570A">
            <w:pPr>
              <w:spacing w:after="100"/>
              <w:rPr>
                <w:rFonts w:eastAsia="Times New Roman"/>
              </w:rPr>
            </w:pPr>
            <w:r>
              <w:rPr>
                <w:rFonts w:eastAsia="Times New Roman"/>
                <w:color w:val="000000"/>
                <w:sz w:val="20"/>
                <w:szCs w:val="20"/>
              </w:rPr>
              <w:t>Customer relationships</w:t>
            </w:r>
          </w:p>
        </w:tc>
        <w:tc>
          <w:tcPr>
            <w:tcW w:w="0" w:type="auto"/>
            <w:gridSpan w:val="3"/>
            <w:shd w:val="clear" w:color="auto" w:fill="FFFFFF"/>
            <w:tcMar>
              <w:top w:w="30" w:type="dxa"/>
              <w:left w:w="20" w:type="dxa"/>
              <w:bottom w:w="30" w:type="dxa"/>
              <w:right w:w="20" w:type="dxa"/>
            </w:tcMar>
            <w:vAlign w:val="bottom"/>
            <w:hideMark/>
          </w:tcPr>
          <w:p w14:paraId="6B5FF293" w14:textId="77777777" w:rsidR="00000000" w:rsidRDefault="001A570A">
            <w:pPr>
              <w:spacing w:after="100"/>
              <w:jc w:val="center"/>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14:paraId="5AE9DDAC" w14:textId="77777777" w:rsidR="00000000" w:rsidRDefault="001A570A">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58E9FB74" w14:textId="77777777" w:rsidR="00000000" w:rsidRDefault="001A570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608788" w14:textId="77777777" w:rsidR="00000000" w:rsidRDefault="001A570A">
            <w:pPr>
              <w:spacing w:after="100"/>
              <w:jc w:val="right"/>
              <w:rPr>
                <w:rFonts w:eastAsia="Times New Roman"/>
              </w:rPr>
            </w:pPr>
            <w:r>
              <w:rPr>
                <w:rFonts w:eastAsia="Times New Roman"/>
                <w:color w:val="000000"/>
                <w:sz w:val="20"/>
                <w:szCs w:val="20"/>
              </w:rPr>
              <w:t>5,417 </w:t>
            </w:r>
          </w:p>
        </w:tc>
        <w:tc>
          <w:tcPr>
            <w:tcW w:w="0" w:type="auto"/>
            <w:shd w:val="clear" w:color="auto" w:fill="FFFFFF"/>
            <w:tcMar>
              <w:top w:w="30" w:type="dxa"/>
              <w:left w:w="0" w:type="dxa"/>
              <w:bottom w:w="30" w:type="dxa"/>
              <w:right w:w="20" w:type="dxa"/>
            </w:tcMar>
            <w:vAlign w:val="bottom"/>
            <w:hideMark/>
          </w:tcPr>
          <w:p w14:paraId="493C1F95" w14:textId="77777777" w:rsidR="00000000" w:rsidRDefault="001A570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4734B" w14:textId="77777777" w:rsidR="00000000" w:rsidRDefault="001A570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17C7C2" w14:textId="77777777" w:rsidR="00000000" w:rsidRDefault="001A570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572A35" w14:textId="77777777" w:rsidR="00000000" w:rsidRDefault="001A570A">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14:paraId="1DFAE6BB" w14:textId="77777777" w:rsidR="00000000" w:rsidRDefault="001A570A">
            <w:pPr>
              <w:spacing w:after="100"/>
              <w:jc w:val="right"/>
              <w:rPr>
                <w:rFonts w:eastAsia="Times New Roman"/>
              </w:rPr>
            </w:pPr>
          </w:p>
        </w:tc>
      </w:tr>
      <w:tr w:rsidR="00000000" w14:paraId="7D976E88" w14:textId="77777777">
        <w:trPr>
          <w:divId w:val="1552576207"/>
        </w:trPr>
        <w:tc>
          <w:tcPr>
            <w:tcW w:w="0" w:type="auto"/>
            <w:gridSpan w:val="3"/>
            <w:shd w:val="clear" w:color="auto" w:fill="CCEEFF"/>
            <w:tcMar>
              <w:top w:w="30" w:type="dxa"/>
              <w:left w:w="140" w:type="dxa"/>
              <w:bottom w:w="30" w:type="dxa"/>
              <w:right w:w="20" w:type="dxa"/>
            </w:tcMar>
            <w:vAlign w:val="bottom"/>
            <w:hideMark/>
          </w:tcPr>
          <w:p w14:paraId="68B0C4B2" w14:textId="77777777" w:rsidR="00000000" w:rsidRDefault="001A570A">
            <w:pPr>
              <w:spacing w:after="100"/>
              <w:rPr>
                <w:rFonts w:eastAsia="Times New Roman"/>
              </w:rPr>
            </w:pPr>
            <w:r>
              <w:rPr>
                <w:rFonts w:eastAsia="Times New Roman"/>
                <w:color w:val="000000"/>
                <w:sz w:val="20"/>
                <w:szCs w:val="20"/>
              </w:rPr>
              <w:t>Trade names — Divisions</w:t>
            </w:r>
          </w:p>
        </w:tc>
        <w:tc>
          <w:tcPr>
            <w:tcW w:w="0" w:type="auto"/>
            <w:gridSpan w:val="3"/>
            <w:shd w:val="clear" w:color="auto" w:fill="CCEEFF"/>
            <w:tcMar>
              <w:top w:w="30" w:type="dxa"/>
              <w:left w:w="20" w:type="dxa"/>
              <w:bottom w:w="30" w:type="dxa"/>
              <w:right w:w="20" w:type="dxa"/>
            </w:tcMar>
            <w:vAlign w:val="bottom"/>
            <w:hideMark/>
          </w:tcPr>
          <w:p w14:paraId="6076D540" w14:textId="77777777" w:rsidR="00000000" w:rsidRDefault="001A570A">
            <w:pPr>
              <w:spacing w:after="100"/>
              <w:jc w:val="center"/>
              <w:rPr>
                <w:rFonts w:eastAsia="Times New Roman"/>
              </w:rPr>
            </w:pPr>
            <w:r>
              <w:rPr>
                <w:rFonts w:eastAsia="Times New Roman"/>
                <w:color w:val="000000"/>
                <w:sz w:val="20"/>
                <w:szCs w:val="20"/>
              </w:rPr>
              <w:t>9</w:t>
            </w:r>
          </w:p>
        </w:tc>
        <w:tc>
          <w:tcPr>
            <w:tcW w:w="0" w:type="auto"/>
            <w:gridSpan w:val="3"/>
            <w:shd w:val="clear" w:color="auto" w:fill="CCEEFF"/>
            <w:tcMar>
              <w:top w:w="0" w:type="dxa"/>
              <w:left w:w="20" w:type="dxa"/>
              <w:bottom w:w="0" w:type="dxa"/>
              <w:right w:w="20" w:type="dxa"/>
            </w:tcMar>
            <w:vAlign w:val="center"/>
            <w:hideMark/>
          </w:tcPr>
          <w:p w14:paraId="49DFEA5E" w14:textId="77777777" w:rsidR="00000000" w:rsidRDefault="001A570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2EE421" w14:textId="77777777" w:rsidR="00000000" w:rsidRDefault="001A570A">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57F28082" w14:textId="77777777" w:rsidR="00000000" w:rsidRDefault="001A570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8CFC0" w14:textId="77777777" w:rsidR="00000000" w:rsidRDefault="001A570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6A807" w14:textId="77777777" w:rsidR="00000000" w:rsidRDefault="001A570A">
            <w:pPr>
              <w:spacing w:after="100"/>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E905FC" w14:textId="77777777" w:rsidR="00000000" w:rsidRDefault="001A570A">
            <w:pPr>
              <w:spacing w:after="100"/>
              <w:jc w:val="right"/>
              <w:rPr>
                <w:rFonts w:eastAsia="Times New Roman"/>
              </w:rPr>
            </w:pPr>
          </w:p>
        </w:tc>
      </w:tr>
      <w:tr w:rsidR="00000000" w14:paraId="3D8F8448" w14:textId="77777777">
        <w:trPr>
          <w:divId w:val="1552576207"/>
        </w:trPr>
        <w:tc>
          <w:tcPr>
            <w:tcW w:w="0" w:type="auto"/>
            <w:gridSpan w:val="3"/>
            <w:shd w:val="clear" w:color="auto" w:fill="FFFFFF"/>
            <w:tcMar>
              <w:top w:w="30" w:type="dxa"/>
              <w:left w:w="20" w:type="dxa"/>
              <w:bottom w:w="30" w:type="dxa"/>
              <w:right w:w="20" w:type="dxa"/>
            </w:tcMar>
            <w:vAlign w:val="bottom"/>
            <w:hideMark/>
          </w:tcPr>
          <w:p w14:paraId="35785D61" w14:textId="77777777" w:rsidR="00000000" w:rsidRDefault="001A570A">
            <w:pPr>
              <w:spacing w:after="100"/>
              <w:rPr>
                <w:rFonts w:eastAsia="Times New Roman"/>
              </w:rPr>
            </w:pPr>
            <w:r>
              <w:rPr>
                <w:rFonts w:eastAsia="Times New Roman"/>
                <w:color w:val="000000"/>
                <w:sz w:val="20"/>
                <w:szCs w:val="20"/>
              </w:rPr>
              <w:t>Adjustment to engineering, selling and administrative expenses</w:t>
            </w:r>
          </w:p>
        </w:tc>
        <w:tc>
          <w:tcPr>
            <w:tcW w:w="0" w:type="auto"/>
            <w:gridSpan w:val="3"/>
            <w:shd w:val="clear" w:color="auto" w:fill="FFFFFF"/>
            <w:tcMar>
              <w:top w:w="0" w:type="dxa"/>
              <w:left w:w="20" w:type="dxa"/>
              <w:bottom w:w="0" w:type="dxa"/>
              <w:right w:w="20" w:type="dxa"/>
            </w:tcMar>
            <w:vAlign w:val="center"/>
            <w:hideMark/>
          </w:tcPr>
          <w:p w14:paraId="65A32362" w14:textId="77777777" w:rsidR="00000000" w:rsidRDefault="001A570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15BF1"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80F142"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B46079" w14:textId="77777777" w:rsidR="00000000" w:rsidRDefault="001A570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E5C039" w14:textId="77777777" w:rsidR="00000000" w:rsidRDefault="001A570A">
            <w:pPr>
              <w:spacing w:after="100"/>
              <w:jc w:val="right"/>
              <w:rPr>
                <w:rFonts w:eastAsia="Times New Roman"/>
              </w:rPr>
            </w:pPr>
            <w:r>
              <w:rPr>
                <w:rFonts w:eastAsia="Times New Roman"/>
                <w:color w:val="000000"/>
                <w:sz w:val="20"/>
                <w:szCs w:val="20"/>
              </w:rPr>
              <w:t>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0C2261" w14:textId="77777777" w:rsidR="00000000" w:rsidRDefault="001A570A">
            <w:pPr>
              <w:spacing w:after="100"/>
              <w:jc w:val="right"/>
              <w:rPr>
                <w:rFonts w:eastAsia="Times New Roman"/>
              </w:rPr>
            </w:pPr>
          </w:p>
        </w:tc>
      </w:tr>
      <w:tr w:rsidR="00000000" w14:paraId="4B9E1714" w14:textId="77777777">
        <w:trPr>
          <w:divId w:val="1552576207"/>
        </w:trPr>
        <w:tc>
          <w:tcPr>
            <w:tcW w:w="0" w:type="auto"/>
            <w:gridSpan w:val="3"/>
            <w:shd w:val="clear" w:color="auto" w:fill="CCEEFF"/>
            <w:tcMar>
              <w:top w:w="30" w:type="dxa"/>
              <w:left w:w="140" w:type="dxa"/>
              <w:bottom w:w="30" w:type="dxa"/>
              <w:right w:w="20" w:type="dxa"/>
            </w:tcMar>
            <w:vAlign w:val="bottom"/>
            <w:hideMark/>
          </w:tcPr>
          <w:p w14:paraId="45D29BF7" w14:textId="77777777" w:rsidR="00000000" w:rsidRDefault="001A570A">
            <w:pPr>
              <w:spacing w:after="100"/>
              <w:rPr>
                <w:rFonts w:eastAsia="Times New Roman"/>
              </w:rPr>
            </w:pPr>
            <w:r>
              <w:rPr>
                <w:rFonts w:eastAsia="Times New Roman"/>
                <w:color w:val="000000"/>
                <w:sz w:val="20"/>
                <w:szCs w:val="20"/>
              </w:rPr>
              <w:t>Developed technology</w:t>
            </w:r>
          </w:p>
        </w:tc>
        <w:tc>
          <w:tcPr>
            <w:tcW w:w="0" w:type="auto"/>
            <w:gridSpan w:val="3"/>
            <w:shd w:val="clear" w:color="auto" w:fill="CCEEFF"/>
            <w:tcMar>
              <w:top w:w="30" w:type="dxa"/>
              <w:left w:w="20" w:type="dxa"/>
              <w:bottom w:w="30" w:type="dxa"/>
              <w:right w:w="20" w:type="dxa"/>
            </w:tcMar>
            <w:vAlign w:val="bottom"/>
            <w:hideMark/>
          </w:tcPr>
          <w:p w14:paraId="3BB63C74" w14:textId="77777777" w:rsidR="00000000" w:rsidRDefault="001A570A">
            <w:pPr>
              <w:spacing w:after="100"/>
              <w:jc w:val="center"/>
              <w:rPr>
                <w:rFonts w:eastAsia="Times New Roman"/>
              </w:rPr>
            </w:pPr>
            <w:r>
              <w:rPr>
                <w:rFonts w:eastAsia="Times New Roman"/>
                <w:color w:val="000000"/>
                <w:sz w:val="20"/>
                <w:szCs w:val="20"/>
              </w:rPr>
              <w:t>7</w:t>
            </w:r>
          </w:p>
        </w:tc>
        <w:tc>
          <w:tcPr>
            <w:tcW w:w="0" w:type="auto"/>
            <w:gridSpan w:val="3"/>
            <w:shd w:val="clear" w:color="auto" w:fill="CCEEFF"/>
            <w:tcMar>
              <w:top w:w="0" w:type="dxa"/>
              <w:left w:w="20" w:type="dxa"/>
              <w:bottom w:w="0" w:type="dxa"/>
              <w:right w:w="20" w:type="dxa"/>
            </w:tcMar>
            <w:vAlign w:val="center"/>
            <w:hideMark/>
          </w:tcPr>
          <w:p w14:paraId="593A134B" w14:textId="77777777" w:rsidR="00000000" w:rsidRDefault="001A570A">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030654" w14:textId="77777777" w:rsidR="00000000" w:rsidRDefault="001A570A">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14:paraId="23169571" w14:textId="77777777" w:rsidR="00000000" w:rsidRDefault="001A570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FCA1F" w14:textId="77777777" w:rsidR="00000000" w:rsidRDefault="001A570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A9D856" w14:textId="77777777" w:rsidR="00000000" w:rsidRDefault="001A570A">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DD233F" w14:textId="77777777" w:rsidR="00000000" w:rsidRDefault="001A570A">
            <w:pPr>
              <w:spacing w:after="100"/>
              <w:jc w:val="right"/>
              <w:rPr>
                <w:rFonts w:eastAsia="Times New Roman"/>
              </w:rPr>
            </w:pPr>
          </w:p>
        </w:tc>
      </w:tr>
      <w:tr w:rsidR="00000000" w14:paraId="0CF49EC9" w14:textId="77777777">
        <w:trPr>
          <w:divId w:val="1552576207"/>
        </w:trPr>
        <w:tc>
          <w:tcPr>
            <w:tcW w:w="0" w:type="auto"/>
            <w:gridSpan w:val="3"/>
            <w:shd w:val="clear" w:color="auto" w:fill="FFFFFF"/>
            <w:tcMar>
              <w:top w:w="30" w:type="dxa"/>
              <w:left w:w="140" w:type="dxa"/>
              <w:bottom w:w="30" w:type="dxa"/>
              <w:right w:w="20" w:type="dxa"/>
            </w:tcMar>
            <w:vAlign w:val="bottom"/>
            <w:hideMark/>
          </w:tcPr>
          <w:p w14:paraId="0AE84963" w14:textId="77777777" w:rsidR="00000000" w:rsidRDefault="001A570A">
            <w:pPr>
              <w:spacing w:after="100"/>
              <w:rPr>
                <w:rFonts w:eastAsia="Times New Roman"/>
              </w:rPr>
            </w:pPr>
            <w:r>
              <w:rPr>
                <w:rFonts w:eastAsia="Times New Roman"/>
                <w:color w:val="000000"/>
                <w:sz w:val="20"/>
                <w:szCs w:val="20"/>
              </w:rPr>
              <w:t xml:space="preserve">Less: L3 historical amortization </w:t>
            </w:r>
          </w:p>
        </w:tc>
        <w:tc>
          <w:tcPr>
            <w:tcW w:w="0" w:type="auto"/>
            <w:gridSpan w:val="3"/>
            <w:shd w:val="clear" w:color="auto" w:fill="FFFFFF"/>
            <w:tcMar>
              <w:top w:w="0" w:type="dxa"/>
              <w:left w:w="20" w:type="dxa"/>
              <w:bottom w:w="0" w:type="dxa"/>
              <w:right w:w="20" w:type="dxa"/>
            </w:tcMar>
            <w:vAlign w:val="center"/>
            <w:hideMark/>
          </w:tcPr>
          <w:p w14:paraId="0C541CC1" w14:textId="77777777" w:rsidR="00000000" w:rsidRDefault="001A570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FDE06"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5551B6"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CA289" w14:textId="77777777" w:rsidR="00000000" w:rsidRDefault="001A570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643F6F" w14:textId="77777777" w:rsidR="00000000" w:rsidRDefault="001A570A">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07E23AC0" w14:textId="77777777" w:rsidR="00000000" w:rsidRDefault="001A570A">
            <w:pPr>
              <w:spacing w:after="100"/>
              <w:jc w:val="right"/>
              <w:rPr>
                <w:rFonts w:eastAsia="Times New Roman"/>
              </w:rPr>
            </w:pPr>
          </w:p>
        </w:tc>
      </w:tr>
      <w:tr w:rsidR="00000000" w14:paraId="371CB4B5" w14:textId="77777777">
        <w:trPr>
          <w:divId w:val="1552576207"/>
        </w:trPr>
        <w:tc>
          <w:tcPr>
            <w:tcW w:w="0" w:type="auto"/>
            <w:gridSpan w:val="3"/>
            <w:shd w:val="clear" w:color="auto" w:fill="CCEEFF"/>
            <w:tcMar>
              <w:top w:w="30" w:type="dxa"/>
              <w:left w:w="20" w:type="dxa"/>
              <w:bottom w:w="30" w:type="dxa"/>
              <w:right w:w="20" w:type="dxa"/>
            </w:tcMar>
            <w:vAlign w:val="bottom"/>
            <w:hideMark/>
          </w:tcPr>
          <w:p w14:paraId="1F7C3FFE" w14:textId="77777777" w:rsidR="00000000" w:rsidRDefault="001A570A">
            <w:pPr>
              <w:spacing w:after="100"/>
              <w:rPr>
                <w:rFonts w:eastAsia="Times New Roman"/>
              </w:rPr>
            </w:pPr>
            <w:r>
              <w:rPr>
                <w:rFonts w:eastAsia="Times New Roman"/>
                <w:color w:val="000000"/>
                <w:sz w:val="20"/>
                <w:szCs w:val="20"/>
              </w:rPr>
              <w:t>Adjustment to cost of product sales and services</w:t>
            </w:r>
          </w:p>
        </w:tc>
        <w:tc>
          <w:tcPr>
            <w:tcW w:w="0" w:type="auto"/>
            <w:gridSpan w:val="3"/>
            <w:shd w:val="clear" w:color="auto" w:fill="CCEEFF"/>
            <w:tcMar>
              <w:top w:w="0" w:type="dxa"/>
              <w:left w:w="20" w:type="dxa"/>
              <w:bottom w:w="0" w:type="dxa"/>
              <w:right w:w="20" w:type="dxa"/>
            </w:tcMar>
            <w:vAlign w:val="center"/>
            <w:hideMark/>
          </w:tcPr>
          <w:p w14:paraId="7CAFA4DF" w14:textId="77777777" w:rsidR="00000000" w:rsidRDefault="001A570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508A7" w14:textId="77777777" w:rsidR="00000000" w:rsidRDefault="001A570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9E26F" w14:textId="77777777" w:rsidR="00000000" w:rsidRDefault="001A570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0883B" w14:textId="77777777" w:rsidR="00000000" w:rsidRDefault="001A570A">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66F2FD" w14:textId="77777777" w:rsidR="00000000" w:rsidRDefault="001A570A">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848630" w14:textId="77777777" w:rsidR="00000000" w:rsidRDefault="001A570A">
            <w:pPr>
              <w:spacing w:after="100"/>
              <w:jc w:val="right"/>
              <w:rPr>
                <w:rFonts w:eastAsia="Times New Roman"/>
              </w:rPr>
            </w:pPr>
          </w:p>
        </w:tc>
      </w:tr>
      <w:tr w:rsidR="00000000" w14:paraId="54143B58" w14:textId="77777777">
        <w:trPr>
          <w:divId w:val="1552576207"/>
        </w:trPr>
        <w:tc>
          <w:tcPr>
            <w:tcW w:w="0" w:type="auto"/>
            <w:gridSpan w:val="3"/>
            <w:shd w:val="clear" w:color="auto" w:fill="FFFFFF"/>
            <w:tcMar>
              <w:top w:w="30" w:type="dxa"/>
              <w:left w:w="20" w:type="dxa"/>
              <w:bottom w:w="30" w:type="dxa"/>
              <w:right w:w="20" w:type="dxa"/>
            </w:tcMar>
            <w:vAlign w:val="bottom"/>
            <w:hideMark/>
          </w:tcPr>
          <w:p w14:paraId="634D525A" w14:textId="77777777" w:rsidR="00000000" w:rsidRDefault="001A570A">
            <w:pPr>
              <w:spacing w:after="100"/>
              <w:rPr>
                <w:rFonts w:eastAsia="Times New Roman"/>
              </w:rPr>
            </w:pPr>
            <w:r>
              <w:rPr>
                <w:rFonts w:eastAsia="Times New Roman"/>
                <w:color w:val="000000"/>
                <w:sz w:val="20"/>
                <w:szCs w:val="20"/>
              </w:rPr>
              <w:t>Total net adjustment to amortization expense</w:t>
            </w:r>
          </w:p>
        </w:tc>
        <w:tc>
          <w:tcPr>
            <w:tcW w:w="0" w:type="auto"/>
            <w:gridSpan w:val="3"/>
            <w:shd w:val="clear" w:color="auto" w:fill="FFFFFF"/>
            <w:tcMar>
              <w:top w:w="0" w:type="dxa"/>
              <w:left w:w="20" w:type="dxa"/>
              <w:bottom w:w="0" w:type="dxa"/>
              <w:right w:w="20" w:type="dxa"/>
            </w:tcMar>
            <w:vAlign w:val="center"/>
            <w:hideMark/>
          </w:tcPr>
          <w:p w14:paraId="285D354B" w14:textId="77777777" w:rsidR="00000000" w:rsidRDefault="001A570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2359F"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5FD128"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7AE72" w14:textId="77777777" w:rsidR="00000000" w:rsidRDefault="001A570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1C06C1" w14:textId="77777777" w:rsidR="00000000" w:rsidRDefault="001A570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3C14EB" w14:textId="77777777" w:rsidR="00000000" w:rsidRDefault="001A570A">
            <w:pPr>
              <w:spacing w:after="100"/>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FB706A" w14:textId="77777777" w:rsidR="00000000" w:rsidRDefault="001A570A">
            <w:pPr>
              <w:spacing w:after="100"/>
              <w:jc w:val="right"/>
              <w:rPr>
                <w:rFonts w:eastAsia="Times New Roman"/>
              </w:rPr>
            </w:pPr>
          </w:p>
        </w:tc>
      </w:tr>
      <w:tr w:rsidR="00000000" w14:paraId="26C72DE4" w14:textId="77777777">
        <w:trPr>
          <w:divId w:val="1552576207"/>
        </w:trPr>
        <w:tc>
          <w:tcPr>
            <w:tcW w:w="0" w:type="auto"/>
            <w:gridSpan w:val="3"/>
            <w:tcMar>
              <w:top w:w="30" w:type="dxa"/>
              <w:left w:w="20" w:type="dxa"/>
              <w:bottom w:w="30" w:type="dxa"/>
              <w:right w:w="20" w:type="dxa"/>
            </w:tcMar>
            <w:vAlign w:val="bottom"/>
            <w:hideMark/>
          </w:tcPr>
          <w:p w14:paraId="27357896" w14:textId="77777777" w:rsidR="00000000" w:rsidRDefault="001A570A">
            <w:pPr>
              <w:spacing w:after="100"/>
              <w:rPr>
                <w:rFonts w:eastAsia="Times New Roman"/>
              </w:rPr>
            </w:pPr>
            <w:r>
              <w:rPr>
                <w:rFonts w:eastAsia="Times New Roman"/>
                <w:color w:val="000000"/>
                <w:sz w:val="20"/>
                <w:szCs w:val="20"/>
              </w:rPr>
              <w:t>_________</w:t>
            </w:r>
          </w:p>
        </w:tc>
        <w:tc>
          <w:tcPr>
            <w:tcW w:w="0" w:type="auto"/>
            <w:gridSpan w:val="3"/>
            <w:tcMar>
              <w:top w:w="0" w:type="dxa"/>
              <w:left w:w="20" w:type="dxa"/>
              <w:bottom w:w="0" w:type="dxa"/>
              <w:right w:w="20" w:type="dxa"/>
            </w:tcMar>
            <w:vAlign w:val="center"/>
            <w:hideMark/>
          </w:tcPr>
          <w:p w14:paraId="495FCF42" w14:textId="77777777" w:rsidR="00000000" w:rsidRDefault="001A570A">
            <w:pPr>
              <w:spacing w:after="100"/>
              <w:rPr>
                <w:rFonts w:eastAsia="Times New Roman"/>
              </w:rPr>
            </w:pPr>
          </w:p>
        </w:tc>
        <w:tc>
          <w:tcPr>
            <w:tcW w:w="0" w:type="auto"/>
            <w:gridSpan w:val="3"/>
            <w:tcMar>
              <w:top w:w="0" w:type="dxa"/>
              <w:left w:w="20" w:type="dxa"/>
              <w:bottom w:w="0" w:type="dxa"/>
              <w:right w:w="20" w:type="dxa"/>
            </w:tcMar>
            <w:vAlign w:val="center"/>
            <w:hideMark/>
          </w:tcPr>
          <w:p w14:paraId="7B9EFCBA" w14:textId="77777777" w:rsidR="00000000" w:rsidRDefault="001A570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525F0A" w14:textId="77777777" w:rsidR="00000000" w:rsidRDefault="001A570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14B2A9" w14:textId="77777777" w:rsidR="00000000" w:rsidRDefault="001A570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116E7CB" w14:textId="77777777" w:rsidR="00000000" w:rsidRDefault="001A570A">
            <w:pPr>
              <w:spacing w:after="100"/>
              <w:rPr>
                <w:rFonts w:eastAsia="Times New Roman"/>
                <w:sz w:val="20"/>
                <w:szCs w:val="20"/>
              </w:rPr>
            </w:pPr>
          </w:p>
        </w:tc>
      </w:tr>
      <w:tr w:rsidR="00000000" w14:paraId="0184FEDD" w14:textId="77777777">
        <w:trPr>
          <w:divId w:val="1552576207"/>
        </w:trPr>
        <w:tc>
          <w:tcPr>
            <w:tcW w:w="0" w:type="auto"/>
            <w:gridSpan w:val="3"/>
            <w:shd w:val="clear" w:color="auto" w:fill="FFFFFF"/>
            <w:tcMar>
              <w:top w:w="30" w:type="dxa"/>
              <w:left w:w="20" w:type="dxa"/>
              <w:bottom w:w="30" w:type="dxa"/>
              <w:right w:w="20" w:type="dxa"/>
            </w:tcMar>
            <w:vAlign w:val="bottom"/>
            <w:hideMark/>
          </w:tcPr>
          <w:p w14:paraId="423840D2" w14:textId="77777777" w:rsidR="00000000" w:rsidRDefault="001A570A">
            <w:pPr>
              <w:spacing w:after="100"/>
              <w:divId w:val="558249957"/>
              <w:rPr>
                <w:rFonts w:eastAsia="Times New Roman"/>
              </w:rPr>
            </w:pPr>
            <w:r>
              <w:rPr>
                <w:rFonts w:eastAsia="Times New Roman"/>
                <w:color w:val="000000"/>
                <w:sz w:val="16"/>
                <w:szCs w:val="16"/>
              </w:rPr>
              <w:t xml:space="preserve">(1) </w:t>
            </w:r>
            <w:r>
              <w:rPr>
                <w:rFonts w:eastAsia="Times New Roman"/>
                <w:color w:val="000000"/>
                <w:sz w:val="16"/>
                <w:szCs w:val="16"/>
              </w:rPr>
              <w:t>As of May 4, 2020, the date of filing our Current Report on Form 8-K.</w:t>
            </w:r>
          </w:p>
        </w:tc>
        <w:tc>
          <w:tcPr>
            <w:tcW w:w="0" w:type="auto"/>
            <w:gridSpan w:val="3"/>
            <w:shd w:val="clear" w:color="auto" w:fill="FFFFFF"/>
            <w:tcMar>
              <w:top w:w="0" w:type="dxa"/>
              <w:left w:w="20" w:type="dxa"/>
              <w:bottom w:w="0" w:type="dxa"/>
              <w:right w:w="20" w:type="dxa"/>
            </w:tcMar>
            <w:vAlign w:val="center"/>
            <w:hideMark/>
          </w:tcPr>
          <w:p w14:paraId="031B8C96" w14:textId="77777777" w:rsidR="00000000" w:rsidRDefault="001A570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D173B"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A109E0"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4C63D" w14:textId="77777777" w:rsidR="00000000" w:rsidRDefault="001A570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3619B5" w14:textId="77777777" w:rsidR="00000000" w:rsidRDefault="001A570A">
            <w:pPr>
              <w:spacing w:after="100"/>
              <w:rPr>
                <w:rFonts w:eastAsia="Times New Roman"/>
                <w:sz w:val="20"/>
                <w:szCs w:val="20"/>
              </w:rPr>
            </w:pPr>
          </w:p>
        </w:tc>
      </w:tr>
    </w:tbl>
    <w:p w14:paraId="66320A0C" w14:textId="77777777" w:rsidR="00000000" w:rsidRDefault="001A570A">
      <w:pPr>
        <w:ind w:hanging="360"/>
        <w:divId w:val="294986616"/>
        <w:rPr>
          <w:rFonts w:eastAsia="Times New Roman"/>
        </w:rPr>
      </w:pPr>
      <w:r>
        <w:rPr>
          <w:rFonts w:eastAsia="Times New Roman"/>
          <w:color w:val="000000"/>
          <w:sz w:val="20"/>
          <w:szCs w:val="20"/>
        </w:rPr>
        <w:t>d.Represents the elimination of transaction costs, which were included in merger, acquisition and divestiture related expenses in L3’s historical statement of operations and in engineering, selling and administrative expenses in Harris’ historical statemen</w:t>
      </w:r>
      <w:r>
        <w:rPr>
          <w:rFonts w:eastAsia="Times New Roman"/>
          <w:color w:val="000000"/>
          <w:sz w:val="20"/>
          <w:szCs w:val="20"/>
        </w:rPr>
        <w:t>t of income.</w:t>
      </w:r>
    </w:p>
    <w:p w14:paraId="28B85D2E" w14:textId="77777777" w:rsidR="00000000" w:rsidRDefault="001A570A">
      <w:pPr>
        <w:ind w:hanging="360"/>
        <w:divId w:val="1125200696"/>
        <w:rPr>
          <w:rFonts w:eastAsia="Times New Roman"/>
        </w:rPr>
      </w:pPr>
      <w:r>
        <w:rPr>
          <w:rFonts w:eastAsia="Times New Roman"/>
          <w:color w:val="000000"/>
          <w:sz w:val="20"/>
          <w:szCs w:val="20"/>
        </w:rPr>
        <w:t>e.In connection with the L3Harris Merger, on October 12, 2018, each company entered into a letter of agreement with its chief executive officer, to outline the terms of each such person’s role and compensation arrangements following the merger</w:t>
      </w:r>
      <w:r>
        <w:rPr>
          <w:rFonts w:eastAsia="Times New Roman"/>
          <w:color w:val="000000"/>
          <w:sz w:val="20"/>
          <w:szCs w:val="20"/>
        </w:rPr>
        <w:t>. Amounts shown reflect the increase in compensation expense as a result of these modified arrangements.</w:t>
      </w:r>
    </w:p>
    <w:p w14:paraId="43DB8574" w14:textId="77777777" w:rsidR="00000000" w:rsidRDefault="001A570A">
      <w:pPr>
        <w:ind w:hanging="360"/>
        <w:divId w:val="10112146"/>
        <w:rPr>
          <w:rFonts w:eastAsia="Times New Roman"/>
        </w:rPr>
      </w:pPr>
      <w:r>
        <w:rPr>
          <w:rFonts w:eastAsia="Times New Roman"/>
          <w:color w:val="000000"/>
          <w:sz w:val="20"/>
          <w:szCs w:val="20"/>
        </w:rPr>
        <w:t>f.Reflects the impact of change-in-control payments under certain post-retirement and share-based and deferred compensation arrangements.</w:t>
      </w:r>
    </w:p>
    <w:p w14:paraId="579B8184" w14:textId="77777777" w:rsidR="00000000" w:rsidRDefault="001A570A">
      <w:pPr>
        <w:ind w:hanging="360"/>
        <w:divId w:val="602541086"/>
        <w:rPr>
          <w:rFonts w:eastAsia="Times New Roman"/>
        </w:rPr>
      </w:pPr>
      <w:r>
        <w:rPr>
          <w:rFonts w:eastAsia="Times New Roman"/>
          <w:color w:val="000000"/>
          <w:sz w:val="20"/>
          <w:szCs w:val="20"/>
        </w:rPr>
        <w:t>g.Reflects th</w:t>
      </w:r>
      <w:r>
        <w:rPr>
          <w:rFonts w:eastAsia="Times New Roman"/>
          <w:color w:val="000000"/>
          <w:sz w:val="20"/>
          <w:szCs w:val="20"/>
        </w:rPr>
        <w:t>e elimination of amortization of net actuarial losses from accumulated comprehensive loss related to L3’s postretirement benefit plans as part of purchase accounting.</w:t>
      </w:r>
    </w:p>
    <w:p w14:paraId="03C47EA5" w14:textId="77777777" w:rsidR="00000000" w:rsidRDefault="001A570A">
      <w:pPr>
        <w:ind w:hanging="360"/>
        <w:divId w:val="1558972505"/>
        <w:rPr>
          <w:rFonts w:eastAsia="Times New Roman"/>
        </w:rPr>
      </w:pPr>
      <w:r>
        <w:rPr>
          <w:rFonts w:eastAsia="Times New Roman"/>
          <w:color w:val="000000"/>
          <w:sz w:val="20"/>
          <w:szCs w:val="20"/>
        </w:rPr>
        <w:t>h.</w:t>
      </w:r>
      <w:r>
        <w:rPr>
          <w:rFonts w:eastAsia="Times New Roman"/>
          <w:color w:val="000000"/>
          <w:sz w:val="20"/>
          <w:szCs w:val="20"/>
        </w:rPr>
        <w:t>Reflects the elimination of amortization of deferred debt issuance costs as part of purchase accounting.</w:t>
      </w:r>
    </w:p>
    <w:p w14:paraId="243B43AE" w14:textId="77777777" w:rsidR="00000000" w:rsidRDefault="001A570A">
      <w:pPr>
        <w:ind w:hanging="360"/>
        <w:divId w:val="1316035164"/>
        <w:rPr>
          <w:rFonts w:eastAsia="Times New Roman"/>
        </w:rPr>
      </w:pPr>
      <w:r>
        <w:rPr>
          <w:rFonts w:eastAsia="Times New Roman"/>
          <w:color w:val="000000"/>
          <w:sz w:val="20"/>
          <w:szCs w:val="20"/>
        </w:rPr>
        <w:t>i.Reflects amortization of the increase to L3’s long-term debt based on a $172 million fair value adjustment.</w:t>
      </w:r>
    </w:p>
    <w:p w14:paraId="10A0257C" w14:textId="77777777" w:rsidR="00000000" w:rsidRDefault="001A570A">
      <w:pPr>
        <w:ind w:hanging="360"/>
        <w:divId w:val="1132014328"/>
        <w:rPr>
          <w:rFonts w:eastAsia="Times New Roman"/>
        </w:rPr>
      </w:pPr>
      <w:r>
        <w:rPr>
          <w:rFonts w:eastAsia="Times New Roman"/>
          <w:color w:val="000000"/>
          <w:sz w:val="20"/>
          <w:szCs w:val="20"/>
        </w:rPr>
        <w:t>j.Certain amounts from L3’s historical st</w:t>
      </w:r>
      <w:r>
        <w:rPr>
          <w:rFonts w:eastAsia="Times New Roman"/>
          <w:color w:val="000000"/>
          <w:sz w:val="20"/>
          <w:szCs w:val="20"/>
        </w:rPr>
        <w:t>atement of operations data were reclassified to conform their presentation to that of Harris. These reclassifications include:</w:t>
      </w:r>
    </w:p>
    <w:p w14:paraId="6ACAAD28" w14:textId="77777777" w:rsidR="00000000" w:rsidRDefault="001A570A">
      <w:pPr>
        <w:ind w:hanging="360"/>
        <w:divId w:val="1991248876"/>
        <w:rPr>
          <w:rFonts w:eastAsia="Times New Roman"/>
        </w:rPr>
      </w:pPr>
      <w:r>
        <w:rPr>
          <w:rFonts w:eastAsia="Times New Roman"/>
          <w:color w:val="000000"/>
          <w:sz w:val="20"/>
          <w:szCs w:val="20"/>
        </w:rPr>
        <w:t>1.Merger, acquisition and divestiture related expenses were reclassified to engineering, selling and administrative expenses; and</w:t>
      </w:r>
    </w:p>
    <w:p w14:paraId="7C61D0B0" w14:textId="77777777" w:rsidR="00000000" w:rsidRDefault="001A570A">
      <w:pPr>
        <w:ind w:hanging="360"/>
        <w:divId w:val="1648975180"/>
        <w:rPr>
          <w:rFonts w:eastAsia="Times New Roman"/>
        </w:rPr>
      </w:pPr>
      <w:r>
        <w:rPr>
          <w:rFonts w:eastAsia="Times New Roman"/>
          <w:color w:val="000000"/>
          <w:sz w:val="20"/>
          <w:szCs w:val="20"/>
        </w:rPr>
        <w:t>2.Interest and other income, net which was reclassified to interest income.</w:t>
      </w:r>
    </w:p>
    <w:p w14:paraId="4F8FE533" w14:textId="77777777" w:rsidR="00000000" w:rsidRDefault="001A570A">
      <w:pPr>
        <w:ind w:hanging="360"/>
        <w:divId w:val="1191842906"/>
        <w:rPr>
          <w:rFonts w:eastAsia="Times New Roman"/>
        </w:rPr>
      </w:pPr>
      <w:r>
        <w:rPr>
          <w:rFonts w:eastAsia="Times New Roman"/>
          <w:color w:val="000000"/>
          <w:sz w:val="20"/>
          <w:szCs w:val="20"/>
        </w:rPr>
        <w:t>k.Represents the income tax impact of the pro forma adjustments, using the blended worldwide tax rates for L3, in the case of pro forma adjustments to L3’s historical results, and</w:t>
      </w:r>
      <w:r>
        <w:rPr>
          <w:rFonts w:eastAsia="Times New Roman"/>
          <w:color w:val="000000"/>
          <w:sz w:val="20"/>
          <w:szCs w:val="20"/>
        </w:rPr>
        <w:t xml:space="preserve"> the federal and state statutory tax rates for Harris, in the case of pro forma adjustments to Harris’ historical results. As a result, the combined statutory tax rate used to tax-effect the pro forma adjustments was 25 percent for the two quarters ended J</w:t>
      </w:r>
      <w:r>
        <w:rPr>
          <w:rFonts w:eastAsia="Times New Roman"/>
          <w:color w:val="000000"/>
          <w:sz w:val="20"/>
          <w:szCs w:val="20"/>
        </w:rPr>
        <w:t>une 28, 2019. This tax rate does not represent the combined company’s effective tax rate, which will include other tax charges and benefits, and does not take into account any historical or possible future tax events that may impact the combined company fo</w:t>
      </w:r>
      <w:r>
        <w:rPr>
          <w:rFonts w:eastAsia="Times New Roman"/>
          <w:color w:val="000000"/>
          <w:sz w:val="20"/>
          <w:szCs w:val="20"/>
        </w:rPr>
        <w:t>llowing the consummation of the L3Harris Merger.</w:t>
      </w:r>
    </w:p>
    <w:p w14:paraId="5E58B9B4" w14:textId="77777777" w:rsidR="00000000" w:rsidRDefault="001A570A">
      <w:pPr>
        <w:ind w:hanging="360"/>
        <w:divId w:val="1343895708"/>
        <w:rPr>
          <w:rFonts w:eastAsia="Times New Roman"/>
        </w:rPr>
      </w:pPr>
      <w:r>
        <w:rPr>
          <w:rFonts w:eastAsia="Times New Roman"/>
          <w:color w:val="000000"/>
          <w:sz w:val="20"/>
          <w:szCs w:val="20"/>
        </w:rPr>
        <w:t>l.Increase in common stock due to shares of L3Harris common stock issued for outstanding L3 common stock and in respect of vested L3 restricted stock units and L3 performance stock units. Diluted shares also</w:t>
      </w:r>
      <w:r>
        <w:rPr>
          <w:rFonts w:eastAsia="Times New Roman"/>
          <w:color w:val="000000"/>
          <w:sz w:val="20"/>
          <w:szCs w:val="20"/>
        </w:rPr>
        <w:t xml:space="preserve"> include the dilutive impact of L3Harris stock options issued in replacement of L3 stock options calculated using the treasury stock method.</w:t>
      </w:r>
    </w:p>
    <w:p w14:paraId="0CD928FA" w14:textId="77777777" w:rsidR="00000000" w:rsidRDefault="001A570A">
      <w:pPr>
        <w:ind w:firstLine="450"/>
        <w:jc w:val="center"/>
        <w:divId w:val="1082919392"/>
        <w:rPr>
          <w:rFonts w:eastAsia="Times New Roman"/>
        </w:rPr>
      </w:pPr>
      <w:r>
        <w:rPr>
          <w:rFonts w:eastAsia="Times New Roman"/>
          <w:color w:val="000000"/>
          <w:sz w:val="20"/>
          <w:szCs w:val="20"/>
        </w:rPr>
        <w:t>49</w:t>
      </w:r>
    </w:p>
    <w:p w14:paraId="0205B898" w14:textId="77777777" w:rsidR="00000000" w:rsidRDefault="001A570A">
      <w:pPr>
        <w:rPr>
          <w:rFonts w:eastAsia="Times New Roman"/>
        </w:rPr>
      </w:pPr>
      <w:r>
        <w:rPr>
          <w:rFonts w:eastAsia="Times New Roman"/>
        </w:rPr>
        <w:pict w14:anchorId="7F98CD33">
          <v:rect id="_x0000_i1077" style="width:0;height:1.5pt" o:hralign="center" o:hrstd="t" o:hr="t" fillcolor="#a0a0a0" stroked="f"/>
        </w:pict>
      </w:r>
    </w:p>
    <w:p w14:paraId="3087546B" w14:textId="77777777" w:rsidR="00000000" w:rsidRDefault="001A570A">
      <w:pPr>
        <w:ind w:firstLine="450"/>
        <w:divId w:val="886380513"/>
        <w:rPr>
          <w:rFonts w:eastAsia="Times New Roman"/>
        </w:rPr>
      </w:pPr>
    </w:p>
    <w:p w14:paraId="52BE655D" w14:textId="77777777" w:rsidR="00000000" w:rsidRDefault="001A570A">
      <w:pPr>
        <w:divId w:val="362950085"/>
        <w:rPr>
          <w:rFonts w:eastAsia="Times New Roman"/>
        </w:rPr>
      </w:pPr>
    </w:p>
    <w:p w14:paraId="6D437F1E" w14:textId="77777777" w:rsidR="00000000" w:rsidRDefault="001A570A">
      <w:pPr>
        <w:divId w:val="1724133152"/>
        <w:rPr>
          <w:rFonts w:eastAsia="Times New Roman"/>
        </w:rPr>
      </w:pPr>
      <w:r>
        <w:rPr>
          <w:rFonts w:eastAsia="Times New Roman"/>
          <w:b/>
          <w:bCs/>
          <w:i/>
          <w:iCs/>
          <w:color w:val="000000"/>
          <w:sz w:val="20"/>
          <w:szCs w:val="20"/>
        </w:rPr>
        <w:t>Discussion of Business Segment Results of Operations</w:t>
      </w:r>
    </w:p>
    <w:p w14:paraId="51709609" w14:textId="77777777" w:rsidR="00000000" w:rsidRDefault="001A570A">
      <w:pPr>
        <w:divId w:val="65996932"/>
        <w:rPr>
          <w:rFonts w:eastAsia="Times New Roman"/>
        </w:rPr>
      </w:pPr>
      <w:r>
        <w:rPr>
          <w:rFonts w:eastAsia="Times New Roman"/>
          <w:b/>
          <w:bCs/>
          <w:color w:val="000000"/>
          <w:sz w:val="20"/>
          <w:szCs w:val="20"/>
        </w:rPr>
        <w:t xml:space="preserve">Integrated Mission </w:t>
      </w:r>
      <w:r>
        <w:rPr>
          <w:rFonts w:eastAsia="Times New Roman"/>
          <w:b/>
          <w:bCs/>
          <w:color w:val="000000"/>
          <w:sz w:val="20"/>
          <w:szCs w:val="20"/>
        </w:rPr>
        <w:t>Systems Segment</w:t>
      </w:r>
    </w:p>
    <w:tbl>
      <w:tblPr>
        <w:tblW w:w="4425" w:type="pct"/>
        <w:tblCellMar>
          <w:top w:w="15" w:type="dxa"/>
          <w:left w:w="15" w:type="dxa"/>
          <w:bottom w:w="15" w:type="dxa"/>
          <w:right w:w="15" w:type="dxa"/>
        </w:tblCellMar>
        <w:tblLook w:val="04A0" w:firstRow="1" w:lastRow="0" w:firstColumn="1" w:lastColumn="0" w:noHBand="0" w:noVBand="1"/>
      </w:tblPr>
      <w:tblGrid>
        <w:gridCol w:w="40"/>
        <w:gridCol w:w="2581"/>
        <w:gridCol w:w="39"/>
        <w:gridCol w:w="120"/>
        <w:gridCol w:w="500"/>
        <w:gridCol w:w="187"/>
        <w:gridCol w:w="36"/>
        <w:gridCol w:w="36"/>
        <w:gridCol w:w="36"/>
        <w:gridCol w:w="121"/>
        <w:gridCol w:w="786"/>
        <w:gridCol w:w="187"/>
        <w:gridCol w:w="36"/>
        <w:gridCol w:w="36"/>
        <w:gridCol w:w="36"/>
        <w:gridCol w:w="79"/>
        <w:gridCol w:w="585"/>
        <w:gridCol w:w="36"/>
        <w:gridCol w:w="36"/>
        <w:gridCol w:w="36"/>
        <w:gridCol w:w="36"/>
        <w:gridCol w:w="120"/>
        <w:gridCol w:w="500"/>
        <w:gridCol w:w="187"/>
        <w:gridCol w:w="36"/>
        <w:gridCol w:w="36"/>
        <w:gridCol w:w="36"/>
        <w:gridCol w:w="79"/>
        <w:gridCol w:w="585"/>
        <w:gridCol w:w="187"/>
      </w:tblGrid>
      <w:tr w:rsidR="00000000" w14:paraId="77D50A14" w14:textId="77777777">
        <w:trPr>
          <w:divId w:val="163135741"/>
        </w:trPr>
        <w:tc>
          <w:tcPr>
            <w:tcW w:w="50" w:type="pct"/>
            <w:vAlign w:val="center"/>
            <w:hideMark/>
          </w:tcPr>
          <w:p w14:paraId="6738C616" w14:textId="77777777" w:rsidR="00000000" w:rsidRDefault="001A570A">
            <w:pPr>
              <w:rPr>
                <w:rFonts w:eastAsia="Times New Roman"/>
              </w:rPr>
            </w:pPr>
          </w:p>
        </w:tc>
        <w:tc>
          <w:tcPr>
            <w:tcW w:w="2144" w:type="pct"/>
            <w:vAlign w:val="center"/>
            <w:hideMark/>
          </w:tcPr>
          <w:p w14:paraId="08142CA3" w14:textId="77777777" w:rsidR="00000000" w:rsidRDefault="001A570A">
            <w:pPr>
              <w:rPr>
                <w:rFonts w:eastAsia="Times New Roman"/>
                <w:sz w:val="20"/>
                <w:szCs w:val="20"/>
              </w:rPr>
            </w:pPr>
          </w:p>
        </w:tc>
        <w:tc>
          <w:tcPr>
            <w:tcW w:w="5" w:type="pct"/>
            <w:vAlign w:val="center"/>
            <w:hideMark/>
          </w:tcPr>
          <w:p w14:paraId="0901193F" w14:textId="77777777" w:rsidR="00000000" w:rsidRDefault="001A570A">
            <w:pPr>
              <w:rPr>
                <w:rFonts w:eastAsia="Times New Roman"/>
                <w:sz w:val="20"/>
                <w:szCs w:val="20"/>
              </w:rPr>
            </w:pPr>
          </w:p>
        </w:tc>
        <w:tc>
          <w:tcPr>
            <w:tcW w:w="50" w:type="pct"/>
            <w:vAlign w:val="center"/>
            <w:hideMark/>
          </w:tcPr>
          <w:p w14:paraId="0A3249ED" w14:textId="77777777" w:rsidR="00000000" w:rsidRDefault="001A570A">
            <w:pPr>
              <w:rPr>
                <w:rFonts w:eastAsia="Times New Roman"/>
                <w:sz w:val="20"/>
                <w:szCs w:val="20"/>
              </w:rPr>
            </w:pPr>
          </w:p>
        </w:tc>
        <w:tc>
          <w:tcPr>
            <w:tcW w:w="537" w:type="pct"/>
            <w:vAlign w:val="center"/>
            <w:hideMark/>
          </w:tcPr>
          <w:p w14:paraId="464AB9E0" w14:textId="77777777" w:rsidR="00000000" w:rsidRDefault="001A570A">
            <w:pPr>
              <w:rPr>
                <w:rFonts w:eastAsia="Times New Roman"/>
                <w:sz w:val="20"/>
                <w:szCs w:val="20"/>
              </w:rPr>
            </w:pPr>
          </w:p>
        </w:tc>
        <w:tc>
          <w:tcPr>
            <w:tcW w:w="5" w:type="pct"/>
            <w:vAlign w:val="center"/>
            <w:hideMark/>
          </w:tcPr>
          <w:p w14:paraId="3BC9A9BB" w14:textId="77777777" w:rsidR="00000000" w:rsidRDefault="001A570A">
            <w:pPr>
              <w:rPr>
                <w:rFonts w:eastAsia="Times New Roman"/>
                <w:sz w:val="20"/>
                <w:szCs w:val="20"/>
              </w:rPr>
            </w:pPr>
          </w:p>
        </w:tc>
        <w:tc>
          <w:tcPr>
            <w:tcW w:w="5" w:type="pct"/>
            <w:vAlign w:val="center"/>
            <w:hideMark/>
          </w:tcPr>
          <w:p w14:paraId="42813F3A" w14:textId="77777777" w:rsidR="00000000" w:rsidRDefault="001A570A">
            <w:pPr>
              <w:rPr>
                <w:rFonts w:eastAsia="Times New Roman"/>
                <w:sz w:val="20"/>
                <w:szCs w:val="20"/>
              </w:rPr>
            </w:pPr>
          </w:p>
        </w:tc>
        <w:tc>
          <w:tcPr>
            <w:tcW w:w="30" w:type="pct"/>
            <w:vAlign w:val="center"/>
            <w:hideMark/>
          </w:tcPr>
          <w:p w14:paraId="73637B2B" w14:textId="77777777" w:rsidR="00000000" w:rsidRDefault="001A570A">
            <w:pPr>
              <w:rPr>
                <w:rFonts w:eastAsia="Times New Roman"/>
                <w:sz w:val="20"/>
                <w:szCs w:val="20"/>
              </w:rPr>
            </w:pPr>
          </w:p>
        </w:tc>
        <w:tc>
          <w:tcPr>
            <w:tcW w:w="5" w:type="pct"/>
            <w:vAlign w:val="center"/>
            <w:hideMark/>
          </w:tcPr>
          <w:p w14:paraId="4A791E6D" w14:textId="77777777" w:rsidR="00000000" w:rsidRDefault="001A570A">
            <w:pPr>
              <w:rPr>
                <w:rFonts w:eastAsia="Times New Roman"/>
                <w:sz w:val="20"/>
                <w:szCs w:val="20"/>
              </w:rPr>
            </w:pPr>
          </w:p>
        </w:tc>
        <w:tc>
          <w:tcPr>
            <w:tcW w:w="50" w:type="pct"/>
            <w:vAlign w:val="center"/>
            <w:hideMark/>
          </w:tcPr>
          <w:p w14:paraId="2391148A" w14:textId="77777777" w:rsidR="00000000" w:rsidRDefault="001A570A">
            <w:pPr>
              <w:rPr>
                <w:rFonts w:eastAsia="Times New Roman"/>
                <w:sz w:val="20"/>
                <w:szCs w:val="20"/>
              </w:rPr>
            </w:pPr>
          </w:p>
        </w:tc>
        <w:tc>
          <w:tcPr>
            <w:tcW w:w="537" w:type="pct"/>
            <w:vAlign w:val="center"/>
            <w:hideMark/>
          </w:tcPr>
          <w:p w14:paraId="0FCDBCEA" w14:textId="77777777" w:rsidR="00000000" w:rsidRDefault="001A570A">
            <w:pPr>
              <w:rPr>
                <w:rFonts w:eastAsia="Times New Roman"/>
                <w:sz w:val="20"/>
                <w:szCs w:val="20"/>
              </w:rPr>
            </w:pPr>
          </w:p>
        </w:tc>
        <w:tc>
          <w:tcPr>
            <w:tcW w:w="5" w:type="pct"/>
            <w:vAlign w:val="center"/>
            <w:hideMark/>
          </w:tcPr>
          <w:p w14:paraId="62D51B1F" w14:textId="77777777" w:rsidR="00000000" w:rsidRDefault="001A570A">
            <w:pPr>
              <w:rPr>
                <w:rFonts w:eastAsia="Times New Roman"/>
                <w:sz w:val="20"/>
                <w:szCs w:val="20"/>
              </w:rPr>
            </w:pPr>
          </w:p>
        </w:tc>
        <w:tc>
          <w:tcPr>
            <w:tcW w:w="5" w:type="pct"/>
            <w:vAlign w:val="center"/>
            <w:hideMark/>
          </w:tcPr>
          <w:p w14:paraId="247E645B" w14:textId="77777777" w:rsidR="00000000" w:rsidRDefault="001A570A">
            <w:pPr>
              <w:rPr>
                <w:rFonts w:eastAsia="Times New Roman"/>
                <w:sz w:val="20"/>
                <w:szCs w:val="20"/>
              </w:rPr>
            </w:pPr>
          </w:p>
        </w:tc>
        <w:tc>
          <w:tcPr>
            <w:tcW w:w="30" w:type="pct"/>
            <w:vAlign w:val="center"/>
            <w:hideMark/>
          </w:tcPr>
          <w:p w14:paraId="1FDCC6B6" w14:textId="77777777" w:rsidR="00000000" w:rsidRDefault="001A570A">
            <w:pPr>
              <w:rPr>
                <w:rFonts w:eastAsia="Times New Roman"/>
                <w:sz w:val="20"/>
                <w:szCs w:val="20"/>
              </w:rPr>
            </w:pPr>
          </w:p>
        </w:tc>
        <w:tc>
          <w:tcPr>
            <w:tcW w:w="5" w:type="pct"/>
            <w:vAlign w:val="center"/>
            <w:hideMark/>
          </w:tcPr>
          <w:p w14:paraId="73BFEAD0" w14:textId="77777777" w:rsidR="00000000" w:rsidRDefault="001A570A">
            <w:pPr>
              <w:rPr>
                <w:rFonts w:eastAsia="Times New Roman"/>
                <w:sz w:val="20"/>
                <w:szCs w:val="20"/>
              </w:rPr>
            </w:pPr>
          </w:p>
        </w:tc>
        <w:tc>
          <w:tcPr>
            <w:tcW w:w="50" w:type="pct"/>
            <w:vAlign w:val="center"/>
            <w:hideMark/>
          </w:tcPr>
          <w:p w14:paraId="24A01E55" w14:textId="77777777" w:rsidR="00000000" w:rsidRDefault="001A570A">
            <w:pPr>
              <w:rPr>
                <w:rFonts w:eastAsia="Times New Roman"/>
                <w:sz w:val="20"/>
                <w:szCs w:val="20"/>
              </w:rPr>
            </w:pPr>
          </w:p>
        </w:tc>
        <w:tc>
          <w:tcPr>
            <w:tcW w:w="375" w:type="pct"/>
            <w:vAlign w:val="center"/>
            <w:hideMark/>
          </w:tcPr>
          <w:p w14:paraId="2DB86498" w14:textId="77777777" w:rsidR="00000000" w:rsidRDefault="001A570A">
            <w:pPr>
              <w:rPr>
                <w:rFonts w:eastAsia="Times New Roman"/>
                <w:sz w:val="20"/>
                <w:szCs w:val="20"/>
              </w:rPr>
            </w:pPr>
          </w:p>
        </w:tc>
        <w:tc>
          <w:tcPr>
            <w:tcW w:w="5" w:type="pct"/>
            <w:vAlign w:val="center"/>
            <w:hideMark/>
          </w:tcPr>
          <w:p w14:paraId="15F7DA29" w14:textId="77777777" w:rsidR="00000000" w:rsidRDefault="001A570A">
            <w:pPr>
              <w:rPr>
                <w:rFonts w:eastAsia="Times New Roman"/>
                <w:sz w:val="20"/>
                <w:szCs w:val="20"/>
              </w:rPr>
            </w:pPr>
          </w:p>
        </w:tc>
        <w:tc>
          <w:tcPr>
            <w:tcW w:w="5" w:type="pct"/>
            <w:vAlign w:val="center"/>
            <w:hideMark/>
          </w:tcPr>
          <w:p w14:paraId="6079208C" w14:textId="77777777" w:rsidR="00000000" w:rsidRDefault="001A570A">
            <w:pPr>
              <w:rPr>
                <w:rFonts w:eastAsia="Times New Roman"/>
                <w:sz w:val="20"/>
                <w:szCs w:val="20"/>
              </w:rPr>
            </w:pPr>
          </w:p>
        </w:tc>
        <w:tc>
          <w:tcPr>
            <w:tcW w:w="30" w:type="pct"/>
            <w:vAlign w:val="center"/>
            <w:hideMark/>
          </w:tcPr>
          <w:p w14:paraId="21E289E8" w14:textId="77777777" w:rsidR="00000000" w:rsidRDefault="001A570A">
            <w:pPr>
              <w:rPr>
                <w:rFonts w:eastAsia="Times New Roman"/>
                <w:sz w:val="20"/>
                <w:szCs w:val="20"/>
              </w:rPr>
            </w:pPr>
          </w:p>
        </w:tc>
        <w:tc>
          <w:tcPr>
            <w:tcW w:w="5" w:type="pct"/>
            <w:vAlign w:val="center"/>
            <w:hideMark/>
          </w:tcPr>
          <w:p w14:paraId="0AD1441B" w14:textId="77777777" w:rsidR="00000000" w:rsidRDefault="001A570A">
            <w:pPr>
              <w:rPr>
                <w:rFonts w:eastAsia="Times New Roman"/>
                <w:sz w:val="20"/>
                <w:szCs w:val="20"/>
              </w:rPr>
            </w:pPr>
          </w:p>
        </w:tc>
        <w:tc>
          <w:tcPr>
            <w:tcW w:w="50" w:type="pct"/>
            <w:vAlign w:val="center"/>
            <w:hideMark/>
          </w:tcPr>
          <w:p w14:paraId="192E637A" w14:textId="77777777" w:rsidR="00000000" w:rsidRDefault="001A570A">
            <w:pPr>
              <w:rPr>
                <w:rFonts w:eastAsia="Times New Roman"/>
                <w:sz w:val="20"/>
                <w:szCs w:val="20"/>
              </w:rPr>
            </w:pPr>
          </w:p>
        </w:tc>
        <w:tc>
          <w:tcPr>
            <w:tcW w:w="537" w:type="pct"/>
            <w:vAlign w:val="center"/>
            <w:hideMark/>
          </w:tcPr>
          <w:p w14:paraId="23AB047B" w14:textId="77777777" w:rsidR="00000000" w:rsidRDefault="001A570A">
            <w:pPr>
              <w:rPr>
                <w:rFonts w:eastAsia="Times New Roman"/>
                <w:sz w:val="20"/>
                <w:szCs w:val="20"/>
              </w:rPr>
            </w:pPr>
          </w:p>
        </w:tc>
        <w:tc>
          <w:tcPr>
            <w:tcW w:w="5" w:type="pct"/>
            <w:vAlign w:val="center"/>
            <w:hideMark/>
          </w:tcPr>
          <w:p w14:paraId="72D7AF42" w14:textId="77777777" w:rsidR="00000000" w:rsidRDefault="001A570A">
            <w:pPr>
              <w:rPr>
                <w:rFonts w:eastAsia="Times New Roman"/>
                <w:sz w:val="20"/>
                <w:szCs w:val="20"/>
              </w:rPr>
            </w:pPr>
          </w:p>
        </w:tc>
        <w:tc>
          <w:tcPr>
            <w:tcW w:w="5" w:type="pct"/>
            <w:vAlign w:val="center"/>
            <w:hideMark/>
          </w:tcPr>
          <w:p w14:paraId="576B693E" w14:textId="77777777" w:rsidR="00000000" w:rsidRDefault="001A570A">
            <w:pPr>
              <w:rPr>
                <w:rFonts w:eastAsia="Times New Roman"/>
                <w:sz w:val="20"/>
                <w:szCs w:val="20"/>
              </w:rPr>
            </w:pPr>
          </w:p>
        </w:tc>
        <w:tc>
          <w:tcPr>
            <w:tcW w:w="30" w:type="pct"/>
            <w:vAlign w:val="center"/>
            <w:hideMark/>
          </w:tcPr>
          <w:p w14:paraId="4EB14983" w14:textId="77777777" w:rsidR="00000000" w:rsidRDefault="001A570A">
            <w:pPr>
              <w:rPr>
                <w:rFonts w:eastAsia="Times New Roman"/>
                <w:sz w:val="20"/>
                <w:szCs w:val="20"/>
              </w:rPr>
            </w:pPr>
          </w:p>
        </w:tc>
        <w:tc>
          <w:tcPr>
            <w:tcW w:w="5" w:type="pct"/>
            <w:vAlign w:val="center"/>
            <w:hideMark/>
          </w:tcPr>
          <w:p w14:paraId="025E0634" w14:textId="77777777" w:rsidR="00000000" w:rsidRDefault="001A570A">
            <w:pPr>
              <w:rPr>
                <w:rFonts w:eastAsia="Times New Roman"/>
                <w:sz w:val="20"/>
                <w:szCs w:val="20"/>
              </w:rPr>
            </w:pPr>
          </w:p>
        </w:tc>
        <w:tc>
          <w:tcPr>
            <w:tcW w:w="50" w:type="pct"/>
            <w:vAlign w:val="center"/>
            <w:hideMark/>
          </w:tcPr>
          <w:p w14:paraId="6C20A3AC" w14:textId="77777777" w:rsidR="00000000" w:rsidRDefault="001A570A">
            <w:pPr>
              <w:rPr>
                <w:rFonts w:eastAsia="Times New Roman"/>
                <w:sz w:val="20"/>
                <w:szCs w:val="20"/>
              </w:rPr>
            </w:pPr>
          </w:p>
        </w:tc>
        <w:tc>
          <w:tcPr>
            <w:tcW w:w="375" w:type="pct"/>
            <w:vAlign w:val="center"/>
            <w:hideMark/>
          </w:tcPr>
          <w:p w14:paraId="3B33F2D3" w14:textId="77777777" w:rsidR="00000000" w:rsidRDefault="001A570A">
            <w:pPr>
              <w:rPr>
                <w:rFonts w:eastAsia="Times New Roman"/>
                <w:sz w:val="20"/>
                <w:szCs w:val="20"/>
              </w:rPr>
            </w:pPr>
          </w:p>
        </w:tc>
        <w:tc>
          <w:tcPr>
            <w:tcW w:w="5" w:type="pct"/>
            <w:vAlign w:val="center"/>
            <w:hideMark/>
          </w:tcPr>
          <w:p w14:paraId="52F76470" w14:textId="77777777" w:rsidR="00000000" w:rsidRDefault="001A570A">
            <w:pPr>
              <w:rPr>
                <w:rFonts w:eastAsia="Times New Roman"/>
                <w:sz w:val="20"/>
                <w:szCs w:val="20"/>
              </w:rPr>
            </w:pPr>
          </w:p>
        </w:tc>
      </w:tr>
      <w:tr w:rsidR="00000000" w14:paraId="5CDFDAD8" w14:textId="77777777">
        <w:trPr>
          <w:divId w:val="163135741"/>
        </w:trPr>
        <w:tc>
          <w:tcPr>
            <w:tcW w:w="0" w:type="auto"/>
            <w:gridSpan w:val="3"/>
            <w:tcMar>
              <w:top w:w="30" w:type="dxa"/>
              <w:left w:w="20" w:type="dxa"/>
              <w:bottom w:w="30" w:type="dxa"/>
              <w:right w:w="20" w:type="dxa"/>
            </w:tcMar>
            <w:vAlign w:val="bottom"/>
            <w:hideMark/>
          </w:tcPr>
          <w:p w14:paraId="42F0A8F6"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58EBD69"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70052907" w14:textId="77777777" w:rsidR="00000000" w:rsidRDefault="001A570A">
            <w:pPr>
              <w:jc w:val="center"/>
              <w:rPr>
                <w:rFonts w:eastAsia="Times New Roman"/>
              </w:rPr>
            </w:pPr>
          </w:p>
        </w:tc>
        <w:tc>
          <w:tcPr>
            <w:tcW w:w="0" w:type="auto"/>
            <w:gridSpan w:val="21"/>
            <w:tcMar>
              <w:top w:w="30" w:type="dxa"/>
              <w:left w:w="20" w:type="dxa"/>
              <w:bottom w:w="30" w:type="dxa"/>
              <w:right w:w="20" w:type="dxa"/>
            </w:tcMar>
            <w:vAlign w:val="bottom"/>
            <w:hideMark/>
          </w:tcPr>
          <w:p w14:paraId="1103E11D" w14:textId="77777777" w:rsidR="00000000" w:rsidRDefault="001A570A">
            <w:pPr>
              <w:jc w:val="center"/>
              <w:rPr>
                <w:rFonts w:eastAsia="Times New Roman"/>
              </w:rPr>
            </w:pPr>
            <w:r>
              <w:rPr>
                <w:rFonts w:eastAsia="Times New Roman"/>
                <w:b/>
                <w:bCs/>
                <w:color w:val="000000"/>
                <w:sz w:val="16"/>
                <w:szCs w:val="16"/>
              </w:rPr>
              <w:t>Four Quarters Ended</w:t>
            </w:r>
          </w:p>
        </w:tc>
      </w:tr>
      <w:tr w:rsidR="00000000" w14:paraId="5741034B" w14:textId="77777777">
        <w:trPr>
          <w:divId w:val="163135741"/>
        </w:trPr>
        <w:tc>
          <w:tcPr>
            <w:tcW w:w="0" w:type="auto"/>
            <w:gridSpan w:val="3"/>
            <w:tcMar>
              <w:top w:w="0" w:type="dxa"/>
              <w:left w:w="20" w:type="dxa"/>
              <w:bottom w:w="0" w:type="dxa"/>
              <w:right w:w="20" w:type="dxa"/>
            </w:tcMar>
            <w:vAlign w:val="center"/>
            <w:hideMark/>
          </w:tcPr>
          <w:p w14:paraId="12DB6AF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A40936" w14:textId="77777777" w:rsidR="00000000" w:rsidRDefault="001A570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5E0210E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4FD8F9"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6243748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D9BE4C"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14:paraId="4C665B5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CB5B33"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D765C4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BF5587"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1FDA98F4" w14:textId="77777777">
        <w:trPr>
          <w:divId w:val="163135741"/>
        </w:trPr>
        <w:tc>
          <w:tcPr>
            <w:tcW w:w="0" w:type="auto"/>
            <w:gridSpan w:val="3"/>
            <w:tcMar>
              <w:top w:w="30" w:type="dxa"/>
              <w:left w:w="20" w:type="dxa"/>
              <w:bottom w:w="30" w:type="dxa"/>
              <w:right w:w="20" w:type="dxa"/>
            </w:tcMar>
            <w:vAlign w:val="bottom"/>
            <w:hideMark/>
          </w:tcPr>
          <w:p w14:paraId="7428399F"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46377FBF"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5A2CAD4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019141"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7A2E577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EDF070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D1DE021"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E2C0F21"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2B4D4739"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EB20E47" w14:textId="77777777" w:rsidR="00000000" w:rsidRDefault="001A570A">
            <w:pPr>
              <w:rPr>
                <w:rFonts w:eastAsia="Times New Roman"/>
                <w:sz w:val="20"/>
                <w:szCs w:val="20"/>
              </w:rPr>
            </w:pPr>
          </w:p>
        </w:tc>
      </w:tr>
      <w:tr w:rsidR="00000000" w14:paraId="7A713112" w14:textId="77777777">
        <w:trPr>
          <w:divId w:val="163135741"/>
          <w:trHeight w:val="60"/>
        </w:trPr>
        <w:tc>
          <w:tcPr>
            <w:tcW w:w="0" w:type="auto"/>
            <w:gridSpan w:val="3"/>
            <w:tcMar>
              <w:top w:w="0" w:type="dxa"/>
              <w:left w:w="20" w:type="dxa"/>
              <w:bottom w:w="0" w:type="dxa"/>
              <w:right w:w="20" w:type="dxa"/>
            </w:tcMar>
            <w:vAlign w:val="center"/>
            <w:hideMark/>
          </w:tcPr>
          <w:p w14:paraId="202A965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D66F4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978EC2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08BF2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D9A285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E0A5E0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EC63D3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2808F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8EC50A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CE00D76" w14:textId="77777777" w:rsidR="00000000" w:rsidRDefault="001A570A">
            <w:pPr>
              <w:rPr>
                <w:rFonts w:eastAsia="Times New Roman"/>
                <w:sz w:val="20"/>
                <w:szCs w:val="20"/>
              </w:rPr>
            </w:pPr>
          </w:p>
        </w:tc>
      </w:tr>
      <w:tr w:rsidR="00000000" w14:paraId="0F6E6B5B" w14:textId="77777777">
        <w:trPr>
          <w:divId w:val="163135741"/>
        </w:trPr>
        <w:tc>
          <w:tcPr>
            <w:tcW w:w="0" w:type="auto"/>
            <w:gridSpan w:val="3"/>
            <w:shd w:val="clear" w:color="auto" w:fill="CCEEFF"/>
            <w:tcMar>
              <w:top w:w="30" w:type="dxa"/>
              <w:left w:w="20" w:type="dxa"/>
              <w:bottom w:w="30" w:type="dxa"/>
              <w:right w:w="20" w:type="dxa"/>
            </w:tcMar>
            <w:hideMark/>
          </w:tcPr>
          <w:p w14:paraId="63746B22"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043EF14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BA5F1E" w14:textId="77777777" w:rsidR="00000000" w:rsidRDefault="001A570A">
            <w:pPr>
              <w:jc w:val="right"/>
              <w:rPr>
                <w:rFonts w:eastAsia="Times New Roman"/>
              </w:rPr>
            </w:pPr>
            <w:r>
              <w:rPr>
                <w:rFonts w:eastAsia="Times New Roman"/>
                <w:color w:val="000000"/>
                <w:sz w:val="20"/>
                <w:szCs w:val="20"/>
              </w:rPr>
              <w:t>5,538 </w:t>
            </w:r>
          </w:p>
        </w:tc>
        <w:tc>
          <w:tcPr>
            <w:tcW w:w="0" w:type="auto"/>
            <w:shd w:val="clear" w:color="auto" w:fill="CCEEFF"/>
            <w:tcMar>
              <w:top w:w="30" w:type="dxa"/>
              <w:left w:w="0" w:type="dxa"/>
              <w:bottom w:w="30" w:type="dxa"/>
              <w:right w:w="20" w:type="dxa"/>
            </w:tcMar>
            <w:vAlign w:val="bottom"/>
            <w:hideMark/>
          </w:tcPr>
          <w:p w14:paraId="71E0028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EB06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52C09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B2C117" w14:textId="77777777" w:rsidR="00000000" w:rsidRDefault="001A570A">
            <w:pPr>
              <w:jc w:val="right"/>
              <w:rPr>
                <w:rFonts w:eastAsia="Times New Roman"/>
              </w:rPr>
            </w:pPr>
            <w:r>
              <w:rPr>
                <w:rFonts w:eastAsia="Times New Roman"/>
                <w:color w:val="000000"/>
                <w:sz w:val="20"/>
                <w:szCs w:val="20"/>
              </w:rPr>
              <w:t>2,783 </w:t>
            </w:r>
          </w:p>
        </w:tc>
        <w:tc>
          <w:tcPr>
            <w:tcW w:w="0" w:type="auto"/>
            <w:shd w:val="clear" w:color="auto" w:fill="CCEEFF"/>
            <w:tcMar>
              <w:top w:w="30" w:type="dxa"/>
              <w:left w:w="0" w:type="dxa"/>
              <w:bottom w:w="30" w:type="dxa"/>
              <w:right w:w="20" w:type="dxa"/>
            </w:tcMar>
            <w:vAlign w:val="bottom"/>
            <w:hideMark/>
          </w:tcPr>
          <w:p w14:paraId="12A6423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7B817"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D6DF7FC"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CF7024" w14:textId="77777777" w:rsidR="00000000" w:rsidRDefault="001A570A">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70DD6A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F028F1" w14:textId="77777777" w:rsidR="00000000" w:rsidRDefault="001A570A">
            <w:pPr>
              <w:jc w:val="right"/>
              <w:rPr>
                <w:rFonts w:eastAsia="Times New Roman"/>
              </w:rPr>
            </w:pPr>
            <w:r>
              <w:rPr>
                <w:rFonts w:eastAsia="Times New Roman"/>
                <w:color w:val="000000"/>
                <w:sz w:val="20"/>
                <w:szCs w:val="20"/>
              </w:rPr>
              <w:t>5,360 </w:t>
            </w:r>
          </w:p>
        </w:tc>
        <w:tc>
          <w:tcPr>
            <w:tcW w:w="0" w:type="auto"/>
            <w:shd w:val="clear" w:color="auto" w:fill="CCEEFF"/>
            <w:tcMar>
              <w:top w:w="30" w:type="dxa"/>
              <w:left w:w="0" w:type="dxa"/>
              <w:bottom w:w="30" w:type="dxa"/>
              <w:right w:w="20" w:type="dxa"/>
            </w:tcMar>
            <w:vAlign w:val="bottom"/>
            <w:hideMark/>
          </w:tcPr>
          <w:p w14:paraId="305F9D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5FC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735DF"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3C4A74C5" w14:textId="77777777" w:rsidR="00000000" w:rsidRDefault="001A570A">
            <w:pPr>
              <w:rPr>
                <w:rFonts w:eastAsia="Times New Roman"/>
              </w:rPr>
            </w:pPr>
            <w:r>
              <w:rPr>
                <w:rFonts w:eastAsia="Times New Roman"/>
                <w:color w:val="000000"/>
                <w:sz w:val="20"/>
                <w:szCs w:val="20"/>
              </w:rPr>
              <w:t>%</w:t>
            </w:r>
          </w:p>
        </w:tc>
      </w:tr>
      <w:tr w:rsidR="00000000" w14:paraId="1989ACCD" w14:textId="77777777">
        <w:trPr>
          <w:divId w:val="163135741"/>
        </w:trPr>
        <w:tc>
          <w:tcPr>
            <w:tcW w:w="0" w:type="auto"/>
            <w:gridSpan w:val="3"/>
            <w:shd w:val="clear" w:color="auto" w:fill="FFFFFF"/>
            <w:tcMar>
              <w:top w:w="30" w:type="dxa"/>
              <w:left w:w="20" w:type="dxa"/>
              <w:bottom w:w="30" w:type="dxa"/>
              <w:right w:w="20" w:type="dxa"/>
            </w:tcMar>
            <w:hideMark/>
          </w:tcPr>
          <w:p w14:paraId="1A1947F8"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56EABAA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067B8C" w14:textId="77777777" w:rsidR="00000000" w:rsidRDefault="001A570A">
            <w:pPr>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14:paraId="41BE61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2175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656BD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E6389E" w14:textId="77777777" w:rsidR="00000000" w:rsidRDefault="001A570A">
            <w:pPr>
              <w:jc w:val="right"/>
              <w:rPr>
                <w:rFonts w:eastAsia="Times New Roman"/>
              </w:rPr>
            </w:pPr>
            <w:r>
              <w:rPr>
                <w:rFonts w:eastAsia="Times New Roman"/>
                <w:color w:val="000000"/>
                <w:sz w:val="20"/>
                <w:szCs w:val="20"/>
              </w:rPr>
              <w:t>377 </w:t>
            </w:r>
          </w:p>
        </w:tc>
        <w:tc>
          <w:tcPr>
            <w:tcW w:w="0" w:type="auto"/>
            <w:shd w:val="clear" w:color="auto" w:fill="FFFFFF"/>
            <w:tcMar>
              <w:top w:w="30" w:type="dxa"/>
              <w:left w:w="0" w:type="dxa"/>
              <w:bottom w:w="30" w:type="dxa"/>
              <w:right w:w="20" w:type="dxa"/>
            </w:tcMar>
            <w:vAlign w:val="bottom"/>
            <w:hideMark/>
          </w:tcPr>
          <w:p w14:paraId="1C1703B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6DA00"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E160D4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F07A652" w14:textId="77777777" w:rsidR="00000000" w:rsidRDefault="001A570A">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3846F9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BA62A7" w14:textId="77777777" w:rsidR="00000000" w:rsidRDefault="001A570A">
            <w:pPr>
              <w:jc w:val="right"/>
              <w:rPr>
                <w:rFonts w:eastAsia="Times New Roman"/>
              </w:rPr>
            </w:pPr>
            <w:r>
              <w:rPr>
                <w:rFonts w:eastAsia="Times New Roman"/>
                <w:color w:val="000000"/>
                <w:sz w:val="20"/>
                <w:szCs w:val="20"/>
              </w:rPr>
              <w:t>698 </w:t>
            </w:r>
          </w:p>
        </w:tc>
        <w:tc>
          <w:tcPr>
            <w:tcW w:w="0" w:type="auto"/>
            <w:shd w:val="clear" w:color="auto" w:fill="FFFFFF"/>
            <w:tcMar>
              <w:top w:w="30" w:type="dxa"/>
              <w:left w:w="0" w:type="dxa"/>
              <w:bottom w:w="30" w:type="dxa"/>
              <w:right w:w="20" w:type="dxa"/>
            </w:tcMar>
            <w:vAlign w:val="bottom"/>
            <w:hideMark/>
          </w:tcPr>
          <w:p w14:paraId="4B67763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FC64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6232D"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7C105494" w14:textId="77777777" w:rsidR="00000000" w:rsidRDefault="001A570A">
            <w:pPr>
              <w:rPr>
                <w:rFonts w:eastAsia="Times New Roman"/>
              </w:rPr>
            </w:pPr>
            <w:r>
              <w:rPr>
                <w:rFonts w:eastAsia="Times New Roman"/>
                <w:color w:val="000000"/>
                <w:sz w:val="20"/>
                <w:szCs w:val="20"/>
              </w:rPr>
              <w:t>%</w:t>
            </w:r>
          </w:p>
        </w:tc>
      </w:tr>
      <w:tr w:rsidR="00000000" w14:paraId="32D476D6" w14:textId="77777777">
        <w:trPr>
          <w:divId w:val="163135741"/>
        </w:trPr>
        <w:tc>
          <w:tcPr>
            <w:tcW w:w="0" w:type="auto"/>
            <w:gridSpan w:val="3"/>
            <w:shd w:val="clear" w:color="auto" w:fill="CCEEFF"/>
            <w:tcMar>
              <w:top w:w="30" w:type="dxa"/>
              <w:left w:w="245" w:type="dxa"/>
              <w:bottom w:w="30" w:type="dxa"/>
              <w:right w:w="20" w:type="dxa"/>
            </w:tcMar>
            <w:hideMark/>
          </w:tcPr>
          <w:p w14:paraId="51B6F1D7"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726895E0" w14:textId="77777777" w:rsidR="00000000" w:rsidRDefault="001A570A">
            <w:pPr>
              <w:jc w:val="right"/>
              <w:rPr>
                <w:rFonts w:eastAsia="Times New Roman"/>
              </w:rPr>
            </w:pPr>
            <w:r>
              <w:rPr>
                <w:rFonts w:eastAsia="Times New Roman"/>
                <w:i/>
                <w:iCs/>
                <w:color w:val="000000"/>
                <w:sz w:val="20"/>
                <w:szCs w:val="20"/>
              </w:rPr>
              <w:t>15 </w:t>
            </w:r>
          </w:p>
        </w:tc>
        <w:tc>
          <w:tcPr>
            <w:tcW w:w="0" w:type="auto"/>
            <w:shd w:val="clear" w:color="auto" w:fill="CCEEFF"/>
            <w:tcMar>
              <w:top w:w="30" w:type="dxa"/>
              <w:left w:w="0" w:type="dxa"/>
              <w:bottom w:w="30" w:type="dxa"/>
              <w:right w:w="20" w:type="dxa"/>
            </w:tcMar>
            <w:vAlign w:val="bottom"/>
            <w:hideMark/>
          </w:tcPr>
          <w:p w14:paraId="314AAB3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97F630"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CC5DAA" w14:textId="77777777" w:rsidR="00000000" w:rsidRDefault="001A570A">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14:paraId="73320E82"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263839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B32B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952C37"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CDE106" w14:textId="77777777" w:rsidR="00000000" w:rsidRDefault="001A570A">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14:paraId="743E48A4"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75B4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9454E" w14:textId="77777777" w:rsidR="00000000" w:rsidRDefault="001A570A">
            <w:pPr>
              <w:rPr>
                <w:rFonts w:eastAsia="Times New Roman"/>
                <w:sz w:val="20"/>
                <w:szCs w:val="20"/>
              </w:rPr>
            </w:pPr>
          </w:p>
        </w:tc>
      </w:tr>
    </w:tbl>
    <w:p w14:paraId="1BDFBDBF" w14:textId="77777777" w:rsidR="00000000" w:rsidRDefault="001A570A">
      <w:pPr>
        <w:ind w:firstLine="450"/>
        <w:divId w:val="1027635084"/>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2827"/>
        <w:gridCol w:w="39"/>
        <w:gridCol w:w="120"/>
        <w:gridCol w:w="579"/>
        <w:gridCol w:w="187"/>
        <w:gridCol w:w="36"/>
        <w:gridCol w:w="36"/>
        <w:gridCol w:w="36"/>
        <w:gridCol w:w="121"/>
        <w:gridCol w:w="657"/>
        <w:gridCol w:w="187"/>
        <w:gridCol w:w="37"/>
        <w:gridCol w:w="130"/>
        <w:gridCol w:w="36"/>
        <w:gridCol w:w="89"/>
        <w:gridCol w:w="574"/>
        <w:gridCol w:w="36"/>
        <w:gridCol w:w="36"/>
        <w:gridCol w:w="36"/>
        <w:gridCol w:w="36"/>
        <w:gridCol w:w="120"/>
        <w:gridCol w:w="250"/>
        <w:gridCol w:w="187"/>
        <w:gridCol w:w="36"/>
        <w:gridCol w:w="36"/>
        <w:gridCol w:w="36"/>
        <w:gridCol w:w="120"/>
        <w:gridCol w:w="409"/>
        <w:gridCol w:w="187"/>
        <w:gridCol w:w="36"/>
        <w:gridCol w:w="36"/>
        <w:gridCol w:w="36"/>
        <w:gridCol w:w="88"/>
        <w:gridCol w:w="575"/>
        <w:gridCol w:w="254"/>
      </w:tblGrid>
      <w:tr w:rsidR="00000000" w14:paraId="2B9DEE79" w14:textId="77777777">
        <w:trPr>
          <w:divId w:val="692193459"/>
        </w:trPr>
        <w:tc>
          <w:tcPr>
            <w:tcW w:w="50" w:type="pct"/>
            <w:vAlign w:val="center"/>
            <w:hideMark/>
          </w:tcPr>
          <w:p w14:paraId="717F163C" w14:textId="77777777" w:rsidR="00000000" w:rsidRDefault="001A570A">
            <w:pPr>
              <w:ind w:firstLine="450"/>
              <w:rPr>
                <w:rFonts w:eastAsia="Times New Roman"/>
              </w:rPr>
            </w:pPr>
          </w:p>
        </w:tc>
        <w:tc>
          <w:tcPr>
            <w:tcW w:w="1897" w:type="pct"/>
            <w:vAlign w:val="center"/>
            <w:hideMark/>
          </w:tcPr>
          <w:p w14:paraId="3384F16F" w14:textId="77777777" w:rsidR="00000000" w:rsidRDefault="001A570A">
            <w:pPr>
              <w:rPr>
                <w:rFonts w:eastAsia="Times New Roman"/>
                <w:sz w:val="20"/>
                <w:szCs w:val="20"/>
              </w:rPr>
            </w:pPr>
          </w:p>
        </w:tc>
        <w:tc>
          <w:tcPr>
            <w:tcW w:w="5" w:type="pct"/>
            <w:vAlign w:val="center"/>
            <w:hideMark/>
          </w:tcPr>
          <w:p w14:paraId="0E2F100F" w14:textId="77777777" w:rsidR="00000000" w:rsidRDefault="001A570A">
            <w:pPr>
              <w:rPr>
                <w:rFonts w:eastAsia="Times New Roman"/>
                <w:sz w:val="20"/>
                <w:szCs w:val="20"/>
              </w:rPr>
            </w:pPr>
          </w:p>
        </w:tc>
        <w:tc>
          <w:tcPr>
            <w:tcW w:w="50" w:type="pct"/>
            <w:vAlign w:val="center"/>
            <w:hideMark/>
          </w:tcPr>
          <w:p w14:paraId="3E87D608" w14:textId="77777777" w:rsidR="00000000" w:rsidRDefault="001A570A">
            <w:pPr>
              <w:rPr>
                <w:rFonts w:eastAsia="Times New Roman"/>
                <w:sz w:val="20"/>
                <w:szCs w:val="20"/>
              </w:rPr>
            </w:pPr>
          </w:p>
        </w:tc>
        <w:tc>
          <w:tcPr>
            <w:tcW w:w="470" w:type="pct"/>
            <w:vAlign w:val="center"/>
            <w:hideMark/>
          </w:tcPr>
          <w:p w14:paraId="7C2ACECA" w14:textId="77777777" w:rsidR="00000000" w:rsidRDefault="001A570A">
            <w:pPr>
              <w:rPr>
                <w:rFonts w:eastAsia="Times New Roman"/>
                <w:sz w:val="20"/>
                <w:szCs w:val="20"/>
              </w:rPr>
            </w:pPr>
          </w:p>
        </w:tc>
        <w:tc>
          <w:tcPr>
            <w:tcW w:w="5" w:type="pct"/>
            <w:vAlign w:val="center"/>
            <w:hideMark/>
          </w:tcPr>
          <w:p w14:paraId="114C0C14" w14:textId="77777777" w:rsidR="00000000" w:rsidRDefault="001A570A">
            <w:pPr>
              <w:rPr>
                <w:rFonts w:eastAsia="Times New Roman"/>
                <w:sz w:val="20"/>
                <w:szCs w:val="20"/>
              </w:rPr>
            </w:pPr>
          </w:p>
        </w:tc>
        <w:tc>
          <w:tcPr>
            <w:tcW w:w="5" w:type="pct"/>
            <w:vAlign w:val="center"/>
            <w:hideMark/>
          </w:tcPr>
          <w:p w14:paraId="2D7815F0" w14:textId="77777777" w:rsidR="00000000" w:rsidRDefault="001A570A">
            <w:pPr>
              <w:rPr>
                <w:rFonts w:eastAsia="Times New Roman"/>
                <w:sz w:val="20"/>
                <w:szCs w:val="20"/>
              </w:rPr>
            </w:pPr>
          </w:p>
        </w:tc>
        <w:tc>
          <w:tcPr>
            <w:tcW w:w="26" w:type="pct"/>
            <w:vAlign w:val="center"/>
            <w:hideMark/>
          </w:tcPr>
          <w:p w14:paraId="72EE5447" w14:textId="77777777" w:rsidR="00000000" w:rsidRDefault="001A570A">
            <w:pPr>
              <w:rPr>
                <w:rFonts w:eastAsia="Times New Roman"/>
                <w:sz w:val="20"/>
                <w:szCs w:val="20"/>
              </w:rPr>
            </w:pPr>
          </w:p>
        </w:tc>
        <w:tc>
          <w:tcPr>
            <w:tcW w:w="5" w:type="pct"/>
            <w:vAlign w:val="center"/>
            <w:hideMark/>
          </w:tcPr>
          <w:p w14:paraId="3C241B8F" w14:textId="77777777" w:rsidR="00000000" w:rsidRDefault="001A570A">
            <w:pPr>
              <w:rPr>
                <w:rFonts w:eastAsia="Times New Roman"/>
                <w:sz w:val="20"/>
                <w:szCs w:val="20"/>
              </w:rPr>
            </w:pPr>
          </w:p>
        </w:tc>
        <w:tc>
          <w:tcPr>
            <w:tcW w:w="50" w:type="pct"/>
            <w:vAlign w:val="center"/>
            <w:hideMark/>
          </w:tcPr>
          <w:p w14:paraId="504208DA" w14:textId="77777777" w:rsidR="00000000" w:rsidRDefault="001A570A">
            <w:pPr>
              <w:rPr>
                <w:rFonts w:eastAsia="Times New Roman"/>
                <w:sz w:val="20"/>
                <w:szCs w:val="20"/>
              </w:rPr>
            </w:pPr>
          </w:p>
        </w:tc>
        <w:tc>
          <w:tcPr>
            <w:tcW w:w="470" w:type="pct"/>
            <w:vAlign w:val="center"/>
            <w:hideMark/>
          </w:tcPr>
          <w:p w14:paraId="105A6D1D" w14:textId="77777777" w:rsidR="00000000" w:rsidRDefault="001A570A">
            <w:pPr>
              <w:rPr>
                <w:rFonts w:eastAsia="Times New Roman"/>
                <w:sz w:val="20"/>
                <w:szCs w:val="20"/>
              </w:rPr>
            </w:pPr>
          </w:p>
        </w:tc>
        <w:tc>
          <w:tcPr>
            <w:tcW w:w="5" w:type="pct"/>
            <w:vAlign w:val="center"/>
            <w:hideMark/>
          </w:tcPr>
          <w:p w14:paraId="7818A3CF" w14:textId="77777777" w:rsidR="00000000" w:rsidRDefault="001A570A">
            <w:pPr>
              <w:rPr>
                <w:rFonts w:eastAsia="Times New Roman"/>
                <w:sz w:val="20"/>
                <w:szCs w:val="20"/>
              </w:rPr>
            </w:pPr>
          </w:p>
        </w:tc>
        <w:tc>
          <w:tcPr>
            <w:tcW w:w="5" w:type="pct"/>
            <w:vAlign w:val="center"/>
            <w:hideMark/>
          </w:tcPr>
          <w:p w14:paraId="645137D4" w14:textId="77777777" w:rsidR="00000000" w:rsidRDefault="001A570A">
            <w:pPr>
              <w:rPr>
                <w:rFonts w:eastAsia="Times New Roman"/>
                <w:sz w:val="20"/>
                <w:szCs w:val="20"/>
              </w:rPr>
            </w:pPr>
          </w:p>
        </w:tc>
        <w:tc>
          <w:tcPr>
            <w:tcW w:w="26" w:type="pct"/>
            <w:vAlign w:val="center"/>
            <w:hideMark/>
          </w:tcPr>
          <w:p w14:paraId="1AD7B522" w14:textId="77777777" w:rsidR="00000000" w:rsidRDefault="001A570A">
            <w:pPr>
              <w:rPr>
                <w:rFonts w:eastAsia="Times New Roman"/>
                <w:sz w:val="20"/>
                <w:szCs w:val="20"/>
              </w:rPr>
            </w:pPr>
          </w:p>
        </w:tc>
        <w:tc>
          <w:tcPr>
            <w:tcW w:w="5" w:type="pct"/>
            <w:vAlign w:val="center"/>
            <w:hideMark/>
          </w:tcPr>
          <w:p w14:paraId="604C8927" w14:textId="77777777" w:rsidR="00000000" w:rsidRDefault="001A570A">
            <w:pPr>
              <w:rPr>
                <w:rFonts w:eastAsia="Times New Roman"/>
                <w:sz w:val="20"/>
                <w:szCs w:val="20"/>
              </w:rPr>
            </w:pPr>
          </w:p>
        </w:tc>
        <w:tc>
          <w:tcPr>
            <w:tcW w:w="50" w:type="pct"/>
            <w:vAlign w:val="center"/>
            <w:hideMark/>
          </w:tcPr>
          <w:p w14:paraId="73369906" w14:textId="77777777" w:rsidR="00000000" w:rsidRDefault="001A570A">
            <w:pPr>
              <w:rPr>
                <w:rFonts w:eastAsia="Times New Roman"/>
                <w:sz w:val="20"/>
                <w:szCs w:val="20"/>
              </w:rPr>
            </w:pPr>
          </w:p>
        </w:tc>
        <w:tc>
          <w:tcPr>
            <w:tcW w:w="326" w:type="pct"/>
            <w:vAlign w:val="center"/>
            <w:hideMark/>
          </w:tcPr>
          <w:p w14:paraId="10995EB0" w14:textId="77777777" w:rsidR="00000000" w:rsidRDefault="001A570A">
            <w:pPr>
              <w:rPr>
                <w:rFonts w:eastAsia="Times New Roman"/>
                <w:sz w:val="20"/>
                <w:szCs w:val="20"/>
              </w:rPr>
            </w:pPr>
          </w:p>
        </w:tc>
        <w:tc>
          <w:tcPr>
            <w:tcW w:w="5" w:type="pct"/>
            <w:vAlign w:val="center"/>
            <w:hideMark/>
          </w:tcPr>
          <w:p w14:paraId="66D241CE" w14:textId="77777777" w:rsidR="00000000" w:rsidRDefault="001A570A">
            <w:pPr>
              <w:rPr>
                <w:rFonts w:eastAsia="Times New Roman"/>
                <w:sz w:val="20"/>
                <w:szCs w:val="20"/>
              </w:rPr>
            </w:pPr>
          </w:p>
        </w:tc>
        <w:tc>
          <w:tcPr>
            <w:tcW w:w="5" w:type="pct"/>
            <w:vAlign w:val="center"/>
            <w:hideMark/>
          </w:tcPr>
          <w:p w14:paraId="2B335AB2" w14:textId="77777777" w:rsidR="00000000" w:rsidRDefault="001A570A">
            <w:pPr>
              <w:rPr>
                <w:rFonts w:eastAsia="Times New Roman"/>
                <w:sz w:val="20"/>
                <w:szCs w:val="20"/>
              </w:rPr>
            </w:pPr>
          </w:p>
        </w:tc>
        <w:tc>
          <w:tcPr>
            <w:tcW w:w="26" w:type="pct"/>
            <w:vAlign w:val="center"/>
            <w:hideMark/>
          </w:tcPr>
          <w:p w14:paraId="6C2B36DA" w14:textId="77777777" w:rsidR="00000000" w:rsidRDefault="001A570A">
            <w:pPr>
              <w:rPr>
                <w:rFonts w:eastAsia="Times New Roman"/>
                <w:sz w:val="20"/>
                <w:szCs w:val="20"/>
              </w:rPr>
            </w:pPr>
          </w:p>
        </w:tc>
        <w:tc>
          <w:tcPr>
            <w:tcW w:w="5" w:type="pct"/>
            <w:vAlign w:val="center"/>
            <w:hideMark/>
          </w:tcPr>
          <w:p w14:paraId="50E44161" w14:textId="77777777" w:rsidR="00000000" w:rsidRDefault="001A570A">
            <w:pPr>
              <w:rPr>
                <w:rFonts w:eastAsia="Times New Roman"/>
                <w:sz w:val="20"/>
                <w:szCs w:val="20"/>
              </w:rPr>
            </w:pPr>
          </w:p>
        </w:tc>
        <w:tc>
          <w:tcPr>
            <w:tcW w:w="50" w:type="pct"/>
            <w:vAlign w:val="center"/>
            <w:hideMark/>
          </w:tcPr>
          <w:p w14:paraId="5FAD0D90" w14:textId="77777777" w:rsidR="00000000" w:rsidRDefault="001A570A">
            <w:pPr>
              <w:rPr>
                <w:rFonts w:eastAsia="Times New Roman"/>
                <w:sz w:val="20"/>
                <w:szCs w:val="20"/>
              </w:rPr>
            </w:pPr>
          </w:p>
        </w:tc>
        <w:tc>
          <w:tcPr>
            <w:tcW w:w="470" w:type="pct"/>
            <w:vAlign w:val="center"/>
            <w:hideMark/>
          </w:tcPr>
          <w:p w14:paraId="0CEE39AA" w14:textId="77777777" w:rsidR="00000000" w:rsidRDefault="001A570A">
            <w:pPr>
              <w:rPr>
                <w:rFonts w:eastAsia="Times New Roman"/>
                <w:sz w:val="20"/>
                <w:szCs w:val="20"/>
              </w:rPr>
            </w:pPr>
          </w:p>
        </w:tc>
        <w:tc>
          <w:tcPr>
            <w:tcW w:w="5" w:type="pct"/>
            <w:vAlign w:val="center"/>
            <w:hideMark/>
          </w:tcPr>
          <w:p w14:paraId="2A26D4E6" w14:textId="77777777" w:rsidR="00000000" w:rsidRDefault="001A570A">
            <w:pPr>
              <w:rPr>
                <w:rFonts w:eastAsia="Times New Roman"/>
                <w:sz w:val="20"/>
                <w:szCs w:val="20"/>
              </w:rPr>
            </w:pPr>
          </w:p>
        </w:tc>
        <w:tc>
          <w:tcPr>
            <w:tcW w:w="5" w:type="pct"/>
            <w:vAlign w:val="center"/>
            <w:hideMark/>
          </w:tcPr>
          <w:p w14:paraId="2EC2407D" w14:textId="77777777" w:rsidR="00000000" w:rsidRDefault="001A570A">
            <w:pPr>
              <w:rPr>
                <w:rFonts w:eastAsia="Times New Roman"/>
                <w:sz w:val="20"/>
                <w:szCs w:val="20"/>
              </w:rPr>
            </w:pPr>
          </w:p>
        </w:tc>
        <w:tc>
          <w:tcPr>
            <w:tcW w:w="26" w:type="pct"/>
            <w:vAlign w:val="center"/>
            <w:hideMark/>
          </w:tcPr>
          <w:p w14:paraId="6D30D971" w14:textId="77777777" w:rsidR="00000000" w:rsidRDefault="001A570A">
            <w:pPr>
              <w:rPr>
                <w:rFonts w:eastAsia="Times New Roman"/>
                <w:sz w:val="20"/>
                <w:szCs w:val="20"/>
              </w:rPr>
            </w:pPr>
          </w:p>
        </w:tc>
        <w:tc>
          <w:tcPr>
            <w:tcW w:w="5" w:type="pct"/>
            <w:vAlign w:val="center"/>
            <w:hideMark/>
          </w:tcPr>
          <w:p w14:paraId="0612C2AF" w14:textId="77777777" w:rsidR="00000000" w:rsidRDefault="001A570A">
            <w:pPr>
              <w:rPr>
                <w:rFonts w:eastAsia="Times New Roman"/>
                <w:sz w:val="20"/>
                <w:szCs w:val="20"/>
              </w:rPr>
            </w:pPr>
          </w:p>
        </w:tc>
        <w:tc>
          <w:tcPr>
            <w:tcW w:w="50" w:type="pct"/>
            <w:vAlign w:val="center"/>
            <w:hideMark/>
          </w:tcPr>
          <w:p w14:paraId="18C36627" w14:textId="77777777" w:rsidR="00000000" w:rsidRDefault="001A570A">
            <w:pPr>
              <w:rPr>
                <w:rFonts w:eastAsia="Times New Roman"/>
                <w:sz w:val="20"/>
                <w:szCs w:val="20"/>
              </w:rPr>
            </w:pPr>
          </w:p>
        </w:tc>
        <w:tc>
          <w:tcPr>
            <w:tcW w:w="470" w:type="pct"/>
            <w:vAlign w:val="center"/>
            <w:hideMark/>
          </w:tcPr>
          <w:p w14:paraId="1B32B0F3" w14:textId="77777777" w:rsidR="00000000" w:rsidRDefault="001A570A">
            <w:pPr>
              <w:rPr>
                <w:rFonts w:eastAsia="Times New Roman"/>
                <w:sz w:val="20"/>
                <w:szCs w:val="20"/>
              </w:rPr>
            </w:pPr>
          </w:p>
        </w:tc>
        <w:tc>
          <w:tcPr>
            <w:tcW w:w="5" w:type="pct"/>
            <w:vAlign w:val="center"/>
            <w:hideMark/>
          </w:tcPr>
          <w:p w14:paraId="02BB1866" w14:textId="77777777" w:rsidR="00000000" w:rsidRDefault="001A570A">
            <w:pPr>
              <w:rPr>
                <w:rFonts w:eastAsia="Times New Roman"/>
                <w:sz w:val="20"/>
                <w:szCs w:val="20"/>
              </w:rPr>
            </w:pPr>
          </w:p>
        </w:tc>
        <w:tc>
          <w:tcPr>
            <w:tcW w:w="5" w:type="pct"/>
            <w:vAlign w:val="center"/>
            <w:hideMark/>
          </w:tcPr>
          <w:p w14:paraId="5EA3A46B" w14:textId="77777777" w:rsidR="00000000" w:rsidRDefault="001A570A">
            <w:pPr>
              <w:rPr>
                <w:rFonts w:eastAsia="Times New Roman"/>
                <w:sz w:val="20"/>
                <w:szCs w:val="20"/>
              </w:rPr>
            </w:pPr>
          </w:p>
        </w:tc>
        <w:tc>
          <w:tcPr>
            <w:tcW w:w="26" w:type="pct"/>
            <w:vAlign w:val="center"/>
            <w:hideMark/>
          </w:tcPr>
          <w:p w14:paraId="46E792E3" w14:textId="77777777" w:rsidR="00000000" w:rsidRDefault="001A570A">
            <w:pPr>
              <w:rPr>
                <w:rFonts w:eastAsia="Times New Roman"/>
                <w:sz w:val="20"/>
                <w:szCs w:val="20"/>
              </w:rPr>
            </w:pPr>
          </w:p>
        </w:tc>
        <w:tc>
          <w:tcPr>
            <w:tcW w:w="5" w:type="pct"/>
            <w:vAlign w:val="center"/>
            <w:hideMark/>
          </w:tcPr>
          <w:p w14:paraId="3CFADC2A" w14:textId="77777777" w:rsidR="00000000" w:rsidRDefault="001A570A">
            <w:pPr>
              <w:rPr>
                <w:rFonts w:eastAsia="Times New Roman"/>
                <w:sz w:val="20"/>
                <w:szCs w:val="20"/>
              </w:rPr>
            </w:pPr>
          </w:p>
        </w:tc>
        <w:tc>
          <w:tcPr>
            <w:tcW w:w="50" w:type="pct"/>
            <w:vAlign w:val="center"/>
            <w:hideMark/>
          </w:tcPr>
          <w:p w14:paraId="7EDD1EF4" w14:textId="77777777" w:rsidR="00000000" w:rsidRDefault="001A570A">
            <w:pPr>
              <w:rPr>
                <w:rFonts w:eastAsia="Times New Roman"/>
                <w:sz w:val="20"/>
                <w:szCs w:val="20"/>
              </w:rPr>
            </w:pPr>
          </w:p>
        </w:tc>
        <w:tc>
          <w:tcPr>
            <w:tcW w:w="327" w:type="pct"/>
            <w:vAlign w:val="center"/>
            <w:hideMark/>
          </w:tcPr>
          <w:p w14:paraId="03F985D5" w14:textId="77777777" w:rsidR="00000000" w:rsidRDefault="001A570A">
            <w:pPr>
              <w:rPr>
                <w:rFonts w:eastAsia="Times New Roman"/>
                <w:sz w:val="20"/>
                <w:szCs w:val="20"/>
              </w:rPr>
            </w:pPr>
          </w:p>
        </w:tc>
        <w:tc>
          <w:tcPr>
            <w:tcW w:w="5" w:type="pct"/>
            <w:vAlign w:val="center"/>
            <w:hideMark/>
          </w:tcPr>
          <w:p w14:paraId="168FF45A" w14:textId="77777777" w:rsidR="00000000" w:rsidRDefault="001A570A">
            <w:pPr>
              <w:rPr>
                <w:rFonts w:eastAsia="Times New Roman"/>
                <w:sz w:val="20"/>
                <w:szCs w:val="20"/>
              </w:rPr>
            </w:pPr>
          </w:p>
        </w:tc>
      </w:tr>
      <w:tr w:rsidR="00000000" w14:paraId="4C6A4DD8" w14:textId="77777777">
        <w:trPr>
          <w:divId w:val="692193459"/>
        </w:trPr>
        <w:tc>
          <w:tcPr>
            <w:tcW w:w="0" w:type="auto"/>
            <w:gridSpan w:val="3"/>
            <w:tcMar>
              <w:top w:w="0" w:type="dxa"/>
              <w:left w:w="20" w:type="dxa"/>
              <w:bottom w:w="0" w:type="dxa"/>
              <w:right w:w="20" w:type="dxa"/>
            </w:tcMar>
            <w:vAlign w:val="center"/>
            <w:hideMark/>
          </w:tcPr>
          <w:p w14:paraId="64D26043" w14:textId="77777777" w:rsidR="00000000" w:rsidRDefault="001A570A">
            <w:pPr>
              <w:rPr>
                <w:rFonts w:eastAsia="Times New Roman"/>
                <w:sz w:val="20"/>
                <w:szCs w:val="20"/>
              </w:rPr>
            </w:pPr>
          </w:p>
        </w:tc>
        <w:tc>
          <w:tcPr>
            <w:tcW w:w="0" w:type="auto"/>
            <w:gridSpan w:val="15"/>
            <w:tcMar>
              <w:top w:w="30" w:type="dxa"/>
              <w:left w:w="20" w:type="dxa"/>
              <w:bottom w:w="30" w:type="dxa"/>
              <w:right w:w="20" w:type="dxa"/>
            </w:tcMar>
            <w:vAlign w:val="bottom"/>
            <w:hideMark/>
          </w:tcPr>
          <w:p w14:paraId="75C3CF0A"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73EAB7A1"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0E938537"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3709EF1" w14:textId="77777777">
        <w:trPr>
          <w:divId w:val="692193459"/>
        </w:trPr>
        <w:tc>
          <w:tcPr>
            <w:tcW w:w="0" w:type="auto"/>
            <w:gridSpan w:val="3"/>
            <w:tcMar>
              <w:top w:w="0" w:type="dxa"/>
              <w:left w:w="20" w:type="dxa"/>
              <w:bottom w:w="0" w:type="dxa"/>
              <w:right w:w="20" w:type="dxa"/>
            </w:tcMar>
            <w:vAlign w:val="center"/>
            <w:hideMark/>
          </w:tcPr>
          <w:p w14:paraId="2539408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6CFB1F"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FEA8EB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71834E" w14:textId="77777777" w:rsidR="00000000" w:rsidRDefault="001A570A">
            <w:pPr>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2018</w:t>
            </w:r>
          </w:p>
        </w:tc>
        <w:tc>
          <w:tcPr>
            <w:tcW w:w="0" w:type="auto"/>
            <w:gridSpan w:val="3"/>
            <w:tcBorders>
              <w:top w:val="single" w:sz="8" w:space="0" w:color="000000"/>
            </w:tcBorders>
            <w:tcMar>
              <w:top w:w="0" w:type="dxa"/>
              <w:left w:w="20" w:type="dxa"/>
              <w:bottom w:w="0" w:type="dxa"/>
              <w:right w:w="20" w:type="dxa"/>
            </w:tcMar>
            <w:vAlign w:val="center"/>
            <w:hideMark/>
          </w:tcPr>
          <w:p w14:paraId="01C7211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4DAD26"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14:paraId="71F8685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C6D047"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23312084"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EB930EF" w14:textId="77777777" w:rsidR="00000000" w:rsidRDefault="001A570A">
            <w:pPr>
              <w:jc w:val="center"/>
              <w:rPr>
                <w:rFonts w:eastAsia="Times New Roman"/>
              </w:rPr>
            </w:pPr>
            <w:r>
              <w:rPr>
                <w:rFonts w:eastAsia="Times New Roman"/>
                <w:b/>
                <w:bCs/>
                <w:color w:val="000000"/>
                <w:sz w:val="16"/>
                <w:szCs w:val="16"/>
              </w:rPr>
              <w:t>June 29, 2018</w:t>
            </w:r>
          </w:p>
        </w:tc>
        <w:tc>
          <w:tcPr>
            <w:tcW w:w="0" w:type="auto"/>
            <w:gridSpan w:val="3"/>
            <w:tcBorders>
              <w:top w:val="single" w:sz="8" w:space="0" w:color="000000"/>
            </w:tcBorders>
            <w:tcMar>
              <w:top w:w="0" w:type="dxa"/>
              <w:left w:w="20" w:type="dxa"/>
              <w:bottom w:w="0" w:type="dxa"/>
              <w:right w:w="20" w:type="dxa"/>
            </w:tcMar>
            <w:vAlign w:val="center"/>
            <w:hideMark/>
          </w:tcPr>
          <w:p w14:paraId="1197178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6E02DC"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44BCF9E9" w14:textId="77777777">
        <w:trPr>
          <w:divId w:val="692193459"/>
        </w:trPr>
        <w:tc>
          <w:tcPr>
            <w:tcW w:w="0" w:type="auto"/>
            <w:gridSpan w:val="3"/>
            <w:tcMar>
              <w:top w:w="30" w:type="dxa"/>
              <w:left w:w="20" w:type="dxa"/>
              <w:bottom w:w="30" w:type="dxa"/>
              <w:right w:w="20" w:type="dxa"/>
            </w:tcMar>
            <w:vAlign w:val="bottom"/>
            <w:hideMark/>
          </w:tcPr>
          <w:p w14:paraId="228E687B"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4C4B03DC"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74DFEC3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758C90"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319E4BF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0D488B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48E7DE0" w14:textId="77777777" w:rsidR="00000000" w:rsidRDefault="001A570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97FAB3B"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71D8BA64"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27384DE" w14:textId="77777777" w:rsidR="00000000" w:rsidRDefault="001A570A">
            <w:pPr>
              <w:rPr>
                <w:rFonts w:eastAsia="Times New Roman"/>
                <w:sz w:val="20"/>
                <w:szCs w:val="20"/>
              </w:rPr>
            </w:pPr>
          </w:p>
        </w:tc>
      </w:tr>
      <w:tr w:rsidR="00000000" w14:paraId="00494B77" w14:textId="77777777">
        <w:trPr>
          <w:divId w:val="692193459"/>
          <w:trHeight w:val="60"/>
        </w:trPr>
        <w:tc>
          <w:tcPr>
            <w:tcW w:w="0" w:type="auto"/>
            <w:gridSpan w:val="3"/>
            <w:tcMar>
              <w:top w:w="0" w:type="dxa"/>
              <w:left w:w="20" w:type="dxa"/>
              <w:bottom w:w="0" w:type="dxa"/>
              <w:right w:w="20" w:type="dxa"/>
            </w:tcMar>
            <w:vAlign w:val="center"/>
            <w:hideMark/>
          </w:tcPr>
          <w:p w14:paraId="20CC418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F9ADE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3907D8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2CC0B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4EA256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5AA33C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D91B5E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FB6F5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EB97D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2D5CF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154303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5CBA36C" w14:textId="77777777" w:rsidR="00000000" w:rsidRDefault="001A570A">
            <w:pPr>
              <w:rPr>
                <w:rFonts w:eastAsia="Times New Roman"/>
                <w:sz w:val="20"/>
                <w:szCs w:val="20"/>
              </w:rPr>
            </w:pPr>
          </w:p>
        </w:tc>
      </w:tr>
      <w:tr w:rsidR="00000000" w14:paraId="7E5AEE3D" w14:textId="77777777">
        <w:trPr>
          <w:divId w:val="692193459"/>
        </w:trPr>
        <w:tc>
          <w:tcPr>
            <w:tcW w:w="0" w:type="auto"/>
            <w:gridSpan w:val="3"/>
            <w:shd w:val="clear" w:color="auto" w:fill="CCEEFF"/>
            <w:tcMar>
              <w:top w:w="30" w:type="dxa"/>
              <w:left w:w="20" w:type="dxa"/>
              <w:bottom w:w="30" w:type="dxa"/>
              <w:right w:w="20" w:type="dxa"/>
            </w:tcMar>
            <w:hideMark/>
          </w:tcPr>
          <w:p w14:paraId="16E0D6EB"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4AA1C22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A30129" w14:textId="77777777" w:rsidR="00000000" w:rsidRDefault="001A570A">
            <w:pPr>
              <w:jc w:val="right"/>
              <w:rPr>
                <w:rFonts w:eastAsia="Times New Roman"/>
              </w:rPr>
            </w:pPr>
            <w:r>
              <w:rPr>
                <w:rFonts w:eastAsia="Times New Roman"/>
                <w:color w:val="000000"/>
                <w:sz w:val="20"/>
                <w:szCs w:val="20"/>
              </w:rPr>
              <w:t>2,758 </w:t>
            </w:r>
          </w:p>
        </w:tc>
        <w:tc>
          <w:tcPr>
            <w:tcW w:w="0" w:type="auto"/>
            <w:shd w:val="clear" w:color="auto" w:fill="CCEEFF"/>
            <w:tcMar>
              <w:top w:w="30" w:type="dxa"/>
              <w:left w:w="0" w:type="dxa"/>
              <w:bottom w:w="30" w:type="dxa"/>
              <w:right w:w="20" w:type="dxa"/>
            </w:tcMar>
            <w:vAlign w:val="bottom"/>
            <w:hideMark/>
          </w:tcPr>
          <w:p w14:paraId="1A70528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A7CE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357EE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535D54" w14:textId="77777777" w:rsidR="00000000" w:rsidRDefault="001A570A">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31305CC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4CC90"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1086A9B"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AEEA24A" w14:textId="77777777" w:rsidR="00000000" w:rsidRDefault="001A570A">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FD4AC8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EB8100" w14:textId="77777777" w:rsidR="00000000" w:rsidRDefault="001A570A">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61C09B3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E778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0B350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FE2AFA" w14:textId="77777777" w:rsidR="00000000" w:rsidRDefault="001A570A">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58C3A61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6AD9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D9A3F"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013456C" w14:textId="77777777" w:rsidR="00000000" w:rsidRDefault="001A570A">
            <w:pPr>
              <w:rPr>
                <w:rFonts w:eastAsia="Times New Roman"/>
              </w:rPr>
            </w:pPr>
            <w:r>
              <w:rPr>
                <w:rFonts w:eastAsia="Times New Roman"/>
                <w:color w:val="000000"/>
                <w:sz w:val="20"/>
                <w:szCs w:val="20"/>
              </w:rPr>
              <w:t>%)</w:t>
            </w:r>
          </w:p>
        </w:tc>
      </w:tr>
      <w:tr w:rsidR="00000000" w14:paraId="573DE1D5" w14:textId="77777777">
        <w:trPr>
          <w:divId w:val="692193459"/>
        </w:trPr>
        <w:tc>
          <w:tcPr>
            <w:tcW w:w="0" w:type="auto"/>
            <w:gridSpan w:val="3"/>
            <w:shd w:val="clear" w:color="auto" w:fill="FFFFFF"/>
            <w:tcMar>
              <w:top w:w="30" w:type="dxa"/>
              <w:left w:w="20" w:type="dxa"/>
              <w:bottom w:w="30" w:type="dxa"/>
              <w:right w:w="20" w:type="dxa"/>
            </w:tcMar>
            <w:hideMark/>
          </w:tcPr>
          <w:p w14:paraId="0172883C"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21E1207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A757B0" w14:textId="77777777" w:rsidR="00000000" w:rsidRDefault="001A570A">
            <w:pPr>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14:paraId="32DBD3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AB99F"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8FCC6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A225E7"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2B94BA2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63C98"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13F3F35"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2687944" w14:textId="77777777" w:rsidR="00000000" w:rsidRDefault="001A570A">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D011B9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8B646B"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64980F1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71A3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050F9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34C1E5"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0DFF291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801F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D12E50"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78EA8003" w14:textId="77777777" w:rsidR="00000000" w:rsidRDefault="001A570A">
            <w:pPr>
              <w:rPr>
                <w:rFonts w:eastAsia="Times New Roman"/>
              </w:rPr>
            </w:pPr>
            <w:r>
              <w:rPr>
                <w:rFonts w:eastAsia="Times New Roman"/>
                <w:color w:val="000000"/>
                <w:sz w:val="20"/>
                <w:szCs w:val="20"/>
              </w:rPr>
              <w:t>%</w:t>
            </w:r>
          </w:p>
        </w:tc>
      </w:tr>
      <w:tr w:rsidR="00000000" w14:paraId="658D645C" w14:textId="77777777">
        <w:trPr>
          <w:divId w:val="692193459"/>
        </w:trPr>
        <w:tc>
          <w:tcPr>
            <w:tcW w:w="0" w:type="auto"/>
            <w:gridSpan w:val="3"/>
            <w:shd w:val="clear" w:color="auto" w:fill="CCEEFF"/>
            <w:tcMar>
              <w:top w:w="30" w:type="dxa"/>
              <w:left w:w="245" w:type="dxa"/>
              <w:bottom w:w="30" w:type="dxa"/>
              <w:right w:w="20" w:type="dxa"/>
            </w:tcMar>
            <w:hideMark/>
          </w:tcPr>
          <w:p w14:paraId="7C0D9433"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2FFB50FB" w14:textId="77777777" w:rsidR="00000000" w:rsidRDefault="001A570A">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14:paraId="575E68C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E57719"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16E2C3" w14:textId="77777777" w:rsidR="00000000" w:rsidRDefault="001A570A">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14:paraId="4205FCC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155" w:type="dxa"/>
              <w:bottom w:w="0" w:type="dxa"/>
              <w:right w:w="20" w:type="dxa"/>
            </w:tcMar>
            <w:vAlign w:val="center"/>
            <w:hideMark/>
          </w:tcPr>
          <w:p w14:paraId="7AC01385" w14:textId="77777777" w:rsidR="00000000" w:rsidRDefault="001A570A">
            <w:pPr>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14:paraId="35B9C75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1D995"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A4F5B5"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3772ECA8"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EDC2F2"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5C968F" w14:textId="77777777" w:rsidR="00000000" w:rsidRDefault="001A570A">
            <w:pPr>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14:paraId="05089AD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29922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8F71F" w14:textId="77777777" w:rsidR="00000000" w:rsidRDefault="001A570A">
            <w:pPr>
              <w:rPr>
                <w:rFonts w:eastAsia="Times New Roman"/>
                <w:sz w:val="20"/>
                <w:szCs w:val="20"/>
              </w:rPr>
            </w:pPr>
          </w:p>
        </w:tc>
      </w:tr>
    </w:tbl>
    <w:p w14:paraId="7C500040" w14:textId="77777777" w:rsidR="00000000" w:rsidRDefault="001A570A">
      <w:pPr>
        <w:jc w:val="both"/>
        <w:divId w:val="1243249347"/>
        <w:rPr>
          <w:rFonts w:eastAsia="Times New Roman"/>
        </w:rPr>
      </w:pPr>
      <w:r>
        <w:rPr>
          <w:rFonts w:eastAsia="Times New Roman"/>
          <w:color w:val="000000"/>
          <w:sz w:val="16"/>
          <w:szCs w:val="16"/>
        </w:rPr>
        <w:t>_________________</w:t>
      </w:r>
    </w:p>
    <w:p w14:paraId="2426877F" w14:textId="77777777" w:rsidR="00000000" w:rsidRDefault="001A570A">
      <w:pPr>
        <w:ind w:hanging="360"/>
        <w:divId w:val="1068579775"/>
        <w:rPr>
          <w:rFonts w:eastAsia="Times New Roman"/>
        </w:rPr>
      </w:pPr>
      <w:r>
        <w:rPr>
          <w:rFonts w:eastAsia="Times New Roman"/>
          <w:color w:val="000000"/>
          <w:sz w:val="16"/>
          <w:szCs w:val="16"/>
        </w:rPr>
        <w:t>*Not meaningful</w:t>
      </w:r>
    </w:p>
    <w:p w14:paraId="7528CA81" w14:textId="77777777" w:rsidR="00000000" w:rsidRDefault="001A570A">
      <w:pPr>
        <w:divId w:val="644895892"/>
        <w:rPr>
          <w:rFonts w:eastAsia="Times New Roman"/>
        </w:rPr>
      </w:pPr>
      <w:r>
        <w:rPr>
          <w:rFonts w:eastAsia="Times New Roman"/>
          <w:b/>
          <w:bCs/>
          <w:color w:val="000000"/>
          <w:sz w:val="20"/>
          <w:szCs w:val="20"/>
        </w:rPr>
        <w:t>As Reported</w:t>
      </w:r>
    </w:p>
    <w:p w14:paraId="38EDBFFC" w14:textId="77777777" w:rsidR="00000000" w:rsidRDefault="001A570A">
      <w:pPr>
        <w:ind w:firstLine="450"/>
        <w:divId w:val="1118066035"/>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The increases in segment revenue, operating income and operating income as a percentage of r</w:t>
      </w:r>
      <w:r>
        <w:rPr>
          <w:rFonts w:eastAsia="Times New Roman"/>
          <w:color w:val="000000"/>
          <w:sz w:val="20"/>
          <w:szCs w:val="20"/>
        </w:rPr>
        <w:t>evenue (“operating margin percentage”) in fiscal 2020 compared with the four quarters ended January 3, 2020 were primarily due to the inclusion of L3 operations in segment operating results for the two quarters ended July 3, 2020 (but not for the comparabl</w:t>
      </w:r>
      <w:r>
        <w:rPr>
          <w:rFonts w:eastAsia="Times New Roman"/>
          <w:color w:val="000000"/>
          <w:sz w:val="20"/>
          <w:szCs w:val="20"/>
        </w:rPr>
        <w:t>e prior-year two quarters preceding the L3Harris Merger). Because the Integrated Mission Systems segment is almost entirely comprised of L3 businesses, comparison to the four quarters ended January 3, 2020 segment operating metrics is not meaningful. The f</w:t>
      </w:r>
      <w:r>
        <w:rPr>
          <w:rFonts w:eastAsia="Times New Roman"/>
          <w:color w:val="000000"/>
          <w:sz w:val="20"/>
          <w:szCs w:val="20"/>
        </w:rPr>
        <w:t xml:space="preserve">unded backlog for this segment was $6.3 billion at January 1, 2021 compared with $5.3 billion at January 3, 2020. </w:t>
      </w:r>
    </w:p>
    <w:p w14:paraId="13EAE99C" w14:textId="77777777" w:rsidR="00000000" w:rsidRDefault="001A570A">
      <w:pPr>
        <w:ind w:firstLine="450"/>
        <w:divId w:val="736559453"/>
        <w:rPr>
          <w:rFonts w:eastAsia="Times New Roman"/>
        </w:rPr>
      </w:pPr>
      <w:r>
        <w:rPr>
          <w:rFonts w:eastAsia="Times New Roman"/>
          <w:color w:val="000000"/>
          <w:sz w:val="20"/>
          <w:szCs w:val="20"/>
        </w:rPr>
        <w:t>The percentage of this segment’s revenue that was derived from sales to U.S. </w:t>
      </w:r>
      <w:r>
        <w:rPr>
          <w:rFonts w:eastAsia="Times New Roman"/>
          <w:color w:val="000000"/>
          <w:sz w:val="20"/>
          <w:szCs w:val="20"/>
        </w:rPr>
        <w:t>Government customers, including foreign military sales funded through the U.S. Government, whether directly or through prime contractors, was 77 percent in fiscal 2020.</w:t>
      </w:r>
    </w:p>
    <w:p w14:paraId="3610CEF4" w14:textId="77777777" w:rsidR="00000000" w:rsidRDefault="001A570A">
      <w:pPr>
        <w:ind w:firstLine="450"/>
        <w:divId w:val="1638531700"/>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changes in segment revenue, operating income and operating margin percentage in the two quarters ended January 3, 2020 compared with the two quarters ended December 28, 2018 were primarily due to the inclusion of L3 operations in segment operating resu</w:t>
      </w:r>
      <w:r>
        <w:rPr>
          <w:rFonts w:eastAsia="Times New Roman"/>
          <w:color w:val="000000"/>
          <w:sz w:val="20"/>
          <w:szCs w:val="20"/>
        </w:rPr>
        <w:t>lts as a result of the L3Harris Merger during the two quarters ended January 3, 2020. Because the Integrated Mission Systems segment is almost entirely comprised of L3 businesses, comparison to prior year segment operating metrics is not meaningful. In the</w:t>
      </w:r>
      <w:r>
        <w:rPr>
          <w:rFonts w:eastAsia="Times New Roman"/>
          <w:color w:val="000000"/>
          <w:sz w:val="20"/>
          <w:szCs w:val="20"/>
        </w:rPr>
        <w:t xml:space="preserve"> two quarters ended January 3, 2020, segment revenue also benefited from $213 million of revenue growth in ISR and growth in Electro Optical. The funded backlog for this segment was $5.3 billion at January 3, 2020 compared with $5.4 billion at the beginnin</w:t>
      </w:r>
      <w:r>
        <w:rPr>
          <w:rFonts w:eastAsia="Times New Roman"/>
          <w:color w:val="000000"/>
          <w:sz w:val="20"/>
          <w:szCs w:val="20"/>
        </w:rPr>
        <w:t>g of the Fiscal Transition Period (primarily from backlog acquired on June 29, 2019 in connection with the L3Harris Merger).</w:t>
      </w:r>
    </w:p>
    <w:p w14:paraId="3DE032D8" w14:textId="77777777" w:rsidR="00000000" w:rsidRDefault="001A570A">
      <w:pPr>
        <w:ind w:firstLine="450"/>
        <w:divId w:val="843546185"/>
        <w:rPr>
          <w:rFonts w:eastAsia="Times New Roman"/>
        </w:rPr>
      </w:pPr>
      <w:r>
        <w:rPr>
          <w:rFonts w:eastAsia="Times New Roman"/>
          <w:color w:val="000000"/>
          <w:sz w:val="20"/>
          <w:szCs w:val="20"/>
        </w:rPr>
        <w:t>The percentage of this segment’s revenue that was derived from sales to U.S. Government customers, including foreign military sales</w:t>
      </w:r>
      <w:r>
        <w:rPr>
          <w:rFonts w:eastAsia="Times New Roman"/>
          <w:color w:val="000000"/>
          <w:sz w:val="20"/>
          <w:szCs w:val="20"/>
        </w:rPr>
        <w:t xml:space="preserve"> funded through the U.S. Government, whether directly or through prime contractors, was 75 percent in the two quarters ended January 3, 2020.</w:t>
      </w:r>
    </w:p>
    <w:p w14:paraId="5D0B57E4" w14:textId="77777777" w:rsidR="00000000" w:rsidRDefault="001A570A">
      <w:pPr>
        <w:divId w:val="1979995059"/>
        <w:rPr>
          <w:rFonts w:eastAsia="Times New Roman"/>
        </w:rPr>
      </w:pPr>
      <w:r>
        <w:rPr>
          <w:rFonts w:eastAsia="Times New Roman"/>
          <w:b/>
          <w:bCs/>
          <w:color w:val="000000"/>
          <w:sz w:val="20"/>
          <w:szCs w:val="20"/>
        </w:rPr>
        <w:t>Pro Forma</w:t>
      </w:r>
    </w:p>
    <w:p w14:paraId="1737B45A" w14:textId="77777777" w:rsidR="00000000" w:rsidRDefault="001A570A">
      <w:pPr>
        <w:ind w:firstLine="450"/>
        <w:divId w:val="687214107"/>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xml:space="preserve"> The increase in seg</w:t>
      </w:r>
      <w:r>
        <w:rPr>
          <w:rFonts w:eastAsia="Times New Roman"/>
          <w:color w:val="000000"/>
          <w:sz w:val="20"/>
          <w:szCs w:val="20"/>
        </w:rPr>
        <w:t>ment revenue in fiscal 2020 compared with the four quarters ended January 3, 2020 was primarily due to $163 million of higher revenue in Maritime from a ramp in manned and classified platforms and $31 million of higher revenue in ISR.</w:t>
      </w:r>
    </w:p>
    <w:p w14:paraId="4F0E9119" w14:textId="77777777" w:rsidR="00000000" w:rsidRDefault="001A570A">
      <w:pPr>
        <w:ind w:firstLine="450"/>
        <w:divId w:val="815684355"/>
        <w:rPr>
          <w:rFonts w:eastAsia="Times New Roman"/>
        </w:rPr>
      </w:pPr>
      <w:r>
        <w:rPr>
          <w:rFonts w:eastAsia="Times New Roman"/>
          <w:color w:val="000000"/>
          <w:sz w:val="20"/>
          <w:szCs w:val="20"/>
        </w:rPr>
        <w:t>The increases in segment operating income and operating margin percentage in fiscal 2020 compared with the four quarters ended January 3, 2020 were primarily driven by operational excellence and integration benefits.</w:t>
      </w:r>
    </w:p>
    <w:p w14:paraId="7CE152F5" w14:textId="77777777" w:rsidR="00000000" w:rsidRDefault="001A570A">
      <w:pPr>
        <w:ind w:firstLine="450"/>
        <w:jc w:val="center"/>
        <w:divId w:val="538520068"/>
        <w:rPr>
          <w:rFonts w:eastAsia="Times New Roman"/>
        </w:rPr>
      </w:pPr>
      <w:r>
        <w:rPr>
          <w:rFonts w:eastAsia="Times New Roman"/>
          <w:color w:val="000000"/>
          <w:sz w:val="20"/>
          <w:szCs w:val="20"/>
        </w:rPr>
        <w:t>50</w:t>
      </w:r>
    </w:p>
    <w:p w14:paraId="6B3869E7" w14:textId="77777777" w:rsidR="00000000" w:rsidRDefault="001A570A">
      <w:pPr>
        <w:rPr>
          <w:rFonts w:eastAsia="Times New Roman"/>
        </w:rPr>
      </w:pPr>
      <w:r>
        <w:rPr>
          <w:rFonts w:eastAsia="Times New Roman"/>
        </w:rPr>
        <w:pict w14:anchorId="240528D2">
          <v:rect id="_x0000_i1078" style="width:0;height:1.5pt" o:hralign="center" o:hrstd="t" o:hr="t" fillcolor="#a0a0a0" stroked="f"/>
        </w:pict>
      </w:r>
    </w:p>
    <w:p w14:paraId="6E43A825" w14:textId="77777777" w:rsidR="00000000" w:rsidRDefault="001A570A">
      <w:pPr>
        <w:ind w:firstLine="450"/>
        <w:divId w:val="1613396527"/>
        <w:rPr>
          <w:rFonts w:eastAsia="Times New Roman"/>
        </w:rPr>
      </w:pPr>
    </w:p>
    <w:p w14:paraId="34967C91" w14:textId="77777777" w:rsidR="00000000" w:rsidRDefault="001A570A">
      <w:pPr>
        <w:divId w:val="126706960"/>
        <w:rPr>
          <w:rFonts w:eastAsia="Times New Roman"/>
        </w:rPr>
      </w:pPr>
      <w:r>
        <w:rPr>
          <w:rFonts w:eastAsia="Times New Roman"/>
          <w:b/>
          <w:bCs/>
          <w:color w:val="000000"/>
          <w:sz w:val="20"/>
          <w:szCs w:val="20"/>
        </w:rPr>
        <w:t>Space and Airborne Systems Segment</w:t>
      </w:r>
    </w:p>
    <w:tbl>
      <w:tblPr>
        <w:tblW w:w="4425" w:type="pct"/>
        <w:tblCellMar>
          <w:top w:w="15" w:type="dxa"/>
          <w:left w:w="15" w:type="dxa"/>
          <w:bottom w:w="15" w:type="dxa"/>
          <w:right w:w="15" w:type="dxa"/>
        </w:tblCellMar>
        <w:tblLook w:val="04A0" w:firstRow="1" w:lastRow="0" w:firstColumn="1" w:lastColumn="0" w:noHBand="0" w:noVBand="1"/>
      </w:tblPr>
      <w:tblGrid>
        <w:gridCol w:w="40"/>
        <w:gridCol w:w="2430"/>
        <w:gridCol w:w="39"/>
        <w:gridCol w:w="120"/>
        <w:gridCol w:w="500"/>
        <w:gridCol w:w="187"/>
        <w:gridCol w:w="36"/>
        <w:gridCol w:w="36"/>
        <w:gridCol w:w="36"/>
        <w:gridCol w:w="121"/>
        <w:gridCol w:w="786"/>
        <w:gridCol w:w="187"/>
        <w:gridCol w:w="36"/>
        <w:gridCol w:w="36"/>
        <w:gridCol w:w="36"/>
        <w:gridCol w:w="79"/>
        <w:gridCol w:w="585"/>
        <w:gridCol w:w="187"/>
        <w:gridCol w:w="36"/>
        <w:gridCol w:w="36"/>
        <w:gridCol w:w="36"/>
        <w:gridCol w:w="120"/>
        <w:gridCol w:w="500"/>
        <w:gridCol w:w="187"/>
        <w:gridCol w:w="36"/>
        <w:gridCol w:w="36"/>
        <w:gridCol w:w="36"/>
        <w:gridCol w:w="79"/>
        <w:gridCol w:w="585"/>
        <w:gridCol w:w="187"/>
      </w:tblGrid>
      <w:tr w:rsidR="00000000" w14:paraId="7BCF22A1" w14:textId="77777777">
        <w:trPr>
          <w:divId w:val="1060248383"/>
        </w:trPr>
        <w:tc>
          <w:tcPr>
            <w:tcW w:w="50" w:type="pct"/>
            <w:vAlign w:val="center"/>
            <w:hideMark/>
          </w:tcPr>
          <w:p w14:paraId="0C359A86" w14:textId="77777777" w:rsidR="00000000" w:rsidRDefault="001A570A">
            <w:pPr>
              <w:rPr>
                <w:rFonts w:eastAsia="Times New Roman"/>
              </w:rPr>
            </w:pPr>
          </w:p>
        </w:tc>
        <w:tc>
          <w:tcPr>
            <w:tcW w:w="2144" w:type="pct"/>
            <w:vAlign w:val="center"/>
            <w:hideMark/>
          </w:tcPr>
          <w:p w14:paraId="7F75C3F8" w14:textId="77777777" w:rsidR="00000000" w:rsidRDefault="001A570A">
            <w:pPr>
              <w:rPr>
                <w:rFonts w:eastAsia="Times New Roman"/>
                <w:sz w:val="20"/>
                <w:szCs w:val="20"/>
              </w:rPr>
            </w:pPr>
          </w:p>
        </w:tc>
        <w:tc>
          <w:tcPr>
            <w:tcW w:w="5" w:type="pct"/>
            <w:vAlign w:val="center"/>
            <w:hideMark/>
          </w:tcPr>
          <w:p w14:paraId="63EBF142" w14:textId="77777777" w:rsidR="00000000" w:rsidRDefault="001A570A">
            <w:pPr>
              <w:rPr>
                <w:rFonts w:eastAsia="Times New Roman"/>
                <w:sz w:val="20"/>
                <w:szCs w:val="20"/>
              </w:rPr>
            </w:pPr>
          </w:p>
        </w:tc>
        <w:tc>
          <w:tcPr>
            <w:tcW w:w="50" w:type="pct"/>
            <w:vAlign w:val="center"/>
            <w:hideMark/>
          </w:tcPr>
          <w:p w14:paraId="6D936E08" w14:textId="77777777" w:rsidR="00000000" w:rsidRDefault="001A570A">
            <w:pPr>
              <w:rPr>
                <w:rFonts w:eastAsia="Times New Roman"/>
                <w:sz w:val="20"/>
                <w:szCs w:val="20"/>
              </w:rPr>
            </w:pPr>
          </w:p>
        </w:tc>
        <w:tc>
          <w:tcPr>
            <w:tcW w:w="537" w:type="pct"/>
            <w:vAlign w:val="center"/>
            <w:hideMark/>
          </w:tcPr>
          <w:p w14:paraId="4BF108D0" w14:textId="77777777" w:rsidR="00000000" w:rsidRDefault="001A570A">
            <w:pPr>
              <w:rPr>
                <w:rFonts w:eastAsia="Times New Roman"/>
                <w:sz w:val="20"/>
                <w:szCs w:val="20"/>
              </w:rPr>
            </w:pPr>
          </w:p>
        </w:tc>
        <w:tc>
          <w:tcPr>
            <w:tcW w:w="5" w:type="pct"/>
            <w:vAlign w:val="center"/>
            <w:hideMark/>
          </w:tcPr>
          <w:p w14:paraId="78EC0094" w14:textId="77777777" w:rsidR="00000000" w:rsidRDefault="001A570A">
            <w:pPr>
              <w:rPr>
                <w:rFonts w:eastAsia="Times New Roman"/>
                <w:sz w:val="20"/>
                <w:szCs w:val="20"/>
              </w:rPr>
            </w:pPr>
          </w:p>
        </w:tc>
        <w:tc>
          <w:tcPr>
            <w:tcW w:w="5" w:type="pct"/>
            <w:vAlign w:val="center"/>
            <w:hideMark/>
          </w:tcPr>
          <w:p w14:paraId="10DF38FC" w14:textId="77777777" w:rsidR="00000000" w:rsidRDefault="001A570A">
            <w:pPr>
              <w:rPr>
                <w:rFonts w:eastAsia="Times New Roman"/>
                <w:sz w:val="20"/>
                <w:szCs w:val="20"/>
              </w:rPr>
            </w:pPr>
          </w:p>
        </w:tc>
        <w:tc>
          <w:tcPr>
            <w:tcW w:w="30" w:type="pct"/>
            <w:vAlign w:val="center"/>
            <w:hideMark/>
          </w:tcPr>
          <w:p w14:paraId="5E99E1E7" w14:textId="77777777" w:rsidR="00000000" w:rsidRDefault="001A570A">
            <w:pPr>
              <w:rPr>
                <w:rFonts w:eastAsia="Times New Roman"/>
                <w:sz w:val="20"/>
                <w:szCs w:val="20"/>
              </w:rPr>
            </w:pPr>
          </w:p>
        </w:tc>
        <w:tc>
          <w:tcPr>
            <w:tcW w:w="5" w:type="pct"/>
            <w:vAlign w:val="center"/>
            <w:hideMark/>
          </w:tcPr>
          <w:p w14:paraId="507C4A43" w14:textId="77777777" w:rsidR="00000000" w:rsidRDefault="001A570A">
            <w:pPr>
              <w:rPr>
                <w:rFonts w:eastAsia="Times New Roman"/>
                <w:sz w:val="20"/>
                <w:szCs w:val="20"/>
              </w:rPr>
            </w:pPr>
          </w:p>
        </w:tc>
        <w:tc>
          <w:tcPr>
            <w:tcW w:w="50" w:type="pct"/>
            <w:vAlign w:val="center"/>
            <w:hideMark/>
          </w:tcPr>
          <w:p w14:paraId="4B39C308" w14:textId="77777777" w:rsidR="00000000" w:rsidRDefault="001A570A">
            <w:pPr>
              <w:rPr>
                <w:rFonts w:eastAsia="Times New Roman"/>
                <w:sz w:val="20"/>
                <w:szCs w:val="20"/>
              </w:rPr>
            </w:pPr>
          </w:p>
        </w:tc>
        <w:tc>
          <w:tcPr>
            <w:tcW w:w="537" w:type="pct"/>
            <w:vAlign w:val="center"/>
            <w:hideMark/>
          </w:tcPr>
          <w:p w14:paraId="01FBE9D2" w14:textId="77777777" w:rsidR="00000000" w:rsidRDefault="001A570A">
            <w:pPr>
              <w:rPr>
                <w:rFonts w:eastAsia="Times New Roman"/>
                <w:sz w:val="20"/>
                <w:szCs w:val="20"/>
              </w:rPr>
            </w:pPr>
          </w:p>
        </w:tc>
        <w:tc>
          <w:tcPr>
            <w:tcW w:w="5" w:type="pct"/>
            <w:vAlign w:val="center"/>
            <w:hideMark/>
          </w:tcPr>
          <w:p w14:paraId="3845BD95" w14:textId="77777777" w:rsidR="00000000" w:rsidRDefault="001A570A">
            <w:pPr>
              <w:rPr>
                <w:rFonts w:eastAsia="Times New Roman"/>
                <w:sz w:val="20"/>
                <w:szCs w:val="20"/>
              </w:rPr>
            </w:pPr>
          </w:p>
        </w:tc>
        <w:tc>
          <w:tcPr>
            <w:tcW w:w="5" w:type="pct"/>
            <w:vAlign w:val="center"/>
            <w:hideMark/>
          </w:tcPr>
          <w:p w14:paraId="6686E1FC" w14:textId="77777777" w:rsidR="00000000" w:rsidRDefault="001A570A">
            <w:pPr>
              <w:rPr>
                <w:rFonts w:eastAsia="Times New Roman"/>
                <w:sz w:val="20"/>
                <w:szCs w:val="20"/>
              </w:rPr>
            </w:pPr>
          </w:p>
        </w:tc>
        <w:tc>
          <w:tcPr>
            <w:tcW w:w="30" w:type="pct"/>
            <w:vAlign w:val="center"/>
            <w:hideMark/>
          </w:tcPr>
          <w:p w14:paraId="5F985DC2" w14:textId="77777777" w:rsidR="00000000" w:rsidRDefault="001A570A">
            <w:pPr>
              <w:rPr>
                <w:rFonts w:eastAsia="Times New Roman"/>
                <w:sz w:val="20"/>
                <w:szCs w:val="20"/>
              </w:rPr>
            </w:pPr>
          </w:p>
        </w:tc>
        <w:tc>
          <w:tcPr>
            <w:tcW w:w="5" w:type="pct"/>
            <w:vAlign w:val="center"/>
            <w:hideMark/>
          </w:tcPr>
          <w:p w14:paraId="7351B3D0" w14:textId="77777777" w:rsidR="00000000" w:rsidRDefault="001A570A">
            <w:pPr>
              <w:rPr>
                <w:rFonts w:eastAsia="Times New Roman"/>
                <w:sz w:val="20"/>
                <w:szCs w:val="20"/>
              </w:rPr>
            </w:pPr>
          </w:p>
        </w:tc>
        <w:tc>
          <w:tcPr>
            <w:tcW w:w="50" w:type="pct"/>
            <w:vAlign w:val="center"/>
            <w:hideMark/>
          </w:tcPr>
          <w:p w14:paraId="206C38B0" w14:textId="77777777" w:rsidR="00000000" w:rsidRDefault="001A570A">
            <w:pPr>
              <w:rPr>
                <w:rFonts w:eastAsia="Times New Roman"/>
                <w:sz w:val="20"/>
                <w:szCs w:val="20"/>
              </w:rPr>
            </w:pPr>
          </w:p>
        </w:tc>
        <w:tc>
          <w:tcPr>
            <w:tcW w:w="375" w:type="pct"/>
            <w:vAlign w:val="center"/>
            <w:hideMark/>
          </w:tcPr>
          <w:p w14:paraId="72C770CE" w14:textId="77777777" w:rsidR="00000000" w:rsidRDefault="001A570A">
            <w:pPr>
              <w:rPr>
                <w:rFonts w:eastAsia="Times New Roman"/>
                <w:sz w:val="20"/>
                <w:szCs w:val="20"/>
              </w:rPr>
            </w:pPr>
          </w:p>
        </w:tc>
        <w:tc>
          <w:tcPr>
            <w:tcW w:w="5" w:type="pct"/>
            <w:vAlign w:val="center"/>
            <w:hideMark/>
          </w:tcPr>
          <w:p w14:paraId="683F89DE" w14:textId="77777777" w:rsidR="00000000" w:rsidRDefault="001A570A">
            <w:pPr>
              <w:rPr>
                <w:rFonts w:eastAsia="Times New Roman"/>
                <w:sz w:val="20"/>
                <w:szCs w:val="20"/>
              </w:rPr>
            </w:pPr>
          </w:p>
        </w:tc>
        <w:tc>
          <w:tcPr>
            <w:tcW w:w="5" w:type="pct"/>
            <w:vAlign w:val="center"/>
            <w:hideMark/>
          </w:tcPr>
          <w:p w14:paraId="6898ED60" w14:textId="77777777" w:rsidR="00000000" w:rsidRDefault="001A570A">
            <w:pPr>
              <w:rPr>
                <w:rFonts w:eastAsia="Times New Roman"/>
                <w:sz w:val="20"/>
                <w:szCs w:val="20"/>
              </w:rPr>
            </w:pPr>
          </w:p>
        </w:tc>
        <w:tc>
          <w:tcPr>
            <w:tcW w:w="30" w:type="pct"/>
            <w:vAlign w:val="center"/>
            <w:hideMark/>
          </w:tcPr>
          <w:p w14:paraId="4DD77303" w14:textId="77777777" w:rsidR="00000000" w:rsidRDefault="001A570A">
            <w:pPr>
              <w:rPr>
                <w:rFonts w:eastAsia="Times New Roman"/>
                <w:sz w:val="20"/>
                <w:szCs w:val="20"/>
              </w:rPr>
            </w:pPr>
          </w:p>
        </w:tc>
        <w:tc>
          <w:tcPr>
            <w:tcW w:w="5" w:type="pct"/>
            <w:vAlign w:val="center"/>
            <w:hideMark/>
          </w:tcPr>
          <w:p w14:paraId="5D640C96" w14:textId="77777777" w:rsidR="00000000" w:rsidRDefault="001A570A">
            <w:pPr>
              <w:rPr>
                <w:rFonts w:eastAsia="Times New Roman"/>
                <w:sz w:val="20"/>
                <w:szCs w:val="20"/>
              </w:rPr>
            </w:pPr>
          </w:p>
        </w:tc>
        <w:tc>
          <w:tcPr>
            <w:tcW w:w="50" w:type="pct"/>
            <w:vAlign w:val="center"/>
            <w:hideMark/>
          </w:tcPr>
          <w:p w14:paraId="6243AFCE" w14:textId="77777777" w:rsidR="00000000" w:rsidRDefault="001A570A">
            <w:pPr>
              <w:rPr>
                <w:rFonts w:eastAsia="Times New Roman"/>
                <w:sz w:val="20"/>
                <w:szCs w:val="20"/>
              </w:rPr>
            </w:pPr>
          </w:p>
        </w:tc>
        <w:tc>
          <w:tcPr>
            <w:tcW w:w="537" w:type="pct"/>
            <w:vAlign w:val="center"/>
            <w:hideMark/>
          </w:tcPr>
          <w:p w14:paraId="59BC5F74" w14:textId="77777777" w:rsidR="00000000" w:rsidRDefault="001A570A">
            <w:pPr>
              <w:rPr>
                <w:rFonts w:eastAsia="Times New Roman"/>
                <w:sz w:val="20"/>
                <w:szCs w:val="20"/>
              </w:rPr>
            </w:pPr>
          </w:p>
        </w:tc>
        <w:tc>
          <w:tcPr>
            <w:tcW w:w="5" w:type="pct"/>
            <w:vAlign w:val="center"/>
            <w:hideMark/>
          </w:tcPr>
          <w:p w14:paraId="2AA6DB61" w14:textId="77777777" w:rsidR="00000000" w:rsidRDefault="001A570A">
            <w:pPr>
              <w:rPr>
                <w:rFonts w:eastAsia="Times New Roman"/>
                <w:sz w:val="20"/>
                <w:szCs w:val="20"/>
              </w:rPr>
            </w:pPr>
          </w:p>
        </w:tc>
        <w:tc>
          <w:tcPr>
            <w:tcW w:w="5" w:type="pct"/>
            <w:vAlign w:val="center"/>
            <w:hideMark/>
          </w:tcPr>
          <w:p w14:paraId="5E3AE3D7" w14:textId="77777777" w:rsidR="00000000" w:rsidRDefault="001A570A">
            <w:pPr>
              <w:rPr>
                <w:rFonts w:eastAsia="Times New Roman"/>
                <w:sz w:val="20"/>
                <w:szCs w:val="20"/>
              </w:rPr>
            </w:pPr>
          </w:p>
        </w:tc>
        <w:tc>
          <w:tcPr>
            <w:tcW w:w="30" w:type="pct"/>
            <w:vAlign w:val="center"/>
            <w:hideMark/>
          </w:tcPr>
          <w:p w14:paraId="14439383" w14:textId="77777777" w:rsidR="00000000" w:rsidRDefault="001A570A">
            <w:pPr>
              <w:rPr>
                <w:rFonts w:eastAsia="Times New Roman"/>
                <w:sz w:val="20"/>
                <w:szCs w:val="20"/>
              </w:rPr>
            </w:pPr>
          </w:p>
        </w:tc>
        <w:tc>
          <w:tcPr>
            <w:tcW w:w="5" w:type="pct"/>
            <w:vAlign w:val="center"/>
            <w:hideMark/>
          </w:tcPr>
          <w:p w14:paraId="7F7ECB59" w14:textId="77777777" w:rsidR="00000000" w:rsidRDefault="001A570A">
            <w:pPr>
              <w:rPr>
                <w:rFonts w:eastAsia="Times New Roman"/>
                <w:sz w:val="20"/>
                <w:szCs w:val="20"/>
              </w:rPr>
            </w:pPr>
          </w:p>
        </w:tc>
        <w:tc>
          <w:tcPr>
            <w:tcW w:w="50" w:type="pct"/>
            <w:vAlign w:val="center"/>
            <w:hideMark/>
          </w:tcPr>
          <w:p w14:paraId="3E4C0F77" w14:textId="77777777" w:rsidR="00000000" w:rsidRDefault="001A570A">
            <w:pPr>
              <w:rPr>
                <w:rFonts w:eastAsia="Times New Roman"/>
                <w:sz w:val="20"/>
                <w:szCs w:val="20"/>
              </w:rPr>
            </w:pPr>
          </w:p>
        </w:tc>
        <w:tc>
          <w:tcPr>
            <w:tcW w:w="375" w:type="pct"/>
            <w:vAlign w:val="center"/>
            <w:hideMark/>
          </w:tcPr>
          <w:p w14:paraId="06FA2512" w14:textId="77777777" w:rsidR="00000000" w:rsidRDefault="001A570A">
            <w:pPr>
              <w:rPr>
                <w:rFonts w:eastAsia="Times New Roman"/>
                <w:sz w:val="20"/>
                <w:szCs w:val="20"/>
              </w:rPr>
            </w:pPr>
          </w:p>
        </w:tc>
        <w:tc>
          <w:tcPr>
            <w:tcW w:w="5" w:type="pct"/>
            <w:vAlign w:val="center"/>
            <w:hideMark/>
          </w:tcPr>
          <w:p w14:paraId="456CD90A" w14:textId="77777777" w:rsidR="00000000" w:rsidRDefault="001A570A">
            <w:pPr>
              <w:rPr>
                <w:rFonts w:eastAsia="Times New Roman"/>
                <w:sz w:val="20"/>
                <w:szCs w:val="20"/>
              </w:rPr>
            </w:pPr>
          </w:p>
        </w:tc>
      </w:tr>
      <w:tr w:rsidR="00000000" w14:paraId="42714B8C" w14:textId="77777777">
        <w:trPr>
          <w:divId w:val="1060248383"/>
        </w:trPr>
        <w:tc>
          <w:tcPr>
            <w:tcW w:w="0" w:type="auto"/>
            <w:gridSpan w:val="3"/>
            <w:tcMar>
              <w:top w:w="30" w:type="dxa"/>
              <w:left w:w="20" w:type="dxa"/>
              <w:bottom w:w="30" w:type="dxa"/>
              <w:right w:w="20" w:type="dxa"/>
            </w:tcMar>
            <w:vAlign w:val="bottom"/>
            <w:hideMark/>
          </w:tcPr>
          <w:p w14:paraId="54707E10"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AA10426"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0E292BEE" w14:textId="77777777" w:rsidR="00000000" w:rsidRDefault="001A570A">
            <w:pPr>
              <w:jc w:val="center"/>
              <w:rPr>
                <w:rFonts w:eastAsia="Times New Roman"/>
              </w:rPr>
            </w:pPr>
          </w:p>
        </w:tc>
        <w:tc>
          <w:tcPr>
            <w:tcW w:w="0" w:type="auto"/>
            <w:gridSpan w:val="21"/>
            <w:tcMar>
              <w:top w:w="30" w:type="dxa"/>
              <w:left w:w="20" w:type="dxa"/>
              <w:bottom w:w="30" w:type="dxa"/>
              <w:right w:w="20" w:type="dxa"/>
            </w:tcMar>
            <w:vAlign w:val="bottom"/>
            <w:hideMark/>
          </w:tcPr>
          <w:p w14:paraId="5C870255" w14:textId="77777777" w:rsidR="00000000" w:rsidRDefault="001A570A">
            <w:pPr>
              <w:jc w:val="center"/>
              <w:rPr>
                <w:rFonts w:eastAsia="Times New Roman"/>
              </w:rPr>
            </w:pPr>
            <w:r>
              <w:rPr>
                <w:rFonts w:eastAsia="Times New Roman"/>
                <w:b/>
                <w:bCs/>
                <w:color w:val="000000"/>
                <w:sz w:val="16"/>
                <w:szCs w:val="16"/>
              </w:rPr>
              <w:t>Four Quarters Ended</w:t>
            </w:r>
          </w:p>
        </w:tc>
      </w:tr>
      <w:tr w:rsidR="00000000" w14:paraId="4C2EFB5D" w14:textId="77777777">
        <w:trPr>
          <w:divId w:val="1060248383"/>
        </w:trPr>
        <w:tc>
          <w:tcPr>
            <w:tcW w:w="0" w:type="auto"/>
            <w:gridSpan w:val="3"/>
            <w:tcMar>
              <w:top w:w="0" w:type="dxa"/>
              <w:left w:w="20" w:type="dxa"/>
              <w:bottom w:w="0" w:type="dxa"/>
              <w:right w:w="20" w:type="dxa"/>
            </w:tcMar>
            <w:vAlign w:val="center"/>
            <w:hideMark/>
          </w:tcPr>
          <w:p w14:paraId="0F6C1D7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B23AE3" w14:textId="77777777" w:rsidR="00000000" w:rsidRDefault="001A570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6D89F13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F73074"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90AC6F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7F5F4D"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14:paraId="3A77CC9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F07880"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44B907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F196B2"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556EBC4A" w14:textId="77777777">
        <w:trPr>
          <w:divId w:val="1060248383"/>
        </w:trPr>
        <w:tc>
          <w:tcPr>
            <w:tcW w:w="0" w:type="auto"/>
            <w:gridSpan w:val="3"/>
            <w:tcMar>
              <w:top w:w="30" w:type="dxa"/>
              <w:left w:w="20" w:type="dxa"/>
              <w:bottom w:w="30" w:type="dxa"/>
              <w:right w:w="20" w:type="dxa"/>
            </w:tcMar>
            <w:vAlign w:val="bottom"/>
            <w:hideMark/>
          </w:tcPr>
          <w:p w14:paraId="416DEA50"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30C2DC80"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3E91E16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803FFE"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3C23F9D8"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B34B60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036F25F"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6FCEE39"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004BADA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2522BFF" w14:textId="77777777" w:rsidR="00000000" w:rsidRDefault="001A570A">
            <w:pPr>
              <w:rPr>
                <w:rFonts w:eastAsia="Times New Roman"/>
                <w:sz w:val="20"/>
                <w:szCs w:val="20"/>
              </w:rPr>
            </w:pPr>
          </w:p>
        </w:tc>
      </w:tr>
      <w:tr w:rsidR="00000000" w14:paraId="7A45B352" w14:textId="77777777">
        <w:trPr>
          <w:divId w:val="1060248383"/>
          <w:trHeight w:val="60"/>
        </w:trPr>
        <w:tc>
          <w:tcPr>
            <w:tcW w:w="0" w:type="auto"/>
            <w:gridSpan w:val="3"/>
            <w:tcMar>
              <w:top w:w="0" w:type="dxa"/>
              <w:left w:w="20" w:type="dxa"/>
              <w:bottom w:w="0" w:type="dxa"/>
              <w:right w:w="20" w:type="dxa"/>
            </w:tcMar>
            <w:vAlign w:val="center"/>
            <w:hideMark/>
          </w:tcPr>
          <w:p w14:paraId="143A454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80082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CC4F6A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37AA5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18E38C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825D3A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E36B7C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35AAB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9E2B1E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8D0B892" w14:textId="77777777" w:rsidR="00000000" w:rsidRDefault="001A570A">
            <w:pPr>
              <w:rPr>
                <w:rFonts w:eastAsia="Times New Roman"/>
                <w:sz w:val="20"/>
                <w:szCs w:val="20"/>
              </w:rPr>
            </w:pPr>
          </w:p>
        </w:tc>
      </w:tr>
      <w:tr w:rsidR="00000000" w14:paraId="63DA9A78" w14:textId="77777777">
        <w:trPr>
          <w:divId w:val="1060248383"/>
        </w:trPr>
        <w:tc>
          <w:tcPr>
            <w:tcW w:w="0" w:type="auto"/>
            <w:gridSpan w:val="3"/>
            <w:shd w:val="clear" w:color="auto" w:fill="CCEEFF"/>
            <w:tcMar>
              <w:top w:w="30" w:type="dxa"/>
              <w:left w:w="20" w:type="dxa"/>
              <w:bottom w:w="30" w:type="dxa"/>
              <w:right w:w="20" w:type="dxa"/>
            </w:tcMar>
            <w:hideMark/>
          </w:tcPr>
          <w:p w14:paraId="5EFD3B69"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33DD174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D269AA" w14:textId="77777777" w:rsidR="00000000" w:rsidRDefault="001A570A">
            <w:pPr>
              <w:jc w:val="right"/>
              <w:rPr>
                <w:rFonts w:eastAsia="Times New Roman"/>
              </w:rPr>
            </w:pPr>
            <w:r>
              <w:rPr>
                <w:rFonts w:eastAsia="Times New Roman"/>
                <w:color w:val="000000"/>
                <w:sz w:val="20"/>
                <w:szCs w:val="20"/>
              </w:rPr>
              <w:t>4,946 </w:t>
            </w:r>
          </w:p>
        </w:tc>
        <w:tc>
          <w:tcPr>
            <w:tcW w:w="0" w:type="auto"/>
            <w:shd w:val="clear" w:color="auto" w:fill="CCEEFF"/>
            <w:tcMar>
              <w:top w:w="30" w:type="dxa"/>
              <w:left w:w="0" w:type="dxa"/>
              <w:bottom w:w="30" w:type="dxa"/>
              <w:right w:w="20" w:type="dxa"/>
            </w:tcMar>
            <w:vAlign w:val="bottom"/>
            <w:hideMark/>
          </w:tcPr>
          <w:p w14:paraId="7A2C700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3A60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940A7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62677A" w14:textId="77777777" w:rsidR="00000000" w:rsidRDefault="001A570A">
            <w:pPr>
              <w:jc w:val="right"/>
              <w:rPr>
                <w:rFonts w:eastAsia="Times New Roman"/>
              </w:rPr>
            </w:pPr>
            <w:r>
              <w:rPr>
                <w:rFonts w:eastAsia="Times New Roman"/>
                <w:color w:val="000000"/>
                <w:sz w:val="20"/>
                <w:szCs w:val="20"/>
              </w:rPr>
              <w:t>4,352 </w:t>
            </w:r>
          </w:p>
        </w:tc>
        <w:tc>
          <w:tcPr>
            <w:tcW w:w="0" w:type="auto"/>
            <w:shd w:val="clear" w:color="auto" w:fill="CCEEFF"/>
            <w:tcMar>
              <w:top w:w="30" w:type="dxa"/>
              <w:left w:w="0" w:type="dxa"/>
              <w:bottom w:w="30" w:type="dxa"/>
              <w:right w:w="20" w:type="dxa"/>
            </w:tcMar>
            <w:vAlign w:val="bottom"/>
            <w:hideMark/>
          </w:tcPr>
          <w:p w14:paraId="07286AB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1EB0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F3615C"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7FEAE820"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1D80E6E" w14:textId="77777777" w:rsidR="00000000" w:rsidRDefault="001A570A">
            <w:pPr>
              <w:rPr>
                <w:rFonts w:eastAsia="Times New Roman"/>
              </w:rPr>
            </w:pPr>
          </w:p>
        </w:tc>
        <w:tc>
          <w:tcPr>
            <w:tcW w:w="0" w:type="auto"/>
            <w:shd w:val="clear" w:color="auto" w:fill="CCEEFF"/>
            <w:tcMar>
              <w:top w:w="30" w:type="dxa"/>
              <w:left w:w="20" w:type="dxa"/>
              <w:bottom w:w="30" w:type="dxa"/>
              <w:right w:w="0" w:type="dxa"/>
            </w:tcMar>
            <w:vAlign w:val="bottom"/>
            <w:hideMark/>
          </w:tcPr>
          <w:p w14:paraId="08AE871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80BA25" w14:textId="77777777" w:rsidR="00000000" w:rsidRDefault="001A570A">
            <w:pPr>
              <w:jc w:val="right"/>
              <w:rPr>
                <w:rFonts w:eastAsia="Times New Roman"/>
              </w:rPr>
            </w:pPr>
            <w:r>
              <w:rPr>
                <w:rFonts w:eastAsia="Times New Roman"/>
                <w:color w:val="000000"/>
                <w:sz w:val="20"/>
                <w:szCs w:val="20"/>
              </w:rPr>
              <w:t>4,689 </w:t>
            </w:r>
          </w:p>
        </w:tc>
        <w:tc>
          <w:tcPr>
            <w:tcW w:w="0" w:type="auto"/>
            <w:shd w:val="clear" w:color="auto" w:fill="CCEEFF"/>
            <w:tcMar>
              <w:top w:w="30" w:type="dxa"/>
              <w:left w:w="0" w:type="dxa"/>
              <w:bottom w:w="30" w:type="dxa"/>
              <w:right w:w="20" w:type="dxa"/>
            </w:tcMar>
            <w:vAlign w:val="bottom"/>
            <w:hideMark/>
          </w:tcPr>
          <w:p w14:paraId="2771F9E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CF24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385693"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485E471A" w14:textId="77777777" w:rsidR="00000000" w:rsidRDefault="001A570A">
            <w:pPr>
              <w:rPr>
                <w:rFonts w:eastAsia="Times New Roman"/>
              </w:rPr>
            </w:pPr>
            <w:r>
              <w:rPr>
                <w:rFonts w:eastAsia="Times New Roman"/>
                <w:color w:val="000000"/>
                <w:sz w:val="20"/>
                <w:szCs w:val="20"/>
              </w:rPr>
              <w:t>%</w:t>
            </w:r>
          </w:p>
        </w:tc>
      </w:tr>
      <w:tr w:rsidR="00000000" w14:paraId="7BC1320F" w14:textId="77777777">
        <w:trPr>
          <w:divId w:val="1060248383"/>
        </w:trPr>
        <w:tc>
          <w:tcPr>
            <w:tcW w:w="0" w:type="auto"/>
            <w:gridSpan w:val="3"/>
            <w:shd w:val="clear" w:color="auto" w:fill="FFFFFF"/>
            <w:tcMar>
              <w:top w:w="30" w:type="dxa"/>
              <w:left w:w="20" w:type="dxa"/>
              <w:bottom w:w="30" w:type="dxa"/>
              <w:right w:w="20" w:type="dxa"/>
            </w:tcMar>
            <w:hideMark/>
          </w:tcPr>
          <w:p w14:paraId="5464C842"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39635D9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09A2D3" w14:textId="77777777" w:rsidR="00000000" w:rsidRDefault="001A570A">
            <w:pPr>
              <w:jc w:val="right"/>
              <w:rPr>
                <w:rFonts w:eastAsia="Times New Roman"/>
              </w:rPr>
            </w:pPr>
            <w:r>
              <w:rPr>
                <w:rFonts w:eastAsia="Times New Roman"/>
                <w:color w:val="000000"/>
                <w:sz w:val="20"/>
                <w:szCs w:val="20"/>
              </w:rPr>
              <w:t>932 </w:t>
            </w:r>
          </w:p>
        </w:tc>
        <w:tc>
          <w:tcPr>
            <w:tcW w:w="0" w:type="auto"/>
            <w:shd w:val="clear" w:color="auto" w:fill="FFFFFF"/>
            <w:tcMar>
              <w:top w:w="30" w:type="dxa"/>
              <w:left w:w="0" w:type="dxa"/>
              <w:bottom w:w="30" w:type="dxa"/>
              <w:right w:w="20" w:type="dxa"/>
            </w:tcMar>
            <w:vAlign w:val="bottom"/>
            <w:hideMark/>
          </w:tcPr>
          <w:p w14:paraId="70B84AF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20A6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F4FAE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49B387" w14:textId="77777777" w:rsidR="00000000" w:rsidRDefault="001A570A">
            <w:pPr>
              <w:jc w:val="right"/>
              <w:rPr>
                <w:rFonts w:eastAsia="Times New Roman"/>
              </w:rPr>
            </w:pPr>
            <w:r>
              <w:rPr>
                <w:rFonts w:eastAsia="Times New Roman"/>
                <w:color w:val="000000"/>
                <w:sz w:val="20"/>
                <w:szCs w:val="20"/>
              </w:rPr>
              <w:t>816 </w:t>
            </w:r>
          </w:p>
        </w:tc>
        <w:tc>
          <w:tcPr>
            <w:tcW w:w="0" w:type="auto"/>
            <w:shd w:val="clear" w:color="auto" w:fill="FFFFFF"/>
            <w:tcMar>
              <w:top w:w="30" w:type="dxa"/>
              <w:left w:w="0" w:type="dxa"/>
              <w:bottom w:w="30" w:type="dxa"/>
              <w:right w:w="20" w:type="dxa"/>
            </w:tcMar>
            <w:vAlign w:val="bottom"/>
            <w:hideMark/>
          </w:tcPr>
          <w:p w14:paraId="74790C7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F596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615D8"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2630CD3F"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93EB231" w14:textId="77777777" w:rsidR="00000000" w:rsidRDefault="001A570A">
            <w:pPr>
              <w:rPr>
                <w:rFonts w:eastAsia="Times New Roman"/>
              </w:rPr>
            </w:pPr>
          </w:p>
        </w:tc>
        <w:tc>
          <w:tcPr>
            <w:tcW w:w="0" w:type="auto"/>
            <w:shd w:val="clear" w:color="auto" w:fill="FFFFFF"/>
            <w:tcMar>
              <w:top w:w="30" w:type="dxa"/>
              <w:left w:w="20" w:type="dxa"/>
              <w:bottom w:w="30" w:type="dxa"/>
              <w:right w:w="0" w:type="dxa"/>
            </w:tcMar>
            <w:vAlign w:val="bottom"/>
            <w:hideMark/>
          </w:tcPr>
          <w:p w14:paraId="3546E68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05C17F" w14:textId="77777777" w:rsidR="00000000" w:rsidRDefault="001A570A">
            <w:pPr>
              <w:jc w:val="right"/>
              <w:rPr>
                <w:rFonts w:eastAsia="Times New Roman"/>
              </w:rPr>
            </w:pPr>
            <w:r>
              <w:rPr>
                <w:rFonts w:eastAsia="Times New Roman"/>
                <w:color w:val="000000"/>
                <w:sz w:val="20"/>
                <w:szCs w:val="20"/>
              </w:rPr>
              <w:t>873 </w:t>
            </w:r>
          </w:p>
        </w:tc>
        <w:tc>
          <w:tcPr>
            <w:tcW w:w="0" w:type="auto"/>
            <w:shd w:val="clear" w:color="auto" w:fill="FFFFFF"/>
            <w:tcMar>
              <w:top w:w="30" w:type="dxa"/>
              <w:left w:w="0" w:type="dxa"/>
              <w:bottom w:w="30" w:type="dxa"/>
              <w:right w:w="20" w:type="dxa"/>
            </w:tcMar>
            <w:vAlign w:val="bottom"/>
            <w:hideMark/>
          </w:tcPr>
          <w:p w14:paraId="03DD0EC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D135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2C57D6" w14:textId="77777777" w:rsidR="00000000" w:rsidRDefault="001A570A">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32750D" w14:textId="77777777" w:rsidR="00000000" w:rsidRDefault="001A570A">
            <w:pPr>
              <w:rPr>
                <w:rFonts w:eastAsia="Times New Roman"/>
              </w:rPr>
            </w:pPr>
            <w:r>
              <w:rPr>
                <w:rFonts w:eastAsia="Times New Roman"/>
                <w:color w:val="000000"/>
                <w:sz w:val="20"/>
                <w:szCs w:val="20"/>
              </w:rPr>
              <w:t>%</w:t>
            </w:r>
          </w:p>
        </w:tc>
      </w:tr>
      <w:tr w:rsidR="00000000" w14:paraId="549C45F6" w14:textId="77777777">
        <w:trPr>
          <w:divId w:val="1060248383"/>
        </w:trPr>
        <w:tc>
          <w:tcPr>
            <w:tcW w:w="0" w:type="auto"/>
            <w:gridSpan w:val="3"/>
            <w:shd w:val="clear" w:color="auto" w:fill="CCEEFF"/>
            <w:tcMar>
              <w:top w:w="30" w:type="dxa"/>
              <w:left w:w="245" w:type="dxa"/>
              <w:bottom w:w="30" w:type="dxa"/>
              <w:right w:w="20" w:type="dxa"/>
            </w:tcMar>
            <w:hideMark/>
          </w:tcPr>
          <w:p w14:paraId="3DAA6E73"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4E5BF523"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38D824DE"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70B3ABA"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D8E8DB"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7069F9F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CA8565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55C7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9FE2D"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8EB39"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7D44D29A"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450698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D95E5" w14:textId="77777777" w:rsidR="00000000" w:rsidRDefault="001A570A">
            <w:pPr>
              <w:rPr>
                <w:rFonts w:eastAsia="Times New Roman"/>
                <w:sz w:val="20"/>
                <w:szCs w:val="20"/>
              </w:rPr>
            </w:pPr>
          </w:p>
        </w:tc>
      </w:tr>
    </w:tbl>
    <w:p w14:paraId="0A34CB0F" w14:textId="77777777" w:rsidR="00000000" w:rsidRDefault="001A570A">
      <w:pPr>
        <w:ind w:firstLine="450"/>
        <w:divId w:val="1628389129"/>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40"/>
        <w:gridCol w:w="2313"/>
        <w:gridCol w:w="39"/>
        <w:gridCol w:w="120"/>
        <w:gridCol w:w="500"/>
        <w:gridCol w:w="187"/>
        <w:gridCol w:w="36"/>
        <w:gridCol w:w="36"/>
        <w:gridCol w:w="36"/>
        <w:gridCol w:w="121"/>
        <w:gridCol w:w="776"/>
        <w:gridCol w:w="188"/>
        <w:gridCol w:w="37"/>
        <w:gridCol w:w="118"/>
        <w:gridCol w:w="36"/>
        <w:gridCol w:w="88"/>
        <w:gridCol w:w="575"/>
        <w:gridCol w:w="187"/>
        <w:gridCol w:w="36"/>
        <w:gridCol w:w="36"/>
        <w:gridCol w:w="36"/>
        <w:gridCol w:w="120"/>
        <w:gridCol w:w="500"/>
        <w:gridCol w:w="187"/>
        <w:gridCol w:w="36"/>
        <w:gridCol w:w="36"/>
        <w:gridCol w:w="36"/>
        <w:gridCol w:w="120"/>
        <w:gridCol w:w="500"/>
        <w:gridCol w:w="187"/>
        <w:gridCol w:w="36"/>
        <w:gridCol w:w="36"/>
        <w:gridCol w:w="36"/>
        <w:gridCol w:w="88"/>
        <w:gridCol w:w="575"/>
        <w:gridCol w:w="187"/>
      </w:tblGrid>
      <w:tr w:rsidR="00000000" w14:paraId="4D471E13" w14:textId="77777777">
        <w:trPr>
          <w:divId w:val="1314917199"/>
        </w:trPr>
        <w:tc>
          <w:tcPr>
            <w:tcW w:w="50" w:type="pct"/>
            <w:vAlign w:val="center"/>
            <w:hideMark/>
          </w:tcPr>
          <w:p w14:paraId="265EA603" w14:textId="77777777" w:rsidR="00000000" w:rsidRDefault="001A570A">
            <w:pPr>
              <w:ind w:firstLine="450"/>
              <w:rPr>
                <w:rFonts w:eastAsia="Times New Roman"/>
              </w:rPr>
            </w:pPr>
          </w:p>
        </w:tc>
        <w:tc>
          <w:tcPr>
            <w:tcW w:w="1911" w:type="pct"/>
            <w:vAlign w:val="center"/>
            <w:hideMark/>
          </w:tcPr>
          <w:p w14:paraId="18139756" w14:textId="77777777" w:rsidR="00000000" w:rsidRDefault="001A570A">
            <w:pPr>
              <w:rPr>
                <w:rFonts w:eastAsia="Times New Roman"/>
                <w:sz w:val="20"/>
                <w:szCs w:val="20"/>
              </w:rPr>
            </w:pPr>
          </w:p>
        </w:tc>
        <w:tc>
          <w:tcPr>
            <w:tcW w:w="5" w:type="pct"/>
            <w:vAlign w:val="center"/>
            <w:hideMark/>
          </w:tcPr>
          <w:p w14:paraId="42A17457" w14:textId="77777777" w:rsidR="00000000" w:rsidRDefault="001A570A">
            <w:pPr>
              <w:rPr>
                <w:rFonts w:eastAsia="Times New Roman"/>
                <w:sz w:val="20"/>
                <w:szCs w:val="20"/>
              </w:rPr>
            </w:pPr>
          </w:p>
        </w:tc>
        <w:tc>
          <w:tcPr>
            <w:tcW w:w="50" w:type="pct"/>
            <w:vAlign w:val="center"/>
            <w:hideMark/>
          </w:tcPr>
          <w:p w14:paraId="46F90CFD" w14:textId="77777777" w:rsidR="00000000" w:rsidRDefault="001A570A">
            <w:pPr>
              <w:rPr>
                <w:rFonts w:eastAsia="Times New Roman"/>
                <w:sz w:val="20"/>
                <w:szCs w:val="20"/>
              </w:rPr>
            </w:pPr>
          </w:p>
        </w:tc>
        <w:tc>
          <w:tcPr>
            <w:tcW w:w="474" w:type="pct"/>
            <w:vAlign w:val="center"/>
            <w:hideMark/>
          </w:tcPr>
          <w:p w14:paraId="5B742884" w14:textId="77777777" w:rsidR="00000000" w:rsidRDefault="001A570A">
            <w:pPr>
              <w:rPr>
                <w:rFonts w:eastAsia="Times New Roman"/>
                <w:sz w:val="20"/>
                <w:szCs w:val="20"/>
              </w:rPr>
            </w:pPr>
          </w:p>
        </w:tc>
        <w:tc>
          <w:tcPr>
            <w:tcW w:w="5" w:type="pct"/>
            <w:vAlign w:val="center"/>
            <w:hideMark/>
          </w:tcPr>
          <w:p w14:paraId="12432B4B" w14:textId="77777777" w:rsidR="00000000" w:rsidRDefault="001A570A">
            <w:pPr>
              <w:rPr>
                <w:rFonts w:eastAsia="Times New Roman"/>
                <w:sz w:val="20"/>
                <w:szCs w:val="20"/>
              </w:rPr>
            </w:pPr>
          </w:p>
        </w:tc>
        <w:tc>
          <w:tcPr>
            <w:tcW w:w="5" w:type="pct"/>
            <w:vAlign w:val="center"/>
            <w:hideMark/>
          </w:tcPr>
          <w:p w14:paraId="35E09FD5" w14:textId="77777777" w:rsidR="00000000" w:rsidRDefault="001A570A">
            <w:pPr>
              <w:rPr>
                <w:rFonts w:eastAsia="Times New Roman"/>
                <w:sz w:val="20"/>
                <w:szCs w:val="20"/>
              </w:rPr>
            </w:pPr>
          </w:p>
        </w:tc>
        <w:tc>
          <w:tcPr>
            <w:tcW w:w="19" w:type="pct"/>
            <w:vAlign w:val="center"/>
            <w:hideMark/>
          </w:tcPr>
          <w:p w14:paraId="05608214" w14:textId="77777777" w:rsidR="00000000" w:rsidRDefault="001A570A">
            <w:pPr>
              <w:rPr>
                <w:rFonts w:eastAsia="Times New Roman"/>
                <w:sz w:val="20"/>
                <w:szCs w:val="20"/>
              </w:rPr>
            </w:pPr>
          </w:p>
        </w:tc>
        <w:tc>
          <w:tcPr>
            <w:tcW w:w="5" w:type="pct"/>
            <w:vAlign w:val="center"/>
            <w:hideMark/>
          </w:tcPr>
          <w:p w14:paraId="626AE89E" w14:textId="77777777" w:rsidR="00000000" w:rsidRDefault="001A570A">
            <w:pPr>
              <w:rPr>
                <w:rFonts w:eastAsia="Times New Roman"/>
                <w:sz w:val="20"/>
                <w:szCs w:val="20"/>
              </w:rPr>
            </w:pPr>
          </w:p>
        </w:tc>
        <w:tc>
          <w:tcPr>
            <w:tcW w:w="50" w:type="pct"/>
            <w:vAlign w:val="center"/>
            <w:hideMark/>
          </w:tcPr>
          <w:p w14:paraId="3A6AEDCF" w14:textId="77777777" w:rsidR="00000000" w:rsidRDefault="001A570A">
            <w:pPr>
              <w:rPr>
                <w:rFonts w:eastAsia="Times New Roman"/>
                <w:sz w:val="20"/>
                <w:szCs w:val="20"/>
              </w:rPr>
            </w:pPr>
          </w:p>
        </w:tc>
        <w:tc>
          <w:tcPr>
            <w:tcW w:w="474" w:type="pct"/>
            <w:vAlign w:val="center"/>
            <w:hideMark/>
          </w:tcPr>
          <w:p w14:paraId="3331F411" w14:textId="77777777" w:rsidR="00000000" w:rsidRDefault="001A570A">
            <w:pPr>
              <w:rPr>
                <w:rFonts w:eastAsia="Times New Roman"/>
                <w:sz w:val="20"/>
                <w:szCs w:val="20"/>
              </w:rPr>
            </w:pPr>
          </w:p>
        </w:tc>
        <w:tc>
          <w:tcPr>
            <w:tcW w:w="5" w:type="pct"/>
            <w:vAlign w:val="center"/>
            <w:hideMark/>
          </w:tcPr>
          <w:p w14:paraId="1E6D1029" w14:textId="77777777" w:rsidR="00000000" w:rsidRDefault="001A570A">
            <w:pPr>
              <w:rPr>
                <w:rFonts w:eastAsia="Times New Roman"/>
                <w:sz w:val="20"/>
                <w:szCs w:val="20"/>
              </w:rPr>
            </w:pPr>
          </w:p>
        </w:tc>
        <w:tc>
          <w:tcPr>
            <w:tcW w:w="5" w:type="pct"/>
            <w:vAlign w:val="center"/>
            <w:hideMark/>
          </w:tcPr>
          <w:p w14:paraId="5911C285" w14:textId="77777777" w:rsidR="00000000" w:rsidRDefault="001A570A">
            <w:pPr>
              <w:rPr>
                <w:rFonts w:eastAsia="Times New Roman"/>
                <w:sz w:val="20"/>
                <w:szCs w:val="20"/>
              </w:rPr>
            </w:pPr>
          </w:p>
        </w:tc>
        <w:tc>
          <w:tcPr>
            <w:tcW w:w="19" w:type="pct"/>
            <w:vAlign w:val="center"/>
            <w:hideMark/>
          </w:tcPr>
          <w:p w14:paraId="1960490D" w14:textId="77777777" w:rsidR="00000000" w:rsidRDefault="001A570A">
            <w:pPr>
              <w:rPr>
                <w:rFonts w:eastAsia="Times New Roman"/>
                <w:sz w:val="20"/>
                <w:szCs w:val="20"/>
              </w:rPr>
            </w:pPr>
          </w:p>
        </w:tc>
        <w:tc>
          <w:tcPr>
            <w:tcW w:w="5" w:type="pct"/>
            <w:vAlign w:val="center"/>
            <w:hideMark/>
          </w:tcPr>
          <w:p w14:paraId="1DDF3E4F" w14:textId="77777777" w:rsidR="00000000" w:rsidRDefault="001A570A">
            <w:pPr>
              <w:rPr>
                <w:rFonts w:eastAsia="Times New Roman"/>
                <w:sz w:val="20"/>
                <w:szCs w:val="20"/>
              </w:rPr>
            </w:pPr>
          </w:p>
        </w:tc>
        <w:tc>
          <w:tcPr>
            <w:tcW w:w="50" w:type="pct"/>
            <w:vAlign w:val="center"/>
            <w:hideMark/>
          </w:tcPr>
          <w:p w14:paraId="18661439" w14:textId="77777777" w:rsidR="00000000" w:rsidRDefault="001A570A">
            <w:pPr>
              <w:rPr>
                <w:rFonts w:eastAsia="Times New Roman"/>
                <w:sz w:val="20"/>
                <w:szCs w:val="20"/>
              </w:rPr>
            </w:pPr>
          </w:p>
        </w:tc>
        <w:tc>
          <w:tcPr>
            <w:tcW w:w="329" w:type="pct"/>
            <w:vAlign w:val="center"/>
            <w:hideMark/>
          </w:tcPr>
          <w:p w14:paraId="1F22990A" w14:textId="77777777" w:rsidR="00000000" w:rsidRDefault="001A570A">
            <w:pPr>
              <w:rPr>
                <w:rFonts w:eastAsia="Times New Roman"/>
                <w:sz w:val="20"/>
                <w:szCs w:val="20"/>
              </w:rPr>
            </w:pPr>
          </w:p>
        </w:tc>
        <w:tc>
          <w:tcPr>
            <w:tcW w:w="5" w:type="pct"/>
            <w:vAlign w:val="center"/>
            <w:hideMark/>
          </w:tcPr>
          <w:p w14:paraId="0D55CF4E" w14:textId="77777777" w:rsidR="00000000" w:rsidRDefault="001A570A">
            <w:pPr>
              <w:rPr>
                <w:rFonts w:eastAsia="Times New Roman"/>
                <w:sz w:val="20"/>
                <w:szCs w:val="20"/>
              </w:rPr>
            </w:pPr>
          </w:p>
        </w:tc>
        <w:tc>
          <w:tcPr>
            <w:tcW w:w="5" w:type="pct"/>
            <w:vAlign w:val="center"/>
            <w:hideMark/>
          </w:tcPr>
          <w:p w14:paraId="2FFE9F6E" w14:textId="77777777" w:rsidR="00000000" w:rsidRDefault="001A570A">
            <w:pPr>
              <w:rPr>
                <w:rFonts w:eastAsia="Times New Roman"/>
                <w:sz w:val="20"/>
                <w:szCs w:val="20"/>
              </w:rPr>
            </w:pPr>
          </w:p>
        </w:tc>
        <w:tc>
          <w:tcPr>
            <w:tcW w:w="19" w:type="pct"/>
            <w:vAlign w:val="center"/>
            <w:hideMark/>
          </w:tcPr>
          <w:p w14:paraId="56370C5C" w14:textId="77777777" w:rsidR="00000000" w:rsidRDefault="001A570A">
            <w:pPr>
              <w:rPr>
                <w:rFonts w:eastAsia="Times New Roman"/>
                <w:sz w:val="20"/>
                <w:szCs w:val="20"/>
              </w:rPr>
            </w:pPr>
          </w:p>
        </w:tc>
        <w:tc>
          <w:tcPr>
            <w:tcW w:w="5" w:type="pct"/>
            <w:vAlign w:val="center"/>
            <w:hideMark/>
          </w:tcPr>
          <w:p w14:paraId="18E2179E" w14:textId="77777777" w:rsidR="00000000" w:rsidRDefault="001A570A">
            <w:pPr>
              <w:rPr>
                <w:rFonts w:eastAsia="Times New Roman"/>
                <w:sz w:val="20"/>
                <w:szCs w:val="20"/>
              </w:rPr>
            </w:pPr>
          </w:p>
        </w:tc>
        <w:tc>
          <w:tcPr>
            <w:tcW w:w="50" w:type="pct"/>
            <w:vAlign w:val="center"/>
            <w:hideMark/>
          </w:tcPr>
          <w:p w14:paraId="34B0B4FB" w14:textId="77777777" w:rsidR="00000000" w:rsidRDefault="001A570A">
            <w:pPr>
              <w:rPr>
                <w:rFonts w:eastAsia="Times New Roman"/>
                <w:sz w:val="20"/>
                <w:szCs w:val="20"/>
              </w:rPr>
            </w:pPr>
          </w:p>
        </w:tc>
        <w:tc>
          <w:tcPr>
            <w:tcW w:w="474" w:type="pct"/>
            <w:vAlign w:val="center"/>
            <w:hideMark/>
          </w:tcPr>
          <w:p w14:paraId="7A1BDDF1" w14:textId="77777777" w:rsidR="00000000" w:rsidRDefault="001A570A">
            <w:pPr>
              <w:rPr>
                <w:rFonts w:eastAsia="Times New Roman"/>
                <w:sz w:val="20"/>
                <w:szCs w:val="20"/>
              </w:rPr>
            </w:pPr>
          </w:p>
        </w:tc>
        <w:tc>
          <w:tcPr>
            <w:tcW w:w="5" w:type="pct"/>
            <w:vAlign w:val="center"/>
            <w:hideMark/>
          </w:tcPr>
          <w:p w14:paraId="1A1E61CF" w14:textId="77777777" w:rsidR="00000000" w:rsidRDefault="001A570A">
            <w:pPr>
              <w:rPr>
                <w:rFonts w:eastAsia="Times New Roman"/>
                <w:sz w:val="20"/>
                <w:szCs w:val="20"/>
              </w:rPr>
            </w:pPr>
          </w:p>
        </w:tc>
        <w:tc>
          <w:tcPr>
            <w:tcW w:w="5" w:type="pct"/>
            <w:vAlign w:val="center"/>
            <w:hideMark/>
          </w:tcPr>
          <w:p w14:paraId="1A9B1466" w14:textId="77777777" w:rsidR="00000000" w:rsidRDefault="001A570A">
            <w:pPr>
              <w:rPr>
                <w:rFonts w:eastAsia="Times New Roman"/>
                <w:sz w:val="20"/>
                <w:szCs w:val="20"/>
              </w:rPr>
            </w:pPr>
          </w:p>
        </w:tc>
        <w:tc>
          <w:tcPr>
            <w:tcW w:w="19" w:type="pct"/>
            <w:vAlign w:val="center"/>
            <w:hideMark/>
          </w:tcPr>
          <w:p w14:paraId="4A6A4A7F" w14:textId="77777777" w:rsidR="00000000" w:rsidRDefault="001A570A">
            <w:pPr>
              <w:rPr>
                <w:rFonts w:eastAsia="Times New Roman"/>
                <w:sz w:val="20"/>
                <w:szCs w:val="20"/>
              </w:rPr>
            </w:pPr>
          </w:p>
        </w:tc>
        <w:tc>
          <w:tcPr>
            <w:tcW w:w="5" w:type="pct"/>
            <w:vAlign w:val="center"/>
            <w:hideMark/>
          </w:tcPr>
          <w:p w14:paraId="6AB8C1E0" w14:textId="77777777" w:rsidR="00000000" w:rsidRDefault="001A570A">
            <w:pPr>
              <w:rPr>
                <w:rFonts w:eastAsia="Times New Roman"/>
                <w:sz w:val="20"/>
                <w:szCs w:val="20"/>
              </w:rPr>
            </w:pPr>
          </w:p>
        </w:tc>
        <w:tc>
          <w:tcPr>
            <w:tcW w:w="50" w:type="pct"/>
            <w:vAlign w:val="center"/>
            <w:hideMark/>
          </w:tcPr>
          <w:p w14:paraId="4CF2A31D" w14:textId="77777777" w:rsidR="00000000" w:rsidRDefault="001A570A">
            <w:pPr>
              <w:rPr>
                <w:rFonts w:eastAsia="Times New Roman"/>
                <w:sz w:val="20"/>
                <w:szCs w:val="20"/>
              </w:rPr>
            </w:pPr>
          </w:p>
        </w:tc>
        <w:tc>
          <w:tcPr>
            <w:tcW w:w="474" w:type="pct"/>
            <w:vAlign w:val="center"/>
            <w:hideMark/>
          </w:tcPr>
          <w:p w14:paraId="1368693A" w14:textId="77777777" w:rsidR="00000000" w:rsidRDefault="001A570A">
            <w:pPr>
              <w:rPr>
                <w:rFonts w:eastAsia="Times New Roman"/>
                <w:sz w:val="20"/>
                <w:szCs w:val="20"/>
              </w:rPr>
            </w:pPr>
          </w:p>
        </w:tc>
        <w:tc>
          <w:tcPr>
            <w:tcW w:w="5" w:type="pct"/>
            <w:vAlign w:val="center"/>
            <w:hideMark/>
          </w:tcPr>
          <w:p w14:paraId="279999CF" w14:textId="77777777" w:rsidR="00000000" w:rsidRDefault="001A570A">
            <w:pPr>
              <w:rPr>
                <w:rFonts w:eastAsia="Times New Roman"/>
                <w:sz w:val="20"/>
                <w:szCs w:val="20"/>
              </w:rPr>
            </w:pPr>
          </w:p>
        </w:tc>
        <w:tc>
          <w:tcPr>
            <w:tcW w:w="5" w:type="pct"/>
            <w:vAlign w:val="center"/>
            <w:hideMark/>
          </w:tcPr>
          <w:p w14:paraId="4AAE5578" w14:textId="77777777" w:rsidR="00000000" w:rsidRDefault="001A570A">
            <w:pPr>
              <w:rPr>
                <w:rFonts w:eastAsia="Times New Roman"/>
                <w:sz w:val="20"/>
                <w:szCs w:val="20"/>
              </w:rPr>
            </w:pPr>
          </w:p>
        </w:tc>
        <w:tc>
          <w:tcPr>
            <w:tcW w:w="19" w:type="pct"/>
            <w:vAlign w:val="center"/>
            <w:hideMark/>
          </w:tcPr>
          <w:p w14:paraId="1D11AA12" w14:textId="77777777" w:rsidR="00000000" w:rsidRDefault="001A570A">
            <w:pPr>
              <w:rPr>
                <w:rFonts w:eastAsia="Times New Roman"/>
                <w:sz w:val="20"/>
                <w:szCs w:val="20"/>
              </w:rPr>
            </w:pPr>
          </w:p>
        </w:tc>
        <w:tc>
          <w:tcPr>
            <w:tcW w:w="5" w:type="pct"/>
            <w:vAlign w:val="center"/>
            <w:hideMark/>
          </w:tcPr>
          <w:p w14:paraId="49B64756" w14:textId="77777777" w:rsidR="00000000" w:rsidRDefault="001A570A">
            <w:pPr>
              <w:rPr>
                <w:rFonts w:eastAsia="Times New Roman"/>
                <w:sz w:val="20"/>
                <w:szCs w:val="20"/>
              </w:rPr>
            </w:pPr>
          </w:p>
        </w:tc>
        <w:tc>
          <w:tcPr>
            <w:tcW w:w="50" w:type="pct"/>
            <w:vAlign w:val="center"/>
            <w:hideMark/>
          </w:tcPr>
          <w:p w14:paraId="70DB7D10" w14:textId="77777777" w:rsidR="00000000" w:rsidRDefault="001A570A">
            <w:pPr>
              <w:rPr>
                <w:rFonts w:eastAsia="Times New Roman"/>
                <w:sz w:val="20"/>
                <w:szCs w:val="20"/>
              </w:rPr>
            </w:pPr>
          </w:p>
        </w:tc>
        <w:tc>
          <w:tcPr>
            <w:tcW w:w="329" w:type="pct"/>
            <w:vAlign w:val="center"/>
            <w:hideMark/>
          </w:tcPr>
          <w:p w14:paraId="2F59D250" w14:textId="77777777" w:rsidR="00000000" w:rsidRDefault="001A570A">
            <w:pPr>
              <w:rPr>
                <w:rFonts w:eastAsia="Times New Roman"/>
                <w:sz w:val="20"/>
                <w:szCs w:val="20"/>
              </w:rPr>
            </w:pPr>
          </w:p>
        </w:tc>
        <w:tc>
          <w:tcPr>
            <w:tcW w:w="5" w:type="pct"/>
            <w:vAlign w:val="center"/>
            <w:hideMark/>
          </w:tcPr>
          <w:p w14:paraId="23E61883" w14:textId="77777777" w:rsidR="00000000" w:rsidRDefault="001A570A">
            <w:pPr>
              <w:rPr>
                <w:rFonts w:eastAsia="Times New Roman"/>
                <w:sz w:val="20"/>
                <w:szCs w:val="20"/>
              </w:rPr>
            </w:pPr>
          </w:p>
        </w:tc>
      </w:tr>
      <w:tr w:rsidR="00000000" w14:paraId="7AF6DD80" w14:textId="77777777">
        <w:trPr>
          <w:divId w:val="1314917199"/>
        </w:trPr>
        <w:tc>
          <w:tcPr>
            <w:tcW w:w="0" w:type="auto"/>
            <w:gridSpan w:val="3"/>
            <w:tcMar>
              <w:top w:w="0" w:type="dxa"/>
              <w:left w:w="20" w:type="dxa"/>
              <w:bottom w:w="0" w:type="dxa"/>
              <w:right w:w="20" w:type="dxa"/>
            </w:tcMar>
            <w:vAlign w:val="center"/>
            <w:hideMark/>
          </w:tcPr>
          <w:p w14:paraId="3C59997E" w14:textId="77777777" w:rsidR="00000000" w:rsidRDefault="001A570A">
            <w:pPr>
              <w:rPr>
                <w:rFonts w:eastAsia="Times New Roman"/>
                <w:sz w:val="20"/>
                <w:szCs w:val="20"/>
              </w:rPr>
            </w:pPr>
          </w:p>
        </w:tc>
        <w:tc>
          <w:tcPr>
            <w:tcW w:w="0" w:type="auto"/>
            <w:gridSpan w:val="15"/>
            <w:tcMar>
              <w:top w:w="30" w:type="dxa"/>
              <w:left w:w="20" w:type="dxa"/>
              <w:bottom w:w="30" w:type="dxa"/>
              <w:right w:w="20" w:type="dxa"/>
            </w:tcMar>
            <w:vAlign w:val="bottom"/>
            <w:hideMark/>
          </w:tcPr>
          <w:p w14:paraId="54624167"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5873E2F5"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70D6C956"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0D07DB2D" w14:textId="77777777">
        <w:trPr>
          <w:divId w:val="1314917199"/>
        </w:trPr>
        <w:tc>
          <w:tcPr>
            <w:tcW w:w="0" w:type="auto"/>
            <w:gridSpan w:val="3"/>
            <w:tcMar>
              <w:top w:w="0" w:type="dxa"/>
              <w:left w:w="20" w:type="dxa"/>
              <w:bottom w:w="0" w:type="dxa"/>
              <w:right w:w="20" w:type="dxa"/>
            </w:tcMar>
            <w:vAlign w:val="center"/>
            <w:hideMark/>
          </w:tcPr>
          <w:p w14:paraId="6B9C820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35B44A"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D52621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88B7EE" w14:textId="77777777" w:rsidR="00000000" w:rsidRDefault="001A570A">
            <w:pPr>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2018</w:t>
            </w:r>
          </w:p>
        </w:tc>
        <w:tc>
          <w:tcPr>
            <w:tcW w:w="0" w:type="auto"/>
            <w:gridSpan w:val="3"/>
            <w:tcBorders>
              <w:top w:val="single" w:sz="8" w:space="0" w:color="000000"/>
            </w:tcBorders>
            <w:tcMar>
              <w:top w:w="0" w:type="dxa"/>
              <w:left w:w="20" w:type="dxa"/>
              <w:bottom w:w="0" w:type="dxa"/>
              <w:right w:w="20" w:type="dxa"/>
            </w:tcMar>
            <w:vAlign w:val="center"/>
            <w:hideMark/>
          </w:tcPr>
          <w:p w14:paraId="2405278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CA9932"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r>
            <w:r>
              <w:rPr>
                <w:rFonts w:eastAsia="Times New Roman"/>
                <w:b/>
                <w:bCs/>
                <w:color w:val="000000"/>
                <w:sz w:val="16"/>
                <w:szCs w:val="16"/>
              </w:rPr>
              <w:t>Inc/(Dec)</w:t>
            </w:r>
          </w:p>
        </w:tc>
        <w:tc>
          <w:tcPr>
            <w:tcW w:w="0" w:type="auto"/>
            <w:gridSpan w:val="3"/>
            <w:tcMar>
              <w:top w:w="0" w:type="dxa"/>
              <w:left w:w="20" w:type="dxa"/>
              <w:bottom w:w="0" w:type="dxa"/>
              <w:right w:w="20" w:type="dxa"/>
            </w:tcMar>
            <w:vAlign w:val="center"/>
            <w:hideMark/>
          </w:tcPr>
          <w:p w14:paraId="1B63F89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459D23"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3AAA3C74"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DE07D5" w14:textId="77777777" w:rsidR="00000000" w:rsidRDefault="001A570A">
            <w:pPr>
              <w:jc w:val="center"/>
              <w:rPr>
                <w:rFonts w:eastAsia="Times New Roman"/>
              </w:rPr>
            </w:pPr>
            <w:r>
              <w:rPr>
                <w:rFonts w:eastAsia="Times New Roman"/>
                <w:b/>
                <w:bCs/>
                <w:color w:val="000000"/>
                <w:sz w:val="16"/>
                <w:szCs w:val="16"/>
              </w:rPr>
              <w:t>June 29, 2018</w:t>
            </w:r>
          </w:p>
        </w:tc>
        <w:tc>
          <w:tcPr>
            <w:tcW w:w="0" w:type="auto"/>
            <w:gridSpan w:val="3"/>
            <w:tcBorders>
              <w:top w:val="single" w:sz="8" w:space="0" w:color="000000"/>
            </w:tcBorders>
            <w:tcMar>
              <w:top w:w="0" w:type="dxa"/>
              <w:left w:w="20" w:type="dxa"/>
              <w:bottom w:w="0" w:type="dxa"/>
              <w:right w:w="20" w:type="dxa"/>
            </w:tcMar>
            <w:vAlign w:val="center"/>
            <w:hideMark/>
          </w:tcPr>
          <w:p w14:paraId="73DF3A1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C54C2A"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14352D85" w14:textId="77777777">
        <w:trPr>
          <w:divId w:val="1314917199"/>
        </w:trPr>
        <w:tc>
          <w:tcPr>
            <w:tcW w:w="0" w:type="auto"/>
            <w:gridSpan w:val="3"/>
            <w:tcMar>
              <w:top w:w="30" w:type="dxa"/>
              <w:left w:w="20" w:type="dxa"/>
              <w:bottom w:w="30" w:type="dxa"/>
              <w:right w:w="20" w:type="dxa"/>
            </w:tcMar>
            <w:vAlign w:val="bottom"/>
            <w:hideMark/>
          </w:tcPr>
          <w:p w14:paraId="017000C1"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40D99074"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75878FA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9ED2FB"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2410D4CE"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4C0B2C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F979B97" w14:textId="77777777" w:rsidR="00000000" w:rsidRDefault="001A570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638D023"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5C95B836"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6C8E63A" w14:textId="77777777" w:rsidR="00000000" w:rsidRDefault="001A570A">
            <w:pPr>
              <w:rPr>
                <w:rFonts w:eastAsia="Times New Roman"/>
                <w:sz w:val="20"/>
                <w:szCs w:val="20"/>
              </w:rPr>
            </w:pPr>
          </w:p>
        </w:tc>
      </w:tr>
      <w:tr w:rsidR="00000000" w14:paraId="0697D540" w14:textId="77777777">
        <w:trPr>
          <w:divId w:val="1314917199"/>
          <w:trHeight w:val="60"/>
        </w:trPr>
        <w:tc>
          <w:tcPr>
            <w:tcW w:w="0" w:type="auto"/>
            <w:gridSpan w:val="3"/>
            <w:tcMar>
              <w:top w:w="0" w:type="dxa"/>
              <w:left w:w="20" w:type="dxa"/>
              <w:bottom w:w="0" w:type="dxa"/>
              <w:right w:w="20" w:type="dxa"/>
            </w:tcMar>
            <w:vAlign w:val="center"/>
            <w:hideMark/>
          </w:tcPr>
          <w:p w14:paraId="571FF0E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69A07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23EBBB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B35EE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B4B8E9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CAA212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5C7B1F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02F27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1BF59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A8F36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48E789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8B4AE84" w14:textId="77777777" w:rsidR="00000000" w:rsidRDefault="001A570A">
            <w:pPr>
              <w:rPr>
                <w:rFonts w:eastAsia="Times New Roman"/>
                <w:sz w:val="20"/>
                <w:szCs w:val="20"/>
              </w:rPr>
            </w:pPr>
          </w:p>
        </w:tc>
      </w:tr>
      <w:tr w:rsidR="00000000" w14:paraId="511A05AD" w14:textId="77777777">
        <w:trPr>
          <w:divId w:val="1314917199"/>
        </w:trPr>
        <w:tc>
          <w:tcPr>
            <w:tcW w:w="0" w:type="auto"/>
            <w:gridSpan w:val="3"/>
            <w:shd w:val="clear" w:color="auto" w:fill="CCEEFF"/>
            <w:tcMar>
              <w:top w:w="30" w:type="dxa"/>
              <w:left w:w="20" w:type="dxa"/>
              <w:bottom w:w="30" w:type="dxa"/>
              <w:right w:w="20" w:type="dxa"/>
            </w:tcMar>
            <w:hideMark/>
          </w:tcPr>
          <w:p w14:paraId="09DC9CD2"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6F78C9F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E963AD" w14:textId="77777777" w:rsidR="00000000" w:rsidRDefault="001A570A">
            <w:pPr>
              <w:jc w:val="right"/>
              <w:rPr>
                <w:rFonts w:eastAsia="Times New Roman"/>
              </w:rPr>
            </w:pPr>
            <w:r>
              <w:rPr>
                <w:rFonts w:eastAsia="Times New Roman"/>
                <w:color w:val="000000"/>
                <w:sz w:val="20"/>
                <w:szCs w:val="20"/>
              </w:rPr>
              <w:t>2,377 </w:t>
            </w:r>
          </w:p>
        </w:tc>
        <w:tc>
          <w:tcPr>
            <w:tcW w:w="0" w:type="auto"/>
            <w:shd w:val="clear" w:color="auto" w:fill="CCEEFF"/>
            <w:tcMar>
              <w:top w:w="30" w:type="dxa"/>
              <w:left w:w="0" w:type="dxa"/>
              <w:bottom w:w="30" w:type="dxa"/>
              <w:right w:w="20" w:type="dxa"/>
            </w:tcMar>
            <w:vAlign w:val="bottom"/>
            <w:hideMark/>
          </w:tcPr>
          <w:p w14:paraId="1FA18E0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2ACD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43E599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002F14" w14:textId="77777777" w:rsidR="00000000" w:rsidRDefault="001A570A">
            <w:pPr>
              <w:jc w:val="right"/>
              <w:rPr>
                <w:rFonts w:eastAsia="Times New Roman"/>
              </w:rPr>
            </w:pPr>
            <w:r>
              <w:rPr>
                <w:rFonts w:eastAsia="Times New Roman"/>
                <w:color w:val="000000"/>
                <w:sz w:val="20"/>
                <w:szCs w:val="20"/>
              </w:rPr>
              <w:t>1,736 </w:t>
            </w:r>
          </w:p>
        </w:tc>
        <w:tc>
          <w:tcPr>
            <w:tcW w:w="0" w:type="auto"/>
            <w:shd w:val="clear" w:color="auto" w:fill="CCEEFF"/>
            <w:tcMar>
              <w:top w:w="30" w:type="dxa"/>
              <w:left w:w="0" w:type="dxa"/>
              <w:bottom w:w="30" w:type="dxa"/>
              <w:right w:w="20" w:type="dxa"/>
            </w:tcMar>
            <w:vAlign w:val="bottom"/>
            <w:hideMark/>
          </w:tcPr>
          <w:p w14:paraId="1D1AECB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7987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A02C33"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68CC71BF"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34A8B2" w14:textId="77777777" w:rsidR="00000000" w:rsidRDefault="001A570A">
            <w:pPr>
              <w:rPr>
                <w:rFonts w:eastAsia="Times New Roman"/>
              </w:rPr>
            </w:pPr>
          </w:p>
        </w:tc>
        <w:tc>
          <w:tcPr>
            <w:tcW w:w="0" w:type="auto"/>
            <w:shd w:val="clear" w:color="auto" w:fill="CCEEFF"/>
            <w:tcMar>
              <w:top w:w="30" w:type="dxa"/>
              <w:left w:w="20" w:type="dxa"/>
              <w:bottom w:w="30" w:type="dxa"/>
              <w:right w:w="0" w:type="dxa"/>
            </w:tcMar>
            <w:vAlign w:val="bottom"/>
            <w:hideMark/>
          </w:tcPr>
          <w:p w14:paraId="2D38754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F7081E" w14:textId="77777777" w:rsidR="00000000" w:rsidRDefault="001A570A">
            <w:pPr>
              <w:jc w:val="right"/>
              <w:rPr>
                <w:rFonts w:eastAsia="Times New Roman"/>
              </w:rPr>
            </w:pPr>
            <w:r>
              <w:rPr>
                <w:rFonts w:eastAsia="Times New Roman"/>
                <w:color w:val="000000"/>
                <w:sz w:val="20"/>
                <w:szCs w:val="20"/>
              </w:rPr>
              <w:t>3,711 </w:t>
            </w:r>
          </w:p>
        </w:tc>
        <w:tc>
          <w:tcPr>
            <w:tcW w:w="0" w:type="auto"/>
            <w:shd w:val="clear" w:color="auto" w:fill="CCEEFF"/>
            <w:tcMar>
              <w:top w:w="30" w:type="dxa"/>
              <w:left w:w="0" w:type="dxa"/>
              <w:bottom w:w="30" w:type="dxa"/>
              <w:right w:w="20" w:type="dxa"/>
            </w:tcMar>
            <w:vAlign w:val="bottom"/>
            <w:hideMark/>
          </w:tcPr>
          <w:p w14:paraId="44FF480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A37CA"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BB09A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6E8AF7" w14:textId="77777777" w:rsidR="00000000" w:rsidRDefault="001A570A">
            <w:pPr>
              <w:jc w:val="right"/>
              <w:rPr>
                <w:rFonts w:eastAsia="Times New Roman"/>
              </w:rPr>
            </w:pPr>
            <w:r>
              <w:rPr>
                <w:rFonts w:eastAsia="Times New Roman"/>
                <w:color w:val="000000"/>
                <w:sz w:val="20"/>
                <w:szCs w:val="20"/>
              </w:rPr>
              <w:t>3,294 </w:t>
            </w:r>
          </w:p>
        </w:tc>
        <w:tc>
          <w:tcPr>
            <w:tcW w:w="0" w:type="auto"/>
            <w:shd w:val="clear" w:color="auto" w:fill="CCEEFF"/>
            <w:tcMar>
              <w:top w:w="30" w:type="dxa"/>
              <w:left w:w="0" w:type="dxa"/>
              <w:bottom w:w="30" w:type="dxa"/>
              <w:right w:w="20" w:type="dxa"/>
            </w:tcMar>
            <w:vAlign w:val="bottom"/>
            <w:hideMark/>
          </w:tcPr>
          <w:p w14:paraId="58D5CEC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B09E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67B9B0"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C4B5573" w14:textId="77777777" w:rsidR="00000000" w:rsidRDefault="001A570A">
            <w:pPr>
              <w:rPr>
                <w:rFonts w:eastAsia="Times New Roman"/>
              </w:rPr>
            </w:pPr>
            <w:r>
              <w:rPr>
                <w:rFonts w:eastAsia="Times New Roman"/>
                <w:color w:val="000000"/>
                <w:sz w:val="20"/>
                <w:szCs w:val="20"/>
              </w:rPr>
              <w:t>%</w:t>
            </w:r>
          </w:p>
        </w:tc>
      </w:tr>
      <w:tr w:rsidR="00000000" w14:paraId="5770140C" w14:textId="77777777">
        <w:trPr>
          <w:divId w:val="1314917199"/>
        </w:trPr>
        <w:tc>
          <w:tcPr>
            <w:tcW w:w="0" w:type="auto"/>
            <w:gridSpan w:val="3"/>
            <w:shd w:val="clear" w:color="auto" w:fill="FFFFFF"/>
            <w:tcMar>
              <w:top w:w="30" w:type="dxa"/>
              <w:left w:w="20" w:type="dxa"/>
              <w:bottom w:w="30" w:type="dxa"/>
              <w:right w:w="20" w:type="dxa"/>
            </w:tcMar>
            <w:hideMark/>
          </w:tcPr>
          <w:p w14:paraId="6E58A313"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5974F8F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7F7597" w14:textId="77777777" w:rsidR="00000000" w:rsidRDefault="001A570A">
            <w:pPr>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14:paraId="6FCF10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CA967"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BBBCF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4C525F" w14:textId="77777777" w:rsidR="00000000" w:rsidRDefault="001A570A">
            <w:pPr>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14:paraId="5D010B2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504A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114DA"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3069A4EC"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FE8AE46" w14:textId="77777777" w:rsidR="00000000" w:rsidRDefault="001A570A">
            <w:pPr>
              <w:rPr>
                <w:rFonts w:eastAsia="Times New Roman"/>
              </w:rPr>
            </w:pPr>
          </w:p>
        </w:tc>
        <w:tc>
          <w:tcPr>
            <w:tcW w:w="0" w:type="auto"/>
            <w:shd w:val="clear" w:color="auto" w:fill="FFFFFF"/>
            <w:tcMar>
              <w:top w:w="30" w:type="dxa"/>
              <w:left w:w="20" w:type="dxa"/>
              <w:bottom w:w="30" w:type="dxa"/>
              <w:right w:w="0" w:type="dxa"/>
            </w:tcMar>
            <w:vAlign w:val="bottom"/>
            <w:hideMark/>
          </w:tcPr>
          <w:p w14:paraId="7C72AAA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092F0B" w14:textId="77777777" w:rsidR="00000000" w:rsidRDefault="001A570A">
            <w:pPr>
              <w:jc w:val="right"/>
              <w:rPr>
                <w:rFonts w:eastAsia="Times New Roman"/>
              </w:rPr>
            </w:pPr>
            <w:r>
              <w:rPr>
                <w:rFonts w:eastAsia="Times New Roman"/>
                <w:color w:val="000000"/>
                <w:sz w:val="20"/>
                <w:szCs w:val="20"/>
              </w:rPr>
              <w:t>696 </w:t>
            </w:r>
          </w:p>
        </w:tc>
        <w:tc>
          <w:tcPr>
            <w:tcW w:w="0" w:type="auto"/>
            <w:shd w:val="clear" w:color="auto" w:fill="FFFFFF"/>
            <w:tcMar>
              <w:top w:w="30" w:type="dxa"/>
              <w:left w:w="0" w:type="dxa"/>
              <w:bottom w:w="30" w:type="dxa"/>
              <w:right w:w="20" w:type="dxa"/>
            </w:tcMar>
            <w:vAlign w:val="bottom"/>
            <w:hideMark/>
          </w:tcPr>
          <w:p w14:paraId="395E8E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7752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A7037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3C7DB1" w14:textId="77777777" w:rsidR="00000000" w:rsidRDefault="001A570A">
            <w:pPr>
              <w:jc w:val="right"/>
              <w:rPr>
                <w:rFonts w:eastAsia="Times New Roman"/>
              </w:rPr>
            </w:pPr>
            <w:r>
              <w:rPr>
                <w:rFonts w:eastAsia="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14:paraId="4BAEAF2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81C8A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A8615"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5DF692F1" w14:textId="77777777" w:rsidR="00000000" w:rsidRDefault="001A570A">
            <w:pPr>
              <w:rPr>
                <w:rFonts w:eastAsia="Times New Roman"/>
              </w:rPr>
            </w:pPr>
            <w:r>
              <w:rPr>
                <w:rFonts w:eastAsia="Times New Roman"/>
                <w:color w:val="000000"/>
                <w:sz w:val="20"/>
                <w:szCs w:val="20"/>
              </w:rPr>
              <w:t>%</w:t>
            </w:r>
          </w:p>
        </w:tc>
      </w:tr>
      <w:tr w:rsidR="00000000" w14:paraId="411C4F5C" w14:textId="77777777">
        <w:trPr>
          <w:divId w:val="1314917199"/>
        </w:trPr>
        <w:tc>
          <w:tcPr>
            <w:tcW w:w="0" w:type="auto"/>
            <w:gridSpan w:val="3"/>
            <w:shd w:val="clear" w:color="auto" w:fill="CCEEFF"/>
            <w:tcMar>
              <w:top w:w="30" w:type="dxa"/>
              <w:left w:w="245" w:type="dxa"/>
              <w:bottom w:w="30" w:type="dxa"/>
              <w:right w:w="20" w:type="dxa"/>
            </w:tcMar>
            <w:hideMark/>
          </w:tcPr>
          <w:p w14:paraId="01BDEACD"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6DE57729"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1719650C"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463F39"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F43A95"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15784DE8"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155" w:type="dxa"/>
              <w:bottom w:w="0" w:type="dxa"/>
              <w:right w:w="20" w:type="dxa"/>
            </w:tcMar>
            <w:vAlign w:val="center"/>
            <w:hideMark/>
          </w:tcPr>
          <w:p w14:paraId="435186B6" w14:textId="77777777" w:rsidR="00000000" w:rsidRDefault="001A570A">
            <w:pPr>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14:paraId="29A9CE4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5A8128"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9CACD"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1985EA46"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794410"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350256" w14:textId="77777777" w:rsidR="00000000" w:rsidRDefault="001A570A">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14:paraId="60A785FE"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5CC389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2DD9A" w14:textId="77777777" w:rsidR="00000000" w:rsidRDefault="001A570A">
            <w:pPr>
              <w:rPr>
                <w:rFonts w:eastAsia="Times New Roman"/>
                <w:sz w:val="20"/>
                <w:szCs w:val="20"/>
              </w:rPr>
            </w:pPr>
          </w:p>
        </w:tc>
      </w:tr>
      <w:tr w:rsidR="00000000" w14:paraId="5241365A" w14:textId="77777777">
        <w:trPr>
          <w:divId w:val="1314917199"/>
        </w:trPr>
        <w:tc>
          <w:tcPr>
            <w:tcW w:w="0" w:type="auto"/>
            <w:gridSpan w:val="3"/>
            <w:vAlign w:val="center"/>
            <w:hideMark/>
          </w:tcPr>
          <w:p w14:paraId="761D6445" w14:textId="77777777" w:rsidR="00000000" w:rsidRDefault="001A570A">
            <w:pPr>
              <w:rPr>
                <w:rFonts w:eastAsia="Times New Roman"/>
                <w:sz w:val="20"/>
                <w:szCs w:val="20"/>
              </w:rPr>
            </w:pPr>
          </w:p>
        </w:tc>
        <w:tc>
          <w:tcPr>
            <w:tcW w:w="0" w:type="auto"/>
            <w:gridSpan w:val="3"/>
            <w:vAlign w:val="center"/>
            <w:hideMark/>
          </w:tcPr>
          <w:p w14:paraId="609CA1D3" w14:textId="77777777" w:rsidR="00000000" w:rsidRDefault="001A570A">
            <w:pPr>
              <w:rPr>
                <w:rFonts w:eastAsia="Times New Roman"/>
                <w:sz w:val="20"/>
                <w:szCs w:val="20"/>
              </w:rPr>
            </w:pPr>
          </w:p>
        </w:tc>
        <w:tc>
          <w:tcPr>
            <w:tcW w:w="0" w:type="auto"/>
            <w:gridSpan w:val="3"/>
            <w:vAlign w:val="center"/>
            <w:hideMark/>
          </w:tcPr>
          <w:p w14:paraId="73F9181B" w14:textId="77777777" w:rsidR="00000000" w:rsidRDefault="001A570A">
            <w:pPr>
              <w:rPr>
                <w:rFonts w:eastAsia="Times New Roman"/>
                <w:sz w:val="20"/>
                <w:szCs w:val="20"/>
              </w:rPr>
            </w:pPr>
          </w:p>
        </w:tc>
        <w:tc>
          <w:tcPr>
            <w:tcW w:w="0" w:type="auto"/>
            <w:gridSpan w:val="3"/>
            <w:vAlign w:val="center"/>
            <w:hideMark/>
          </w:tcPr>
          <w:p w14:paraId="361EB8B3" w14:textId="77777777" w:rsidR="00000000" w:rsidRDefault="001A570A">
            <w:pPr>
              <w:rPr>
                <w:rFonts w:eastAsia="Times New Roman"/>
                <w:sz w:val="20"/>
                <w:szCs w:val="20"/>
              </w:rPr>
            </w:pPr>
          </w:p>
        </w:tc>
        <w:tc>
          <w:tcPr>
            <w:tcW w:w="0" w:type="auto"/>
            <w:gridSpan w:val="3"/>
            <w:vAlign w:val="center"/>
            <w:hideMark/>
          </w:tcPr>
          <w:p w14:paraId="53A06C4A" w14:textId="77777777" w:rsidR="00000000" w:rsidRDefault="001A570A">
            <w:pPr>
              <w:rPr>
                <w:rFonts w:eastAsia="Times New Roman"/>
                <w:sz w:val="20"/>
                <w:szCs w:val="20"/>
              </w:rPr>
            </w:pPr>
          </w:p>
        </w:tc>
        <w:tc>
          <w:tcPr>
            <w:tcW w:w="0" w:type="auto"/>
            <w:gridSpan w:val="3"/>
            <w:vAlign w:val="center"/>
            <w:hideMark/>
          </w:tcPr>
          <w:p w14:paraId="4C6734BD" w14:textId="77777777" w:rsidR="00000000" w:rsidRDefault="001A570A">
            <w:pPr>
              <w:rPr>
                <w:rFonts w:eastAsia="Times New Roman"/>
                <w:sz w:val="20"/>
                <w:szCs w:val="20"/>
              </w:rPr>
            </w:pPr>
          </w:p>
        </w:tc>
        <w:tc>
          <w:tcPr>
            <w:tcW w:w="0" w:type="auto"/>
            <w:gridSpan w:val="3"/>
            <w:vAlign w:val="center"/>
            <w:hideMark/>
          </w:tcPr>
          <w:p w14:paraId="2E5F190B" w14:textId="77777777" w:rsidR="00000000" w:rsidRDefault="001A570A">
            <w:pPr>
              <w:rPr>
                <w:rFonts w:eastAsia="Times New Roman"/>
                <w:sz w:val="20"/>
                <w:szCs w:val="20"/>
              </w:rPr>
            </w:pPr>
          </w:p>
        </w:tc>
        <w:tc>
          <w:tcPr>
            <w:tcW w:w="0" w:type="auto"/>
            <w:gridSpan w:val="3"/>
            <w:vAlign w:val="center"/>
            <w:hideMark/>
          </w:tcPr>
          <w:p w14:paraId="1150816F" w14:textId="77777777" w:rsidR="00000000" w:rsidRDefault="001A570A">
            <w:pPr>
              <w:rPr>
                <w:rFonts w:eastAsia="Times New Roman"/>
                <w:sz w:val="20"/>
                <w:szCs w:val="20"/>
              </w:rPr>
            </w:pPr>
          </w:p>
        </w:tc>
        <w:tc>
          <w:tcPr>
            <w:tcW w:w="0" w:type="auto"/>
            <w:gridSpan w:val="3"/>
            <w:vAlign w:val="center"/>
            <w:hideMark/>
          </w:tcPr>
          <w:p w14:paraId="588228E9" w14:textId="77777777" w:rsidR="00000000" w:rsidRDefault="001A570A">
            <w:pPr>
              <w:rPr>
                <w:rFonts w:eastAsia="Times New Roman"/>
                <w:sz w:val="20"/>
                <w:szCs w:val="20"/>
              </w:rPr>
            </w:pPr>
          </w:p>
        </w:tc>
        <w:tc>
          <w:tcPr>
            <w:tcW w:w="0" w:type="auto"/>
            <w:gridSpan w:val="3"/>
            <w:vAlign w:val="center"/>
            <w:hideMark/>
          </w:tcPr>
          <w:p w14:paraId="14684538" w14:textId="77777777" w:rsidR="00000000" w:rsidRDefault="001A570A">
            <w:pPr>
              <w:rPr>
                <w:rFonts w:eastAsia="Times New Roman"/>
                <w:sz w:val="20"/>
                <w:szCs w:val="20"/>
              </w:rPr>
            </w:pPr>
          </w:p>
        </w:tc>
        <w:tc>
          <w:tcPr>
            <w:tcW w:w="0" w:type="auto"/>
            <w:gridSpan w:val="3"/>
            <w:vAlign w:val="center"/>
            <w:hideMark/>
          </w:tcPr>
          <w:p w14:paraId="7F342F43" w14:textId="77777777" w:rsidR="00000000" w:rsidRDefault="001A570A">
            <w:pPr>
              <w:rPr>
                <w:rFonts w:eastAsia="Times New Roman"/>
                <w:sz w:val="20"/>
                <w:szCs w:val="20"/>
              </w:rPr>
            </w:pPr>
          </w:p>
        </w:tc>
        <w:tc>
          <w:tcPr>
            <w:tcW w:w="0" w:type="auto"/>
            <w:gridSpan w:val="3"/>
            <w:vAlign w:val="center"/>
            <w:hideMark/>
          </w:tcPr>
          <w:p w14:paraId="100606D8" w14:textId="77777777" w:rsidR="00000000" w:rsidRDefault="001A570A">
            <w:pPr>
              <w:rPr>
                <w:rFonts w:eastAsia="Times New Roman"/>
                <w:sz w:val="20"/>
                <w:szCs w:val="20"/>
              </w:rPr>
            </w:pPr>
          </w:p>
        </w:tc>
      </w:tr>
      <w:tr w:rsidR="00000000" w14:paraId="06FC6C2D" w14:textId="77777777">
        <w:trPr>
          <w:divId w:val="1314917199"/>
        </w:trPr>
        <w:tc>
          <w:tcPr>
            <w:tcW w:w="0" w:type="auto"/>
            <w:gridSpan w:val="3"/>
            <w:vAlign w:val="center"/>
            <w:hideMark/>
          </w:tcPr>
          <w:p w14:paraId="2ACF0924" w14:textId="77777777" w:rsidR="00000000" w:rsidRDefault="001A570A">
            <w:pPr>
              <w:rPr>
                <w:rFonts w:eastAsia="Times New Roman"/>
                <w:sz w:val="20"/>
                <w:szCs w:val="20"/>
              </w:rPr>
            </w:pPr>
          </w:p>
        </w:tc>
        <w:tc>
          <w:tcPr>
            <w:tcW w:w="0" w:type="auto"/>
            <w:gridSpan w:val="3"/>
            <w:vAlign w:val="center"/>
            <w:hideMark/>
          </w:tcPr>
          <w:p w14:paraId="639E79E0" w14:textId="77777777" w:rsidR="00000000" w:rsidRDefault="001A570A">
            <w:pPr>
              <w:rPr>
                <w:rFonts w:eastAsia="Times New Roman"/>
                <w:sz w:val="20"/>
                <w:szCs w:val="20"/>
              </w:rPr>
            </w:pPr>
          </w:p>
        </w:tc>
        <w:tc>
          <w:tcPr>
            <w:tcW w:w="0" w:type="auto"/>
            <w:gridSpan w:val="3"/>
            <w:vAlign w:val="center"/>
            <w:hideMark/>
          </w:tcPr>
          <w:p w14:paraId="51B6715F" w14:textId="77777777" w:rsidR="00000000" w:rsidRDefault="001A570A">
            <w:pPr>
              <w:rPr>
                <w:rFonts w:eastAsia="Times New Roman"/>
                <w:sz w:val="20"/>
                <w:szCs w:val="20"/>
              </w:rPr>
            </w:pPr>
          </w:p>
        </w:tc>
        <w:tc>
          <w:tcPr>
            <w:tcW w:w="0" w:type="auto"/>
            <w:gridSpan w:val="3"/>
            <w:vAlign w:val="center"/>
            <w:hideMark/>
          </w:tcPr>
          <w:p w14:paraId="5F283209" w14:textId="77777777" w:rsidR="00000000" w:rsidRDefault="001A570A">
            <w:pPr>
              <w:rPr>
                <w:rFonts w:eastAsia="Times New Roman"/>
                <w:sz w:val="20"/>
                <w:szCs w:val="20"/>
              </w:rPr>
            </w:pPr>
          </w:p>
        </w:tc>
        <w:tc>
          <w:tcPr>
            <w:tcW w:w="0" w:type="auto"/>
            <w:gridSpan w:val="3"/>
            <w:vAlign w:val="center"/>
            <w:hideMark/>
          </w:tcPr>
          <w:p w14:paraId="24146C05" w14:textId="77777777" w:rsidR="00000000" w:rsidRDefault="001A570A">
            <w:pPr>
              <w:rPr>
                <w:rFonts w:eastAsia="Times New Roman"/>
                <w:sz w:val="20"/>
                <w:szCs w:val="20"/>
              </w:rPr>
            </w:pPr>
          </w:p>
        </w:tc>
        <w:tc>
          <w:tcPr>
            <w:tcW w:w="0" w:type="auto"/>
            <w:gridSpan w:val="3"/>
            <w:vAlign w:val="center"/>
            <w:hideMark/>
          </w:tcPr>
          <w:p w14:paraId="3E80D31C" w14:textId="77777777" w:rsidR="00000000" w:rsidRDefault="001A570A">
            <w:pPr>
              <w:rPr>
                <w:rFonts w:eastAsia="Times New Roman"/>
                <w:sz w:val="20"/>
                <w:szCs w:val="20"/>
              </w:rPr>
            </w:pPr>
          </w:p>
        </w:tc>
        <w:tc>
          <w:tcPr>
            <w:tcW w:w="0" w:type="auto"/>
            <w:gridSpan w:val="3"/>
            <w:vAlign w:val="center"/>
            <w:hideMark/>
          </w:tcPr>
          <w:p w14:paraId="6F2FA419" w14:textId="77777777" w:rsidR="00000000" w:rsidRDefault="001A570A">
            <w:pPr>
              <w:rPr>
                <w:rFonts w:eastAsia="Times New Roman"/>
                <w:sz w:val="20"/>
                <w:szCs w:val="20"/>
              </w:rPr>
            </w:pPr>
          </w:p>
        </w:tc>
        <w:tc>
          <w:tcPr>
            <w:tcW w:w="0" w:type="auto"/>
            <w:gridSpan w:val="3"/>
            <w:vAlign w:val="center"/>
            <w:hideMark/>
          </w:tcPr>
          <w:p w14:paraId="11B74580" w14:textId="77777777" w:rsidR="00000000" w:rsidRDefault="001A570A">
            <w:pPr>
              <w:rPr>
                <w:rFonts w:eastAsia="Times New Roman"/>
                <w:sz w:val="20"/>
                <w:szCs w:val="20"/>
              </w:rPr>
            </w:pPr>
          </w:p>
        </w:tc>
        <w:tc>
          <w:tcPr>
            <w:tcW w:w="0" w:type="auto"/>
            <w:gridSpan w:val="3"/>
            <w:vAlign w:val="center"/>
            <w:hideMark/>
          </w:tcPr>
          <w:p w14:paraId="3EF20110" w14:textId="77777777" w:rsidR="00000000" w:rsidRDefault="001A570A">
            <w:pPr>
              <w:rPr>
                <w:rFonts w:eastAsia="Times New Roman"/>
                <w:sz w:val="20"/>
                <w:szCs w:val="20"/>
              </w:rPr>
            </w:pPr>
          </w:p>
        </w:tc>
        <w:tc>
          <w:tcPr>
            <w:tcW w:w="0" w:type="auto"/>
            <w:gridSpan w:val="3"/>
            <w:vAlign w:val="center"/>
            <w:hideMark/>
          </w:tcPr>
          <w:p w14:paraId="651F9A2D" w14:textId="77777777" w:rsidR="00000000" w:rsidRDefault="001A570A">
            <w:pPr>
              <w:rPr>
                <w:rFonts w:eastAsia="Times New Roman"/>
                <w:sz w:val="20"/>
                <w:szCs w:val="20"/>
              </w:rPr>
            </w:pPr>
          </w:p>
        </w:tc>
        <w:tc>
          <w:tcPr>
            <w:tcW w:w="0" w:type="auto"/>
            <w:gridSpan w:val="3"/>
            <w:vAlign w:val="center"/>
            <w:hideMark/>
          </w:tcPr>
          <w:p w14:paraId="086AA89C" w14:textId="77777777" w:rsidR="00000000" w:rsidRDefault="001A570A">
            <w:pPr>
              <w:rPr>
                <w:rFonts w:eastAsia="Times New Roman"/>
                <w:sz w:val="20"/>
                <w:szCs w:val="20"/>
              </w:rPr>
            </w:pPr>
          </w:p>
        </w:tc>
        <w:tc>
          <w:tcPr>
            <w:tcW w:w="0" w:type="auto"/>
            <w:gridSpan w:val="3"/>
            <w:vAlign w:val="center"/>
            <w:hideMark/>
          </w:tcPr>
          <w:p w14:paraId="7ED33099" w14:textId="77777777" w:rsidR="00000000" w:rsidRDefault="001A570A">
            <w:pPr>
              <w:rPr>
                <w:rFonts w:eastAsia="Times New Roman"/>
                <w:sz w:val="20"/>
                <w:szCs w:val="20"/>
              </w:rPr>
            </w:pPr>
          </w:p>
        </w:tc>
      </w:tr>
      <w:tr w:rsidR="00000000" w14:paraId="53A57B70" w14:textId="77777777">
        <w:trPr>
          <w:divId w:val="1314917199"/>
        </w:trPr>
        <w:tc>
          <w:tcPr>
            <w:tcW w:w="0" w:type="auto"/>
            <w:gridSpan w:val="3"/>
            <w:vAlign w:val="center"/>
            <w:hideMark/>
          </w:tcPr>
          <w:p w14:paraId="1CCEA0F0" w14:textId="77777777" w:rsidR="00000000" w:rsidRDefault="001A570A">
            <w:pPr>
              <w:rPr>
                <w:rFonts w:eastAsia="Times New Roman"/>
                <w:sz w:val="20"/>
                <w:szCs w:val="20"/>
              </w:rPr>
            </w:pPr>
          </w:p>
        </w:tc>
        <w:tc>
          <w:tcPr>
            <w:tcW w:w="0" w:type="auto"/>
            <w:gridSpan w:val="3"/>
            <w:vAlign w:val="center"/>
            <w:hideMark/>
          </w:tcPr>
          <w:p w14:paraId="3E00DF92" w14:textId="77777777" w:rsidR="00000000" w:rsidRDefault="001A570A">
            <w:pPr>
              <w:rPr>
                <w:rFonts w:eastAsia="Times New Roman"/>
                <w:sz w:val="20"/>
                <w:szCs w:val="20"/>
              </w:rPr>
            </w:pPr>
          </w:p>
        </w:tc>
        <w:tc>
          <w:tcPr>
            <w:tcW w:w="0" w:type="auto"/>
            <w:gridSpan w:val="3"/>
            <w:vAlign w:val="center"/>
            <w:hideMark/>
          </w:tcPr>
          <w:p w14:paraId="428DA959" w14:textId="77777777" w:rsidR="00000000" w:rsidRDefault="001A570A">
            <w:pPr>
              <w:rPr>
                <w:rFonts w:eastAsia="Times New Roman"/>
                <w:sz w:val="20"/>
                <w:szCs w:val="20"/>
              </w:rPr>
            </w:pPr>
          </w:p>
        </w:tc>
        <w:tc>
          <w:tcPr>
            <w:tcW w:w="0" w:type="auto"/>
            <w:gridSpan w:val="3"/>
            <w:vAlign w:val="center"/>
            <w:hideMark/>
          </w:tcPr>
          <w:p w14:paraId="4FA695D8" w14:textId="77777777" w:rsidR="00000000" w:rsidRDefault="001A570A">
            <w:pPr>
              <w:rPr>
                <w:rFonts w:eastAsia="Times New Roman"/>
                <w:sz w:val="20"/>
                <w:szCs w:val="20"/>
              </w:rPr>
            </w:pPr>
          </w:p>
        </w:tc>
        <w:tc>
          <w:tcPr>
            <w:tcW w:w="0" w:type="auto"/>
            <w:gridSpan w:val="3"/>
            <w:vAlign w:val="center"/>
            <w:hideMark/>
          </w:tcPr>
          <w:p w14:paraId="44CF697E" w14:textId="77777777" w:rsidR="00000000" w:rsidRDefault="001A570A">
            <w:pPr>
              <w:rPr>
                <w:rFonts w:eastAsia="Times New Roman"/>
                <w:sz w:val="20"/>
                <w:szCs w:val="20"/>
              </w:rPr>
            </w:pPr>
          </w:p>
        </w:tc>
        <w:tc>
          <w:tcPr>
            <w:tcW w:w="0" w:type="auto"/>
            <w:gridSpan w:val="3"/>
            <w:vAlign w:val="center"/>
            <w:hideMark/>
          </w:tcPr>
          <w:p w14:paraId="640EE16F" w14:textId="77777777" w:rsidR="00000000" w:rsidRDefault="001A570A">
            <w:pPr>
              <w:rPr>
                <w:rFonts w:eastAsia="Times New Roman"/>
                <w:sz w:val="20"/>
                <w:szCs w:val="20"/>
              </w:rPr>
            </w:pPr>
          </w:p>
        </w:tc>
        <w:tc>
          <w:tcPr>
            <w:tcW w:w="0" w:type="auto"/>
            <w:gridSpan w:val="3"/>
            <w:vAlign w:val="center"/>
            <w:hideMark/>
          </w:tcPr>
          <w:p w14:paraId="29EB5749" w14:textId="77777777" w:rsidR="00000000" w:rsidRDefault="001A570A">
            <w:pPr>
              <w:rPr>
                <w:rFonts w:eastAsia="Times New Roman"/>
                <w:sz w:val="20"/>
                <w:szCs w:val="20"/>
              </w:rPr>
            </w:pPr>
          </w:p>
        </w:tc>
        <w:tc>
          <w:tcPr>
            <w:tcW w:w="0" w:type="auto"/>
            <w:gridSpan w:val="3"/>
            <w:vAlign w:val="center"/>
            <w:hideMark/>
          </w:tcPr>
          <w:p w14:paraId="44805DF1" w14:textId="77777777" w:rsidR="00000000" w:rsidRDefault="001A570A">
            <w:pPr>
              <w:rPr>
                <w:rFonts w:eastAsia="Times New Roman"/>
                <w:sz w:val="20"/>
                <w:szCs w:val="20"/>
              </w:rPr>
            </w:pPr>
          </w:p>
        </w:tc>
        <w:tc>
          <w:tcPr>
            <w:tcW w:w="0" w:type="auto"/>
            <w:gridSpan w:val="3"/>
            <w:vAlign w:val="center"/>
            <w:hideMark/>
          </w:tcPr>
          <w:p w14:paraId="0BA0B8E7" w14:textId="77777777" w:rsidR="00000000" w:rsidRDefault="001A570A">
            <w:pPr>
              <w:rPr>
                <w:rFonts w:eastAsia="Times New Roman"/>
                <w:sz w:val="20"/>
                <w:szCs w:val="20"/>
              </w:rPr>
            </w:pPr>
          </w:p>
        </w:tc>
        <w:tc>
          <w:tcPr>
            <w:tcW w:w="0" w:type="auto"/>
            <w:gridSpan w:val="3"/>
            <w:vAlign w:val="center"/>
            <w:hideMark/>
          </w:tcPr>
          <w:p w14:paraId="2FE21AEF" w14:textId="77777777" w:rsidR="00000000" w:rsidRDefault="001A570A">
            <w:pPr>
              <w:rPr>
                <w:rFonts w:eastAsia="Times New Roman"/>
                <w:sz w:val="20"/>
                <w:szCs w:val="20"/>
              </w:rPr>
            </w:pPr>
          </w:p>
        </w:tc>
        <w:tc>
          <w:tcPr>
            <w:tcW w:w="0" w:type="auto"/>
            <w:gridSpan w:val="3"/>
            <w:vAlign w:val="center"/>
            <w:hideMark/>
          </w:tcPr>
          <w:p w14:paraId="10301254" w14:textId="77777777" w:rsidR="00000000" w:rsidRDefault="001A570A">
            <w:pPr>
              <w:rPr>
                <w:rFonts w:eastAsia="Times New Roman"/>
                <w:sz w:val="20"/>
                <w:szCs w:val="20"/>
              </w:rPr>
            </w:pPr>
          </w:p>
        </w:tc>
        <w:tc>
          <w:tcPr>
            <w:tcW w:w="0" w:type="auto"/>
            <w:gridSpan w:val="3"/>
            <w:vAlign w:val="center"/>
            <w:hideMark/>
          </w:tcPr>
          <w:p w14:paraId="1F3BC947" w14:textId="77777777" w:rsidR="00000000" w:rsidRDefault="001A570A">
            <w:pPr>
              <w:rPr>
                <w:rFonts w:eastAsia="Times New Roman"/>
                <w:sz w:val="20"/>
                <w:szCs w:val="20"/>
              </w:rPr>
            </w:pPr>
          </w:p>
        </w:tc>
      </w:tr>
    </w:tbl>
    <w:p w14:paraId="0E7D5EF1" w14:textId="77777777" w:rsidR="00000000" w:rsidRDefault="001A570A">
      <w:pPr>
        <w:divId w:val="1840148748"/>
        <w:rPr>
          <w:rFonts w:eastAsia="Times New Roman"/>
        </w:rPr>
      </w:pPr>
      <w:r>
        <w:rPr>
          <w:rFonts w:eastAsia="Times New Roman"/>
          <w:b/>
          <w:bCs/>
          <w:color w:val="000000"/>
          <w:sz w:val="20"/>
          <w:szCs w:val="20"/>
        </w:rPr>
        <w:t>As Reported</w:t>
      </w:r>
    </w:p>
    <w:p w14:paraId="7AB00290" w14:textId="77777777" w:rsidR="00000000" w:rsidRDefault="001A570A">
      <w:pPr>
        <w:ind w:firstLine="450"/>
        <w:divId w:val="121005508"/>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The increases in segment revenue and operating income in fiscal 2020 compared with the four quarters ended January 3, 2020 were primarily due to the inclusion of L3 operat</w:t>
      </w:r>
      <w:r>
        <w:rPr>
          <w:rFonts w:eastAsia="Times New Roman"/>
          <w:color w:val="000000"/>
          <w:sz w:val="20"/>
          <w:szCs w:val="20"/>
        </w:rPr>
        <w:t>ions in segment operating results for the two quarters ended July 3, 2020 (but not for the comparable prior-year two quarters preceding the L3Harris Merger), as well as organic growth in Mission Avionics and Intel and Cyber as discussed further below in th</w:t>
      </w:r>
      <w:r>
        <w:rPr>
          <w:rFonts w:eastAsia="Times New Roman"/>
          <w:color w:val="000000"/>
          <w:sz w:val="20"/>
          <w:szCs w:val="20"/>
        </w:rPr>
        <w:t>e “Pro Forma” discussion for the fiscal year ended January 1, 2021 compared with the four quarters ended January 3, 2020. The funded backlog for this segment was $3.8 billion at January 1, 2021 compared with $3.9 billion at January 3, 2020. Segment operati</w:t>
      </w:r>
      <w:r>
        <w:rPr>
          <w:rFonts w:eastAsia="Times New Roman"/>
          <w:color w:val="000000"/>
          <w:sz w:val="20"/>
          <w:szCs w:val="20"/>
        </w:rPr>
        <w:t xml:space="preserve">ng margin percentage in fiscal 2020 was comparable with the four quarters ended January 3, 2020. </w:t>
      </w:r>
    </w:p>
    <w:p w14:paraId="4D5F454C" w14:textId="77777777" w:rsidR="00000000" w:rsidRDefault="001A570A">
      <w:pPr>
        <w:ind w:firstLine="450"/>
        <w:divId w:val="946813176"/>
        <w:rPr>
          <w:rFonts w:eastAsia="Times New Roman"/>
        </w:rPr>
      </w:pPr>
      <w:r>
        <w:rPr>
          <w:rFonts w:eastAsia="Times New Roman"/>
          <w:color w:val="000000"/>
          <w:sz w:val="20"/>
          <w:szCs w:val="20"/>
        </w:rPr>
        <w:t>The percentage of this segment’s revenue that was derived from sales to U.S. Government customers, including foreign military sales funded through the U.S. Go</w:t>
      </w:r>
      <w:r>
        <w:rPr>
          <w:rFonts w:eastAsia="Times New Roman"/>
          <w:color w:val="000000"/>
          <w:sz w:val="20"/>
          <w:szCs w:val="20"/>
        </w:rPr>
        <w:t>vernment, whether directly or through prime contractors, was 90 percent in fiscal 2020.</w:t>
      </w:r>
    </w:p>
    <w:p w14:paraId="5AF25F88" w14:textId="77777777" w:rsidR="00000000" w:rsidRDefault="001A570A">
      <w:pPr>
        <w:ind w:firstLine="450"/>
        <w:divId w:val="732388151"/>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increases in segment revenue and operating income in the two quarters ended J</w:t>
      </w:r>
      <w:r>
        <w:rPr>
          <w:rFonts w:eastAsia="Times New Roman"/>
          <w:color w:val="000000"/>
          <w:sz w:val="20"/>
          <w:szCs w:val="20"/>
        </w:rPr>
        <w:t>anuary 3, 2020 compared with the two quarters ended December 28, 2018 were primarily due to the inclusion of L3 operations in segment operating results as a result of the L3Harris Merger during the two quarters ended January 3, 2020, as well as higher reve</w:t>
      </w:r>
      <w:r>
        <w:rPr>
          <w:rFonts w:eastAsia="Times New Roman"/>
          <w:color w:val="000000"/>
          <w:sz w:val="20"/>
          <w:szCs w:val="20"/>
        </w:rPr>
        <w:t>nue in Mission Avionics from growth on long-term platforms, $54 million higher revenue from growth in ground-based adjacencies and exquisite systems in classified areas and $58 million of higher revenue in Electronic Warfare from increased production of el</w:t>
      </w:r>
      <w:r>
        <w:rPr>
          <w:rFonts w:eastAsia="Times New Roman"/>
          <w:color w:val="000000"/>
          <w:sz w:val="20"/>
          <w:szCs w:val="20"/>
        </w:rPr>
        <w:t>ectronic warfare systems for F/A-18 and B-52 aircraft. The funded backlog for this segment was $3.9 billion at January 3, 2020 compared with $4.3 billion at the beginning of the Fiscal Transition Period (including backlog acquired on June 29, 2019 in conne</w:t>
      </w:r>
      <w:r>
        <w:rPr>
          <w:rFonts w:eastAsia="Times New Roman"/>
          <w:color w:val="000000"/>
          <w:sz w:val="20"/>
          <w:szCs w:val="20"/>
        </w:rPr>
        <w:t xml:space="preserve">ction with the L3Harris Merger). Segment operating margin percentage in the two quarters ended January 3, 2020 was comparable with the two quarters ended December 28, 2018. </w:t>
      </w:r>
    </w:p>
    <w:p w14:paraId="1F47C5F7" w14:textId="77777777" w:rsidR="00000000" w:rsidRDefault="001A570A">
      <w:pPr>
        <w:ind w:firstLine="450"/>
        <w:divId w:val="47805923"/>
        <w:rPr>
          <w:rFonts w:eastAsia="Times New Roman"/>
        </w:rPr>
      </w:pPr>
      <w:r>
        <w:rPr>
          <w:rFonts w:eastAsia="Times New Roman"/>
          <w:color w:val="000000"/>
          <w:sz w:val="20"/>
          <w:szCs w:val="20"/>
        </w:rPr>
        <w:t>The percentage of this segment’s revenue that was derived from sales to U.S. Gover</w:t>
      </w:r>
      <w:r>
        <w:rPr>
          <w:rFonts w:eastAsia="Times New Roman"/>
          <w:color w:val="000000"/>
          <w:sz w:val="20"/>
          <w:szCs w:val="20"/>
        </w:rPr>
        <w:t>nment customers, including foreign military sales funded through the U.S. Government, whether directly or through prime contractors, was 88 percent in the two quarters ended January 3, 2020 compared with 89 percent in the two quarters ended December 28, 20</w:t>
      </w:r>
      <w:r>
        <w:rPr>
          <w:rFonts w:eastAsia="Times New Roman"/>
          <w:color w:val="000000"/>
          <w:sz w:val="20"/>
          <w:szCs w:val="20"/>
        </w:rPr>
        <w:t>18.</w:t>
      </w:r>
    </w:p>
    <w:p w14:paraId="1F825B3E" w14:textId="77777777" w:rsidR="00000000" w:rsidRDefault="001A570A">
      <w:pPr>
        <w:divId w:val="1041055456"/>
        <w:rPr>
          <w:rFonts w:eastAsia="Times New Roman"/>
        </w:rPr>
      </w:pPr>
      <w:r>
        <w:rPr>
          <w:rFonts w:eastAsia="Times New Roman"/>
          <w:b/>
          <w:bCs/>
          <w:color w:val="000000"/>
          <w:sz w:val="20"/>
          <w:szCs w:val="20"/>
        </w:rPr>
        <w:t>Pro Forma</w:t>
      </w:r>
    </w:p>
    <w:p w14:paraId="66F30A13" w14:textId="77777777" w:rsidR="00000000" w:rsidRDefault="001A570A">
      <w:pPr>
        <w:ind w:firstLine="450"/>
        <w:divId w:val="613244386"/>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xml:space="preserve"> The increase in segment revenue in fiscal 2020 compared with the four quarters ended January 3, 2020 was primarily due to $317 million of higher revenue in M</w:t>
      </w:r>
      <w:r>
        <w:rPr>
          <w:rFonts w:eastAsia="Times New Roman"/>
          <w:color w:val="000000"/>
          <w:sz w:val="20"/>
          <w:szCs w:val="20"/>
        </w:rPr>
        <w:t xml:space="preserve">ission Avionics, driven by a ramp on the F-35 platform, and $70 million of higher revenue in Intel and Cyber from growth on classified programs, partially offset by $107 million of lower revenue in Space and lower revenue in Electronic Warfare, reflecting </w:t>
      </w:r>
      <w:r>
        <w:rPr>
          <w:rFonts w:eastAsia="Times New Roman"/>
          <w:color w:val="000000"/>
          <w:sz w:val="20"/>
          <w:szCs w:val="20"/>
        </w:rPr>
        <w:t>program transition timing.</w:t>
      </w:r>
    </w:p>
    <w:p w14:paraId="14D66FB8" w14:textId="77777777" w:rsidR="00000000" w:rsidRDefault="001A570A">
      <w:pPr>
        <w:ind w:firstLine="450"/>
        <w:divId w:val="1181234195"/>
        <w:rPr>
          <w:rFonts w:eastAsia="Times New Roman"/>
        </w:rPr>
      </w:pPr>
      <w:r>
        <w:rPr>
          <w:rFonts w:eastAsia="Times New Roman"/>
          <w:color w:val="000000"/>
          <w:sz w:val="20"/>
          <w:szCs w:val="20"/>
        </w:rPr>
        <w:t>The increase in segment operating income in fiscal 2020 compared with the four quarters ended January 3, 2020 was primarily due to cost management, operational excellence and integration benefits, partially offset by program mix,</w:t>
      </w:r>
      <w:r>
        <w:rPr>
          <w:rFonts w:eastAsia="Times New Roman"/>
          <w:color w:val="000000"/>
          <w:sz w:val="20"/>
          <w:szCs w:val="20"/>
        </w:rPr>
        <w:t xml:space="preserve"> including in respect of newly awarded fixed-priced development contracts. Segment operating margin percentage for fiscal 2020 was comparable with the four quarters ended January 3, 2020.</w:t>
      </w:r>
    </w:p>
    <w:p w14:paraId="0188A024" w14:textId="77777777" w:rsidR="00000000" w:rsidRDefault="001A570A">
      <w:pPr>
        <w:ind w:firstLine="450"/>
        <w:jc w:val="center"/>
        <w:divId w:val="1587037619"/>
        <w:rPr>
          <w:rFonts w:eastAsia="Times New Roman"/>
        </w:rPr>
      </w:pPr>
      <w:r>
        <w:rPr>
          <w:rFonts w:eastAsia="Times New Roman"/>
          <w:color w:val="000000"/>
          <w:sz w:val="20"/>
          <w:szCs w:val="20"/>
        </w:rPr>
        <w:t>51</w:t>
      </w:r>
    </w:p>
    <w:p w14:paraId="717444B1" w14:textId="77777777" w:rsidR="00000000" w:rsidRDefault="001A570A">
      <w:pPr>
        <w:rPr>
          <w:rFonts w:eastAsia="Times New Roman"/>
        </w:rPr>
      </w:pPr>
      <w:r>
        <w:rPr>
          <w:rFonts w:eastAsia="Times New Roman"/>
        </w:rPr>
        <w:pict w14:anchorId="74FBCD8A">
          <v:rect id="_x0000_i1079" style="width:0;height:1.5pt" o:hralign="center" o:hrstd="t" o:hr="t" fillcolor="#a0a0a0" stroked="f"/>
        </w:pict>
      </w:r>
    </w:p>
    <w:p w14:paraId="147C1C50" w14:textId="77777777" w:rsidR="00000000" w:rsidRDefault="001A570A">
      <w:pPr>
        <w:ind w:firstLine="450"/>
        <w:divId w:val="960958423"/>
        <w:rPr>
          <w:rFonts w:eastAsia="Times New Roman"/>
        </w:rPr>
      </w:pPr>
    </w:p>
    <w:p w14:paraId="7856D830" w14:textId="77777777" w:rsidR="00000000" w:rsidRDefault="001A570A">
      <w:pPr>
        <w:divId w:val="401879793"/>
        <w:rPr>
          <w:rFonts w:eastAsia="Times New Roman"/>
        </w:rPr>
      </w:pPr>
      <w:r>
        <w:rPr>
          <w:rFonts w:eastAsia="Times New Roman"/>
          <w:b/>
          <w:bCs/>
          <w:color w:val="000000"/>
          <w:sz w:val="20"/>
          <w:szCs w:val="20"/>
        </w:rPr>
        <w:t>Communication Systems Segm</w:t>
      </w:r>
      <w:r>
        <w:rPr>
          <w:rFonts w:eastAsia="Times New Roman"/>
          <w:b/>
          <w:bCs/>
          <w:color w:val="000000"/>
          <w:sz w:val="20"/>
          <w:szCs w:val="20"/>
        </w:rPr>
        <w:t>ent</w:t>
      </w:r>
    </w:p>
    <w:tbl>
      <w:tblPr>
        <w:tblW w:w="4475" w:type="pct"/>
        <w:tblCellMar>
          <w:top w:w="15" w:type="dxa"/>
          <w:left w:w="15" w:type="dxa"/>
          <w:bottom w:w="15" w:type="dxa"/>
          <w:right w:w="15" w:type="dxa"/>
        </w:tblCellMar>
        <w:tblLook w:val="04A0" w:firstRow="1" w:lastRow="0" w:firstColumn="1" w:lastColumn="0" w:noHBand="0" w:noVBand="1"/>
      </w:tblPr>
      <w:tblGrid>
        <w:gridCol w:w="40"/>
        <w:gridCol w:w="2513"/>
        <w:gridCol w:w="39"/>
        <w:gridCol w:w="120"/>
        <w:gridCol w:w="500"/>
        <w:gridCol w:w="187"/>
        <w:gridCol w:w="36"/>
        <w:gridCol w:w="36"/>
        <w:gridCol w:w="36"/>
        <w:gridCol w:w="121"/>
        <w:gridCol w:w="785"/>
        <w:gridCol w:w="187"/>
        <w:gridCol w:w="36"/>
        <w:gridCol w:w="36"/>
        <w:gridCol w:w="36"/>
        <w:gridCol w:w="79"/>
        <w:gridCol w:w="585"/>
        <w:gridCol w:w="187"/>
        <w:gridCol w:w="36"/>
        <w:gridCol w:w="36"/>
        <w:gridCol w:w="36"/>
        <w:gridCol w:w="120"/>
        <w:gridCol w:w="500"/>
        <w:gridCol w:w="187"/>
        <w:gridCol w:w="36"/>
        <w:gridCol w:w="36"/>
        <w:gridCol w:w="36"/>
        <w:gridCol w:w="70"/>
        <w:gridCol w:w="595"/>
        <w:gridCol w:w="187"/>
      </w:tblGrid>
      <w:tr w:rsidR="00000000" w14:paraId="14DB07C9" w14:textId="77777777">
        <w:trPr>
          <w:divId w:val="1994289996"/>
        </w:trPr>
        <w:tc>
          <w:tcPr>
            <w:tcW w:w="50" w:type="pct"/>
            <w:vAlign w:val="center"/>
            <w:hideMark/>
          </w:tcPr>
          <w:p w14:paraId="36B0B34E" w14:textId="77777777" w:rsidR="00000000" w:rsidRDefault="001A570A">
            <w:pPr>
              <w:rPr>
                <w:rFonts w:eastAsia="Times New Roman"/>
              </w:rPr>
            </w:pPr>
          </w:p>
        </w:tc>
        <w:tc>
          <w:tcPr>
            <w:tcW w:w="2119" w:type="pct"/>
            <w:vAlign w:val="center"/>
            <w:hideMark/>
          </w:tcPr>
          <w:p w14:paraId="33DB9991" w14:textId="77777777" w:rsidR="00000000" w:rsidRDefault="001A570A">
            <w:pPr>
              <w:rPr>
                <w:rFonts w:eastAsia="Times New Roman"/>
                <w:sz w:val="20"/>
                <w:szCs w:val="20"/>
              </w:rPr>
            </w:pPr>
          </w:p>
        </w:tc>
        <w:tc>
          <w:tcPr>
            <w:tcW w:w="5" w:type="pct"/>
            <w:vAlign w:val="center"/>
            <w:hideMark/>
          </w:tcPr>
          <w:p w14:paraId="0A9F2E8A" w14:textId="77777777" w:rsidR="00000000" w:rsidRDefault="001A570A">
            <w:pPr>
              <w:rPr>
                <w:rFonts w:eastAsia="Times New Roman"/>
                <w:sz w:val="20"/>
                <w:szCs w:val="20"/>
              </w:rPr>
            </w:pPr>
          </w:p>
        </w:tc>
        <w:tc>
          <w:tcPr>
            <w:tcW w:w="50" w:type="pct"/>
            <w:vAlign w:val="center"/>
            <w:hideMark/>
          </w:tcPr>
          <w:p w14:paraId="17C915F7" w14:textId="77777777" w:rsidR="00000000" w:rsidRDefault="001A570A">
            <w:pPr>
              <w:rPr>
                <w:rFonts w:eastAsia="Times New Roman"/>
                <w:sz w:val="20"/>
                <w:szCs w:val="20"/>
              </w:rPr>
            </w:pPr>
          </w:p>
        </w:tc>
        <w:tc>
          <w:tcPr>
            <w:tcW w:w="530" w:type="pct"/>
            <w:vAlign w:val="center"/>
            <w:hideMark/>
          </w:tcPr>
          <w:p w14:paraId="185C5031" w14:textId="77777777" w:rsidR="00000000" w:rsidRDefault="001A570A">
            <w:pPr>
              <w:rPr>
                <w:rFonts w:eastAsia="Times New Roman"/>
                <w:sz w:val="20"/>
                <w:szCs w:val="20"/>
              </w:rPr>
            </w:pPr>
          </w:p>
        </w:tc>
        <w:tc>
          <w:tcPr>
            <w:tcW w:w="5" w:type="pct"/>
            <w:vAlign w:val="center"/>
            <w:hideMark/>
          </w:tcPr>
          <w:p w14:paraId="287D28C4" w14:textId="77777777" w:rsidR="00000000" w:rsidRDefault="001A570A">
            <w:pPr>
              <w:rPr>
                <w:rFonts w:eastAsia="Times New Roman"/>
                <w:sz w:val="20"/>
                <w:szCs w:val="20"/>
              </w:rPr>
            </w:pPr>
          </w:p>
        </w:tc>
        <w:tc>
          <w:tcPr>
            <w:tcW w:w="5" w:type="pct"/>
            <w:vAlign w:val="center"/>
            <w:hideMark/>
          </w:tcPr>
          <w:p w14:paraId="6491AD2F" w14:textId="77777777" w:rsidR="00000000" w:rsidRDefault="001A570A">
            <w:pPr>
              <w:rPr>
                <w:rFonts w:eastAsia="Times New Roman"/>
                <w:sz w:val="20"/>
                <w:szCs w:val="20"/>
              </w:rPr>
            </w:pPr>
          </w:p>
        </w:tc>
        <w:tc>
          <w:tcPr>
            <w:tcW w:w="30" w:type="pct"/>
            <w:vAlign w:val="center"/>
            <w:hideMark/>
          </w:tcPr>
          <w:p w14:paraId="43ADD6F0" w14:textId="77777777" w:rsidR="00000000" w:rsidRDefault="001A570A">
            <w:pPr>
              <w:rPr>
                <w:rFonts w:eastAsia="Times New Roman"/>
                <w:sz w:val="20"/>
                <w:szCs w:val="20"/>
              </w:rPr>
            </w:pPr>
          </w:p>
        </w:tc>
        <w:tc>
          <w:tcPr>
            <w:tcW w:w="5" w:type="pct"/>
            <w:vAlign w:val="center"/>
            <w:hideMark/>
          </w:tcPr>
          <w:p w14:paraId="7F1BA07B" w14:textId="77777777" w:rsidR="00000000" w:rsidRDefault="001A570A">
            <w:pPr>
              <w:rPr>
                <w:rFonts w:eastAsia="Times New Roman"/>
                <w:sz w:val="20"/>
                <w:szCs w:val="20"/>
              </w:rPr>
            </w:pPr>
          </w:p>
        </w:tc>
        <w:tc>
          <w:tcPr>
            <w:tcW w:w="50" w:type="pct"/>
            <w:vAlign w:val="center"/>
            <w:hideMark/>
          </w:tcPr>
          <w:p w14:paraId="61E89315" w14:textId="77777777" w:rsidR="00000000" w:rsidRDefault="001A570A">
            <w:pPr>
              <w:rPr>
                <w:rFonts w:eastAsia="Times New Roman"/>
                <w:sz w:val="20"/>
                <w:szCs w:val="20"/>
              </w:rPr>
            </w:pPr>
          </w:p>
        </w:tc>
        <w:tc>
          <w:tcPr>
            <w:tcW w:w="530" w:type="pct"/>
            <w:vAlign w:val="center"/>
            <w:hideMark/>
          </w:tcPr>
          <w:p w14:paraId="325F64F8" w14:textId="77777777" w:rsidR="00000000" w:rsidRDefault="001A570A">
            <w:pPr>
              <w:rPr>
                <w:rFonts w:eastAsia="Times New Roman"/>
                <w:sz w:val="20"/>
                <w:szCs w:val="20"/>
              </w:rPr>
            </w:pPr>
          </w:p>
        </w:tc>
        <w:tc>
          <w:tcPr>
            <w:tcW w:w="5" w:type="pct"/>
            <w:vAlign w:val="center"/>
            <w:hideMark/>
          </w:tcPr>
          <w:p w14:paraId="10B15DDB" w14:textId="77777777" w:rsidR="00000000" w:rsidRDefault="001A570A">
            <w:pPr>
              <w:rPr>
                <w:rFonts w:eastAsia="Times New Roman"/>
                <w:sz w:val="20"/>
                <w:szCs w:val="20"/>
              </w:rPr>
            </w:pPr>
          </w:p>
        </w:tc>
        <w:tc>
          <w:tcPr>
            <w:tcW w:w="5" w:type="pct"/>
            <w:vAlign w:val="center"/>
            <w:hideMark/>
          </w:tcPr>
          <w:p w14:paraId="7F6A5347" w14:textId="77777777" w:rsidR="00000000" w:rsidRDefault="001A570A">
            <w:pPr>
              <w:rPr>
                <w:rFonts w:eastAsia="Times New Roman"/>
                <w:sz w:val="20"/>
                <w:szCs w:val="20"/>
              </w:rPr>
            </w:pPr>
          </w:p>
        </w:tc>
        <w:tc>
          <w:tcPr>
            <w:tcW w:w="30" w:type="pct"/>
            <w:vAlign w:val="center"/>
            <w:hideMark/>
          </w:tcPr>
          <w:p w14:paraId="2D09B7E4" w14:textId="77777777" w:rsidR="00000000" w:rsidRDefault="001A570A">
            <w:pPr>
              <w:rPr>
                <w:rFonts w:eastAsia="Times New Roman"/>
                <w:sz w:val="20"/>
                <w:szCs w:val="20"/>
              </w:rPr>
            </w:pPr>
          </w:p>
        </w:tc>
        <w:tc>
          <w:tcPr>
            <w:tcW w:w="5" w:type="pct"/>
            <w:vAlign w:val="center"/>
            <w:hideMark/>
          </w:tcPr>
          <w:p w14:paraId="68E06B49" w14:textId="77777777" w:rsidR="00000000" w:rsidRDefault="001A570A">
            <w:pPr>
              <w:rPr>
                <w:rFonts w:eastAsia="Times New Roman"/>
                <w:sz w:val="20"/>
                <w:szCs w:val="20"/>
              </w:rPr>
            </w:pPr>
          </w:p>
        </w:tc>
        <w:tc>
          <w:tcPr>
            <w:tcW w:w="50" w:type="pct"/>
            <w:vAlign w:val="center"/>
            <w:hideMark/>
          </w:tcPr>
          <w:p w14:paraId="0480B7F9" w14:textId="77777777" w:rsidR="00000000" w:rsidRDefault="001A570A">
            <w:pPr>
              <w:rPr>
                <w:rFonts w:eastAsia="Times New Roman"/>
                <w:sz w:val="20"/>
                <w:szCs w:val="20"/>
              </w:rPr>
            </w:pPr>
          </w:p>
        </w:tc>
        <w:tc>
          <w:tcPr>
            <w:tcW w:w="370" w:type="pct"/>
            <w:vAlign w:val="center"/>
            <w:hideMark/>
          </w:tcPr>
          <w:p w14:paraId="591E86E0" w14:textId="77777777" w:rsidR="00000000" w:rsidRDefault="001A570A">
            <w:pPr>
              <w:rPr>
                <w:rFonts w:eastAsia="Times New Roman"/>
                <w:sz w:val="20"/>
                <w:szCs w:val="20"/>
              </w:rPr>
            </w:pPr>
          </w:p>
        </w:tc>
        <w:tc>
          <w:tcPr>
            <w:tcW w:w="5" w:type="pct"/>
            <w:vAlign w:val="center"/>
            <w:hideMark/>
          </w:tcPr>
          <w:p w14:paraId="03291ACB" w14:textId="77777777" w:rsidR="00000000" w:rsidRDefault="001A570A">
            <w:pPr>
              <w:rPr>
                <w:rFonts w:eastAsia="Times New Roman"/>
                <w:sz w:val="20"/>
                <w:szCs w:val="20"/>
              </w:rPr>
            </w:pPr>
          </w:p>
        </w:tc>
        <w:tc>
          <w:tcPr>
            <w:tcW w:w="5" w:type="pct"/>
            <w:vAlign w:val="center"/>
            <w:hideMark/>
          </w:tcPr>
          <w:p w14:paraId="5AF581EF" w14:textId="77777777" w:rsidR="00000000" w:rsidRDefault="001A570A">
            <w:pPr>
              <w:rPr>
                <w:rFonts w:eastAsia="Times New Roman"/>
                <w:sz w:val="20"/>
                <w:szCs w:val="20"/>
              </w:rPr>
            </w:pPr>
          </w:p>
        </w:tc>
        <w:tc>
          <w:tcPr>
            <w:tcW w:w="30" w:type="pct"/>
            <w:vAlign w:val="center"/>
            <w:hideMark/>
          </w:tcPr>
          <w:p w14:paraId="1786A3C4" w14:textId="77777777" w:rsidR="00000000" w:rsidRDefault="001A570A">
            <w:pPr>
              <w:rPr>
                <w:rFonts w:eastAsia="Times New Roman"/>
                <w:sz w:val="20"/>
                <w:szCs w:val="20"/>
              </w:rPr>
            </w:pPr>
          </w:p>
        </w:tc>
        <w:tc>
          <w:tcPr>
            <w:tcW w:w="5" w:type="pct"/>
            <w:vAlign w:val="center"/>
            <w:hideMark/>
          </w:tcPr>
          <w:p w14:paraId="23455CF0" w14:textId="77777777" w:rsidR="00000000" w:rsidRDefault="001A570A">
            <w:pPr>
              <w:rPr>
                <w:rFonts w:eastAsia="Times New Roman"/>
                <w:sz w:val="20"/>
                <w:szCs w:val="20"/>
              </w:rPr>
            </w:pPr>
          </w:p>
        </w:tc>
        <w:tc>
          <w:tcPr>
            <w:tcW w:w="50" w:type="pct"/>
            <w:vAlign w:val="center"/>
            <w:hideMark/>
          </w:tcPr>
          <w:p w14:paraId="370B28A6" w14:textId="77777777" w:rsidR="00000000" w:rsidRDefault="001A570A">
            <w:pPr>
              <w:rPr>
                <w:rFonts w:eastAsia="Times New Roman"/>
                <w:sz w:val="20"/>
                <w:szCs w:val="20"/>
              </w:rPr>
            </w:pPr>
          </w:p>
        </w:tc>
        <w:tc>
          <w:tcPr>
            <w:tcW w:w="530" w:type="pct"/>
            <w:vAlign w:val="center"/>
            <w:hideMark/>
          </w:tcPr>
          <w:p w14:paraId="42232A64" w14:textId="77777777" w:rsidR="00000000" w:rsidRDefault="001A570A">
            <w:pPr>
              <w:rPr>
                <w:rFonts w:eastAsia="Times New Roman"/>
                <w:sz w:val="20"/>
                <w:szCs w:val="20"/>
              </w:rPr>
            </w:pPr>
          </w:p>
        </w:tc>
        <w:tc>
          <w:tcPr>
            <w:tcW w:w="5" w:type="pct"/>
            <w:vAlign w:val="center"/>
            <w:hideMark/>
          </w:tcPr>
          <w:p w14:paraId="5A1E201C" w14:textId="77777777" w:rsidR="00000000" w:rsidRDefault="001A570A">
            <w:pPr>
              <w:rPr>
                <w:rFonts w:eastAsia="Times New Roman"/>
                <w:sz w:val="20"/>
                <w:szCs w:val="20"/>
              </w:rPr>
            </w:pPr>
          </w:p>
        </w:tc>
        <w:tc>
          <w:tcPr>
            <w:tcW w:w="5" w:type="pct"/>
            <w:vAlign w:val="center"/>
            <w:hideMark/>
          </w:tcPr>
          <w:p w14:paraId="50C2AD95" w14:textId="77777777" w:rsidR="00000000" w:rsidRDefault="001A570A">
            <w:pPr>
              <w:rPr>
                <w:rFonts w:eastAsia="Times New Roman"/>
                <w:sz w:val="20"/>
                <w:szCs w:val="20"/>
              </w:rPr>
            </w:pPr>
          </w:p>
        </w:tc>
        <w:tc>
          <w:tcPr>
            <w:tcW w:w="30" w:type="pct"/>
            <w:vAlign w:val="center"/>
            <w:hideMark/>
          </w:tcPr>
          <w:p w14:paraId="578A1E0B" w14:textId="77777777" w:rsidR="00000000" w:rsidRDefault="001A570A">
            <w:pPr>
              <w:rPr>
                <w:rFonts w:eastAsia="Times New Roman"/>
                <w:sz w:val="20"/>
                <w:szCs w:val="20"/>
              </w:rPr>
            </w:pPr>
          </w:p>
        </w:tc>
        <w:tc>
          <w:tcPr>
            <w:tcW w:w="5" w:type="pct"/>
            <w:vAlign w:val="center"/>
            <w:hideMark/>
          </w:tcPr>
          <w:p w14:paraId="68AF81EE" w14:textId="77777777" w:rsidR="00000000" w:rsidRDefault="001A570A">
            <w:pPr>
              <w:rPr>
                <w:rFonts w:eastAsia="Times New Roman"/>
                <w:sz w:val="20"/>
                <w:szCs w:val="20"/>
              </w:rPr>
            </w:pPr>
          </w:p>
        </w:tc>
        <w:tc>
          <w:tcPr>
            <w:tcW w:w="50" w:type="pct"/>
            <w:vAlign w:val="center"/>
            <w:hideMark/>
          </w:tcPr>
          <w:p w14:paraId="301883EB" w14:textId="77777777" w:rsidR="00000000" w:rsidRDefault="001A570A">
            <w:pPr>
              <w:rPr>
                <w:rFonts w:eastAsia="Times New Roman"/>
                <w:sz w:val="20"/>
                <w:szCs w:val="20"/>
              </w:rPr>
            </w:pPr>
          </w:p>
        </w:tc>
        <w:tc>
          <w:tcPr>
            <w:tcW w:w="426" w:type="pct"/>
            <w:vAlign w:val="center"/>
            <w:hideMark/>
          </w:tcPr>
          <w:p w14:paraId="37899CE6" w14:textId="77777777" w:rsidR="00000000" w:rsidRDefault="001A570A">
            <w:pPr>
              <w:rPr>
                <w:rFonts w:eastAsia="Times New Roman"/>
                <w:sz w:val="20"/>
                <w:szCs w:val="20"/>
              </w:rPr>
            </w:pPr>
          </w:p>
        </w:tc>
        <w:tc>
          <w:tcPr>
            <w:tcW w:w="5" w:type="pct"/>
            <w:vAlign w:val="center"/>
            <w:hideMark/>
          </w:tcPr>
          <w:p w14:paraId="3554E4D1" w14:textId="77777777" w:rsidR="00000000" w:rsidRDefault="001A570A">
            <w:pPr>
              <w:rPr>
                <w:rFonts w:eastAsia="Times New Roman"/>
                <w:sz w:val="20"/>
                <w:szCs w:val="20"/>
              </w:rPr>
            </w:pPr>
          </w:p>
        </w:tc>
      </w:tr>
      <w:tr w:rsidR="00000000" w14:paraId="5DE4A472" w14:textId="77777777">
        <w:trPr>
          <w:divId w:val="1994289996"/>
        </w:trPr>
        <w:tc>
          <w:tcPr>
            <w:tcW w:w="0" w:type="auto"/>
            <w:gridSpan w:val="3"/>
            <w:tcMar>
              <w:top w:w="30" w:type="dxa"/>
              <w:left w:w="20" w:type="dxa"/>
              <w:bottom w:w="30" w:type="dxa"/>
              <w:right w:w="20" w:type="dxa"/>
            </w:tcMar>
            <w:vAlign w:val="bottom"/>
            <w:hideMark/>
          </w:tcPr>
          <w:p w14:paraId="31C6660A"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3455411"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35B6E020" w14:textId="77777777" w:rsidR="00000000" w:rsidRDefault="001A570A">
            <w:pPr>
              <w:jc w:val="center"/>
              <w:rPr>
                <w:rFonts w:eastAsia="Times New Roman"/>
              </w:rPr>
            </w:pPr>
          </w:p>
        </w:tc>
        <w:tc>
          <w:tcPr>
            <w:tcW w:w="0" w:type="auto"/>
            <w:gridSpan w:val="21"/>
            <w:tcMar>
              <w:top w:w="30" w:type="dxa"/>
              <w:left w:w="20" w:type="dxa"/>
              <w:bottom w:w="30" w:type="dxa"/>
              <w:right w:w="20" w:type="dxa"/>
            </w:tcMar>
            <w:vAlign w:val="bottom"/>
            <w:hideMark/>
          </w:tcPr>
          <w:p w14:paraId="43C0FE32" w14:textId="77777777" w:rsidR="00000000" w:rsidRDefault="001A570A">
            <w:pPr>
              <w:jc w:val="center"/>
              <w:rPr>
                <w:rFonts w:eastAsia="Times New Roman"/>
              </w:rPr>
            </w:pPr>
            <w:r>
              <w:rPr>
                <w:rFonts w:eastAsia="Times New Roman"/>
                <w:b/>
                <w:bCs/>
                <w:color w:val="000000"/>
                <w:sz w:val="16"/>
                <w:szCs w:val="16"/>
              </w:rPr>
              <w:t>Four Quarters Ended</w:t>
            </w:r>
          </w:p>
        </w:tc>
      </w:tr>
      <w:tr w:rsidR="00000000" w14:paraId="22C6E7AC" w14:textId="77777777">
        <w:trPr>
          <w:divId w:val="1994289996"/>
        </w:trPr>
        <w:tc>
          <w:tcPr>
            <w:tcW w:w="0" w:type="auto"/>
            <w:gridSpan w:val="3"/>
            <w:tcMar>
              <w:top w:w="0" w:type="dxa"/>
              <w:left w:w="20" w:type="dxa"/>
              <w:bottom w:w="0" w:type="dxa"/>
              <w:right w:w="20" w:type="dxa"/>
            </w:tcMar>
            <w:vAlign w:val="center"/>
            <w:hideMark/>
          </w:tcPr>
          <w:p w14:paraId="278592E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61EB41" w14:textId="77777777" w:rsidR="00000000" w:rsidRDefault="001A570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98B0B0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340E3F"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261371E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04D3A0"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14:paraId="7B3789D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B12DAB"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431C42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3DD2A6"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28C4DE61" w14:textId="77777777">
        <w:trPr>
          <w:divId w:val="1994289996"/>
        </w:trPr>
        <w:tc>
          <w:tcPr>
            <w:tcW w:w="0" w:type="auto"/>
            <w:gridSpan w:val="3"/>
            <w:tcMar>
              <w:top w:w="30" w:type="dxa"/>
              <w:left w:w="20" w:type="dxa"/>
              <w:bottom w:w="30" w:type="dxa"/>
              <w:right w:w="20" w:type="dxa"/>
            </w:tcMar>
            <w:vAlign w:val="bottom"/>
            <w:hideMark/>
          </w:tcPr>
          <w:p w14:paraId="43B28242"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323BF079"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40852B4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D9E3B0"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7500A6CF"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50C452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2C640BD"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AAE5C63"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0E1B37F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53F4EF5" w14:textId="77777777" w:rsidR="00000000" w:rsidRDefault="001A570A">
            <w:pPr>
              <w:rPr>
                <w:rFonts w:eastAsia="Times New Roman"/>
                <w:sz w:val="20"/>
                <w:szCs w:val="20"/>
              </w:rPr>
            </w:pPr>
          </w:p>
        </w:tc>
      </w:tr>
      <w:tr w:rsidR="00000000" w14:paraId="18B81803" w14:textId="77777777">
        <w:trPr>
          <w:divId w:val="1994289996"/>
          <w:trHeight w:val="60"/>
        </w:trPr>
        <w:tc>
          <w:tcPr>
            <w:tcW w:w="0" w:type="auto"/>
            <w:gridSpan w:val="3"/>
            <w:tcMar>
              <w:top w:w="0" w:type="dxa"/>
              <w:left w:w="20" w:type="dxa"/>
              <w:bottom w:w="0" w:type="dxa"/>
              <w:right w:w="20" w:type="dxa"/>
            </w:tcMar>
            <w:vAlign w:val="center"/>
            <w:hideMark/>
          </w:tcPr>
          <w:p w14:paraId="2393ECC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EE86D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5B716E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F69C6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EDBA26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AF2ABC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AB4C11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607A5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742B73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57BC818" w14:textId="77777777" w:rsidR="00000000" w:rsidRDefault="001A570A">
            <w:pPr>
              <w:rPr>
                <w:rFonts w:eastAsia="Times New Roman"/>
                <w:sz w:val="20"/>
                <w:szCs w:val="20"/>
              </w:rPr>
            </w:pPr>
          </w:p>
        </w:tc>
      </w:tr>
      <w:tr w:rsidR="00000000" w14:paraId="330392E1" w14:textId="77777777">
        <w:trPr>
          <w:divId w:val="1994289996"/>
        </w:trPr>
        <w:tc>
          <w:tcPr>
            <w:tcW w:w="0" w:type="auto"/>
            <w:gridSpan w:val="3"/>
            <w:shd w:val="clear" w:color="auto" w:fill="CCEEFF"/>
            <w:tcMar>
              <w:top w:w="30" w:type="dxa"/>
              <w:left w:w="20" w:type="dxa"/>
              <w:bottom w:w="30" w:type="dxa"/>
              <w:right w:w="20" w:type="dxa"/>
            </w:tcMar>
            <w:hideMark/>
          </w:tcPr>
          <w:p w14:paraId="697DF604"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2053E9D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3FD180" w14:textId="77777777" w:rsidR="00000000" w:rsidRDefault="001A570A">
            <w:pPr>
              <w:jc w:val="right"/>
              <w:rPr>
                <w:rFonts w:eastAsia="Times New Roman"/>
              </w:rPr>
            </w:pPr>
            <w:r>
              <w:rPr>
                <w:rFonts w:eastAsia="Times New Roman"/>
                <w:color w:val="000000"/>
                <w:sz w:val="20"/>
                <w:szCs w:val="20"/>
              </w:rPr>
              <w:t>4,443 </w:t>
            </w:r>
          </w:p>
        </w:tc>
        <w:tc>
          <w:tcPr>
            <w:tcW w:w="0" w:type="auto"/>
            <w:shd w:val="clear" w:color="auto" w:fill="CCEEFF"/>
            <w:tcMar>
              <w:top w:w="30" w:type="dxa"/>
              <w:left w:w="0" w:type="dxa"/>
              <w:bottom w:w="30" w:type="dxa"/>
              <w:right w:w="20" w:type="dxa"/>
            </w:tcMar>
            <w:vAlign w:val="bottom"/>
            <w:hideMark/>
          </w:tcPr>
          <w:p w14:paraId="0154EBE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AAC9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EB4AF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A79040" w14:textId="77777777" w:rsidR="00000000" w:rsidRDefault="001A570A">
            <w:pPr>
              <w:jc w:val="right"/>
              <w:rPr>
                <w:rFonts w:eastAsia="Times New Roman"/>
              </w:rPr>
            </w:pPr>
            <w:r>
              <w:rPr>
                <w:rFonts w:eastAsia="Times New Roman"/>
                <w:color w:val="000000"/>
                <w:sz w:val="20"/>
                <w:szCs w:val="20"/>
              </w:rPr>
              <w:t>3,340 </w:t>
            </w:r>
          </w:p>
        </w:tc>
        <w:tc>
          <w:tcPr>
            <w:tcW w:w="0" w:type="auto"/>
            <w:shd w:val="clear" w:color="auto" w:fill="CCEEFF"/>
            <w:tcMar>
              <w:top w:w="30" w:type="dxa"/>
              <w:left w:w="0" w:type="dxa"/>
              <w:bottom w:w="30" w:type="dxa"/>
              <w:right w:w="20" w:type="dxa"/>
            </w:tcMar>
            <w:vAlign w:val="bottom"/>
            <w:hideMark/>
          </w:tcPr>
          <w:p w14:paraId="2255D7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48A9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5A157"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06FB6252"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F7A3DA" w14:textId="77777777" w:rsidR="00000000" w:rsidRDefault="001A570A">
            <w:pPr>
              <w:rPr>
                <w:rFonts w:eastAsia="Times New Roman"/>
              </w:rPr>
            </w:pPr>
          </w:p>
        </w:tc>
        <w:tc>
          <w:tcPr>
            <w:tcW w:w="0" w:type="auto"/>
            <w:shd w:val="clear" w:color="auto" w:fill="CCEEFF"/>
            <w:tcMar>
              <w:top w:w="30" w:type="dxa"/>
              <w:left w:w="20" w:type="dxa"/>
              <w:bottom w:w="30" w:type="dxa"/>
              <w:right w:w="0" w:type="dxa"/>
            </w:tcMar>
            <w:vAlign w:val="bottom"/>
            <w:hideMark/>
          </w:tcPr>
          <w:p w14:paraId="5B55C7A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D9030D" w14:textId="77777777" w:rsidR="00000000" w:rsidRDefault="001A570A">
            <w:pPr>
              <w:jc w:val="right"/>
              <w:rPr>
                <w:rFonts w:eastAsia="Times New Roman"/>
              </w:rPr>
            </w:pPr>
            <w:r>
              <w:rPr>
                <w:rFonts w:eastAsia="Times New Roman"/>
                <w:color w:val="000000"/>
                <w:sz w:val="20"/>
                <w:szCs w:val="20"/>
              </w:rPr>
              <w:t>4,278 </w:t>
            </w:r>
          </w:p>
        </w:tc>
        <w:tc>
          <w:tcPr>
            <w:tcW w:w="0" w:type="auto"/>
            <w:shd w:val="clear" w:color="auto" w:fill="CCEEFF"/>
            <w:tcMar>
              <w:top w:w="30" w:type="dxa"/>
              <w:left w:w="0" w:type="dxa"/>
              <w:bottom w:w="30" w:type="dxa"/>
              <w:right w:w="20" w:type="dxa"/>
            </w:tcMar>
            <w:vAlign w:val="bottom"/>
            <w:hideMark/>
          </w:tcPr>
          <w:p w14:paraId="1456B1B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D52F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9577A6"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C1BD692" w14:textId="77777777" w:rsidR="00000000" w:rsidRDefault="001A570A">
            <w:pPr>
              <w:rPr>
                <w:rFonts w:eastAsia="Times New Roman"/>
              </w:rPr>
            </w:pPr>
            <w:r>
              <w:rPr>
                <w:rFonts w:eastAsia="Times New Roman"/>
                <w:color w:val="000000"/>
                <w:sz w:val="20"/>
                <w:szCs w:val="20"/>
              </w:rPr>
              <w:t>%</w:t>
            </w:r>
          </w:p>
        </w:tc>
      </w:tr>
      <w:tr w:rsidR="00000000" w14:paraId="3FE21F6A" w14:textId="77777777">
        <w:trPr>
          <w:divId w:val="1994289996"/>
        </w:trPr>
        <w:tc>
          <w:tcPr>
            <w:tcW w:w="0" w:type="auto"/>
            <w:gridSpan w:val="3"/>
            <w:shd w:val="clear" w:color="auto" w:fill="FFFFFF"/>
            <w:tcMar>
              <w:top w:w="30" w:type="dxa"/>
              <w:left w:w="20" w:type="dxa"/>
              <w:bottom w:w="30" w:type="dxa"/>
              <w:right w:w="20" w:type="dxa"/>
            </w:tcMar>
            <w:hideMark/>
          </w:tcPr>
          <w:p w14:paraId="2B269489"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021D1A9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92165B" w14:textId="77777777" w:rsidR="00000000" w:rsidRDefault="001A570A">
            <w:pPr>
              <w:jc w:val="right"/>
              <w:rPr>
                <w:rFonts w:eastAsia="Times New Roman"/>
              </w:rPr>
            </w:pPr>
            <w:r>
              <w:rPr>
                <w:rFonts w:eastAsia="Times New Roman"/>
                <w:color w:val="000000"/>
                <w:sz w:val="20"/>
                <w:szCs w:val="20"/>
              </w:rPr>
              <w:t>1,084 </w:t>
            </w:r>
          </w:p>
        </w:tc>
        <w:tc>
          <w:tcPr>
            <w:tcW w:w="0" w:type="auto"/>
            <w:shd w:val="clear" w:color="auto" w:fill="FFFFFF"/>
            <w:tcMar>
              <w:top w:w="30" w:type="dxa"/>
              <w:left w:w="0" w:type="dxa"/>
              <w:bottom w:w="30" w:type="dxa"/>
              <w:right w:w="20" w:type="dxa"/>
            </w:tcMar>
            <w:vAlign w:val="bottom"/>
            <w:hideMark/>
          </w:tcPr>
          <w:p w14:paraId="4C70726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2E0D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D8941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B6E79E" w14:textId="77777777" w:rsidR="00000000" w:rsidRDefault="001A570A">
            <w:pPr>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14:paraId="30E04C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7218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2E2751" w14:textId="77777777" w:rsidR="00000000" w:rsidRDefault="001A570A">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1CA6F7CA"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C7CBE0D" w14:textId="77777777" w:rsidR="00000000" w:rsidRDefault="001A570A">
            <w:pPr>
              <w:rPr>
                <w:rFonts w:eastAsia="Times New Roman"/>
              </w:rPr>
            </w:pPr>
          </w:p>
        </w:tc>
        <w:tc>
          <w:tcPr>
            <w:tcW w:w="0" w:type="auto"/>
            <w:shd w:val="clear" w:color="auto" w:fill="FFFFFF"/>
            <w:tcMar>
              <w:top w:w="30" w:type="dxa"/>
              <w:left w:w="20" w:type="dxa"/>
              <w:bottom w:w="30" w:type="dxa"/>
              <w:right w:w="0" w:type="dxa"/>
            </w:tcMar>
            <w:vAlign w:val="bottom"/>
            <w:hideMark/>
          </w:tcPr>
          <w:p w14:paraId="6893D60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85EA0A" w14:textId="77777777" w:rsidR="00000000" w:rsidRDefault="001A570A">
            <w:pPr>
              <w:jc w:val="right"/>
              <w:rPr>
                <w:rFonts w:eastAsia="Times New Roman"/>
              </w:rPr>
            </w:pPr>
            <w:r>
              <w:rPr>
                <w:rFonts w:eastAsia="Times New Roman"/>
                <w:color w:val="000000"/>
                <w:sz w:val="20"/>
                <w:szCs w:val="20"/>
              </w:rPr>
              <w:t>958 </w:t>
            </w:r>
          </w:p>
        </w:tc>
        <w:tc>
          <w:tcPr>
            <w:tcW w:w="0" w:type="auto"/>
            <w:shd w:val="clear" w:color="auto" w:fill="FFFFFF"/>
            <w:tcMar>
              <w:top w:w="30" w:type="dxa"/>
              <w:left w:w="0" w:type="dxa"/>
              <w:bottom w:w="30" w:type="dxa"/>
              <w:right w:w="20" w:type="dxa"/>
            </w:tcMar>
            <w:vAlign w:val="bottom"/>
            <w:hideMark/>
          </w:tcPr>
          <w:p w14:paraId="4E7036E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741B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1D93C"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6D17AA03" w14:textId="77777777" w:rsidR="00000000" w:rsidRDefault="001A570A">
            <w:pPr>
              <w:rPr>
                <w:rFonts w:eastAsia="Times New Roman"/>
              </w:rPr>
            </w:pPr>
            <w:r>
              <w:rPr>
                <w:rFonts w:eastAsia="Times New Roman"/>
                <w:color w:val="000000"/>
                <w:sz w:val="20"/>
                <w:szCs w:val="20"/>
              </w:rPr>
              <w:t>%</w:t>
            </w:r>
          </w:p>
        </w:tc>
      </w:tr>
      <w:tr w:rsidR="00000000" w14:paraId="53DA11AB" w14:textId="77777777">
        <w:trPr>
          <w:divId w:val="1994289996"/>
        </w:trPr>
        <w:tc>
          <w:tcPr>
            <w:tcW w:w="0" w:type="auto"/>
            <w:gridSpan w:val="3"/>
            <w:shd w:val="clear" w:color="auto" w:fill="CCEEFF"/>
            <w:tcMar>
              <w:top w:w="30" w:type="dxa"/>
              <w:left w:w="245" w:type="dxa"/>
              <w:bottom w:w="30" w:type="dxa"/>
              <w:right w:w="20" w:type="dxa"/>
            </w:tcMar>
            <w:hideMark/>
          </w:tcPr>
          <w:p w14:paraId="60DBF5C1"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716FDB8E" w14:textId="77777777" w:rsidR="00000000" w:rsidRDefault="001A570A">
            <w:pPr>
              <w:jc w:val="right"/>
              <w:rPr>
                <w:rFonts w:eastAsia="Times New Roman"/>
              </w:rPr>
            </w:pPr>
            <w:r>
              <w:rPr>
                <w:rFonts w:eastAsia="Times New Roman"/>
                <w:i/>
                <w:iCs/>
                <w:color w:val="000000"/>
                <w:sz w:val="20"/>
                <w:szCs w:val="20"/>
              </w:rPr>
              <w:t>24 </w:t>
            </w:r>
          </w:p>
        </w:tc>
        <w:tc>
          <w:tcPr>
            <w:tcW w:w="0" w:type="auto"/>
            <w:shd w:val="clear" w:color="auto" w:fill="CCEEFF"/>
            <w:tcMar>
              <w:top w:w="30" w:type="dxa"/>
              <w:left w:w="0" w:type="dxa"/>
              <w:bottom w:w="30" w:type="dxa"/>
              <w:right w:w="20" w:type="dxa"/>
            </w:tcMar>
            <w:vAlign w:val="bottom"/>
            <w:hideMark/>
          </w:tcPr>
          <w:p w14:paraId="6B46CCBF"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629A676"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E3C612" w14:textId="77777777" w:rsidR="00000000" w:rsidRDefault="001A570A">
            <w:pPr>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14:paraId="7B328C22"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D36EE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F483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1876C"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50B3C" w14:textId="77777777" w:rsidR="00000000" w:rsidRDefault="001A570A">
            <w:pPr>
              <w:jc w:val="right"/>
              <w:rPr>
                <w:rFonts w:eastAsia="Times New Roman"/>
              </w:rPr>
            </w:pPr>
            <w:r>
              <w:rPr>
                <w:rFonts w:eastAsia="Times New Roman"/>
                <w:i/>
                <w:iCs/>
                <w:color w:val="000000"/>
                <w:sz w:val="20"/>
                <w:szCs w:val="20"/>
              </w:rPr>
              <w:t>22 </w:t>
            </w:r>
          </w:p>
        </w:tc>
        <w:tc>
          <w:tcPr>
            <w:tcW w:w="0" w:type="auto"/>
            <w:shd w:val="clear" w:color="auto" w:fill="CCEEFF"/>
            <w:tcMar>
              <w:top w:w="30" w:type="dxa"/>
              <w:left w:w="0" w:type="dxa"/>
              <w:bottom w:w="30" w:type="dxa"/>
              <w:right w:w="20" w:type="dxa"/>
            </w:tcMar>
            <w:vAlign w:val="bottom"/>
            <w:hideMark/>
          </w:tcPr>
          <w:p w14:paraId="55DCBDD5"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06B87B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1800C" w14:textId="77777777" w:rsidR="00000000" w:rsidRDefault="001A570A">
            <w:pPr>
              <w:rPr>
                <w:rFonts w:eastAsia="Times New Roman"/>
                <w:sz w:val="20"/>
                <w:szCs w:val="20"/>
              </w:rPr>
            </w:pPr>
          </w:p>
        </w:tc>
      </w:tr>
    </w:tbl>
    <w:p w14:paraId="6FE4A7A2" w14:textId="77777777" w:rsidR="00000000" w:rsidRDefault="001A570A">
      <w:pPr>
        <w:ind w:firstLine="450"/>
        <w:divId w:val="1248417445"/>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40"/>
        <w:gridCol w:w="2313"/>
        <w:gridCol w:w="39"/>
        <w:gridCol w:w="120"/>
        <w:gridCol w:w="500"/>
        <w:gridCol w:w="187"/>
        <w:gridCol w:w="36"/>
        <w:gridCol w:w="36"/>
        <w:gridCol w:w="36"/>
        <w:gridCol w:w="121"/>
        <w:gridCol w:w="776"/>
        <w:gridCol w:w="188"/>
        <w:gridCol w:w="37"/>
        <w:gridCol w:w="118"/>
        <w:gridCol w:w="36"/>
        <w:gridCol w:w="88"/>
        <w:gridCol w:w="575"/>
        <w:gridCol w:w="187"/>
        <w:gridCol w:w="36"/>
        <w:gridCol w:w="36"/>
        <w:gridCol w:w="36"/>
        <w:gridCol w:w="120"/>
        <w:gridCol w:w="500"/>
        <w:gridCol w:w="187"/>
        <w:gridCol w:w="36"/>
        <w:gridCol w:w="36"/>
        <w:gridCol w:w="36"/>
        <w:gridCol w:w="120"/>
        <w:gridCol w:w="500"/>
        <w:gridCol w:w="187"/>
        <w:gridCol w:w="36"/>
        <w:gridCol w:w="36"/>
        <w:gridCol w:w="36"/>
        <w:gridCol w:w="88"/>
        <w:gridCol w:w="575"/>
        <w:gridCol w:w="187"/>
      </w:tblGrid>
      <w:tr w:rsidR="00000000" w14:paraId="02BDB3AD" w14:textId="77777777">
        <w:trPr>
          <w:divId w:val="1319572543"/>
        </w:trPr>
        <w:tc>
          <w:tcPr>
            <w:tcW w:w="50" w:type="pct"/>
            <w:vAlign w:val="center"/>
            <w:hideMark/>
          </w:tcPr>
          <w:p w14:paraId="31FFDBE0" w14:textId="77777777" w:rsidR="00000000" w:rsidRDefault="001A570A">
            <w:pPr>
              <w:ind w:firstLine="450"/>
              <w:rPr>
                <w:rFonts w:eastAsia="Times New Roman"/>
              </w:rPr>
            </w:pPr>
          </w:p>
        </w:tc>
        <w:tc>
          <w:tcPr>
            <w:tcW w:w="1911" w:type="pct"/>
            <w:vAlign w:val="center"/>
            <w:hideMark/>
          </w:tcPr>
          <w:p w14:paraId="3FA2FB1D" w14:textId="77777777" w:rsidR="00000000" w:rsidRDefault="001A570A">
            <w:pPr>
              <w:rPr>
                <w:rFonts w:eastAsia="Times New Roman"/>
                <w:sz w:val="20"/>
                <w:szCs w:val="20"/>
              </w:rPr>
            </w:pPr>
          </w:p>
        </w:tc>
        <w:tc>
          <w:tcPr>
            <w:tcW w:w="5" w:type="pct"/>
            <w:vAlign w:val="center"/>
            <w:hideMark/>
          </w:tcPr>
          <w:p w14:paraId="6A886019" w14:textId="77777777" w:rsidR="00000000" w:rsidRDefault="001A570A">
            <w:pPr>
              <w:rPr>
                <w:rFonts w:eastAsia="Times New Roman"/>
                <w:sz w:val="20"/>
                <w:szCs w:val="20"/>
              </w:rPr>
            </w:pPr>
          </w:p>
        </w:tc>
        <w:tc>
          <w:tcPr>
            <w:tcW w:w="50" w:type="pct"/>
            <w:vAlign w:val="center"/>
            <w:hideMark/>
          </w:tcPr>
          <w:p w14:paraId="0CDB93C0" w14:textId="77777777" w:rsidR="00000000" w:rsidRDefault="001A570A">
            <w:pPr>
              <w:rPr>
                <w:rFonts w:eastAsia="Times New Roman"/>
                <w:sz w:val="20"/>
                <w:szCs w:val="20"/>
              </w:rPr>
            </w:pPr>
          </w:p>
        </w:tc>
        <w:tc>
          <w:tcPr>
            <w:tcW w:w="474" w:type="pct"/>
            <w:vAlign w:val="center"/>
            <w:hideMark/>
          </w:tcPr>
          <w:p w14:paraId="5EBFD91B" w14:textId="77777777" w:rsidR="00000000" w:rsidRDefault="001A570A">
            <w:pPr>
              <w:rPr>
                <w:rFonts w:eastAsia="Times New Roman"/>
                <w:sz w:val="20"/>
                <w:szCs w:val="20"/>
              </w:rPr>
            </w:pPr>
          </w:p>
        </w:tc>
        <w:tc>
          <w:tcPr>
            <w:tcW w:w="5" w:type="pct"/>
            <w:vAlign w:val="center"/>
            <w:hideMark/>
          </w:tcPr>
          <w:p w14:paraId="00F8CF08" w14:textId="77777777" w:rsidR="00000000" w:rsidRDefault="001A570A">
            <w:pPr>
              <w:rPr>
                <w:rFonts w:eastAsia="Times New Roman"/>
                <w:sz w:val="20"/>
                <w:szCs w:val="20"/>
              </w:rPr>
            </w:pPr>
          </w:p>
        </w:tc>
        <w:tc>
          <w:tcPr>
            <w:tcW w:w="5" w:type="pct"/>
            <w:vAlign w:val="center"/>
            <w:hideMark/>
          </w:tcPr>
          <w:p w14:paraId="642B20CC" w14:textId="77777777" w:rsidR="00000000" w:rsidRDefault="001A570A">
            <w:pPr>
              <w:rPr>
                <w:rFonts w:eastAsia="Times New Roman"/>
                <w:sz w:val="20"/>
                <w:szCs w:val="20"/>
              </w:rPr>
            </w:pPr>
          </w:p>
        </w:tc>
        <w:tc>
          <w:tcPr>
            <w:tcW w:w="19" w:type="pct"/>
            <w:vAlign w:val="center"/>
            <w:hideMark/>
          </w:tcPr>
          <w:p w14:paraId="65962978" w14:textId="77777777" w:rsidR="00000000" w:rsidRDefault="001A570A">
            <w:pPr>
              <w:rPr>
                <w:rFonts w:eastAsia="Times New Roman"/>
                <w:sz w:val="20"/>
                <w:szCs w:val="20"/>
              </w:rPr>
            </w:pPr>
          </w:p>
        </w:tc>
        <w:tc>
          <w:tcPr>
            <w:tcW w:w="5" w:type="pct"/>
            <w:vAlign w:val="center"/>
            <w:hideMark/>
          </w:tcPr>
          <w:p w14:paraId="4CC1D375" w14:textId="77777777" w:rsidR="00000000" w:rsidRDefault="001A570A">
            <w:pPr>
              <w:rPr>
                <w:rFonts w:eastAsia="Times New Roman"/>
                <w:sz w:val="20"/>
                <w:szCs w:val="20"/>
              </w:rPr>
            </w:pPr>
          </w:p>
        </w:tc>
        <w:tc>
          <w:tcPr>
            <w:tcW w:w="50" w:type="pct"/>
            <w:vAlign w:val="center"/>
            <w:hideMark/>
          </w:tcPr>
          <w:p w14:paraId="42DA1ACD" w14:textId="77777777" w:rsidR="00000000" w:rsidRDefault="001A570A">
            <w:pPr>
              <w:rPr>
                <w:rFonts w:eastAsia="Times New Roman"/>
                <w:sz w:val="20"/>
                <w:szCs w:val="20"/>
              </w:rPr>
            </w:pPr>
          </w:p>
        </w:tc>
        <w:tc>
          <w:tcPr>
            <w:tcW w:w="474" w:type="pct"/>
            <w:vAlign w:val="center"/>
            <w:hideMark/>
          </w:tcPr>
          <w:p w14:paraId="44430882" w14:textId="77777777" w:rsidR="00000000" w:rsidRDefault="001A570A">
            <w:pPr>
              <w:rPr>
                <w:rFonts w:eastAsia="Times New Roman"/>
                <w:sz w:val="20"/>
                <w:szCs w:val="20"/>
              </w:rPr>
            </w:pPr>
          </w:p>
        </w:tc>
        <w:tc>
          <w:tcPr>
            <w:tcW w:w="5" w:type="pct"/>
            <w:vAlign w:val="center"/>
            <w:hideMark/>
          </w:tcPr>
          <w:p w14:paraId="5AAA3B7E" w14:textId="77777777" w:rsidR="00000000" w:rsidRDefault="001A570A">
            <w:pPr>
              <w:rPr>
                <w:rFonts w:eastAsia="Times New Roman"/>
                <w:sz w:val="20"/>
                <w:szCs w:val="20"/>
              </w:rPr>
            </w:pPr>
          </w:p>
        </w:tc>
        <w:tc>
          <w:tcPr>
            <w:tcW w:w="5" w:type="pct"/>
            <w:vAlign w:val="center"/>
            <w:hideMark/>
          </w:tcPr>
          <w:p w14:paraId="4FB92990" w14:textId="77777777" w:rsidR="00000000" w:rsidRDefault="001A570A">
            <w:pPr>
              <w:rPr>
                <w:rFonts w:eastAsia="Times New Roman"/>
                <w:sz w:val="20"/>
                <w:szCs w:val="20"/>
              </w:rPr>
            </w:pPr>
          </w:p>
        </w:tc>
        <w:tc>
          <w:tcPr>
            <w:tcW w:w="19" w:type="pct"/>
            <w:vAlign w:val="center"/>
            <w:hideMark/>
          </w:tcPr>
          <w:p w14:paraId="0D7C5C85" w14:textId="77777777" w:rsidR="00000000" w:rsidRDefault="001A570A">
            <w:pPr>
              <w:rPr>
                <w:rFonts w:eastAsia="Times New Roman"/>
                <w:sz w:val="20"/>
                <w:szCs w:val="20"/>
              </w:rPr>
            </w:pPr>
          </w:p>
        </w:tc>
        <w:tc>
          <w:tcPr>
            <w:tcW w:w="5" w:type="pct"/>
            <w:vAlign w:val="center"/>
            <w:hideMark/>
          </w:tcPr>
          <w:p w14:paraId="76F620AC" w14:textId="77777777" w:rsidR="00000000" w:rsidRDefault="001A570A">
            <w:pPr>
              <w:rPr>
                <w:rFonts w:eastAsia="Times New Roman"/>
                <w:sz w:val="20"/>
                <w:szCs w:val="20"/>
              </w:rPr>
            </w:pPr>
          </w:p>
        </w:tc>
        <w:tc>
          <w:tcPr>
            <w:tcW w:w="50" w:type="pct"/>
            <w:vAlign w:val="center"/>
            <w:hideMark/>
          </w:tcPr>
          <w:p w14:paraId="5B5055D4" w14:textId="77777777" w:rsidR="00000000" w:rsidRDefault="001A570A">
            <w:pPr>
              <w:rPr>
                <w:rFonts w:eastAsia="Times New Roman"/>
                <w:sz w:val="20"/>
                <w:szCs w:val="20"/>
              </w:rPr>
            </w:pPr>
          </w:p>
        </w:tc>
        <w:tc>
          <w:tcPr>
            <w:tcW w:w="329" w:type="pct"/>
            <w:vAlign w:val="center"/>
            <w:hideMark/>
          </w:tcPr>
          <w:p w14:paraId="33F97CDC" w14:textId="77777777" w:rsidR="00000000" w:rsidRDefault="001A570A">
            <w:pPr>
              <w:rPr>
                <w:rFonts w:eastAsia="Times New Roman"/>
                <w:sz w:val="20"/>
                <w:szCs w:val="20"/>
              </w:rPr>
            </w:pPr>
          </w:p>
        </w:tc>
        <w:tc>
          <w:tcPr>
            <w:tcW w:w="5" w:type="pct"/>
            <w:vAlign w:val="center"/>
            <w:hideMark/>
          </w:tcPr>
          <w:p w14:paraId="0537CB68" w14:textId="77777777" w:rsidR="00000000" w:rsidRDefault="001A570A">
            <w:pPr>
              <w:rPr>
                <w:rFonts w:eastAsia="Times New Roman"/>
                <w:sz w:val="20"/>
                <w:szCs w:val="20"/>
              </w:rPr>
            </w:pPr>
          </w:p>
        </w:tc>
        <w:tc>
          <w:tcPr>
            <w:tcW w:w="5" w:type="pct"/>
            <w:vAlign w:val="center"/>
            <w:hideMark/>
          </w:tcPr>
          <w:p w14:paraId="48831332" w14:textId="77777777" w:rsidR="00000000" w:rsidRDefault="001A570A">
            <w:pPr>
              <w:rPr>
                <w:rFonts w:eastAsia="Times New Roman"/>
                <w:sz w:val="20"/>
                <w:szCs w:val="20"/>
              </w:rPr>
            </w:pPr>
          </w:p>
        </w:tc>
        <w:tc>
          <w:tcPr>
            <w:tcW w:w="19" w:type="pct"/>
            <w:vAlign w:val="center"/>
            <w:hideMark/>
          </w:tcPr>
          <w:p w14:paraId="67844AC4" w14:textId="77777777" w:rsidR="00000000" w:rsidRDefault="001A570A">
            <w:pPr>
              <w:rPr>
                <w:rFonts w:eastAsia="Times New Roman"/>
                <w:sz w:val="20"/>
                <w:szCs w:val="20"/>
              </w:rPr>
            </w:pPr>
          </w:p>
        </w:tc>
        <w:tc>
          <w:tcPr>
            <w:tcW w:w="5" w:type="pct"/>
            <w:vAlign w:val="center"/>
            <w:hideMark/>
          </w:tcPr>
          <w:p w14:paraId="593526BB" w14:textId="77777777" w:rsidR="00000000" w:rsidRDefault="001A570A">
            <w:pPr>
              <w:rPr>
                <w:rFonts w:eastAsia="Times New Roman"/>
                <w:sz w:val="20"/>
                <w:szCs w:val="20"/>
              </w:rPr>
            </w:pPr>
          </w:p>
        </w:tc>
        <w:tc>
          <w:tcPr>
            <w:tcW w:w="50" w:type="pct"/>
            <w:vAlign w:val="center"/>
            <w:hideMark/>
          </w:tcPr>
          <w:p w14:paraId="671BB27E" w14:textId="77777777" w:rsidR="00000000" w:rsidRDefault="001A570A">
            <w:pPr>
              <w:rPr>
                <w:rFonts w:eastAsia="Times New Roman"/>
                <w:sz w:val="20"/>
                <w:szCs w:val="20"/>
              </w:rPr>
            </w:pPr>
          </w:p>
        </w:tc>
        <w:tc>
          <w:tcPr>
            <w:tcW w:w="474" w:type="pct"/>
            <w:vAlign w:val="center"/>
            <w:hideMark/>
          </w:tcPr>
          <w:p w14:paraId="2C9B6E75" w14:textId="77777777" w:rsidR="00000000" w:rsidRDefault="001A570A">
            <w:pPr>
              <w:rPr>
                <w:rFonts w:eastAsia="Times New Roman"/>
                <w:sz w:val="20"/>
                <w:szCs w:val="20"/>
              </w:rPr>
            </w:pPr>
          </w:p>
        </w:tc>
        <w:tc>
          <w:tcPr>
            <w:tcW w:w="5" w:type="pct"/>
            <w:vAlign w:val="center"/>
            <w:hideMark/>
          </w:tcPr>
          <w:p w14:paraId="61E93A72" w14:textId="77777777" w:rsidR="00000000" w:rsidRDefault="001A570A">
            <w:pPr>
              <w:rPr>
                <w:rFonts w:eastAsia="Times New Roman"/>
                <w:sz w:val="20"/>
                <w:szCs w:val="20"/>
              </w:rPr>
            </w:pPr>
          </w:p>
        </w:tc>
        <w:tc>
          <w:tcPr>
            <w:tcW w:w="5" w:type="pct"/>
            <w:vAlign w:val="center"/>
            <w:hideMark/>
          </w:tcPr>
          <w:p w14:paraId="4B740D3E" w14:textId="77777777" w:rsidR="00000000" w:rsidRDefault="001A570A">
            <w:pPr>
              <w:rPr>
                <w:rFonts w:eastAsia="Times New Roman"/>
                <w:sz w:val="20"/>
                <w:szCs w:val="20"/>
              </w:rPr>
            </w:pPr>
          </w:p>
        </w:tc>
        <w:tc>
          <w:tcPr>
            <w:tcW w:w="19" w:type="pct"/>
            <w:vAlign w:val="center"/>
            <w:hideMark/>
          </w:tcPr>
          <w:p w14:paraId="3E2CD798" w14:textId="77777777" w:rsidR="00000000" w:rsidRDefault="001A570A">
            <w:pPr>
              <w:rPr>
                <w:rFonts w:eastAsia="Times New Roman"/>
                <w:sz w:val="20"/>
                <w:szCs w:val="20"/>
              </w:rPr>
            </w:pPr>
          </w:p>
        </w:tc>
        <w:tc>
          <w:tcPr>
            <w:tcW w:w="5" w:type="pct"/>
            <w:vAlign w:val="center"/>
            <w:hideMark/>
          </w:tcPr>
          <w:p w14:paraId="5957B46A" w14:textId="77777777" w:rsidR="00000000" w:rsidRDefault="001A570A">
            <w:pPr>
              <w:rPr>
                <w:rFonts w:eastAsia="Times New Roman"/>
                <w:sz w:val="20"/>
                <w:szCs w:val="20"/>
              </w:rPr>
            </w:pPr>
          </w:p>
        </w:tc>
        <w:tc>
          <w:tcPr>
            <w:tcW w:w="50" w:type="pct"/>
            <w:vAlign w:val="center"/>
            <w:hideMark/>
          </w:tcPr>
          <w:p w14:paraId="14B12A51" w14:textId="77777777" w:rsidR="00000000" w:rsidRDefault="001A570A">
            <w:pPr>
              <w:rPr>
                <w:rFonts w:eastAsia="Times New Roman"/>
                <w:sz w:val="20"/>
                <w:szCs w:val="20"/>
              </w:rPr>
            </w:pPr>
          </w:p>
        </w:tc>
        <w:tc>
          <w:tcPr>
            <w:tcW w:w="474" w:type="pct"/>
            <w:vAlign w:val="center"/>
            <w:hideMark/>
          </w:tcPr>
          <w:p w14:paraId="6BB116CD" w14:textId="77777777" w:rsidR="00000000" w:rsidRDefault="001A570A">
            <w:pPr>
              <w:rPr>
                <w:rFonts w:eastAsia="Times New Roman"/>
                <w:sz w:val="20"/>
                <w:szCs w:val="20"/>
              </w:rPr>
            </w:pPr>
          </w:p>
        </w:tc>
        <w:tc>
          <w:tcPr>
            <w:tcW w:w="5" w:type="pct"/>
            <w:vAlign w:val="center"/>
            <w:hideMark/>
          </w:tcPr>
          <w:p w14:paraId="03C4AB37" w14:textId="77777777" w:rsidR="00000000" w:rsidRDefault="001A570A">
            <w:pPr>
              <w:rPr>
                <w:rFonts w:eastAsia="Times New Roman"/>
                <w:sz w:val="20"/>
                <w:szCs w:val="20"/>
              </w:rPr>
            </w:pPr>
          </w:p>
        </w:tc>
        <w:tc>
          <w:tcPr>
            <w:tcW w:w="5" w:type="pct"/>
            <w:vAlign w:val="center"/>
            <w:hideMark/>
          </w:tcPr>
          <w:p w14:paraId="2AE91075" w14:textId="77777777" w:rsidR="00000000" w:rsidRDefault="001A570A">
            <w:pPr>
              <w:rPr>
                <w:rFonts w:eastAsia="Times New Roman"/>
                <w:sz w:val="20"/>
                <w:szCs w:val="20"/>
              </w:rPr>
            </w:pPr>
          </w:p>
        </w:tc>
        <w:tc>
          <w:tcPr>
            <w:tcW w:w="19" w:type="pct"/>
            <w:vAlign w:val="center"/>
            <w:hideMark/>
          </w:tcPr>
          <w:p w14:paraId="4A292A2D" w14:textId="77777777" w:rsidR="00000000" w:rsidRDefault="001A570A">
            <w:pPr>
              <w:rPr>
                <w:rFonts w:eastAsia="Times New Roman"/>
                <w:sz w:val="20"/>
                <w:szCs w:val="20"/>
              </w:rPr>
            </w:pPr>
          </w:p>
        </w:tc>
        <w:tc>
          <w:tcPr>
            <w:tcW w:w="5" w:type="pct"/>
            <w:vAlign w:val="center"/>
            <w:hideMark/>
          </w:tcPr>
          <w:p w14:paraId="2843D9BD" w14:textId="77777777" w:rsidR="00000000" w:rsidRDefault="001A570A">
            <w:pPr>
              <w:rPr>
                <w:rFonts w:eastAsia="Times New Roman"/>
                <w:sz w:val="20"/>
                <w:szCs w:val="20"/>
              </w:rPr>
            </w:pPr>
          </w:p>
        </w:tc>
        <w:tc>
          <w:tcPr>
            <w:tcW w:w="50" w:type="pct"/>
            <w:vAlign w:val="center"/>
            <w:hideMark/>
          </w:tcPr>
          <w:p w14:paraId="4E04F5E2" w14:textId="77777777" w:rsidR="00000000" w:rsidRDefault="001A570A">
            <w:pPr>
              <w:rPr>
                <w:rFonts w:eastAsia="Times New Roman"/>
                <w:sz w:val="20"/>
                <w:szCs w:val="20"/>
              </w:rPr>
            </w:pPr>
          </w:p>
        </w:tc>
        <w:tc>
          <w:tcPr>
            <w:tcW w:w="329" w:type="pct"/>
            <w:vAlign w:val="center"/>
            <w:hideMark/>
          </w:tcPr>
          <w:p w14:paraId="2F59D138" w14:textId="77777777" w:rsidR="00000000" w:rsidRDefault="001A570A">
            <w:pPr>
              <w:rPr>
                <w:rFonts w:eastAsia="Times New Roman"/>
                <w:sz w:val="20"/>
                <w:szCs w:val="20"/>
              </w:rPr>
            </w:pPr>
          </w:p>
        </w:tc>
        <w:tc>
          <w:tcPr>
            <w:tcW w:w="5" w:type="pct"/>
            <w:vAlign w:val="center"/>
            <w:hideMark/>
          </w:tcPr>
          <w:p w14:paraId="23BC1D53" w14:textId="77777777" w:rsidR="00000000" w:rsidRDefault="001A570A">
            <w:pPr>
              <w:rPr>
                <w:rFonts w:eastAsia="Times New Roman"/>
                <w:sz w:val="20"/>
                <w:szCs w:val="20"/>
              </w:rPr>
            </w:pPr>
          </w:p>
        </w:tc>
      </w:tr>
      <w:tr w:rsidR="00000000" w14:paraId="3C296F91" w14:textId="77777777">
        <w:trPr>
          <w:divId w:val="1319572543"/>
        </w:trPr>
        <w:tc>
          <w:tcPr>
            <w:tcW w:w="0" w:type="auto"/>
            <w:gridSpan w:val="3"/>
            <w:tcMar>
              <w:top w:w="0" w:type="dxa"/>
              <w:left w:w="20" w:type="dxa"/>
              <w:bottom w:w="0" w:type="dxa"/>
              <w:right w:w="20" w:type="dxa"/>
            </w:tcMar>
            <w:vAlign w:val="center"/>
            <w:hideMark/>
          </w:tcPr>
          <w:p w14:paraId="42A2A201" w14:textId="77777777" w:rsidR="00000000" w:rsidRDefault="001A570A">
            <w:pPr>
              <w:rPr>
                <w:rFonts w:eastAsia="Times New Roman"/>
                <w:sz w:val="20"/>
                <w:szCs w:val="20"/>
              </w:rPr>
            </w:pPr>
          </w:p>
        </w:tc>
        <w:tc>
          <w:tcPr>
            <w:tcW w:w="0" w:type="auto"/>
            <w:gridSpan w:val="15"/>
            <w:tcMar>
              <w:top w:w="30" w:type="dxa"/>
              <w:left w:w="20" w:type="dxa"/>
              <w:bottom w:w="30" w:type="dxa"/>
              <w:right w:w="20" w:type="dxa"/>
            </w:tcMar>
            <w:vAlign w:val="bottom"/>
            <w:hideMark/>
          </w:tcPr>
          <w:p w14:paraId="742DD601"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1D77ECCF"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1CC49233"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029B9E2E" w14:textId="77777777">
        <w:trPr>
          <w:divId w:val="1319572543"/>
        </w:trPr>
        <w:tc>
          <w:tcPr>
            <w:tcW w:w="0" w:type="auto"/>
            <w:gridSpan w:val="3"/>
            <w:tcMar>
              <w:top w:w="0" w:type="dxa"/>
              <w:left w:w="20" w:type="dxa"/>
              <w:bottom w:w="0" w:type="dxa"/>
              <w:right w:w="20" w:type="dxa"/>
            </w:tcMar>
            <w:vAlign w:val="center"/>
            <w:hideMark/>
          </w:tcPr>
          <w:p w14:paraId="1CA9DAA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351ADF"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F54A25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E3FE4D" w14:textId="77777777" w:rsidR="00000000" w:rsidRDefault="001A570A">
            <w:pPr>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2018</w:t>
            </w:r>
          </w:p>
        </w:tc>
        <w:tc>
          <w:tcPr>
            <w:tcW w:w="0" w:type="auto"/>
            <w:gridSpan w:val="3"/>
            <w:tcBorders>
              <w:top w:val="single" w:sz="8" w:space="0" w:color="000000"/>
            </w:tcBorders>
            <w:tcMar>
              <w:top w:w="0" w:type="dxa"/>
              <w:left w:w="20" w:type="dxa"/>
              <w:bottom w:w="0" w:type="dxa"/>
              <w:right w:w="20" w:type="dxa"/>
            </w:tcMar>
            <w:vAlign w:val="center"/>
            <w:hideMark/>
          </w:tcPr>
          <w:p w14:paraId="019FBA0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AF465F"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r>
            <w:r>
              <w:rPr>
                <w:rFonts w:eastAsia="Times New Roman"/>
                <w:b/>
                <w:bCs/>
                <w:color w:val="000000"/>
                <w:sz w:val="16"/>
                <w:szCs w:val="16"/>
              </w:rPr>
              <w:t>Inc/(Dec)</w:t>
            </w:r>
          </w:p>
        </w:tc>
        <w:tc>
          <w:tcPr>
            <w:tcW w:w="0" w:type="auto"/>
            <w:gridSpan w:val="3"/>
            <w:tcMar>
              <w:top w:w="0" w:type="dxa"/>
              <w:left w:w="20" w:type="dxa"/>
              <w:bottom w:w="0" w:type="dxa"/>
              <w:right w:w="20" w:type="dxa"/>
            </w:tcMar>
            <w:vAlign w:val="center"/>
            <w:hideMark/>
          </w:tcPr>
          <w:p w14:paraId="4A2BA97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102DD2"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6FBA75A0"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3F7EFF" w14:textId="77777777" w:rsidR="00000000" w:rsidRDefault="001A570A">
            <w:pPr>
              <w:jc w:val="center"/>
              <w:rPr>
                <w:rFonts w:eastAsia="Times New Roman"/>
              </w:rPr>
            </w:pPr>
            <w:r>
              <w:rPr>
                <w:rFonts w:eastAsia="Times New Roman"/>
                <w:b/>
                <w:bCs/>
                <w:color w:val="000000"/>
                <w:sz w:val="16"/>
                <w:szCs w:val="16"/>
              </w:rPr>
              <w:t>June 29, 2018</w:t>
            </w:r>
          </w:p>
        </w:tc>
        <w:tc>
          <w:tcPr>
            <w:tcW w:w="0" w:type="auto"/>
            <w:gridSpan w:val="3"/>
            <w:tcBorders>
              <w:top w:val="single" w:sz="8" w:space="0" w:color="000000"/>
            </w:tcBorders>
            <w:tcMar>
              <w:top w:w="0" w:type="dxa"/>
              <w:left w:w="20" w:type="dxa"/>
              <w:bottom w:w="0" w:type="dxa"/>
              <w:right w:w="20" w:type="dxa"/>
            </w:tcMar>
            <w:vAlign w:val="center"/>
            <w:hideMark/>
          </w:tcPr>
          <w:p w14:paraId="21F7F0D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DFAA78"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1538ADE2" w14:textId="77777777">
        <w:trPr>
          <w:divId w:val="1319572543"/>
        </w:trPr>
        <w:tc>
          <w:tcPr>
            <w:tcW w:w="0" w:type="auto"/>
            <w:gridSpan w:val="3"/>
            <w:tcMar>
              <w:top w:w="30" w:type="dxa"/>
              <w:left w:w="20" w:type="dxa"/>
              <w:bottom w:w="30" w:type="dxa"/>
              <w:right w:w="20" w:type="dxa"/>
            </w:tcMar>
            <w:vAlign w:val="bottom"/>
            <w:hideMark/>
          </w:tcPr>
          <w:p w14:paraId="2710035C"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2C5DA031"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1ED7320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A6C8D3"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59732CC7"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289BE3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953EBDF" w14:textId="77777777" w:rsidR="00000000" w:rsidRDefault="001A570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38CAF50"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572E8014"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DF46E50" w14:textId="77777777" w:rsidR="00000000" w:rsidRDefault="001A570A">
            <w:pPr>
              <w:rPr>
                <w:rFonts w:eastAsia="Times New Roman"/>
                <w:sz w:val="20"/>
                <w:szCs w:val="20"/>
              </w:rPr>
            </w:pPr>
          </w:p>
        </w:tc>
      </w:tr>
      <w:tr w:rsidR="00000000" w14:paraId="1A1AEF42" w14:textId="77777777">
        <w:trPr>
          <w:divId w:val="1319572543"/>
          <w:trHeight w:val="60"/>
        </w:trPr>
        <w:tc>
          <w:tcPr>
            <w:tcW w:w="0" w:type="auto"/>
            <w:gridSpan w:val="3"/>
            <w:tcMar>
              <w:top w:w="0" w:type="dxa"/>
              <w:left w:w="20" w:type="dxa"/>
              <w:bottom w:w="0" w:type="dxa"/>
              <w:right w:w="20" w:type="dxa"/>
            </w:tcMar>
            <w:vAlign w:val="center"/>
            <w:hideMark/>
          </w:tcPr>
          <w:p w14:paraId="3A73812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2DBA8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159002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683DA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012D75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DDBDA1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64B0BC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10E16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A4517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D6E1E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AA45AC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E3BE05C" w14:textId="77777777" w:rsidR="00000000" w:rsidRDefault="001A570A">
            <w:pPr>
              <w:rPr>
                <w:rFonts w:eastAsia="Times New Roman"/>
                <w:sz w:val="20"/>
                <w:szCs w:val="20"/>
              </w:rPr>
            </w:pPr>
          </w:p>
        </w:tc>
      </w:tr>
      <w:tr w:rsidR="00000000" w14:paraId="4DECE9A7" w14:textId="77777777">
        <w:trPr>
          <w:divId w:val="1319572543"/>
        </w:trPr>
        <w:tc>
          <w:tcPr>
            <w:tcW w:w="0" w:type="auto"/>
            <w:gridSpan w:val="3"/>
            <w:shd w:val="clear" w:color="auto" w:fill="CCEEFF"/>
            <w:tcMar>
              <w:top w:w="30" w:type="dxa"/>
              <w:left w:w="20" w:type="dxa"/>
              <w:bottom w:w="30" w:type="dxa"/>
              <w:right w:w="20" w:type="dxa"/>
            </w:tcMar>
            <w:hideMark/>
          </w:tcPr>
          <w:p w14:paraId="1659758B"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00FF22A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E1FDC5" w14:textId="77777777" w:rsidR="00000000" w:rsidRDefault="001A570A">
            <w:pPr>
              <w:jc w:val="right"/>
              <w:rPr>
                <w:rFonts w:eastAsia="Times New Roman"/>
              </w:rPr>
            </w:pPr>
            <w:r>
              <w:rPr>
                <w:rFonts w:eastAsia="Times New Roman"/>
                <w:color w:val="000000"/>
                <w:sz w:val="20"/>
                <w:szCs w:val="20"/>
              </w:rPr>
              <w:t>2,151 </w:t>
            </w:r>
          </w:p>
        </w:tc>
        <w:tc>
          <w:tcPr>
            <w:tcW w:w="0" w:type="auto"/>
            <w:shd w:val="clear" w:color="auto" w:fill="CCEEFF"/>
            <w:tcMar>
              <w:top w:w="30" w:type="dxa"/>
              <w:left w:w="0" w:type="dxa"/>
              <w:bottom w:w="30" w:type="dxa"/>
              <w:right w:w="20" w:type="dxa"/>
            </w:tcMar>
            <w:vAlign w:val="bottom"/>
            <w:hideMark/>
          </w:tcPr>
          <w:p w14:paraId="36D14DE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5717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FF2CC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650DB4" w14:textId="77777777" w:rsidR="00000000" w:rsidRDefault="001A570A">
            <w:pPr>
              <w:jc w:val="right"/>
              <w:rPr>
                <w:rFonts w:eastAsia="Times New Roman"/>
              </w:rPr>
            </w:pPr>
            <w:r>
              <w:rPr>
                <w:rFonts w:eastAsia="Times New Roman"/>
                <w:color w:val="000000"/>
                <w:sz w:val="20"/>
                <w:szCs w:val="20"/>
              </w:rPr>
              <w:t>1,018 </w:t>
            </w:r>
          </w:p>
        </w:tc>
        <w:tc>
          <w:tcPr>
            <w:tcW w:w="0" w:type="auto"/>
            <w:shd w:val="clear" w:color="auto" w:fill="CCEEFF"/>
            <w:tcMar>
              <w:top w:w="30" w:type="dxa"/>
              <w:left w:w="0" w:type="dxa"/>
              <w:bottom w:w="30" w:type="dxa"/>
              <w:right w:w="20" w:type="dxa"/>
            </w:tcMar>
            <w:vAlign w:val="bottom"/>
            <w:hideMark/>
          </w:tcPr>
          <w:p w14:paraId="72CB9C9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228E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8625C" w14:textId="77777777" w:rsidR="00000000" w:rsidRDefault="001A570A">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14:paraId="41525CF5"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FC4EE76" w14:textId="77777777" w:rsidR="00000000" w:rsidRDefault="001A570A">
            <w:pPr>
              <w:rPr>
                <w:rFonts w:eastAsia="Times New Roman"/>
              </w:rPr>
            </w:pPr>
          </w:p>
        </w:tc>
        <w:tc>
          <w:tcPr>
            <w:tcW w:w="0" w:type="auto"/>
            <w:shd w:val="clear" w:color="auto" w:fill="CCEEFF"/>
            <w:tcMar>
              <w:top w:w="30" w:type="dxa"/>
              <w:left w:w="20" w:type="dxa"/>
              <w:bottom w:w="30" w:type="dxa"/>
              <w:right w:w="0" w:type="dxa"/>
            </w:tcMar>
            <w:vAlign w:val="bottom"/>
            <w:hideMark/>
          </w:tcPr>
          <w:p w14:paraId="10FCD4F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831F76" w14:textId="77777777" w:rsidR="00000000" w:rsidRDefault="001A570A">
            <w:pPr>
              <w:jc w:val="right"/>
              <w:rPr>
                <w:rFonts w:eastAsia="Times New Roman"/>
              </w:rPr>
            </w:pPr>
            <w:r>
              <w:rPr>
                <w:rFonts w:eastAsia="Times New Roman"/>
                <w:color w:val="000000"/>
                <w:sz w:val="20"/>
                <w:szCs w:val="20"/>
              </w:rPr>
              <w:t>2,208 </w:t>
            </w:r>
          </w:p>
        </w:tc>
        <w:tc>
          <w:tcPr>
            <w:tcW w:w="0" w:type="auto"/>
            <w:shd w:val="clear" w:color="auto" w:fill="CCEEFF"/>
            <w:tcMar>
              <w:top w:w="30" w:type="dxa"/>
              <w:left w:w="0" w:type="dxa"/>
              <w:bottom w:w="30" w:type="dxa"/>
              <w:right w:w="20" w:type="dxa"/>
            </w:tcMar>
            <w:vAlign w:val="bottom"/>
            <w:hideMark/>
          </w:tcPr>
          <w:p w14:paraId="175AC4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01C3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867AF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271BAE" w14:textId="77777777" w:rsidR="00000000" w:rsidRDefault="001A570A">
            <w:pPr>
              <w:jc w:val="right"/>
              <w:rPr>
                <w:rFonts w:eastAsia="Times New Roman"/>
              </w:rPr>
            </w:pPr>
            <w:r>
              <w:rPr>
                <w:rFonts w:eastAsia="Times New Roman"/>
                <w:color w:val="000000"/>
                <w:sz w:val="20"/>
                <w:szCs w:val="20"/>
              </w:rPr>
              <w:t>2,015 </w:t>
            </w:r>
          </w:p>
        </w:tc>
        <w:tc>
          <w:tcPr>
            <w:tcW w:w="0" w:type="auto"/>
            <w:shd w:val="clear" w:color="auto" w:fill="CCEEFF"/>
            <w:tcMar>
              <w:top w:w="30" w:type="dxa"/>
              <w:left w:w="0" w:type="dxa"/>
              <w:bottom w:w="30" w:type="dxa"/>
              <w:right w:w="20" w:type="dxa"/>
            </w:tcMar>
            <w:vAlign w:val="bottom"/>
            <w:hideMark/>
          </w:tcPr>
          <w:p w14:paraId="275DE1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FAF1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DCAEDF"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722D4640" w14:textId="77777777" w:rsidR="00000000" w:rsidRDefault="001A570A">
            <w:pPr>
              <w:rPr>
                <w:rFonts w:eastAsia="Times New Roman"/>
              </w:rPr>
            </w:pPr>
            <w:r>
              <w:rPr>
                <w:rFonts w:eastAsia="Times New Roman"/>
                <w:color w:val="000000"/>
                <w:sz w:val="20"/>
                <w:szCs w:val="20"/>
              </w:rPr>
              <w:t>%</w:t>
            </w:r>
          </w:p>
        </w:tc>
      </w:tr>
      <w:tr w:rsidR="00000000" w14:paraId="70CB67EA" w14:textId="77777777">
        <w:trPr>
          <w:divId w:val="1319572543"/>
        </w:trPr>
        <w:tc>
          <w:tcPr>
            <w:tcW w:w="0" w:type="auto"/>
            <w:gridSpan w:val="3"/>
            <w:shd w:val="clear" w:color="auto" w:fill="FFFFFF"/>
            <w:tcMar>
              <w:top w:w="30" w:type="dxa"/>
              <w:left w:w="20" w:type="dxa"/>
              <w:bottom w:w="30" w:type="dxa"/>
              <w:right w:w="20" w:type="dxa"/>
            </w:tcMar>
            <w:hideMark/>
          </w:tcPr>
          <w:p w14:paraId="14CC94CC"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0775038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14BBA4" w14:textId="77777777" w:rsidR="00000000" w:rsidRDefault="001A570A">
            <w:pPr>
              <w:jc w:val="right"/>
              <w:rPr>
                <w:rFonts w:eastAsia="Times New Roman"/>
              </w:rPr>
            </w:pPr>
            <w:r>
              <w:rPr>
                <w:rFonts w:eastAsia="Times New Roman"/>
                <w:color w:val="000000"/>
                <w:sz w:val="20"/>
                <w:szCs w:val="20"/>
              </w:rPr>
              <w:t>493 </w:t>
            </w:r>
          </w:p>
        </w:tc>
        <w:tc>
          <w:tcPr>
            <w:tcW w:w="0" w:type="auto"/>
            <w:shd w:val="clear" w:color="auto" w:fill="FFFFFF"/>
            <w:tcMar>
              <w:top w:w="30" w:type="dxa"/>
              <w:left w:w="0" w:type="dxa"/>
              <w:bottom w:w="30" w:type="dxa"/>
              <w:right w:w="20" w:type="dxa"/>
            </w:tcMar>
            <w:vAlign w:val="bottom"/>
            <w:hideMark/>
          </w:tcPr>
          <w:p w14:paraId="496F508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03B1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98574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58D173" w14:textId="77777777" w:rsidR="00000000" w:rsidRDefault="001A570A">
            <w:pPr>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14:paraId="0F680B6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989F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7DA623" w14:textId="77777777" w:rsidR="00000000" w:rsidRDefault="001A570A">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775B6068"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78E71DE" w14:textId="77777777" w:rsidR="00000000" w:rsidRDefault="001A570A">
            <w:pPr>
              <w:rPr>
                <w:rFonts w:eastAsia="Times New Roman"/>
              </w:rPr>
            </w:pPr>
          </w:p>
        </w:tc>
        <w:tc>
          <w:tcPr>
            <w:tcW w:w="0" w:type="auto"/>
            <w:shd w:val="clear" w:color="auto" w:fill="FFFFFF"/>
            <w:tcMar>
              <w:top w:w="30" w:type="dxa"/>
              <w:left w:w="20" w:type="dxa"/>
              <w:bottom w:w="30" w:type="dxa"/>
              <w:right w:w="0" w:type="dxa"/>
            </w:tcMar>
            <w:vAlign w:val="bottom"/>
            <w:hideMark/>
          </w:tcPr>
          <w:p w14:paraId="7EB2FD5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AD7BBF" w14:textId="77777777" w:rsidR="00000000" w:rsidRDefault="001A570A">
            <w:pPr>
              <w:jc w:val="right"/>
              <w:rPr>
                <w:rFonts w:eastAsia="Times New Roman"/>
              </w:rPr>
            </w:pPr>
            <w:r>
              <w:rPr>
                <w:rFonts w:eastAsia="Times New Roman"/>
                <w:color w:val="000000"/>
                <w:sz w:val="20"/>
                <w:szCs w:val="20"/>
              </w:rPr>
              <w:t>637 </w:t>
            </w:r>
          </w:p>
        </w:tc>
        <w:tc>
          <w:tcPr>
            <w:tcW w:w="0" w:type="auto"/>
            <w:shd w:val="clear" w:color="auto" w:fill="FFFFFF"/>
            <w:tcMar>
              <w:top w:w="30" w:type="dxa"/>
              <w:left w:w="0" w:type="dxa"/>
              <w:bottom w:w="30" w:type="dxa"/>
              <w:right w:w="20" w:type="dxa"/>
            </w:tcMar>
            <w:vAlign w:val="bottom"/>
            <w:hideMark/>
          </w:tcPr>
          <w:p w14:paraId="21712E8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27FE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C0B33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A8A5C4" w14:textId="77777777" w:rsidR="00000000" w:rsidRDefault="001A570A">
            <w:pPr>
              <w:jc w:val="right"/>
              <w:rPr>
                <w:rFonts w:eastAsia="Times New Roman"/>
              </w:rPr>
            </w:pPr>
            <w:r>
              <w:rPr>
                <w:rFonts w:eastAsia="Times New Roman"/>
                <w:color w:val="000000"/>
                <w:sz w:val="20"/>
                <w:szCs w:val="20"/>
              </w:rPr>
              <w:t>561 </w:t>
            </w:r>
          </w:p>
        </w:tc>
        <w:tc>
          <w:tcPr>
            <w:tcW w:w="0" w:type="auto"/>
            <w:shd w:val="clear" w:color="auto" w:fill="FFFFFF"/>
            <w:tcMar>
              <w:top w:w="30" w:type="dxa"/>
              <w:left w:w="0" w:type="dxa"/>
              <w:bottom w:w="30" w:type="dxa"/>
              <w:right w:w="20" w:type="dxa"/>
            </w:tcMar>
            <w:vAlign w:val="bottom"/>
            <w:hideMark/>
          </w:tcPr>
          <w:p w14:paraId="35EC270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2BED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022E2"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0BC71DB5" w14:textId="77777777" w:rsidR="00000000" w:rsidRDefault="001A570A">
            <w:pPr>
              <w:rPr>
                <w:rFonts w:eastAsia="Times New Roman"/>
              </w:rPr>
            </w:pPr>
            <w:r>
              <w:rPr>
                <w:rFonts w:eastAsia="Times New Roman"/>
                <w:color w:val="000000"/>
                <w:sz w:val="20"/>
                <w:szCs w:val="20"/>
              </w:rPr>
              <w:t>%</w:t>
            </w:r>
          </w:p>
        </w:tc>
      </w:tr>
      <w:tr w:rsidR="00000000" w14:paraId="5DE12A9B" w14:textId="77777777">
        <w:trPr>
          <w:divId w:val="1319572543"/>
        </w:trPr>
        <w:tc>
          <w:tcPr>
            <w:tcW w:w="0" w:type="auto"/>
            <w:gridSpan w:val="3"/>
            <w:shd w:val="clear" w:color="auto" w:fill="CCEEFF"/>
            <w:tcMar>
              <w:top w:w="30" w:type="dxa"/>
              <w:left w:w="245" w:type="dxa"/>
              <w:bottom w:w="30" w:type="dxa"/>
              <w:right w:w="20" w:type="dxa"/>
            </w:tcMar>
            <w:hideMark/>
          </w:tcPr>
          <w:p w14:paraId="465E80EE"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32850D4B" w14:textId="77777777" w:rsidR="00000000" w:rsidRDefault="001A570A">
            <w:pPr>
              <w:jc w:val="right"/>
              <w:rPr>
                <w:rFonts w:eastAsia="Times New Roman"/>
              </w:rPr>
            </w:pPr>
            <w:r>
              <w:rPr>
                <w:rFonts w:eastAsia="Times New Roman"/>
                <w:i/>
                <w:iCs/>
                <w:color w:val="000000"/>
                <w:sz w:val="20"/>
                <w:szCs w:val="20"/>
              </w:rPr>
              <w:t>23 </w:t>
            </w:r>
          </w:p>
        </w:tc>
        <w:tc>
          <w:tcPr>
            <w:tcW w:w="0" w:type="auto"/>
            <w:shd w:val="clear" w:color="auto" w:fill="CCEEFF"/>
            <w:tcMar>
              <w:top w:w="30" w:type="dxa"/>
              <w:left w:w="0" w:type="dxa"/>
              <w:bottom w:w="30" w:type="dxa"/>
              <w:right w:w="20" w:type="dxa"/>
            </w:tcMar>
            <w:vAlign w:val="bottom"/>
            <w:hideMark/>
          </w:tcPr>
          <w:p w14:paraId="355BC02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E66937"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5F116F" w14:textId="77777777" w:rsidR="00000000" w:rsidRDefault="001A570A">
            <w:pPr>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14:paraId="672CC0D7"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155" w:type="dxa"/>
              <w:bottom w:w="0" w:type="dxa"/>
              <w:right w:w="20" w:type="dxa"/>
            </w:tcMar>
            <w:vAlign w:val="center"/>
            <w:hideMark/>
          </w:tcPr>
          <w:p w14:paraId="3AEED923" w14:textId="77777777" w:rsidR="00000000" w:rsidRDefault="001A570A">
            <w:pPr>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14:paraId="780CF62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CC363"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F078DE" w14:textId="77777777" w:rsidR="00000000" w:rsidRDefault="001A570A">
            <w:pPr>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14:paraId="3759B69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7BD8AF5"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8887EA" w14:textId="77777777" w:rsidR="00000000" w:rsidRDefault="001A570A">
            <w:pPr>
              <w:jc w:val="right"/>
              <w:rPr>
                <w:rFonts w:eastAsia="Times New Roman"/>
              </w:rPr>
            </w:pPr>
            <w:r>
              <w:rPr>
                <w:rFonts w:eastAsia="Times New Roman"/>
                <w:i/>
                <w:iCs/>
                <w:color w:val="000000"/>
                <w:sz w:val="20"/>
                <w:szCs w:val="20"/>
              </w:rPr>
              <w:t>28 </w:t>
            </w:r>
          </w:p>
        </w:tc>
        <w:tc>
          <w:tcPr>
            <w:tcW w:w="0" w:type="auto"/>
            <w:shd w:val="clear" w:color="auto" w:fill="CCEEFF"/>
            <w:tcMar>
              <w:top w:w="30" w:type="dxa"/>
              <w:left w:w="0" w:type="dxa"/>
              <w:bottom w:w="30" w:type="dxa"/>
              <w:right w:w="20" w:type="dxa"/>
            </w:tcMar>
            <w:vAlign w:val="bottom"/>
            <w:hideMark/>
          </w:tcPr>
          <w:p w14:paraId="49D2C43E"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BF6D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9F5A3" w14:textId="77777777" w:rsidR="00000000" w:rsidRDefault="001A570A">
            <w:pPr>
              <w:rPr>
                <w:rFonts w:eastAsia="Times New Roman"/>
                <w:sz w:val="20"/>
                <w:szCs w:val="20"/>
              </w:rPr>
            </w:pPr>
          </w:p>
        </w:tc>
      </w:tr>
      <w:tr w:rsidR="00000000" w14:paraId="49ED8F82" w14:textId="77777777">
        <w:trPr>
          <w:divId w:val="1319572543"/>
        </w:trPr>
        <w:tc>
          <w:tcPr>
            <w:tcW w:w="0" w:type="auto"/>
            <w:gridSpan w:val="3"/>
            <w:vAlign w:val="center"/>
            <w:hideMark/>
          </w:tcPr>
          <w:p w14:paraId="222C6596" w14:textId="77777777" w:rsidR="00000000" w:rsidRDefault="001A570A">
            <w:pPr>
              <w:rPr>
                <w:rFonts w:eastAsia="Times New Roman"/>
                <w:sz w:val="20"/>
                <w:szCs w:val="20"/>
              </w:rPr>
            </w:pPr>
          </w:p>
        </w:tc>
        <w:tc>
          <w:tcPr>
            <w:tcW w:w="0" w:type="auto"/>
            <w:gridSpan w:val="3"/>
            <w:vAlign w:val="center"/>
            <w:hideMark/>
          </w:tcPr>
          <w:p w14:paraId="1C41E6D7" w14:textId="77777777" w:rsidR="00000000" w:rsidRDefault="001A570A">
            <w:pPr>
              <w:rPr>
                <w:rFonts w:eastAsia="Times New Roman"/>
                <w:sz w:val="20"/>
                <w:szCs w:val="20"/>
              </w:rPr>
            </w:pPr>
          </w:p>
        </w:tc>
        <w:tc>
          <w:tcPr>
            <w:tcW w:w="0" w:type="auto"/>
            <w:gridSpan w:val="3"/>
            <w:vAlign w:val="center"/>
            <w:hideMark/>
          </w:tcPr>
          <w:p w14:paraId="27417430" w14:textId="77777777" w:rsidR="00000000" w:rsidRDefault="001A570A">
            <w:pPr>
              <w:rPr>
                <w:rFonts w:eastAsia="Times New Roman"/>
                <w:sz w:val="20"/>
                <w:szCs w:val="20"/>
              </w:rPr>
            </w:pPr>
          </w:p>
        </w:tc>
        <w:tc>
          <w:tcPr>
            <w:tcW w:w="0" w:type="auto"/>
            <w:gridSpan w:val="3"/>
            <w:vAlign w:val="center"/>
            <w:hideMark/>
          </w:tcPr>
          <w:p w14:paraId="1513241D" w14:textId="77777777" w:rsidR="00000000" w:rsidRDefault="001A570A">
            <w:pPr>
              <w:rPr>
                <w:rFonts w:eastAsia="Times New Roman"/>
                <w:sz w:val="20"/>
                <w:szCs w:val="20"/>
              </w:rPr>
            </w:pPr>
          </w:p>
        </w:tc>
        <w:tc>
          <w:tcPr>
            <w:tcW w:w="0" w:type="auto"/>
            <w:gridSpan w:val="3"/>
            <w:vAlign w:val="center"/>
            <w:hideMark/>
          </w:tcPr>
          <w:p w14:paraId="1A5D3BBD" w14:textId="77777777" w:rsidR="00000000" w:rsidRDefault="001A570A">
            <w:pPr>
              <w:rPr>
                <w:rFonts w:eastAsia="Times New Roman"/>
                <w:sz w:val="20"/>
                <w:szCs w:val="20"/>
              </w:rPr>
            </w:pPr>
          </w:p>
        </w:tc>
        <w:tc>
          <w:tcPr>
            <w:tcW w:w="0" w:type="auto"/>
            <w:gridSpan w:val="3"/>
            <w:vAlign w:val="center"/>
            <w:hideMark/>
          </w:tcPr>
          <w:p w14:paraId="05C974EA" w14:textId="77777777" w:rsidR="00000000" w:rsidRDefault="001A570A">
            <w:pPr>
              <w:rPr>
                <w:rFonts w:eastAsia="Times New Roman"/>
                <w:sz w:val="20"/>
                <w:szCs w:val="20"/>
              </w:rPr>
            </w:pPr>
          </w:p>
        </w:tc>
        <w:tc>
          <w:tcPr>
            <w:tcW w:w="0" w:type="auto"/>
            <w:gridSpan w:val="3"/>
            <w:vAlign w:val="center"/>
            <w:hideMark/>
          </w:tcPr>
          <w:p w14:paraId="1C96F1C7" w14:textId="77777777" w:rsidR="00000000" w:rsidRDefault="001A570A">
            <w:pPr>
              <w:rPr>
                <w:rFonts w:eastAsia="Times New Roman"/>
                <w:sz w:val="20"/>
                <w:szCs w:val="20"/>
              </w:rPr>
            </w:pPr>
          </w:p>
        </w:tc>
        <w:tc>
          <w:tcPr>
            <w:tcW w:w="0" w:type="auto"/>
            <w:gridSpan w:val="3"/>
            <w:vAlign w:val="center"/>
            <w:hideMark/>
          </w:tcPr>
          <w:p w14:paraId="65C61EAE" w14:textId="77777777" w:rsidR="00000000" w:rsidRDefault="001A570A">
            <w:pPr>
              <w:rPr>
                <w:rFonts w:eastAsia="Times New Roman"/>
                <w:sz w:val="20"/>
                <w:szCs w:val="20"/>
              </w:rPr>
            </w:pPr>
          </w:p>
        </w:tc>
        <w:tc>
          <w:tcPr>
            <w:tcW w:w="0" w:type="auto"/>
            <w:gridSpan w:val="3"/>
            <w:vAlign w:val="center"/>
            <w:hideMark/>
          </w:tcPr>
          <w:p w14:paraId="7C93ECAC" w14:textId="77777777" w:rsidR="00000000" w:rsidRDefault="001A570A">
            <w:pPr>
              <w:rPr>
                <w:rFonts w:eastAsia="Times New Roman"/>
                <w:sz w:val="20"/>
                <w:szCs w:val="20"/>
              </w:rPr>
            </w:pPr>
          </w:p>
        </w:tc>
        <w:tc>
          <w:tcPr>
            <w:tcW w:w="0" w:type="auto"/>
            <w:gridSpan w:val="3"/>
            <w:vAlign w:val="center"/>
            <w:hideMark/>
          </w:tcPr>
          <w:p w14:paraId="51EB7F2A" w14:textId="77777777" w:rsidR="00000000" w:rsidRDefault="001A570A">
            <w:pPr>
              <w:rPr>
                <w:rFonts w:eastAsia="Times New Roman"/>
                <w:sz w:val="20"/>
                <w:szCs w:val="20"/>
              </w:rPr>
            </w:pPr>
          </w:p>
        </w:tc>
        <w:tc>
          <w:tcPr>
            <w:tcW w:w="0" w:type="auto"/>
            <w:gridSpan w:val="3"/>
            <w:vAlign w:val="center"/>
            <w:hideMark/>
          </w:tcPr>
          <w:p w14:paraId="527A51B0" w14:textId="77777777" w:rsidR="00000000" w:rsidRDefault="001A570A">
            <w:pPr>
              <w:rPr>
                <w:rFonts w:eastAsia="Times New Roman"/>
                <w:sz w:val="20"/>
                <w:szCs w:val="20"/>
              </w:rPr>
            </w:pPr>
          </w:p>
        </w:tc>
        <w:tc>
          <w:tcPr>
            <w:tcW w:w="0" w:type="auto"/>
            <w:gridSpan w:val="3"/>
            <w:vAlign w:val="center"/>
            <w:hideMark/>
          </w:tcPr>
          <w:p w14:paraId="399CA833" w14:textId="77777777" w:rsidR="00000000" w:rsidRDefault="001A570A">
            <w:pPr>
              <w:rPr>
                <w:rFonts w:eastAsia="Times New Roman"/>
                <w:sz w:val="20"/>
                <w:szCs w:val="20"/>
              </w:rPr>
            </w:pPr>
          </w:p>
        </w:tc>
      </w:tr>
      <w:tr w:rsidR="00000000" w14:paraId="0B276667" w14:textId="77777777">
        <w:trPr>
          <w:divId w:val="1319572543"/>
        </w:trPr>
        <w:tc>
          <w:tcPr>
            <w:tcW w:w="0" w:type="auto"/>
            <w:gridSpan w:val="3"/>
            <w:vAlign w:val="center"/>
            <w:hideMark/>
          </w:tcPr>
          <w:p w14:paraId="39A7460B" w14:textId="77777777" w:rsidR="00000000" w:rsidRDefault="001A570A">
            <w:pPr>
              <w:rPr>
                <w:rFonts w:eastAsia="Times New Roman"/>
                <w:sz w:val="20"/>
                <w:szCs w:val="20"/>
              </w:rPr>
            </w:pPr>
          </w:p>
        </w:tc>
        <w:tc>
          <w:tcPr>
            <w:tcW w:w="0" w:type="auto"/>
            <w:gridSpan w:val="3"/>
            <w:vAlign w:val="center"/>
            <w:hideMark/>
          </w:tcPr>
          <w:p w14:paraId="6136E956" w14:textId="77777777" w:rsidR="00000000" w:rsidRDefault="001A570A">
            <w:pPr>
              <w:rPr>
                <w:rFonts w:eastAsia="Times New Roman"/>
                <w:sz w:val="20"/>
                <w:szCs w:val="20"/>
              </w:rPr>
            </w:pPr>
          </w:p>
        </w:tc>
        <w:tc>
          <w:tcPr>
            <w:tcW w:w="0" w:type="auto"/>
            <w:gridSpan w:val="3"/>
            <w:vAlign w:val="center"/>
            <w:hideMark/>
          </w:tcPr>
          <w:p w14:paraId="12A2842D" w14:textId="77777777" w:rsidR="00000000" w:rsidRDefault="001A570A">
            <w:pPr>
              <w:rPr>
                <w:rFonts w:eastAsia="Times New Roman"/>
                <w:sz w:val="20"/>
                <w:szCs w:val="20"/>
              </w:rPr>
            </w:pPr>
          </w:p>
        </w:tc>
        <w:tc>
          <w:tcPr>
            <w:tcW w:w="0" w:type="auto"/>
            <w:gridSpan w:val="3"/>
            <w:vAlign w:val="center"/>
            <w:hideMark/>
          </w:tcPr>
          <w:p w14:paraId="7FB57674" w14:textId="77777777" w:rsidR="00000000" w:rsidRDefault="001A570A">
            <w:pPr>
              <w:rPr>
                <w:rFonts w:eastAsia="Times New Roman"/>
                <w:sz w:val="20"/>
                <w:szCs w:val="20"/>
              </w:rPr>
            </w:pPr>
          </w:p>
        </w:tc>
        <w:tc>
          <w:tcPr>
            <w:tcW w:w="0" w:type="auto"/>
            <w:gridSpan w:val="3"/>
            <w:vAlign w:val="center"/>
            <w:hideMark/>
          </w:tcPr>
          <w:p w14:paraId="6F8E449C" w14:textId="77777777" w:rsidR="00000000" w:rsidRDefault="001A570A">
            <w:pPr>
              <w:rPr>
                <w:rFonts w:eastAsia="Times New Roman"/>
                <w:sz w:val="20"/>
                <w:szCs w:val="20"/>
              </w:rPr>
            </w:pPr>
          </w:p>
        </w:tc>
        <w:tc>
          <w:tcPr>
            <w:tcW w:w="0" w:type="auto"/>
            <w:gridSpan w:val="3"/>
            <w:vAlign w:val="center"/>
            <w:hideMark/>
          </w:tcPr>
          <w:p w14:paraId="3FEB1A45" w14:textId="77777777" w:rsidR="00000000" w:rsidRDefault="001A570A">
            <w:pPr>
              <w:rPr>
                <w:rFonts w:eastAsia="Times New Roman"/>
                <w:sz w:val="20"/>
                <w:szCs w:val="20"/>
              </w:rPr>
            </w:pPr>
          </w:p>
        </w:tc>
        <w:tc>
          <w:tcPr>
            <w:tcW w:w="0" w:type="auto"/>
            <w:gridSpan w:val="3"/>
            <w:vAlign w:val="center"/>
            <w:hideMark/>
          </w:tcPr>
          <w:p w14:paraId="395B9DD0" w14:textId="77777777" w:rsidR="00000000" w:rsidRDefault="001A570A">
            <w:pPr>
              <w:rPr>
                <w:rFonts w:eastAsia="Times New Roman"/>
                <w:sz w:val="20"/>
                <w:szCs w:val="20"/>
              </w:rPr>
            </w:pPr>
          </w:p>
        </w:tc>
        <w:tc>
          <w:tcPr>
            <w:tcW w:w="0" w:type="auto"/>
            <w:gridSpan w:val="3"/>
            <w:vAlign w:val="center"/>
            <w:hideMark/>
          </w:tcPr>
          <w:p w14:paraId="0AC1F8C0" w14:textId="77777777" w:rsidR="00000000" w:rsidRDefault="001A570A">
            <w:pPr>
              <w:rPr>
                <w:rFonts w:eastAsia="Times New Roman"/>
                <w:sz w:val="20"/>
                <w:szCs w:val="20"/>
              </w:rPr>
            </w:pPr>
          </w:p>
        </w:tc>
        <w:tc>
          <w:tcPr>
            <w:tcW w:w="0" w:type="auto"/>
            <w:gridSpan w:val="3"/>
            <w:vAlign w:val="center"/>
            <w:hideMark/>
          </w:tcPr>
          <w:p w14:paraId="4E709C77" w14:textId="77777777" w:rsidR="00000000" w:rsidRDefault="001A570A">
            <w:pPr>
              <w:rPr>
                <w:rFonts w:eastAsia="Times New Roman"/>
                <w:sz w:val="20"/>
                <w:szCs w:val="20"/>
              </w:rPr>
            </w:pPr>
          </w:p>
        </w:tc>
        <w:tc>
          <w:tcPr>
            <w:tcW w:w="0" w:type="auto"/>
            <w:gridSpan w:val="3"/>
            <w:vAlign w:val="center"/>
            <w:hideMark/>
          </w:tcPr>
          <w:p w14:paraId="512F5C58" w14:textId="77777777" w:rsidR="00000000" w:rsidRDefault="001A570A">
            <w:pPr>
              <w:rPr>
                <w:rFonts w:eastAsia="Times New Roman"/>
                <w:sz w:val="20"/>
                <w:szCs w:val="20"/>
              </w:rPr>
            </w:pPr>
          </w:p>
        </w:tc>
        <w:tc>
          <w:tcPr>
            <w:tcW w:w="0" w:type="auto"/>
            <w:gridSpan w:val="3"/>
            <w:vAlign w:val="center"/>
            <w:hideMark/>
          </w:tcPr>
          <w:p w14:paraId="20F67104" w14:textId="77777777" w:rsidR="00000000" w:rsidRDefault="001A570A">
            <w:pPr>
              <w:rPr>
                <w:rFonts w:eastAsia="Times New Roman"/>
                <w:sz w:val="20"/>
                <w:szCs w:val="20"/>
              </w:rPr>
            </w:pPr>
          </w:p>
        </w:tc>
        <w:tc>
          <w:tcPr>
            <w:tcW w:w="0" w:type="auto"/>
            <w:gridSpan w:val="3"/>
            <w:vAlign w:val="center"/>
            <w:hideMark/>
          </w:tcPr>
          <w:p w14:paraId="295A6026" w14:textId="77777777" w:rsidR="00000000" w:rsidRDefault="001A570A">
            <w:pPr>
              <w:rPr>
                <w:rFonts w:eastAsia="Times New Roman"/>
                <w:sz w:val="20"/>
                <w:szCs w:val="20"/>
              </w:rPr>
            </w:pPr>
          </w:p>
        </w:tc>
      </w:tr>
      <w:tr w:rsidR="00000000" w14:paraId="49D51A92" w14:textId="77777777">
        <w:trPr>
          <w:divId w:val="1319572543"/>
        </w:trPr>
        <w:tc>
          <w:tcPr>
            <w:tcW w:w="0" w:type="auto"/>
            <w:gridSpan w:val="3"/>
            <w:vAlign w:val="center"/>
            <w:hideMark/>
          </w:tcPr>
          <w:p w14:paraId="019033AC" w14:textId="77777777" w:rsidR="00000000" w:rsidRDefault="001A570A">
            <w:pPr>
              <w:rPr>
                <w:rFonts w:eastAsia="Times New Roman"/>
                <w:sz w:val="20"/>
                <w:szCs w:val="20"/>
              </w:rPr>
            </w:pPr>
          </w:p>
        </w:tc>
        <w:tc>
          <w:tcPr>
            <w:tcW w:w="0" w:type="auto"/>
            <w:gridSpan w:val="3"/>
            <w:vAlign w:val="center"/>
            <w:hideMark/>
          </w:tcPr>
          <w:p w14:paraId="141AEE15" w14:textId="77777777" w:rsidR="00000000" w:rsidRDefault="001A570A">
            <w:pPr>
              <w:rPr>
                <w:rFonts w:eastAsia="Times New Roman"/>
                <w:sz w:val="20"/>
                <w:szCs w:val="20"/>
              </w:rPr>
            </w:pPr>
          </w:p>
        </w:tc>
        <w:tc>
          <w:tcPr>
            <w:tcW w:w="0" w:type="auto"/>
            <w:gridSpan w:val="3"/>
            <w:vAlign w:val="center"/>
            <w:hideMark/>
          </w:tcPr>
          <w:p w14:paraId="682C4FA1" w14:textId="77777777" w:rsidR="00000000" w:rsidRDefault="001A570A">
            <w:pPr>
              <w:rPr>
                <w:rFonts w:eastAsia="Times New Roman"/>
                <w:sz w:val="20"/>
                <w:szCs w:val="20"/>
              </w:rPr>
            </w:pPr>
          </w:p>
        </w:tc>
        <w:tc>
          <w:tcPr>
            <w:tcW w:w="0" w:type="auto"/>
            <w:gridSpan w:val="3"/>
            <w:vAlign w:val="center"/>
            <w:hideMark/>
          </w:tcPr>
          <w:p w14:paraId="06F7BB15" w14:textId="77777777" w:rsidR="00000000" w:rsidRDefault="001A570A">
            <w:pPr>
              <w:rPr>
                <w:rFonts w:eastAsia="Times New Roman"/>
                <w:sz w:val="20"/>
                <w:szCs w:val="20"/>
              </w:rPr>
            </w:pPr>
          </w:p>
        </w:tc>
        <w:tc>
          <w:tcPr>
            <w:tcW w:w="0" w:type="auto"/>
            <w:gridSpan w:val="3"/>
            <w:vAlign w:val="center"/>
            <w:hideMark/>
          </w:tcPr>
          <w:p w14:paraId="68D0B97E" w14:textId="77777777" w:rsidR="00000000" w:rsidRDefault="001A570A">
            <w:pPr>
              <w:rPr>
                <w:rFonts w:eastAsia="Times New Roman"/>
                <w:sz w:val="20"/>
                <w:szCs w:val="20"/>
              </w:rPr>
            </w:pPr>
          </w:p>
        </w:tc>
        <w:tc>
          <w:tcPr>
            <w:tcW w:w="0" w:type="auto"/>
            <w:gridSpan w:val="3"/>
            <w:vAlign w:val="center"/>
            <w:hideMark/>
          </w:tcPr>
          <w:p w14:paraId="2A68FEB3" w14:textId="77777777" w:rsidR="00000000" w:rsidRDefault="001A570A">
            <w:pPr>
              <w:rPr>
                <w:rFonts w:eastAsia="Times New Roman"/>
                <w:sz w:val="20"/>
                <w:szCs w:val="20"/>
              </w:rPr>
            </w:pPr>
          </w:p>
        </w:tc>
        <w:tc>
          <w:tcPr>
            <w:tcW w:w="0" w:type="auto"/>
            <w:gridSpan w:val="3"/>
            <w:vAlign w:val="center"/>
            <w:hideMark/>
          </w:tcPr>
          <w:p w14:paraId="18FFF065" w14:textId="77777777" w:rsidR="00000000" w:rsidRDefault="001A570A">
            <w:pPr>
              <w:rPr>
                <w:rFonts w:eastAsia="Times New Roman"/>
                <w:sz w:val="20"/>
                <w:szCs w:val="20"/>
              </w:rPr>
            </w:pPr>
          </w:p>
        </w:tc>
        <w:tc>
          <w:tcPr>
            <w:tcW w:w="0" w:type="auto"/>
            <w:gridSpan w:val="3"/>
            <w:vAlign w:val="center"/>
            <w:hideMark/>
          </w:tcPr>
          <w:p w14:paraId="2DB62497" w14:textId="77777777" w:rsidR="00000000" w:rsidRDefault="001A570A">
            <w:pPr>
              <w:rPr>
                <w:rFonts w:eastAsia="Times New Roman"/>
                <w:sz w:val="20"/>
                <w:szCs w:val="20"/>
              </w:rPr>
            </w:pPr>
          </w:p>
        </w:tc>
        <w:tc>
          <w:tcPr>
            <w:tcW w:w="0" w:type="auto"/>
            <w:gridSpan w:val="3"/>
            <w:vAlign w:val="center"/>
            <w:hideMark/>
          </w:tcPr>
          <w:p w14:paraId="3FA67CC9" w14:textId="77777777" w:rsidR="00000000" w:rsidRDefault="001A570A">
            <w:pPr>
              <w:rPr>
                <w:rFonts w:eastAsia="Times New Roman"/>
                <w:sz w:val="20"/>
                <w:szCs w:val="20"/>
              </w:rPr>
            </w:pPr>
          </w:p>
        </w:tc>
        <w:tc>
          <w:tcPr>
            <w:tcW w:w="0" w:type="auto"/>
            <w:gridSpan w:val="3"/>
            <w:vAlign w:val="center"/>
            <w:hideMark/>
          </w:tcPr>
          <w:p w14:paraId="710E133E" w14:textId="77777777" w:rsidR="00000000" w:rsidRDefault="001A570A">
            <w:pPr>
              <w:rPr>
                <w:rFonts w:eastAsia="Times New Roman"/>
                <w:sz w:val="20"/>
                <w:szCs w:val="20"/>
              </w:rPr>
            </w:pPr>
          </w:p>
        </w:tc>
        <w:tc>
          <w:tcPr>
            <w:tcW w:w="0" w:type="auto"/>
            <w:gridSpan w:val="3"/>
            <w:vAlign w:val="center"/>
            <w:hideMark/>
          </w:tcPr>
          <w:p w14:paraId="440524C3" w14:textId="77777777" w:rsidR="00000000" w:rsidRDefault="001A570A">
            <w:pPr>
              <w:rPr>
                <w:rFonts w:eastAsia="Times New Roman"/>
                <w:sz w:val="20"/>
                <w:szCs w:val="20"/>
              </w:rPr>
            </w:pPr>
          </w:p>
        </w:tc>
        <w:tc>
          <w:tcPr>
            <w:tcW w:w="0" w:type="auto"/>
            <w:gridSpan w:val="3"/>
            <w:vAlign w:val="center"/>
            <w:hideMark/>
          </w:tcPr>
          <w:p w14:paraId="146034C5" w14:textId="77777777" w:rsidR="00000000" w:rsidRDefault="001A570A">
            <w:pPr>
              <w:rPr>
                <w:rFonts w:eastAsia="Times New Roman"/>
                <w:sz w:val="20"/>
                <w:szCs w:val="20"/>
              </w:rPr>
            </w:pPr>
          </w:p>
        </w:tc>
      </w:tr>
    </w:tbl>
    <w:p w14:paraId="0F6924F0" w14:textId="77777777" w:rsidR="00000000" w:rsidRDefault="001A570A">
      <w:pPr>
        <w:divId w:val="1180657189"/>
        <w:rPr>
          <w:rFonts w:eastAsia="Times New Roman"/>
        </w:rPr>
      </w:pPr>
      <w:r>
        <w:rPr>
          <w:rFonts w:eastAsia="Times New Roman"/>
          <w:b/>
          <w:bCs/>
          <w:color w:val="000000"/>
          <w:sz w:val="20"/>
          <w:szCs w:val="20"/>
        </w:rPr>
        <w:t>As Reported</w:t>
      </w:r>
    </w:p>
    <w:p w14:paraId="4FBAD31E" w14:textId="77777777" w:rsidR="00000000" w:rsidRDefault="001A570A">
      <w:pPr>
        <w:ind w:firstLine="450"/>
        <w:divId w:val="1192451000"/>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xml:space="preserve"> The increases in segment revenue and operating income, and decrease in segment operating margin percentage in fiscal 2020 compared with the four quarters ended January 3, </w:t>
      </w:r>
      <w:r>
        <w:rPr>
          <w:rFonts w:eastAsia="Times New Roman"/>
          <w:color w:val="000000"/>
          <w:sz w:val="20"/>
          <w:szCs w:val="20"/>
        </w:rPr>
        <w:t>2020 were primarily due to the inclusion of L3 operations in segment operating results for the two quarters ended July 3, 2020 (but not for the comparable prior-year two quarters preceding the L3Harris Merger), as well as organic growth in Tactical Communi</w:t>
      </w:r>
      <w:r>
        <w:rPr>
          <w:rFonts w:eastAsia="Times New Roman"/>
          <w:color w:val="000000"/>
          <w:sz w:val="20"/>
          <w:szCs w:val="20"/>
        </w:rPr>
        <w:t>cations, partially offset by lower revenue in Public Safety and the divestiture of the EOTech business as discussed further below in the “Pro Forma” discussion for the fiscal year ended January 1, 2021 compared with the four quarters ended January 3, 2020.</w:t>
      </w:r>
      <w:r>
        <w:rPr>
          <w:rFonts w:eastAsia="Times New Roman"/>
          <w:color w:val="000000"/>
          <w:sz w:val="20"/>
          <w:szCs w:val="20"/>
        </w:rPr>
        <w:t xml:space="preserve"> The funded backlog for this segment was $3.3 billion at January 1, 2021 compared with $3.7 billion at January 3, 2020. </w:t>
      </w:r>
    </w:p>
    <w:p w14:paraId="4D420E20" w14:textId="77777777" w:rsidR="00000000" w:rsidRDefault="001A570A">
      <w:pPr>
        <w:ind w:firstLine="450"/>
        <w:divId w:val="946930197"/>
        <w:rPr>
          <w:rFonts w:eastAsia="Times New Roman"/>
        </w:rPr>
      </w:pPr>
      <w:r>
        <w:rPr>
          <w:rFonts w:eastAsia="Times New Roman"/>
          <w:color w:val="000000"/>
          <w:sz w:val="20"/>
          <w:szCs w:val="20"/>
        </w:rPr>
        <w:t>The percentage of this segment’s revenue that was derived from sales to U.S. </w:t>
      </w:r>
      <w:r>
        <w:rPr>
          <w:rFonts w:eastAsia="Times New Roman"/>
          <w:color w:val="000000"/>
          <w:sz w:val="20"/>
          <w:szCs w:val="20"/>
        </w:rPr>
        <w:t>Government customers, including foreign military sales funded through the U.S. Government, whether directly or through prime contractors, was 69 percent in fiscal 2020.</w:t>
      </w:r>
    </w:p>
    <w:p w14:paraId="7A24AE80" w14:textId="77777777" w:rsidR="00000000" w:rsidRDefault="001A570A">
      <w:pPr>
        <w:ind w:firstLine="450"/>
        <w:divId w:val="1854610586"/>
        <w:rPr>
          <w:rFonts w:eastAsia="Times New Roman"/>
        </w:rPr>
      </w:pPr>
      <w:r>
        <w:rPr>
          <w:rFonts w:eastAsia="Times New Roman"/>
          <w:i/>
          <w:iCs/>
          <w:color w:val="000000"/>
          <w:sz w:val="20"/>
          <w:szCs w:val="20"/>
        </w:rPr>
        <w:t xml:space="preserve">Two Quarters Ended January 3, 2020 Compared With Two Quarters Ended December 28, 2018: </w:t>
      </w:r>
      <w:r>
        <w:rPr>
          <w:rFonts w:eastAsia="Times New Roman"/>
          <w:color w:val="000000"/>
          <w:sz w:val="20"/>
          <w:szCs w:val="20"/>
        </w:rPr>
        <w:t>The increases in segment revenue and operating income in the two quarters ended January 3, 2020 compared with the two quarters ended December 28, 2018 were primarily due to the inclusion of L3 operations in segment operating results as a result of the L3Ha</w:t>
      </w:r>
      <w:r>
        <w:rPr>
          <w:rFonts w:eastAsia="Times New Roman"/>
          <w:color w:val="000000"/>
          <w:sz w:val="20"/>
          <w:szCs w:val="20"/>
        </w:rPr>
        <w:t>rris Merger during the two quarters ended January 3, 2020, as well as $112 million of higher revenue in Tactical Communications from a ramp in DoD modernization programs, $46 million of higher revenue in Public Safety, reflecting increased demand from stat</w:t>
      </w:r>
      <w:r>
        <w:rPr>
          <w:rFonts w:eastAsia="Times New Roman"/>
          <w:color w:val="000000"/>
          <w:sz w:val="20"/>
          <w:szCs w:val="20"/>
        </w:rPr>
        <w:t>e and federal customers, and $38 million of higher revenue in Integrated Vision Solutions. The funded backlog for this segment was $3.7 billion at January 3, 2020 compared with $3.2 billion at the beginning of the Fiscal Transition Period (including backlo</w:t>
      </w:r>
      <w:r>
        <w:rPr>
          <w:rFonts w:eastAsia="Times New Roman"/>
          <w:color w:val="000000"/>
          <w:sz w:val="20"/>
          <w:szCs w:val="20"/>
        </w:rPr>
        <w:t xml:space="preserve">g acquired on June 29, 2019 in connection with the L3Harris Merger). </w:t>
      </w:r>
    </w:p>
    <w:p w14:paraId="6C474C46" w14:textId="77777777" w:rsidR="00000000" w:rsidRDefault="001A570A">
      <w:pPr>
        <w:ind w:firstLine="450"/>
        <w:divId w:val="1158768796"/>
        <w:rPr>
          <w:rFonts w:eastAsia="Times New Roman"/>
        </w:rPr>
      </w:pPr>
      <w:r>
        <w:rPr>
          <w:rFonts w:eastAsia="Times New Roman"/>
          <w:color w:val="000000"/>
          <w:sz w:val="20"/>
          <w:szCs w:val="20"/>
        </w:rPr>
        <w:t>The decrease in segment operating margin percentage in the two quarters ended January 3, 2020 compared with the two quarters ended December 28, 2018 was primarily due to a mix of program</w:t>
      </w:r>
      <w:r>
        <w:rPr>
          <w:rFonts w:eastAsia="Times New Roman"/>
          <w:color w:val="000000"/>
          <w:sz w:val="20"/>
          <w:szCs w:val="20"/>
        </w:rPr>
        <w:t xml:space="preserve"> revenue and product sales with relatively lower operating margin percentage, partially offset by strong operational performance and integration savings.</w:t>
      </w:r>
    </w:p>
    <w:p w14:paraId="0646094D" w14:textId="77777777" w:rsidR="00000000" w:rsidRDefault="001A570A">
      <w:pPr>
        <w:ind w:firstLine="450"/>
        <w:divId w:val="1248030763"/>
        <w:rPr>
          <w:rFonts w:eastAsia="Times New Roman"/>
        </w:rPr>
      </w:pPr>
      <w:r>
        <w:rPr>
          <w:rFonts w:eastAsia="Times New Roman"/>
          <w:color w:val="000000"/>
          <w:sz w:val="20"/>
          <w:szCs w:val="20"/>
        </w:rPr>
        <w:t>The percentage of this segment’s revenue that was derived from sales to U.S. Government customers, inc</w:t>
      </w:r>
      <w:r>
        <w:rPr>
          <w:rFonts w:eastAsia="Times New Roman"/>
          <w:color w:val="000000"/>
          <w:sz w:val="20"/>
          <w:szCs w:val="20"/>
        </w:rPr>
        <w:t>luding foreign military sales funded through the U.S. Government, whether directly or through prime contractors, was 69 percent in the two quarters ended January 3, 2020 compared with 54 percent in the two quarters ended December 28, 2018.</w:t>
      </w:r>
    </w:p>
    <w:p w14:paraId="47DF89CB" w14:textId="77777777" w:rsidR="00000000" w:rsidRDefault="001A570A">
      <w:pPr>
        <w:divId w:val="1341736319"/>
        <w:rPr>
          <w:rFonts w:eastAsia="Times New Roman"/>
        </w:rPr>
      </w:pPr>
      <w:r>
        <w:rPr>
          <w:rFonts w:eastAsia="Times New Roman"/>
          <w:b/>
          <w:bCs/>
          <w:color w:val="000000"/>
          <w:sz w:val="20"/>
          <w:szCs w:val="20"/>
        </w:rPr>
        <w:t>Pro Forma</w:t>
      </w:r>
    </w:p>
    <w:p w14:paraId="65B5FAC6" w14:textId="77777777" w:rsidR="00000000" w:rsidRDefault="001A570A">
      <w:pPr>
        <w:ind w:firstLine="450"/>
        <w:divId w:val="1014651091"/>
        <w:rPr>
          <w:rFonts w:eastAsia="Times New Roman"/>
        </w:rPr>
      </w:pPr>
      <w:r>
        <w:rPr>
          <w:rFonts w:eastAsia="Times New Roman"/>
          <w:i/>
          <w:iCs/>
          <w:color w:val="000000"/>
          <w:sz w:val="20"/>
          <w:szCs w:val="20"/>
        </w:rPr>
        <w:t>Fiscal</w:t>
      </w:r>
      <w:r>
        <w:rPr>
          <w:rFonts w:eastAsia="Times New Roman"/>
          <w:i/>
          <w:iCs/>
          <w:color w:val="000000"/>
          <w:sz w:val="20"/>
          <w:szCs w:val="20"/>
        </w:rPr>
        <w:t xml:space="preserve"> Year Ended January 1, 2021 Compared With Four Quarters Ended January 3, 2020:</w:t>
      </w:r>
      <w:r>
        <w:rPr>
          <w:rFonts w:eastAsia="Times New Roman"/>
          <w:color w:val="000000"/>
          <w:sz w:val="20"/>
          <w:szCs w:val="20"/>
        </w:rPr>
        <w:t xml:space="preserve"> The increase in revenue in fiscal 2020 compared with the four quarters ended January 3, 2020 was primarily due to $268 million of higher Tactical Communications revenue (includi</w:t>
      </w:r>
      <w:r>
        <w:rPr>
          <w:rFonts w:eastAsia="Times New Roman"/>
          <w:color w:val="000000"/>
          <w:sz w:val="20"/>
          <w:szCs w:val="20"/>
        </w:rPr>
        <w:t>ng Global Communications Solutions), primarily due to a ramp in DoD modernization programs that also benefited Integrated Vision Solutions, partially offset by $84 million of lower revenue in Public Safety, reflecting COVID-related pressures on state and l</w:t>
      </w:r>
      <w:r>
        <w:rPr>
          <w:rFonts w:eastAsia="Times New Roman"/>
          <w:color w:val="000000"/>
          <w:sz w:val="20"/>
          <w:szCs w:val="20"/>
        </w:rPr>
        <w:t>ocal government municipality customers, and a $21 million revenue impact from the divestiture of the EOTech business.</w:t>
      </w:r>
    </w:p>
    <w:p w14:paraId="11626974" w14:textId="77777777" w:rsidR="00000000" w:rsidRDefault="001A570A">
      <w:pPr>
        <w:ind w:firstLine="450"/>
        <w:jc w:val="center"/>
        <w:divId w:val="712114906"/>
        <w:rPr>
          <w:rFonts w:eastAsia="Times New Roman"/>
        </w:rPr>
      </w:pPr>
      <w:r>
        <w:rPr>
          <w:rFonts w:eastAsia="Times New Roman"/>
          <w:color w:val="000000"/>
          <w:sz w:val="20"/>
          <w:szCs w:val="20"/>
        </w:rPr>
        <w:t>52</w:t>
      </w:r>
    </w:p>
    <w:p w14:paraId="077453B9" w14:textId="77777777" w:rsidR="00000000" w:rsidRDefault="001A570A">
      <w:pPr>
        <w:rPr>
          <w:rFonts w:eastAsia="Times New Roman"/>
        </w:rPr>
      </w:pPr>
      <w:r>
        <w:rPr>
          <w:rFonts w:eastAsia="Times New Roman"/>
        </w:rPr>
        <w:pict w14:anchorId="7B090B62">
          <v:rect id="_x0000_i1080" style="width:0;height:1.5pt" o:hralign="center" o:hrstd="t" o:hr="t" fillcolor="#a0a0a0" stroked="f"/>
        </w:pict>
      </w:r>
    </w:p>
    <w:p w14:paraId="14BC85C0" w14:textId="77777777" w:rsidR="00000000" w:rsidRDefault="001A570A">
      <w:pPr>
        <w:ind w:firstLine="450"/>
        <w:divId w:val="1399859939"/>
        <w:rPr>
          <w:rFonts w:eastAsia="Times New Roman"/>
        </w:rPr>
      </w:pPr>
    </w:p>
    <w:p w14:paraId="1F63CA4E" w14:textId="77777777" w:rsidR="00000000" w:rsidRDefault="001A570A">
      <w:pPr>
        <w:ind w:firstLine="450"/>
        <w:divId w:val="504636670"/>
        <w:rPr>
          <w:rFonts w:eastAsia="Times New Roman"/>
        </w:rPr>
      </w:pPr>
      <w:r>
        <w:rPr>
          <w:rFonts w:eastAsia="Times New Roman"/>
          <w:color w:val="000000"/>
          <w:sz w:val="20"/>
          <w:szCs w:val="20"/>
        </w:rPr>
        <w:t>The increases in segment operating income and operating margin percentage in fiscal 2020 compare</w:t>
      </w:r>
      <w:r>
        <w:rPr>
          <w:rFonts w:eastAsia="Times New Roman"/>
          <w:color w:val="000000"/>
          <w:sz w:val="20"/>
          <w:szCs w:val="20"/>
        </w:rPr>
        <w:t>d with the four quarters ended January 3, 2020 were primarily due to operational excellence, integration benefits and cost management.</w:t>
      </w:r>
    </w:p>
    <w:p w14:paraId="5254C49D" w14:textId="77777777" w:rsidR="00000000" w:rsidRDefault="001A570A">
      <w:pPr>
        <w:divId w:val="614213012"/>
        <w:rPr>
          <w:rFonts w:eastAsia="Times New Roman"/>
        </w:rPr>
      </w:pPr>
      <w:r>
        <w:rPr>
          <w:rFonts w:eastAsia="Times New Roman"/>
          <w:b/>
          <w:bCs/>
          <w:color w:val="000000"/>
          <w:sz w:val="20"/>
          <w:szCs w:val="20"/>
        </w:rPr>
        <w:t>Additional Information on Known Trends and Uncertainties</w:t>
      </w:r>
    </w:p>
    <w:p w14:paraId="1907904E" w14:textId="77777777" w:rsidR="00000000" w:rsidRDefault="001A570A">
      <w:pPr>
        <w:ind w:firstLine="450"/>
        <w:divId w:val="945230867"/>
        <w:rPr>
          <w:rFonts w:eastAsia="Times New Roman"/>
        </w:rPr>
      </w:pPr>
      <w:r>
        <w:rPr>
          <w:rFonts w:eastAsia="Times New Roman"/>
          <w:color w:val="000000"/>
          <w:sz w:val="20"/>
          <w:szCs w:val="20"/>
        </w:rPr>
        <w:t>Revenue and operating income in our Public Safety business secto</w:t>
      </w:r>
      <w:r>
        <w:rPr>
          <w:rFonts w:eastAsia="Times New Roman"/>
          <w:color w:val="000000"/>
          <w:sz w:val="20"/>
          <w:szCs w:val="20"/>
        </w:rPr>
        <w:t xml:space="preserve">r has been, and we expect will continue to be, adversely impacted by COVID-related pressures on state and local government customers, including reduced staffing, limited remote work technology capabilities, significant reductions in near-term tax revenues </w:t>
      </w:r>
      <w:r>
        <w:rPr>
          <w:rFonts w:eastAsia="Times New Roman"/>
          <w:color w:val="000000"/>
          <w:sz w:val="20"/>
          <w:szCs w:val="20"/>
        </w:rPr>
        <w:t>and competing budget priorities. Revenue in our Public Safety business sector decreased by $84 million in fiscal 2020 compared with the four quarters ended January 3, 2020 and we expect a continued decrease in Public Safety revenue in early fiscal 2021 wit</w:t>
      </w:r>
      <w:r>
        <w:rPr>
          <w:rFonts w:eastAsia="Times New Roman"/>
          <w:color w:val="000000"/>
          <w:sz w:val="20"/>
          <w:szCs w:val="20"/>
        </w:rPr>
        <w:t>h stability and modest recovery later in the year; however, the ultimate extent of the COVID-related impact to our Public Safety business sector remains uncertain.</w:t>
      </w:r>
    </w:p>
    <w:p w14:paraId="5237CEEF" w14:textId="77777777" w:rsidR="00000000" w:rsidRDefault="001A570A">
      <w:pPr>
        <w:ind w:firstLine="450"/>
        <w:divId w:val="929389586"/>
        <w:rPr>
          <w:rFonts w:eastAsia="Times New Roman"/>
        </w:rPr>
      </w:pPr>
      <w:r>
        <w:rPr>
          <w:rFonts w:eastAsia="Times New Roman"/>
          <w:color w:val="000000"/>
          <w:sz w:val="20"/>
          <w:szCs w:val="20"/>
        </w:rPr>
        <w:t>We expect to see growth and identify new opportunities in our Tactical Communications busine</w:t>
      </w:r>
      <w:r>
        <w:rPr>
          <w:rFonts w:eastAsia="Times New Roman"/>
          <w:color w:val="000000"/>
          <w:sz w:val="20"/>
          <w:szCs w:val="20"/>
        </w:rPr>
        <w:t>ss sector, including international growth in the Middle East, Europe and Asia Pacific. We also expect modernization demand to continue to benefit both our Tactical Communications and Integrated Vision Systems business sectors.</w:t>
      </w:r>
    </w:p>
    <w:p w14:paraId="420A956B" w14:textId="77777777" w:rsidR="00000000" w:rsidRDefault="001A570A">
      <w:pPr>
        <w:divId w:val="1346323676"/>
        <w:rPr>
          <w:rFonts w:eastAsia="Times New Roman"/>
        </w:rPr>
      </w:pPr>
      <w:r>
        <w:rPr>
          <w:rFonts w:eastAsia="Times New Roman"/>
          <w:b/>
          <w:bCs/>
          <w:color w:val="000000"/>
          <w:sz w:val="20"/>
          <w:szCs w:val="20"/>
        </w:rPr>
        <w:t>Aviation Systems Segment</w:t>
      </w:r>
    </w:p>
    <w:tbl>
      <w:tblPr>
        <w:tblW w:w="4425" w:type="pct"/>
        <w:tblCellMar>
          <w:top w:w="15" w:type="dxa"/>
          <w:left w:w="15" w:type="dxa"/>
          <w:bottom w:w="15" w:type="dxa"/>
          <w:right w:w="15" w:type="dxa"/>
        </w:tblCellMar>
        <w:tblLook w:val="04A0" w:firstRow="1" w:lastRow="0" w:firstColumn="1" w:lastColumn="0" w:noHBand="0" w:noVBand="1"/>
      </w:tblPr>
      <w:tblGrid>
        <w:gridCol w:w="40"/>
        <w:gridCol w:w="2514"/>
        <w:gridCol w:w="39"/>
        <w:gridCol w:w="120"/>
        <w:gridCol w:w="500"/>
        <w:gridCol w:w="187"/>
        <w:gridCol w:w="36"/>
        <w:gridCol w:w="36"/>
        <w:gridCol w:w="36"/>
        <w:gridCol w:w="121"/>
        <w:gridCol w:w="786"/>
        <w:gridCol w:w="187"/>
        <w:gridCol w:w="36"/>
        <w:gridCol w:w="36"/>
        <w:gridCol w:w="36"/>
        <w:gridCol w:w="79"/>
        <w:gridCol w:w="585"/>
        <w:gridCol w:w="36"/>
        <w:gridCol w:w="36"/>
        <w:gridCol w:w="36"/>
        <w:gridCol w:w="36"/>
        <w:gridCol w:w="120"/>
        <w:gridCol w:w="500"/>
        <w:gridCol w:w="187"/>
        <w:gridCol w:w="36"/>
        <w:gridCol w:w="36"/>
        <w:gridCol w:w="36"/>
        <w:gridCol w:w="79"/>
        <w:gridCol w:w="585"/>
        <w:gridCol w:w="254"/>
      </w:tblGrid>
      <w:tr w:rsidR="00000000" w14:paraId="4AA85369" w14:textId="77777777">
        <w:trPr>
          <w:divId w:val="1583300595"/>
        </w:trPr>
        <w:tc>
          <w:tcPr>
            <w:tcW w:w="50" w:type="pct"/>
            <w:vAlign w:val="center"/>
            <w:hideMark/>
          </w:tcPr>
          <w:p w14:paraId="2B13079C" w14:textId="77777777" w:rsidR="00000000" w:rsidRDefault="001A570A">
            <w:pPr>
              <w:rPr>
                <w:rFonts w:eastAsia="Times New Roman"/>
              </w:rPr>
            </w:pPr>
          </w:p>
        </w:tc>
        <w:tc>
          <w:tcPr>
            <w:tcW w:w="2144" w:type="pct"/>
            <w:vAlign w:val="center"/>
            <w:hideMark/>
          </w:tcPr>
          <w:p w14:paraId="1417A811" w14:textId="77777777" w:rsidR="00000000" w:rsidRDefault="001A570A">
            <w:pPr>
              <w:rPr>
                <w:rFonts w:eastAsia="Times New Roman"/>
                <w:sz w:val="20"/>
                <w:szCs w:val="20"/>
              </w:rPr>
            </w:pPr>
          </w:p>
        </w:tc>
        <w:tc>
          <w:tcPr>
            <w:tcW w:w="5" w:type="pct"/>
            <w:vAlign w:val="center"/>
            <w:hideMark/>
          </w:tcPr>
          <w:p w14:paraId="6A975716" w14:textId="77777777" w:rsidR="00000000" w:rsidRDefault="001A570A">
            <w:pPr>
              <w:rPr>
                <w:rFonts w:eastAsia="Times New Roman"/>
                <w:sz w:val="20"/>
                <w:szCs w:val="20"/>
              </w:rPr>
            </w:pPr>
          </w:p>
        </w:tc>
        <w:tc>
          <w:tcPr>
            <w:tcW w:w="50" w:type="pct"/>
            <w:vAlign w:val="center"/>
            <w:hideMark/>
          </w:tcPr>
          <w:p w14:paraId="4AF4C8B3" w14:textId="77777777" w:rsidR="00000000" w:rsidRDefault="001A570A">
            <w:pPr>
              <w:rPr>
                <w:rFonts w:eastAsia="Times New Roman"/>
                <w:sz w:val="20"/>
                <w:szCs w:val="20"/>
              </w:rPr>
            </w:pPr>
          </w:p>
        </w:tc>
        <w:tc>
          <w:tcPr>
            <w:tcW w:w="537" w:type="pct"/>
            <w:vAlign w:val="center"/>
            <w:hideMark/>
          </w:tcPr>
          <w:p w14:paraId="2BC44F79" w14:textId="77777777" w:rsidR="00000000" w:rsidRDefault="001A570A">
            <w:pPr>
              <w:rPr>
                <w:rFonts w:eastAsia="Times New Roman"/>
                <w:sz w:val="20"/>
                <w:szCs w:val="20"/>
              </w:rPr>
            </w:pPr>
          </w:p>
        </w:tc>
        <w:tc>
          <w:tcPr>
            <w:tcW w:w="5" w:type="pct"/>
            <w:vAlign w:val="center"/>
            <w:hideMark/>
          </w:tcPr>
          <w:p w14:paraId="2529A3A2" w14:textId="77777777" w:rsidR="00000000" w:rsidRDefault="001A570A">
            <w:pPr>
              <w:rPr>
                <w:rFonts w:eastAsia="Times New Roman"/>
                <w:sz w:val="20"/>
                <w:szCs w:val="20"/>
              </w:rPr>
            </w:pPr>
          </w:p>
        </w:tc>
        <w:tc>
          <w:tcPr>
            <w:tcW w:w="5" w:type="pct"/>
            <w:vAlign w:val="center"/>
            <w:hideMark/>
          </w:tcPr>
          <w:p w14:paraId="49774D0D" w14:textId="77777777" w:rsidR="00000000" w:rsidRDefault="001A570A">
            <w:pPr>
              <w:rPr>
                <w:rFonts w:eastAsia="Times New Roman"/>
                <w:sz w:val="20"/>
                <w:szCs w:val="20"/>
              </w:rPr>
            </w:pPr>
          </w:p>
        </w:tc>
        <w:tc>
          <w:tcPr>
            <w:tcW w:w="30" w:type="pct"/>
            <w:vAlign w:val="center"/>
            <w:hideMark/>
          </w:tcPr>
          <w:p w14:paraId="00D3C557" w14:textId="77777777" w:rsidR="00000000" w:rsidRDefault="001A570A">
            <w:pPr>
              <w:rPr>
                <w:rFonts w:eastAsia="Times New Roman"/>
                <w:sz w:val="20"/>
                <w:szCs w:val="20"/>
              </w:rPr>
            </w:pPr>
          </w:p>
        </w:tc>
        <w:tc>
          <w:tcPr>
            <w:tcW w:w="5" w:type="pct"/>
            <w:vAlign w:val="center"/>
            <w:hideMark/>
          </w:tcPr>
          <w:p w14:paraId="5746575F" w14:textId="77777777" w:rsidR="00000000" w:rsidRDefault="001A570A">
            <w:pPr>
              <w:rPr>
                <w:rFonts w:eastAsia="Times New Roman"/>
                <w:sz w:val="20"/>
                <w:szCs w:val="20"/>
              </w:rPr>
            </w:pPr>
          </w:p>
        </w:tc>
        <w:tc>
          <w:tcPr>
            <w:tcW w:w="50" w:type="pct"/>
            <w:vAlign w:val="center"/>
            <w:hideMark/>
          </w:tcPr>
          <w:p w14:paraId="4092BD44" w14:textId="77777777" w:rsidR="00000000" w:rsidRDefault="001A570A">
            <w:pPr>
              <w:rPr>
                <w:rFonts w:eastAsia="Times New Roman"/>
                <w:sz w:val="20"/>
                <w:szCs w:val="20"/>
              </w:rPr>
            </w:pPr>
          </w:p>
        </w:tc>
        <w:tc>
          <w:tcPr>
            <w:tcW w:w="537" w:type="pct"/>
            <w:vAlign w:val="center"/>
            <w:hideMark/>
          </w:tcPr>
          <w:p w14:paraId="5873B244" w14:textId="77777777" w:rsidR="00000000" w:rsidRDefault="001A570A">
            <w:pPr>
              <w:rPr>
                <w:rFonts w:eastAsia="Times New Roman"/>
                <w:sz w:val="20"/>
                <w:szCs w:val="20"/>
              </w:rPr>
            </w:pPr>
          </w:p>
        </w:tc>
        <w:tc>
          <w:tcPr>
            <w:tcW w:w="5" w:type="pct"/>
            <w:vAlign w:val="center"/>
            <w:hideMark/>
          </w:tcPr>
          <w:p w14:paraId="698ACF5D" w14:textId="77777777" w:rsidR="00000000" w:rsidRDefault="001A570A">
            <w:pPr>
              <w:rPr>
                <w:rFonts w:eastAsia="Times New Roman"/>
                <w:sz w:val="20"/>
                <w:szCs w:val="20"/>
              </w:rPr>
            </w:pPr>
          </w:p>
        </w:tc>
        <w:tc>
          <w:tcPr>
            <w:tcW w:w="5" w:type="pct"/>
            <w:vAlign w:val="center"/>
            <w:hideMark/>
          </w:tcPr>
          <w:p w14:paraId="0D421BDF" w14:textId="77777777" w:rsidR="00000000" w:rsidRDefault="001A570A">
            <w:pPr>
              <w:rPr>
                <w:rFonts w:eastAsia="Times New Roman"/>
                <w:sz w:val="20"/>
                <w:szCs w:val="20"/>
              </w:rPr>
            </w:pPr>
          </w:p>
        </w:tc>
        <w:tc>
          <w:tcPr>
            <w:tcW w:w="30" w:type="pct"/>
            <w:vAlign w:val="center"/>
            <w:hideMark/>
          </w:tcPr>
          <w:p w14:paraId="3C3401DE" w14:textId="77777777" w:rsidR="00000000" w:rsidRDefault="001A570A">
            <w:pPr>
              <w:rPr>
                <w:rFonts w:eastAsia="Times New Roman"/>
                <w:sz w:val="20"/>
                <w:szCs w:val="20"/>
              </w:rPr>
            </w:pPr>
          </w:p>
        </w:tc>
        <w:tc>
          <w:tcPr>
            <w:tcW w:w="5" w:type="pct"/>
            <w:vAlign w:val="center"/>
            <w:hideMark/>
          </w:tcPr>
          <w:p w14:paraId="323882E8" w14:textId="77777777" w:rsidR="00000000" w:rsidRDefault="001A570A">
            <w:pPr>
              <w:rPr>
                <w:rFonts w:eastAsia="Times New Roman"/>
                <w:sz w:val="20"/>
                <w:szCs w:val="20"/>
              </w:rPr>
            </w:pPr>
          </w:p>
        </w:tc>
        <w:tc>
          <w:tcPr>
            <w:tcW w:w="50" w:type="pct"/>
            <w:vAlign w:val="center"/>
            <w:hideMark/>
          </w:tcPr>
          <w:p w14:paraId="3D02CF47" w14:textId="77777777" w:rsidR="00000000" w:rsidRDefault="001A570A">
            <w:pPr>
              <w:rPr>
                <w:rFonts w:eastAsia="Times New Roman"/>
                <w:sz w:val="20"/>
                <w:szCs w:val="20"/>
              </w:rPr>
            </w:pPr>
          </w:p>
        </w:tc>
        <w:tc>
          <w:tcPr>
            <w:tcW w:w="375" w:type="pct"/>
            <w:vAlign w:val="center"/>
            <w:hideMark/>
          </w:tcPr>
          <w:p w14:paraId="2FD6BE32" w14:textId="77777777" w:rsidR="00000000" w:rsidRDefault="001A570A">
            <w:pPr>
              <w:rPr>
                <w:rFonts w:eastAsia="Times New Roman"/>
                <w:sz w:val="20"/>
                <w:szCs w:val="20"/>
              </w:rPr>
            </w:pPr>
          </w:p>
        </w:tc>
        <w:tc>
          <w:tcPr>
            <w:tcW w:w="5" w:type="pct"/>
            <w:vAlign w:val="center"/>
            <w:hideMark/>
          </w:tcPr>
          <w:p w14:paraId="5C4B511D" w14:textId="77777777" w:rsidR="00000000" w:rsidRDefault="001A570A">
            <w:pPr>
              <w:rPr>
                <w:rFonts w:eastAsia="Times New Roman"/>
                <w:sz w:val="20"/>
                <w:szCs w:val="20"/>
              </w:rPr>
            </w:pPr>
          </w:p>
        </w:tc>
        <w:tc>
          <w:tcPr>
            <w:tcW w:w="5" w:type="pct"/>
            <w:vAlign w:val="center"/>
            <w:hideMark/>
          </w:tcPr>
          <w:p w14:paraId="5073B447" w14:textId="77777777" w:rsidR="00000000" w:rsidRDefault="001A570A">
            <w:pPr>
              <w:rPr>
                <w:rFonts w:eastAsia="Times New Roman"/>
                <w:sz w:val="20"/>
                <w:szCs w:val="20"/>
              </w:rPr>
            </w:pPr>
          </w:p>
        </w:tc>
        <w:tc>
          <w:tcPr>
            <w:tcW w:w="30" w:type="pct"/>
            <w:vAlign w:val="center"/>
            <w:hideMark/>
          </w:tcPr>
          <w:p w14:paraId="01D7F378" w14:textId="77777777" w:rsidR="00000000" w:rsidRDefault="001A570A">
            <w:pPr>
              <w:rPr>
                <w:rFonts w:eastAsia="Times New Roman"/>
                <w:sz w:val="20"/>
                <w:szCs w:val="20"/>
              </w:rPr>
            </w:pPr>
          </w:p>
        </w:tc>
        <w:tc>
          <w:tcPr>
            <w:tcW w:w="5" w:type="pct"/>
            <w:vAlign w:val="center"/>
            <w:hideMark/>
          </w:tcPr>
          <w:p w14:paraId="54A3F6BE" w14:textId="77777777" w:rsidR="00000000" w:rsidRDefault="001A570A">
            <w:pPr>
              <w:rPr>
                <w:rFonts w:eastAsia="Times New Roman"/>
                <w:sz w:val="20"/>
                <w:szCs w:val="20"/>
              </w:rPr>
            </w:pPr>
          </w:p>
        </w:tc>
        <w:tc>
          <w:tcPr>
            <w:tcW w:w="50" w:type="pct"/>
            <w:vAlign w:val="center"/>
            <w:hideMark/>
          </w:tcPr>
          <w:p w14:paraId="313DC10D" w14:textId="77777777" w:rsidR="00000000" w:rsidRDefault="001A570A">
            <w:pPr>
              <w:rPr>
                <w:rFonts w:eastAsia="Times New Roman"/>
                <w:sz w:val="20"/>
                <w:szCs w:val="20"/>
              </w:rPr>
            </w:pPr>
          </w:p>
        </w:tc>
        <w:tc>
          <w:tcPr>
            <w:tcW w:w="537" w:type="pct"/>
            <w:vAlign w:val="center"/>
            <w:hideMark/>
          </w:tcPr>
          <w:p w14:paraId="2923DB07" w14:textId="77777777" w:rsidR="00000000" w:rsidRDefault="001A570A">
            <w:pPr>
              <w:rPr>
                <w:rFonts w:eastAsia="Times New Roman"/>
                <w:sz w:val="20"/>
                <w:szCs w:val="20"/>
              </w:rPr>
            </w:pPr>
          </w:p>
        </w:tc>
        <w:tc>
          <w:tcPr>
            <w:tcW w:w="5" w:type="pct"/>
            <w:vAlign w:val="center"/>
            <w:hideMark/>
          </w:tcPr>
          <w:p w14:paraId="5F966412" w14:textId="77777777" w:rsidR="00000000" w:rsidRDefault="001A570A">
            <w:pPr>
              <w:rPr>
                <w:rFonts w:eastAsia="Times New Roman"/>
                <w:sz w:val="20"/>
                <w:szCs w:val="20"/>
              </w:rPr>
            </w:pPr>
          </w:p>
        </w:tc>
        <w:tc>
          <w:tcPr>
            <w:tcW w:w="5" w:type="pct"/>
            <w:vAlign w:val="center"/>
            <w:hideMark/>
          </w:tcPr>
          <w:p w14:paraId="278A0026" w14:textId="77777777" w:rsidR="00000000" w:rsidRDefault="001A570A">
            <w:pPr>
              <w:rPr>
                <w:rFonts w:eastAsia="Times New Roman"/>
                <w:sz w:val="20"/>
                <w:szCs w:val="20"/>
              </w:rPr>
            </w:pPr>
          </w:p>
        </w:tc>
        <w:tc>
          <w:tcPr>
            <w:tcW w:w="30" w:type="pct"/>
            <w:vAlign w:val="center"/>
            <w:hideMark/>
          </w:tcPr>
          <w:p w14:paraId="74348413" w14:textId="77777777" w:rsidR="00000000" w:rsidRDefault="001A570A">
            <w:pPr>
              <w:rPr>
                <w:rFonts w:eastAsia="Times New Roman"/>
                <w:sz w:val="20"/>
                <w:szCs w:val="20"/>
              </w:rPr>
            </w:pPr>
          </w:p>
        </w:tc>
        <w:tc>
          <w:tcPr>
            <w:tcW w:w="5" w:type="pct"/>
            <w:vAlign w:val="center"/>
            <w:hideMark/>
          </w:tcPr>
          <w:p w14:paraId="1DBBB7AD" w14:textId="77777777" w:rsidR="00000000" w:rsidRDefault="001A570A">
            <w:pPr>
              <w:rPr>
                <w:rFonts w:eastAsia="Times New Roman"/>
                <w:sz w:val="20"/>
                <w:szCs w:val="20"/>
              </w:rPr>
            </w:pPr>
          </w:p>
        </w:tc>
        <w:tc>
          <w:tcPr>
            <w:tcW w:w="50" w:type="pct"/>
            <w:vAlign w:val="center"/>
            <w:hideMark/>
          </w:tcPr>
          <w:p w14:paraId="45823B8B" w14:textId="77777777" w:rsidR="00000000" w:rsidRDefault="001A570A">
            <w:pPr>
              <w:rPr>
                <w:rFonts w:eastAsia="Times New Roman"/>
                <w:sz w:val="20"/>
                <w:szCs w:val="20"/>
              </w:rPr>
            </w:pPr>
          </w:p>
        </w:tc>
        <w:tc>
          <w:tcPr>
            <w:tcW w:w="375" w:type="pct"/>
            <w:vAlign w:val="center"/>
            <w:hideMark/>
          </w:tcPr>
          <w:p w14:paraId="30331937" w14:textId="77777777" w:rsidR="00000000" w:rsidRDefault="001A570A">
            <w:pPr>
              <w:rPr>
                <w:rFonts w:eastAsia="Times New Roman"/>
                <w:sz w:val="20"/>
                <w:szCs w:val="20"/>
              </w:rPr>
            </w:pPr>
          </w:p>
        </w:tc>
        <w:tc>
          <w:tcPr>
            <w:tcW w:w="5" w:type="pct"/>
            <w:vAlign w:val="center"/>
            <w:hideMark/>
          </w:tcPr>
          <w:p w14:paraId="335B2507" w14:textId="77777777" w:rsidR="00000000" w:rsidRDefault="001A570A">
            <w:pPr>
              <w:rPr>
                <w:rFonts w:eastAsia="Times New Roman"/>
                <w:sz w:val="20"/>
                <w:szCs w:val="20"/>
              </w:rPr>
            </w:pPr>
          </w:p>
        </w:tc>
      </w:tr>
      <w:tr w:rsidR="00000000" w14:paraId="64D0F8B0" w14:textId="77777777">
        <w:trPr>
          <w:divId w:val="1583300595"/>
        </w:trPr>
        <w:tc>
          <w:tcPr>
            <w:tcW w:w="0" w:type="auto"/>
            <w:gridSpan w:val="3"/>
            <w:tcMar>
              <w:top w:w="30" w:type="dxa"/>
              <w:left w:w="20" w:type="dxa"/>
              <w:bottom w:w="30" w:type="dxa"/>
              <w:right w:w="20" w:type="dxa"/>
            </w:tcMar>
            <w:vAlign w:val="bottom"/>
            <w:hideMark/>
          </w:tcPr>
          <w:p w14:paraId="3694C321"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40E969E"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3EB4E5C5" w14:textId="77777777" w:rsidR="00000000" w:rsidRDefault="001A570A">
            <w:pPr>
              <w:jc w:val="center"/>
              <w:rPr>
                <w:rFonts w:eastAsia="Times New Roman"/>
              </w:rPr>
            </w:pPr>
          </w:p>
        </w:tc>
        <w:tc>
          <w:tcPr>
            <w:tcW w:w="0" w:type="auto"/>
            <w:gridSpan w:val="21"/>
            <w:tcMar>
              <w:top w:w="30" w:type="dxa"/>
              <w:left w:w="20" w:type="dxa"/>
              <w:bottom w:w="30" w:type="dxa"/>
              <w:right w:w="20" w:type="dxa"/>
            </w:tcMar>
            <w:vAlign w:val="bottom"/>
            <w:hideMark/>
          </w:tcPr>
          <w:p w14:paraId="3CDF7D26" w14:textId="77777777" w:rsidR="00000000" w:rsidRDefault="001A570A">
            <w:pPr>
              <w:jc w:val="center"/>
              <w:rPr>
                <w:rFonts w:eastAsia="Times New Roman"/>
              </w:rPr>
            </w:pPr>
            <w:r>
              <w:rPr>
                <w:rFonts w:eastAsia="Times New Roman"/>
                <w:b/>
                <w:bCs/>
                <w:color w:val="000000"/>
                <w:sz w:val="16"/>
                <w:szCs w:val="16"/>
              </w:rPr>
              <w:t>Four Quarters Ended</w:t>
            </w:r>
          </w:p>
        </w:tc>
      </w:tr>
      <w:tr w:rsidR="00000000" w14:paraId="7402C554" w14:textId="77777777">
        <w:trPr>
          <w:divId w:val="1583300595"/>
        </w:trPr>
        <w:tc>
          <w:tcPr>
            <w:tcW w:w="0" w:type="auto"/>
            <w:gridSpan w:val="3"/>
            <w:tcMar>
              <w:top w:w="0" w:type="dxa"/>
              <w:left w:w="20" w:type="dxa"/>
              <w:bottom w:w="0" w:type="dxa"/>
              <w:right w:w="20" w:type="dxa"/>
            </w:tcMar>
            <w:vAlign w:val="center"/>
            <w:hideMark/>
          </w:tcPr>
          <w:p w14:paraId="3FE168A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77C985" w14:textId="77777777" w:rsidR="00000000" w:rsidRDefault="001A570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1F7AD5C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67DA55"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192FBAB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1A84B3"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14:paraId="2F61A3C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D55147"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59BE2E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5D07D9"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02531AD1" w14:textId="77777777">
        <w:trPr>
          <w:divId w:val="1583300595"/>
        </w:trPr>
        <w:tc>
          <w:tcPr>
            <w:tcW w:w="0" w:type="auto"/>
            <w:gridSpan w:val="3"/>
            <w:tcMar>
              <w:top w:w="30" w:type="dxa"/>
              <w:left w:w="20" w:type="dxa"/>
              <w:bottom w:w="30" w:type="dxa"/>
              <w:right w:w="20" w:type="dxa"/>
            </w:tcMar>
            <w:vAlign w:val="bottom"/>
            <w:hideMark/>
          </w:tcPr>
          <w:p w14:paraId="29591BE2"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5A8F6406"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49FD197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C7AC0D"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402027D1"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CA4668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9FD13B8"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CEA3DCE"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0151D80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BD8AC34" w14:textId="77777777" w:rsidR="00000000" w:rsidRDefault="001A570A">
            <w:pPr>
              <w:rPr>
                <w:rFonts w:eastAsia="Times New Roman"/>
                <w:sz w:val="20"/>
                <w:szCs w:val="20"/>
              </w:rPr>
            </w:pPr>
          </w:p>
        </w:tc>
      </w:tr>
      <w:tr w:rsidR="00000000" w14:paraId="0F9EAD31" w14:textId="77777777">
        <w:trPr>
          <w:divId w:val="1583300595"/>
          <w:trHeight w:val="60"/>
        </w:trPr>
        <w:tc>
          <w:tcPr>
            <w:tcW w:w="0" w:type="auto"/>
            <w:gridSpan w:val="3"/>
            <w:tcMar>
              <w:top w:w="0" w:type="dxa"/>
              <w:left w:w="20" w:type="dxa"/>
              <w:bottom w:w="0" w:type="dxa"/>
              <w:right w:w="20" w:type="dxa"/>
            </w:tcMar>
            <w:vAlign w:val="center"/>
            <w:hideMark/>
          </w:tcPr>
          <w:p w14:paraId="49386D4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C56D8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508978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A9358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77A46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3EB093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ACE52B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48CD8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C0104E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E26552F" w14:textId="77777777" w:rsidR="00000000" w:rsidRDefault="001A570A">
            <w:pPr>
              <w:rPr>
                <w:rFonts w:eastAsia="Times New Roman"/>
                <w:sz w:val="20"/>
                <w:szCs w:val="20"/>
              </w:rPr>
            </w:pPr>
          </w:p>
        </w:tc>
      </w:tr>
      <w:tr w:rsidR="00000000" w14:paraId="427EA789" w14:textId="77777777">
        <w:trPr>
          <w:divId w:val="1583300595"/>
        </w:trPr>
        <w:tc>
          <w:tcPr>
            <w:tcW w:w="0" w:type="auto"/>
            <w:gridSpan w:val="3"/>
            <w:shd w:val="clear" w:color="auto" w:fill="CCEEFF"/>
            <w:tcMar>
              <w:top w:w="30" w:type="dxa"/>
              <w:left w:w="20" w:type="dxa"/>
              <w:bottom w:w="30" w:type="dxa"/>
              <w:right w:w="20" w:type="dxa"/>
            </w:tcMar>
            <w:hideMark/>
          </w:tcPr>
          <w:p w14:paraId="5566DE5B"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666D33A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648643" w14:textId="77777777" w:rsidR="00000000" w:rsidRDefault="001A570A">
            <w:pPr>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14:paraId="597F68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AC78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F4C92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D4B6FA" w14:textId="77777777" w:rsidR="00000000" w:rsidRDefault="001A570A">
            <w:pPr>
              <w:jc w:val="right"/>
              <w:rPr>
                <w:rFonts w:eastAsia="Times New Roman"/>
              </w:rPr>
            </w:pPr>
            <w:r>
              <w:rPr>
                <w:rFonts w:eastAsia="Times New Roman"/>
                <w:color w:val="000000"/>
                <w:sz w:val="20"/>
                <w:szCs w:val="20"/>
              </w:rPr>
              <w:t>2,368 </w:t>
            </w:r>
          </w:p>
        </w:tc>
        <w:tc>
          <w:tcPr>
            <w:tcW w:w="0" w:type="auto"/>
            <w:shd w:val="clear" w:color="auto" w:fill="CCEEFF"/>
            <w:tcMar>
              <w:top w:w="30" w:type="dxa"/>
              <w:left w:w="0" w:type="dxa"/>
              <w:bottom w:w="30" w:type="dxa"/>
              <w:right w:w="20" w:type="dxa"/>
            </w:tcMar>
            <w:vAlign w:val="bottom"/>
            <w:hideMark/>
          </w:tcPr>
          <w:p w14:paraId="747C734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0530C"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5ED9C9"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0D5D979" w14:textId="77777777" w:rsidR="00000000" w:rsidRDefault="001A570A">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704CE8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74B7A9" w14:textId="77777777" w:rsidR="00000000" w:rsidRDefault="001A570A">
            <w:pPr>
              <w:jc w:val="right"/>
              <w:rPr>
                <w:rFonts w:eastAsia="Times New Roman"/>
              </w:rPr>
            </w:pPr>
            <w:r>
              <w:rPr>
                <w:rFonts w:eastAsia="Times New Roman"/>
                <w:color w:val="000000"/>
                <w:sz w:val="20"/>
                <w:szCs w:val="20"/>
              </w:rPr>
              <w:t>3,917 </w:t>
            </w:r>
          </w:p>
        </w:tc>
        <w:tc>
          <w:tcPr>
            <w:tcW w:w="0" w:type="auto"/>
            <w:shd w:val="clear" w:color="auto" w:fill="CCEEFF"/>
            <w:tcMar>
              <w:top w:w="30" w:type="dxa"/>
              <w:left w:w="0" w:type="dxa"/>
              <w:bottom w:w="30" w:type="dxa"/>
              <w:right w:w="20" w:type="dxa"/>
            </w:tcMar>
            <w:vAlign w:val="bottom"/>
            <w:hideMark/>
          </w:tcPr>
          <w:p w14:paraId="1EB6B0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7498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EB9C2E"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00D33AAD" w14:textId="77777777" w:rsidR="00000000" w:rsidRDefault="001A570A">
            <w:pPr>
              <w:rPr>
                <w:rFonts w:eastAsia="Times New Roman"/>
              </w:rPr>
            </w:pPr>
            <w:r>
              <w:rPr>
                <w:rFonts w:eastAsia="Times New Roman"/>
                <w:color w:val="000000"/>
                <w:sz w:val="20"/>
                <w:szCs w:val="20"/>
              </w:rPr>
              <w:t>%)</w:t>
            </w:r>
          </w:p>
        </w:tc>
      </w:tr>
      <w:tr w:rsidR="00000000" w14:paraId="3909CF7E" w14:textId="77777777">
        <w:trPr>
          <w:divId w:val="1583300595"/>
        </w:trPr>
        <w:tc>
          <w:tcPr>
            <w:tcW w:w="0" w:type="auto"/>
            <w:gridSpan w:val="3"/>
            <w:shd w:val="clear" w:color="auto" w:fill="FFFFFF"/>
            <w:tcMar>
              <w:top w:w="30" w:type="dxa"/>
              <w:left w:w="20" w:type="dxa"/>
              <w:bottom w:w="30" w:type="dxa"/>
              <w:right w:w="20" w:type="dxa"/>
            </w:tcMar>
            <w:hideMark/>
          </w:tcPr>
          <w:p w14:paraId="0FEDFE74" w14:textId="77777777" w:rsidR="00000000" w:rsidRDefault="001A570A">
            <w:pPr>
              <w:rPr>
                <w:rFonts w:eastAsia="Times New Roman"/>
              </w:rPr>
            </w:pPr>
            <w:r>
              <w:rPr>
                <w:rFonts w:eastAsia="Times New Roman"/>
                <w:color w:val="000000"/>
                <w:sz w:val="20"/>
                <w:szCs w:val="20"/>
              </w:rPr>
              <w:t>Operating income (loss)</w:t>
            </w:r>
          </w:p>
        </w:tc>
        <w:tc>
          <w:tcPr>
            <w:tcW w:w="0" w:type="auto"/>
            <w:shd w:val="clear" w:color="auto" w:fill="FFFFFF"/>
            <w:tcMar>
              <w:top w:w="30" w:type="dxa"/>
              <w:left w:w="20" w:type="dxa"/>
              <w:bottom w:w="30" w:type="dxa"/>
              <w:right w:w="0" w:type="dxa"/>
            </w:tcMar>
            <w:vAlign w:val="bottom"/>
            <w:hideMark/>
          </w:tcPr>
          <w:p w14:paraId="3847524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2B3E3D" w14:textId="77777777" w:rsidR="00000000" w:rsidRDefault="001A570A">
            <w:pPr>
              <w:jc w:val="right"/>
              <w:rPr>
                <w:rFonts w:eastAsia="Times New Roman"/>
              </w:rPr>
            </w:pPr>
            <w:r>
              <w:rPr>
                <w:rFonts w:eastAsia="Times New Roman"/>
                <w:color w:val="000000"/>
                <w:sz w:val="20"/>
                <w:szCs w:val="20"/>
              </w:rPr>
              <w:t>(177)</w:t>
            </w:r>
          </w:p>
        </w:tc>
        <w:tc>
          <w:tcPr>
            <w:tcW w:w="0" w:type="auto"/>
            <w:shd w:val="clear" w:color="auto" w:fill="FFFFFF"/>
            <w:tcMar>
              <w:top w:w="30" w:type="dxa"/>
              <w:left w:w="0" w:type="dxa"/>
              <w:bottom w:w="30" w:type="dxa"/>
              <w:right w:w="20" w:type="dxa"/>
            </w:tcMar>
            <w:vAlign w:val="bottom"/>
            <w:hideMark/>
          </w:tcPr>
          <w:p w14:paraId="4CFF6D9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C4C56"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A9839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29231F" w14:textId="77777777" w:rsidR="00000000" w:rsidRDefault="001A570A">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14:paraId="0D35471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5D7C2"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5631E78"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694B822" w14:textId="77777777" w:rsidR="00000000" w:rsidRDefault="001A570A">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268E8A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B376D6" w14:textId="77777777" w:rsidR="00000000" w:rsidRDefault="001A570A">
            <w:pPr>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14:paraId="28E2D3E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8D8F5"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FD7E8C7" w14:textId="77777777" w:rsidR="00000000" w:rsidRDefault="001A570A">
            <w:pPr>
              <w:jc w:val="right"/>
              <w:rPr>
                <w:rFonts w:eastAsia="Times New Roman"/>
              </w:rPr>
            </w:pPr>
            <w:r>
              <w:rPr>
                <w:rFonts w:eastAsia="Times New Roman"/>
                <w:color w:val="000000"/>
                <w:sz w:val="20"/>
                <w:szCs w:val="20"/>
              </w:rPr>
              <w:t>*</w:t>
            </w:r>
          </w:p>
        </w:tc>
      </w:tr>
      <w:tr w:rsidR="00000000" w14:paraId="658456B4" w14:textId="77777777">
        <w:trPr>
          <w:divId w:val="1583300595"/>
        </w:trPr>
        <w:tc>
          <w:tcPr>
            <w:tcW w:w="0" w:type="auto"/>
            <w:gridSpan w:val="3"/>
            <w:shd w:val="clear" w:color="auto" w:fill="CCEEFF"/>
            <w:tcMar>
              <w:top w:w="30" w:type="dxa"/>
              <w:left w:w="245" w:type="dxa"/>
              <w:bottom w:w="30" w:type="dxa"/>
              <w:right w:w="20" w:type="dxa"/>
            </w:tcMar>
            <w:hideMark/>
          </w:tcPr>
          <w:p w14:paraId="4869ED43"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22C01109" w14:textId="77777777" w:rsidR="00000000" w:rsidRDefault="001A570A">
            <w:pPr>
              <w:jc w:val="right"/>
              <w:rPr>
                <w:rFonts w:eastAsia="Times New Roman"/>
              </w:rPr>
            </w:pPr>
            <w:r>
              <w:rPr>
                <w:rFonts w:eastAsia="Times New Roman"/>
                <w:i/>
                <w:iCs/>
                <w:color w:val="000000"/>
                <w:sz w:val="20"/>
                <w:szCs w:val="20"/>
              </w:rPr>
              <w:t>(5)</w:t>
            </w:r>
          </w:p>
        </w:tc>
        <w:tc>
          <w:tcPr>
            <w:tcW w:w="0" w:type="auto"/>
            <w:shd w:val="clear" w:color="auto" w:fill="CCEEFF"/>
            <w:tcMar>
              <w:top w:w="30" w:type="dxa"/>
              <w:left w:w="0" w:type="dxa"/>
              <w:bottom w:w="30" w:type="dxa"/>
              <w:right w:w="20" w:type="dxa"/>
            </w:tcMar>
            <w:vAlign w:val="bottom"/>
            <w:hideMark/>
          </w:tcPr>
          <w:p w14:paraId="3D5A5D1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B2E904"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A2233B" w14:textId="77777777" w:rsidR="00000000" w:rsidRDefault="001A570A">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14:paraId="272E740A"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2662C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90AA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B24CE"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FAEC8" w14:textId="77777777" w:rsidR="00000000" w:rsidRDefault="001A570A">
            <w:pPr>
              <w:jc w:val="right"/>
              <w:rPr>
                <w:rFonts w:eastAsia="Times New Roman"/>
              </w:rPr>
            </w:pPr>
            <w:r>
              <w:rPr>
                <w:rFonts w:eastAsia="Times New Roman"/>
                <w:i/>
                <w:iCs/>
                <w:color w:val="000000"/>
                <w:sz w:val="20"/>
                <w:szCs w:val="20"/>
              </w:rPr>
              <w:t>13 </w:t>
            </w:r>
          </w:p>
        </w:tc>
        <w:tc>
          <w:tcPr>
            <w:tcW w:w="0" w:type="auto"/>
            <w:shd w:val="clear" w:color="auto" w:fill="CCEEFF"/>
            <w:tcMar>
              <w:top w:w="30" w:type="dxa"/>
              <w:left w:w="0" w:type="dxa"/>
              <w:bottom w:w="30" w:type="dxa"/>
              <w:right w:w="20" w:type="dxa"/>
            </w:tcMar>
            <w:vAlign w:val="bottom"/>
            <w:hideMark/>
          </w:tcPr>
          <w:p w14:paraId="4430EE1F"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2BEF5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96213" w14:textId="77777777" w:rsidR="00000000" w:rsidRDefault="001A570A">
            <w:pPr>
              <w:rPr>
                <w:rFonts w:eastAsia="Times New Roman"/>
                <w:sz w:val="20"/>
                <w:szCs w:val="20"/>
              </w:rPr>
            </w:pPr>
          </w:p>
        </w:tc>
      </w:tr>
    </w:tbl>
    <w:p w14:paraId="20FF357F" w14:textId="77777777" w:rsidR="00000000" w:rsidRDefault="001A570A">
      <w:pPr>
        <w:ind w:firstLine="450"/>
        <w:divId w:val="1960867606"/>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40"/>
        <w:gridCol w:w="2665"/>
        <w:gridCol w:w="39"/>
        <w:gridCol w:w="120"/>
        <w:gridCol w:w="519"/>
        <w:gridCol w:w="187"/>
        <w:gridCol w:w="36"/>
        <w:gridCol w:w="36"/>
        <w:gridCol w:w="36"/>
        <w:gridCol w:w="121"/>
        <w:gridCol w:w="657"/>
        <w:gridCol w:w="187"/>
        <w:gridCol w:w="37"/>
        <w:gridCol w:w="118"/>
        <w:gridCol w:w="36"/>
        <w:gridCol w:w="88"/>
        <w:gridCol w:w="575"/>
        <w:gridCol w:w="36"/>
        <w:gridCol w:w="36"/>
        <w:gridCol w:w="36"/>
        <w:gridCol w:w="36"/>
        <w:gridCol w:w="120"/>
        <w:gridCol w:w="381"/>
        <w:gridCol w:w="187"/>
        <w:gridCol w:w="36"/>
        <w:gridCol w:w="36"/>
        <w:gridCol w:w="36"/>
        <w:gridCol w:w="120"/>
        <w:gridCol w:w="519"/>
        <w:gridCol w:w="187"/>
        <w:gridCol w:w="36"/>
        <w:gridCol w:w="36"/>
        <w:gridCol w:w="36"/>
        <w:gridCol w:w="88"/>
        <w:gridCol w:w="575"/>
        <w:gridCol w:w="187"/>
      </w:tblGrid>
      <w:tr w:rsidR="00000000" w14:paraId="118BABE1" w14:textId="77777777">
        <w:trPr>
          <w:divId w:val="1690452047"/>
        </w:trPr>
        <w:tc>
          <w:tcPr>
            <w:tcW w:w="50" w:type="pct"/>
            <w:vAlign w:val="center"/>
            <w:hideMark/>
          </w:tcPr>
          <w:p w14:paraId="79B41782" w14:textId="77777777" w:rsidR="00000000" w:rsidRDefault="001A570A">
            <w:pPr>
              <w:ind w:firstLine="450"/>
              <w:rPr>
                <w:rFonts w:eastAsia="Times New Roman"/>
              </w:rPr>
            </w:pPr>
          </w:p>
        </w:tc>
        <w:tc>
          <w:tcPr>
            <w:tcW w:w="1911" w:type="pct"/>
            <w:vAlign w:val="center"/>
            <w:hideMark/>
          </w:tcPr>
          <w:p w14:paraId="0CF6D648" w14:textId="77777777" w:rsidR="00000000" w:rsidRDefault="001A570A">
            <w:pPr>
              <w:rPr>
                <w:rFonts w:eastAsia="Times New Roman"/>
                <w:sz w:val="20"/>
                <w:szCs w:val="20"/>
              </w:rPr>
            </w:pPr>
          </w:p>
        </w:tc>
        <w:tc>
          <w:tcPr>
            <w:tcW w:w="5" w:type="pct"/>
            <w:vAlign w:val="center"/>
            <w:hideMark/>
          </w:tcPr>
          <w:p w14:paraId="74874BF7" w14:textId="77777777" w:rsidR="00000000" w:rsidRDefault="001A570A">
            <w:pPr>
              <w:rPr>
                <w:rFonts w:eastAsia="Times New Roman"/>
                <w:sz w:val="20"/>
                <w:szCs w:val="20"/>
              </w:rPr>
            </w:pPr>
          </w:p>
        </w:tc>
        <w:tc>
          <w:tcPr>
            <w:tcW w:w="50" w:type="pct"/>
            <w:vAlign w:val="center"/>
            <w:hideMark/>
          </w:tcPr>
          <w:p w14:paraId="057A2B56" w14:textId="77777777" w:rsidR="00000000" w:rsidRDefault="001A570A">
            <w:pPr>
              <w:rPr>
                <w:rFonts w:eastAsia="Times New Roman"/>
                <w:sz w:val="20"/>
                <w:szCs w:val="20"/>
              </w:rPr>
            </w:pPr>
          </w:p>
        </w:tc>
        <w:tc>
          <w:tcPr>
            <w:tcW w:w="474" w:type="pct"/>
            <w:vAlign w:val="center"/>
            <w:hideMark/>
          </w:tcPr>
          <w:p w14:paraId="3ADD253C" w14:textId="77777777" w:rsidR="00000000" w:rsidRDefault="001A570A">
            <w:pPr>
              <w:rPr>
                <w:rFonts w:eastAsia="Times New Roman"/>
                <w:sz w:val="20"/>
                <w:szCs w:val="20"/>
              </w:rPr>
            </w:pPr>
          </w:p>
        </w:tc>
        <w:tc>
          <w:tcPr>
            <w:tcW w:w="5" w:type="pct"/>
            <w:vAlign w:val="center"/>
            <w:hideMark/>
          </w:tcPr>
          <w:p w14:paraId="50EA41F7" w14:textId="77777777" w:rsidR="00000000" w:rsidRDefault="001A570A">
            <w:pPr>
              <w:rPr>
                <w:rFonts w:eastAsia="Times New Roman"/>
                <w:sz w:val="20"/>
                <w:szCs w:val="20"/>
              </w:rPr>
            </w:pPr>
          </w:p>
        </w:tc>
        <w:tc>
          <w:tcPr>
            <w:tcW w:w="5" w:type="pct"/>
            <w:vAlign w:val="center"/>
            <w:hideMark/>
          </w:tcPr>
          <w:p w14:paraId="45F19266" w14:textId="77777777" w:rsidR="00000000" w:rsidRDefault="001A570A">
            <w:pPr>
              <w:rPr>
                <w:rFonts w:eastAsia="Times New Roman"/>
                <w:sz w:val="20"/>
                <w:szCs w:val="20"/>
              </w:rPr>
            </w:pPr>
          </w:p>
        </w:tc>
        <w:tc>
          <w:tcPr>
            <w:tcW w:w="19" w:type="pct"/>
            <w:vAlign w:val="center"/>
            <w:hideMark/>
          </w:tcPr>
          <w:p w14:paraId="5F8A1B95" w14:textId="77777777" w:rsidR="00000000" w:rsidRDefault="001A570A">
            <w:pPr>
              <w:rPr>
                <w:rFonts w:eastAsia="Times New Roman"/>
                <w:sz w:val="20"/>
                <w:szCs w:val="20"/>
              </w:rPr>
            </w:pPr>
          </w:p>
        </w:tc>
        <w:tc>
          <w:tcPr>
            <w:tcW w:w="5" w:type="pct"/>
            <w:vAlign w:val="center"/>
            <w:hideMark/>
          </w:tcPr>
          <w:p w14:paraId="50511CBD" w14:textId="77777777" w:rsidR="00000000" w:rsidRDefault="001A570A">
            <w:pPr>
              <w:rPr>
                <w:rFonts w:eastAsia="Times New Roman"/>
                <w:sz w:val="20"/>
                <w:szCs w:val="20"/>
              </w:rPr>
            </w:pPr>
          </w:p>
        </w:tc>
        <w:tc>
          <w:tcPr>
            <w:tcW w:w="50" w:type="pct"/>
            <w:vAlign w:val="center"/>
            <w:hideMark/>
          </w:tcPr>
          <w:p w14:paraId="52C850EE" w14:textId="77777777" w:rsidR="00000000" w:rsidRDefault="001A570A">
            <w:pPr>
              <w:rPr>
                <w:rFonts w:eastAsia="Times New Roman"/>
                <w:sz w:val="20"/>
                <w:szCs w:val="20"/>
              </w:rPr>
            </w:pPr>
          </w:p>
        </w:tc>
        <w:tc>
          <w:tcPr>
            <w:tcW w:w="474" w:type="pct"/>
            <w:vAlign w:val="center"/>
            <w:hideMark/>
          </w:tcPr>
          <w:p w14:paraId="69D5A53B" w14:textId="77777777" w:rsidR="00000000" w:rsidRDefault="001A570A">
            <w:pPr>
              <w:rPr>
                <w:rFonts w:eastAsia="Times New Roman"/>
                <w:sz w:val="20"/>
                <w:szCs w:val="20"/>
              </w:rPr>
            </w:pPr>
          </w:p>
        </w:tc>
        <w:tc>
          <w:tcPr>
            <w:tcW w:w="5" w:type="pct"/>
            <w:vAlign w:val="center"/>
            <w:hideMark/>
          </w:tcPr>
          <w:p w14:paraId="4430C26B" w14:textId="77777777" w:rsidR="00000000" w:rsidRDefault="001A570A">
            <w:pPr>
              <w:rPr>
                <w:rFonts w:eastAsia="Times New Roman"/>
                <w:sz w:val="20"/>
                <w:szCs w:val="20"/>
              </w:rPr>
            </w:pPr>
          </w:p>
        </w:tc>
        <w:tc>
          <w:tcPr>
            <w:tcW w:w="5" w:type="pct"/>
            <w:vAlign w:val="center"/>
            <w:hideMark/>
          </w:tcPr>
          <w:p w14:paraId="1D9F51A0" w14:textId="77777777" w:rsidR="00000000" w:rsidRDefault="001A570A">
            <w:pPr>
              <w:rPr>
                <w:rFonts w:eastAsia="Times New Roman"/>
                <w:sz w:val="20"/>
                <w:szCs w:val="20"/>
              </w:rPr>
            </w:pPr>
          </w:p>
        </w:tc>
        <w:tc>
          <w:tcPr>
            <w:tcW w:w="19" w:type="pct"/>
            <w:vAlign w:val="center"/>
            <w:hideMark/>
          </w:tcPr>
          <w:p w14:paraId="040B16EF" w14:textId="77777777" w:rsidR="00000000" w:rsidRDefault="001A570A">
            <w:pPr>
              <w:rPr>
                <w:rFonts w:eastAsia="Times New Roman"/>
                <w:sz w:val="20"/>
                <w:szCs w:val="20"/>
              </w:rPr>
            </w:pPr>
          </w:p>
        </w:tc>
        <w:tc>
          <w:tcPr>
            <w:tcW w:w="5" w:type="pct"/>
            <w:vAlign w:val="center"/>
            <w:hideMark/>
          </w:tcPr>
          <w:p w14:paraId="387B7DF4" w14:textId="77777777" w:rsidR="00000000" w:rsidRDefault="001A570A">
            <w:pPr>
              <w:rPr>
                <w:rFonts w:eastAsia="Times New Roman"/>
                <w:sz w:val="20"/>
                <w:szCs w:val="20"/>
              </w:rPr>
            </w:pPr>
          </w:p>
        </w:tc>
        <w:tc>
          <w:tcPr>
            <w:tcW w:w="50" w:type="pct"/>
            <w:vAlign w:val="center"/>
            <w:hideMark/>
          </w:tcPr>
          <w:p w14:paraId="749BDD24" w14:textId="77777777" w:rsidR="00000000" w:rsidRDefault="001A570A">
            <w:pPr>
              <w:rPr>
                <w:rFonts w:eastAsia="Times New Roman"/>
                <w:sz w:val="20"/>
                <w:szCs w:val="20"/>
              </w:rPr>
            </w:pPr>
          </w:p>
        </w:tc>
        <w:tc>
          <w:tcPr>
            <w:tcW w:w="329" w:type="pct"/>
            <w:vAlign w:val="center"/>
            <w:hideMark/>
          </w:tcPr>
          <w:p w14:paraId="1A7FB6AD" w14:textId="77777777" w:rsidR="00000000" w:rsidRDefault="001A570A">
            <w:pPr>
              <w:rPr>
                <w:rFonts w:eastAsia="Times New Roman"/>
                <w:sz w:val="20"/>
                <w:szCs w:val="20"/>
              </w:rPr>
            </w:pPr>
          </w:p>
        </w:tc>
        <w:tc>
          <w:tcPr>
            <w:tcW w:w="5" w:type="pct"/>
            <w:vAlign w:val="center"/>
            <w:hideMark/>
          </w:tcPr>
          <w:p w14:paraId="308FC36B" w14:textId="77777777" w:rsidR="00000000" w:rsidRDefault="001A570A">
            <w:pPr>
              <w:rPr>
                <w:rFonts w:eastAsia="Times New Roman"/>
                <w:sz w:val="20"/>
                <w:szCs w:val="20"/>
              </w:rPr>
            </w:pPr>
          </w:p>
        </w:tc>
        <w:tc>
          <w:tcPr>
            <w:tcW w:w="5" w:type="pct"/>
            <w:vAlign w:val="center"/>
            <w:hideMark/>
          </w:tcPr>
          <w:p w14:paraId="1648BF08" w14:textId="77777777" w:rsidR="00000000" w:rsidRDefault="001A570A">
            <w:pPr>
              <w:rPr>
                <w:rFonts w:eastAsia="Times New Roman"/>
                <w:sz w:val="20"/>
                <w:szCs w:val="20"/>
              </w:rPr>
            </w:pPr>
          </w:p>
        </w:tc>
        <w:tc>
          <w:tcPr>
            <w:tcW w:w="19" w:type="pct"/>
            <w:vAlign w:val="center"/>
            <w:hideMark/>
          </w:tcPr>
          <w:p w14:paraId="7FD5639A" w14:textId="77777777" w:rsidR="00000000" w:rsidRDefault="001A570A">
            <w:pPr>
              <w:rPr>
                <w:rFonts w:eastAsia="Times New Roman"/>
                <w:sz w:val="20"/>
                <w:szCs w:val="20"/>
              </w:rPr>
            </w:pPr>
          </w:p>
        </w:tc>
        <w:tc>
          <w:tcPr>
            <w:tcW w:w="5" w:type="pct"/>
            <w:vAlign w:val="center"/>
            <w:hideMark/>
          </w:tcPr>
          <w:p w14:paraId="385B1903" w14:textId="77777777" w:rsidR="00000000" w:rsidRDefault="001A570A">
            <w:pPr>
              <w:rPr>
                <w:rFonts w:eastAsia="Times New Roman"/>
                <w:sz w:val="20"/>
                <w:szCs w:val="20"/>
              </w:rPr>
            </w:pPr>
          </w:p>
        </w:tc>
        <w:tc>
          <w:tcPr>
            <w:tcW w:w="50" w:type="pct"/>
            <w:vAlign w:val="center"/>
            <w:hideMark/>
          </w:tcPr>
          <w:p w14:paraId="19DB4A8E" w14:textId="77777777" w:rsidR="00000000" w:rsidRDefault="001A570A">
            <w:pPr>
              <w:rPr>
                <w:rFonts w:eastAsia="Times New Roman"/>
                <w:sz w:val="20"/>
                <w:szCs w:val="20"/>
              </w:rPr>
            </w:pPr>
          </w:p>
        </w:tc>
        <w:tc>
          <w:tcPr>
            <w:tcW w:w="474" w:type="pct"/>
            <w:vAlign w:val="center"/>
            <w:hideMark/>
          </w:tcPr>
          <w:p w14:paraId="0CC7E17C" w14:textId="77777777" w:rsidR="00000000" w:rsidRDefault="001A570A">
            <w:pPr>
              <w:rPr>
                <w:rFonts w:eastAsia="Times New Roman"/>
                <w:sz w:val="20"/>
                <w:szCs w:val="20"/>
              </w:rPr>
            </w:pPr>
          </w:p>
        </w:tc>
        <w:tc>
          <w:tcPr>
            <w:tcW w:w="5" w:type="pct"/>
            <w:vAlign w:val="center"/>
            <w:hideMark/>
          </w:tcPr>
          <w:p w14:paraId="6B2218DA" w14:textId="77777777" w:rsidR="00000000" w:rsidRDefault="001A570A">
            <w:pPr>
              <w:rPr>
                <w:rFonts w:eastAsia="Times New Roman"/>
                <w:sz w:val="20"/>
                <w:szCs w:val="20"/>
              </w:rPr>
            </w:pPr>
          </w:p>
        </w:tc>
        <w:tc>
          <w:tcPr>
            <w:tcW w:w="5" w:type="pct"/>
            <w:vAlign w:val="center"/>
            <w:hideMark/>
          </w:tcPr>
          <w:p w14:paraId="162055FD" w14:textId="77777777" w:rsidR="00000000" w:rsidRDefault="001A570A">
            <w:pPr>
              <w:rPr>
                <w:rFonts w:eastAsia="Times New Roman"/>
                <w:sz w:val="20"/>
                <w:szCs w:val="20"/>
              </w:rPr>
            </w:pPr>
          </w:p>
        </w:tc>
        <w:tc>
          <w:tcPr>
            <w:tcW w:w="19" w:type="pct"/>
            <w:vAlign w:val="center"/>
            <w:hideMark/>
          </w:tcPr>
          <w:p w14:paraId="718F88E0" w14:textId="77777777" w:rsidR="00000000" w:rsidRDefault="001A570A">
            <w:pPr>
              <w:rPr>
                <w:rFonts w:eastAsia="Times New Roman"/>
                <w:sz w:val="20"/>
                <w:szCs w:val="20"/>
              </w:rPr>
            </w:pPr>
          </w:p>
        </w:tc>
        <w:tc>
          <w:tcPr>
            <w:tcW w:w="5" w:type="pct"/>
            <w:vAlign w:val="center"/>
            <w:hideMark/>
          </w:tcPr>
          <w:p w14:paraId="2A82DB88" w14:textId="77777777" w:rsidR="00000000" w:rsidRDefault="001A570A">
            <w:pPr>
              <w:rPr>
                <w:rFonts w:eastAsia="Times New Roman"/>
                <w:sz w:val="20"/>
                <w:szCs w:val="20"/>
              </w:rPr>
            </w:pPr>
          </w:p>
        </w:tc>
        <w:tc>
          <w:tcPr>
            <w:tcW w:w="50" w:type="pct"/>
            <w:vAlign w:val="center"/>
            <w:hideMark/>
          </w:tcPr>
          <w:p w14:paraId="792CC872" w14:textId="77777777" w:rsidR="00000000" w:rsidRDefault="001A570A">
            <w:pPr>
              <w:rPr>
                <w:rFonts w:eastAsia="Times New Roman"/>
                <w:sz w:val="20"/>
                <w:szCs w:val="20"/>
              </w:rPr>
            </w:pPr>
          </w:p>
        </w:tc>
        <w:tc>
          <w:tcPr>
            <w:tcW w:w="474" w:type="pct"/>
            <w:vAlign w:val="center"/>
            <w:hideMark/>
          </w:tcPr>
          <w:p w14:paraId="4612A7AA" w14:textId="77777777" w:rsidR="00000000" w:rsidRDefault="001A570A">
            <w:pPr>
              <w:rPr>
                <w:rFonts w:eastAsia="Times New Roman"/>
                <w:sz w:val="20"/>
                <w:szCs w:val="20"/>
              </w:rPr>
            </w:pPr>
          </w:p>
        </w:tc>
        <w:tc>
          <w:tcPr>
            <w:tcW w:w="5" w:type="pct"/>
            <w:vAlign w:val="center"/>
            <w:hideMark/>
          </w:tcPr>
          <w:p w14:paraId="54B6EE1D" w14:textId="77777777" w:rsidR="00000000" w:rsidRDefault="001A570A">
            <w:pPr>
              <w:rPr>
                <w:rFonts w:eastAsia="Times New Roman"/>
                <w:sz w:val="20"/>
                <w:szCs w:val="20"/>
              </w:rPr>
            </w:pPr>
          </w:p>
        </w:tc>
        <w:tc>
          <w:tcPr>
            <w:tcW w:w="5" w:type="pct"/>
            <w:vAlign w:val="center"/>
            <w:hideMark/>
          </w:tcPr>
          <w:p w14:paraId="08D9A1B6" w14:textId="77777777" w:rsidR="00000000" w:rsidRDefault="001A570A">
            <w:pPr>
              <w:rPr>
                <w:rFonts w:eastAsia="Times New Roman"/>
                <w:sz w:val="20"/>
                <w:szCs w:val="20"/>
              </w:rPr>
            </w:pPr>
          </w:p>
        </w:tc>
        <w:tc>
          <w:tcPr>
            <w:tcW w:w="19" w:type="pct"/>
            <w:vAlign w:val="center"/>
            <w:hideMark/>
          </w:tcPr>
          <w:p w14:paraId="201D680F" w14:textId="77777777" w:rsidR="00000000" w:rsidRDefault="001A570A">
            <w:pPr>
              <w:rPr>
                <w:rFonts w:eastAsia="Times New Roman"/>
                <w:sz w:val="20"/>
                <w:szCs w:val="20"/>
              </w:rPr>
            </w:pPr>
          </w:p>
        </w:tc>
        <w:tc>
          <w:tcPr>
            <w:tcW w:w="5" w:type="pct"/>
            <w:vAlign w:val="center"/>
            <w:hideMark/>
          </w:tcPr>
          <w:p w14:paraId="232DCFFB" w14:textId="77777777" w:rsidR="00000000" w:rsidRDefault="001A570A">
            <w:pPr>
              <w:rPr>
                <w:rFonts w:eastAsia="Times New Roman"/>
                <w:sz w:val="20"/>
                <w:szCs w:val="20"/>
              </w:rPr>
            </w:pPr>
          </w:p>
        </w:tc>
        <w:tc>
          <w:tcPr>
            <w:tcW w:w="50" w:type="pct"/>
            <w:vAlign w:val="center"/>
            <w:hideMark/>
          </w:tcPr>
          <w:p w14:paraId="2F90A36E" w14:textId="77777777" w:rsidR="00000000" w:rsidRDefault="001A570A">
            <w:pPr>
              <w:rPr>
                <w:rFonts w:eastAsia="Times New Roman"/>
                <w:sz w:val="20"/>
                <w:szCs w:val="20"/>
              </w:rPr>
            </w:pPr>
          </w:p>
        </w:tc>
        <w:tc>
          <w:tcPr>
            <w:tcW w:w="329" w:type="pct"/>
            <w:vAlign w:val="center"/>
            <w:hideMark/>
          </w:tcPr>
          <w:p w14:paraId="5ADA853B" w14:textId="77777777" w:rsidR="00000000" w:rsidRDefault="001A570A">
            <w:pPr>
              <w:rPr>
                <w:rFonts w:eastAsia="Times New Roman"/>
                <w:sz w:val="20"/>
                <w:szCs w:val="20"/>
              </w:rPr>
            </w:pPr>
          </w:p>
        </w:tc>
        <w:tc>
          <w:tcPr>
            <w:tcW w:w="5" w:type="pct"/>
            <w:vAlign w:val="center"/>
            <w:hideMark/>
          </w:tcPr>
          <w:p w14:paraId="0C361336" w14:textId="77777777" w:rsidR="00000000" w:rsidRDefault="001A570A">
            <w:pPr>
              <w:rPr>
                <w:rFonts w:eastAsia="Times New Roman"/>
                <w:sz w:val="20"/>
                <w:szCs w:val="20"/>
              </w:rPr>
            </w:pPr>
          </w:p>
        </w:tc>
      </w:tr>
      <w:tr w:rsidR="00000000" w14:paraId="5DA1C3FD" w14:textId="77777777">
        <w:trPr>
          <w:divId w:val="1690452047"/>
        </w:trPr>
        <w:tc>
          <w:tcPr>
            <w:tcW w:w="0" w:type="auto"/>
            <w:gridSpan w:val="3"/>
            <w:tcMar>
              <w:top w:w="0" w:type="dxa"/>
              <w:left w:w="20" w:type="dxa"/>
              <w:bottom w:w="0" w:type="dxa"/>
              <w:right w:w="20" w:type="dxa"/>
            </w:tcMar>
            <w:vAlign w:val="center"/>
            <w:hideMark/>
          </w:tcPr>
          <w:p w14:paraId="364D7F20" w14:textId="77777777" w:rsidR="00000000" w:rsidRDefault="001A570A">
            <w:pPr>
              <w:rPr>
                <w:rFonts w:eastAsia="Times New Roman"/>
                <w:sz w:val="20"/>
                <w:szCs w:val="20"/>
              </w:rPr>
            </w:pPr>
          </w:p>
        </w:tc>
        <w:tc>
          <w:tcPr>
            <w:tcW w:w="0" w:type="auto"/>
            <w:gridSpan w:val="15"/>
            <w:tcMar>
              <w:top w:w="30" w:type="dxa"/>
              <w:left w:w="20" w:type="dxa"/>
              <w:bottom w:w="30" w:type="dxa"/>
              <w:right w:w="20" w:type="dxa"/>
            </w:tcMar>
            <w:vAlign w:val="bottom"/>
            <w:hideMark/>
          </w:tcPr>
          <w:p w14:paraId="5612C4CB"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2914753E"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10E288AB"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6F90F14A" w14:textId="77777777">
        <w:trPr>
          <w:divId w:val="1690452047"/>
        </w:trPr>
        <w:tc>
          <w:tcPr>
            <w:tcW w:w="0" w:type="auto"/>
            <w:gridSpan w:val="3"/>
            <w:tcMar>
              <w:top w:w="0" w:type="dxa"/>
              <w:left w:w="20" w:type="dxa"/>
              <w:bottom w:w="0" w:type="dxa"/>
              <w:right w:w="20" w:type="dxa"/>
            </w:tcMar>
            <w:vAlign w:val="center"/>
            <w:hideMark/>
          </w:tcPr>
          <w:p w14:paraId="21E89FC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4620C1"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163844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D73EF0" w14:textId="77777777" w:rsidR="00000000" w:rsidRDefault="001A570A">
            <w:pPr>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2018</w:t>
            </w:r>
          </w:p>
        </w:tc>
        <w:tc>
          <w:tcPr>
            <w:tcW w:w="0" w:type="auto"/>
            <w:gridSpan w:val="3"/>
            <w:tcBorders>
              <w:top w:val="single" w:sz="8" w:space="0" w:color="000000"/>
            </w:tcBorders>
            <w:tcMar>
              <w:top w:w="0" w:type="dxa"/>
              <w:left w:w="20" w:type="dxa"/>
              <w:bottom w:w="0" w:type="dxa"/>
              <w:right w:w="20" w:type="dxa"/>
            </w:tcMar>
            <w:vAlign w:val="center"/>
            <w:hideMark/>
          </w:tcPr>
          <w:p w14:paraId="5996432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9BBB7C"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14:paraId="15746F5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E06101"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0F63BA0"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5A6848" w14:textId="77777777" w:rsidR="00000000" w:rsidRDefault="001A570A">
            <w:pPr>
              <w:jc w:val="center"/>
              <w:rPr>
                <w:rFonts w:eastAsia="Times New Roman"/>
              </w:rPr>
            </w:pPr>
            <w:r>
              <w:rPr>
                <w:rFonts w:eastAsia="Times New Roman"/>
                <w:b/>
                <w:bCs/>
                <w:color w:val="000000"/>
                <w:sz w:val="16"/>
                <w:szCs w:val="16"/>
              </w:rPr>
              <w:t>June 29, 2018</w:t>
            </w:r>
          </w:p>
        </w:tc>
        <w:tc>
          <w:tcPr>
            <w:tcW w:w="0" w:type="auto"/>
            <w:gridSpan w:val="3"/>
            <w:tcBorders>
              <w:top w:val="single" w:sz="8" w:space="0" w:color="000000"/>
            </w:tcBorders>
            <w:tcMar>
              <w:top w:w="0" w:type="dxa"/>
              <w:left w:w="20" w:type="dxa"/>
              <w:bottom w:w="0" w:type="dxa"/>
              <w:right w:w="20" w:type="dxa"/>
            </w:tcMar>
            <w:vAlign w:val="center"/>
            <w:hideMark/>
          </w:tcPr>
          <w:p w14:paraId="745F4F1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69593B"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5EB54F2B" w14:textId="77777777">
        <w:trPr>
          <w:divId w:val="1690452047"/>
        </w:trPr>
        <w:tc>
          <w:tcPr>
            <w:tcW w:w="0" w:type="auto"/>
            <w:gridSpan w:val="3"/>
            <w:tcMar>
              <w:top w:w="30" w:type="dxa"/>
              <w:left w:w="20" w:type="dxa"/>
              <w:bottom w:w="30" w:type="dxa"/>
              <w:right w:w="20" w:type="dxa"/>
            </w:tcMar>
            <w:vAlign w:val="bottom"/>
            <w:hideMark/>
          </w:tcPr>
          <w:p w14:paraId="2685A151"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6F8A5699"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292911F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A1DC76"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07935E28"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B8FDC5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9054EE6" w14:textId="77777777" w:rsidR="00000000" w:rsidRDefault="001A570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BB09E19"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41AE2F66"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25D41E2" w14:textId="77777777" w:rsidR="00000000" w:rsidRDefault="001A570A">
            <w:pPr>
              <w:rPr>
                <w:rFonts w:eastAsia="Times New Roman"/>
                <w:sz w:val="20"/>
                <w:szCs w:val="20"/>
              </w:rPr>
            </w:pPr>
          </w:p>
        </w:tc>
      </w:tr>
      <w:tr w:rsidR="00000000" w14:paraId="4D751D67" w14:textId="77777777">
        <w:trPr>
          <w:divId w:val="1690452047"/>
          <w:trHeight w:val="60"/>
        </w:trPr>
        <w:tc>
          <w:tcPr>
            <w:tcW w:w="0" w:type="auto"/>
            <w:gridSpan w:val="3"/>
            <w:tcMar>
              <w:top w:w="0" w:type="dxa"/>
              <w:left w:w="20" w:type="dxa"/>
              <w:bottom w:w="0" w:type="dxa"/>
              <w:right w:w="20" w:type="dxa"/>
            </w:tcMar>
            <w:vAlign w:val="center"/>
            <w:hideMark/>
          </w:tcPr>
          <w:p w14:paraId="6CAB1D2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8B518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AC30CB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CAD71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BAB543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6C9C1C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51BD14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3940E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7CA8A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5EDF5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1ABE4A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A709E48" w14:textId="77777777" w:rsidR="00000000" w:rsidRDefault="001A570A">
            <w:pPr>
              <w:rPr>
                <w:rFonts w:eastAsia="Times New Roman"/>
                <w:sz w:val="20"/>
                <w:szCs w:val="20"/>
              </w:rPr>
            </w:pPr>
          </w:p>
        </w:tc>
      </w:tr>
      <w:tr w:rsidR="00000000" w14:paraId="6B3E0A9E" w14:textId="77777777">
        <w:trPr>
          <w:divId w:val="1690452047"/>
        </w:trPr>
        <w:tc>
          <w:tcPr>
            <w:tcW w:w="0" w:type="auto"/>
            <w:gridSpan w:val="3"/>
            <w:shd w:val="clear" w:color="auto" w:fill="CCEEFF"/>
            <w:tcMar>
              <w:top w:w="30" w:type="dxa"/>
              <w:left w:w="20" w:type="dxa"/>
              <w:bottom w:w="30" w:type="dxa"/>
              <w:right w:w="20" w:type="dxa"/>
            </w:tcMar>
            <w:hideMark/>
          </w:tcPr>
          <w:p w14:paraId="20F5CBF7"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109E8A8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349DE1" w14:textId="77777777" w:rsidR="00000000" w:rsidRDefault="001A570A">
            <w:pPr>
              <w:jc w:val="right"/>
              <w:rPr>
                <w:rFonts w:eastAsia="Times New Roman"/>
              </w:rPr>
            </w:pPr>
            <w:r>
              <w:rPr>
                <w:rFonts w:eastAsia="Times New Roman"/>
                <w:color w:val="000000"/>
                <w:sz w:val="20"/>
                <w:szCs w:val="20"/>
              </w:rPr>
              <w:t>2,038 </w:t>
            </w:r>
          </w:p>
        </w:tc>
        <w:tc>
          <w:tcPr>
            <w:tcW w:w="0" w:type="auto"/>
            <w:shd w:val="clear" w:color="auto" w:fill="CCEEFF"/>
            <w:tcMar>
              <w:top w:w="30" w:type="dxa"/>
              <w:left w:w="0" w:type="dxa"/>
              <w:bottom w:w="30" w:type="dxa"/>
              <w:right w:w="20" w:type="dxa"/>
            </w:tcMar>
            <w:vAlign w:val="bottom"/>
            <w:hideMark/>
          </w:tcPr>
          <w:p w14:paraId="569995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6D99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A61FF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2523B8" w14:textId="77777777" w:rsidR="00000000" w:rsidRDefault="001A570A">
            <w:pPr>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14:paraId="7BD80D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248EB"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334170A"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64D943" w14:textId="77777777" w:rsidR="00000000" w:rsidRDefault="001A570A">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7EFB82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77AD31" w14:textId="77777777" w:rsidR="00000000" w:rsidRDefault="001A570A">
            <w:pPr>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14:paraId="243C1D8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566A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80381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F483E7" w14:textId="77777777" w:rsidR="00000000" w:rsidRDefault="001A570A">
            <w:pPr>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14:paraId="6A74FB9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41B4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6792F"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5393E17B" w14:textId="77777777" w:rsidR="00000000" w:rsidRDefault="001A570A">
            <w:pPr>
              <w:rPr>
                <w:rFonts w:eastAsia="Times New Roman"/>
              </w:rPr>
            </w:pPr>
            <w:r>
              <w:rPr>
                <w:rFonts w:eastAsia="Times New Roman"/>
                <w:color w:val="000000"/>
                <w:sz w:val="20"/>
                <w:szCs w:val="20"/>
              </w:rPr>
              <w:t>%</w:t>
            </w:r>
          </w:p>
        </w:tc>
      </w:tr>
      <w:tr w:rsidR="00000000" w14:paraId="3BD88783" w14:textId="77777777">
        <w:trPr>
          <w:divId w:val="1690452047"/>
        </w:trPr>
        <w:tc>
          <w:tcPr>
            <w:tcW w:w="0" w:type="auto"/>
            <w:gridSpan w:val="3"/>
            <w:shd w:val="clear" w:color="auto" w:fill="FFFFFF"/>
            <w:tcMar>
              <w:top w:w="30" w:type="dxa"/>
              <w:left w:w="20" w:type="dxa"/>
              <w:bottom w:w="30" w:type="dxa"/>
              <w:right w:w="20" w:type="dxa"/>
            </w:tcMar>
            <w:hideMark/>
          </w:tcPr>
          <w:p w14:paraId="462A2E8F" w14:textId="77777777" w:rsidR="00000000" w:rsidRDefault="001A570A">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5B48F1C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7114C0" w14:textId="77777777" w:rsidR="00000000" w:rsidRDefault="001A570A">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4535C3F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BE01A"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C12B9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B16FFC" w14:textId="77777777" w:rsidR="00000000" w:rsidRDefault="001A570A">
            <w:pPr>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4921D86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80106"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0CC0498"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DD904A5" w14:textId="77777777" w:rsidR="00000000" w:rsidRDefault="001A570A">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9942E7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C692AD" w14:textId="77777777" w:rsidR="00000000" w:rsidRDefault="001A570A">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14:paraId="50F5A0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5B505"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CE8B9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CDBC40"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5ABBDD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8D54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B45CF" w14:textId="77777777" w:rsidR="00000000" w:rsidRDefault="001A570A">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4301EC71" w14:textId="77777777" w:rsidR="00000000" w:rsidRDefault="001A570A">
            <w:pPr>
              <w:rPr>
                <w:rFonts w:eastAsia="Times New Roman"/>
              </w:rPr>
            </w:pPr>
            <w:r>
              <w:rPr>
                <w:rFonts w:eastAsia="Times New Roman"/>
                <w:color w:val="000000"/>
                <w:sz w:val="20"/>
                <w:szCs w:val="20"/>
              </w:rPr>
              <w:t>%</w:t>
            </w:r>
          </w:p>
        </w:tc>
      </w:tr>
      <w:tr w:rsidR="00000000" w14:paraId="34F187AA" w14:textId="77777777">
        <w:trPr>
          <w:divId w:val="1690452047"/>
        </w:trPr>
        <w:tc>
          <w:tcPr>
            <w:tcW w:w="0" w:type="auto"/>
            <w:gridSpan w:val="3"/>
            <w:shd w:val="clear" w:color="auto" w:fill="CCEEFF"/>
            <w:tcMar>
              <w:top w:w="30" w:type="dxa"/>
              <w:left w:w="245" w:type="dxa"/>
              <w:bottom w:w="30" w:type="dxa"/>
              <w:right w:w="20" w:type="dxa"/>
            </w:tcMar>
            <w:hideMark/>
          </w:tcPr>
          <w:p w14:paraId="7CD38BF8" w14:textId="77777777" w:rsidR="00000000" w:rsidRDefault="001A570A">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14:paraId="5AADB210" w14:textId="77777777" w:rsidR="00000000" w:rsidRDefault="001A570A">
            <w:pPr>
              <w:jc w:val="right"/>
              <w:rPr>
                <w:rFonts w:eastAsia="Times New Roman"/>
              </w:rPr>
            </w:pPr>
            <w:r>
              <w:rPr>
                <w:rFonts w:eastAsia="Times New Roman"/>
                <w:i/>
                <w:iCs/>
                <w:color w:val="000000"/>
                <w:sz w:val="20"/>
                <w:szCs w:val="20"/>
              </w:rPr>
              <w:t>14 </w:t>
            </w:r>
          </w:p>
        </w:tc>
        <w:tc>
          <w:tcPr>
            <w:tcW w:w="0" w:type="auto"/>
            <w:shd w:val="clear" w:color="auto" w:fill="CCEEFF"/>
            <w:tcMar>
              <w:top w:w="30" w:type="dxa"/>
              <w:left w:w="0" w:type="dxa"/>
              <w:bottom w:w="30" w:type="dxa"/>
              <w:right w:w="20" w:type="dxa"/>
            </w:tcMar>
            <w:vAlign w:val="bottom"/>
            <w:hideMark/>
          </w:tcPr>
          <w:p w14:paraId="5494EB26"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0DFAC0"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5991CE" w14:textId="77777777" w:rsidR="00000000" w:rsidRDefault="001A570A">
            <w:pPr>
              <w:jc w:val="right"/>
              <w:rPr>
                <w:rFonts w:eastAsia="Times New Roman"/>
              </w:rPr>
            </w:pPr>
            <w:r>
              <w:rPr>
                <w:rFonts w:eastAsia="Times New Roman"/>
                <w:i/>
                <w:iCs/>
                <w:color w:val="000000"/>
                <w:sz w:val="20"/>
                <w:szCs w:val="20"/>
              </w:rPr>
              <w:t>12 </w:t>
            </w:r>
          </w:p>
        </w:tc>
        <w:tc>
          <w:tcPr>
            <w:tcW w:w="0" w:type="auto"/>
            <w:shd w:val="clear" w:color="auto" w:fill="CCEEFF"/>
            <w:tcMar>
              <w:top w:w="30" w:type="dxa"/>
              <w:left w:w="0" w:type="dxa"/>
              <w:bottom w:w="30" w:type="dxa"/>
              <w:right w:w="20" w:type="dxa"/>
            </w:tcMar>
            <w:vAlign w:val="bottom"/>
            <w:hideMark/>
          </w:tcPr>
          <w:p w14:paraId="7E3B87FD"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155" w:type="dxa"/>
              <w:bottom w:w="0" w:type="dxa"/>
              <w:right w:w="20" w:type="dxa"/>
            </w:tcMar>
            <w:vAlign w:val="center"/>
            <w:hideMark/>
          </w:tcPr>
          <w:p w14:paraId="4CDCF44A" w14:textId="77777777" w:rsidR="00000000" w:rsidRDefault="001A570A">
            <w:pPr>
              <w:jc w:val="right"/>
              <w:rPr>
                <w:rFonts w:eastAsia="Times New Roman"/>
              </w:rPr>
            </w:pPr>
          </w:p>
        </w:tc>
        <w:tc>
          <w:tcPr>
            <w:tcW w:w="0" w:type="auto"/>
            <w:gridSpan w:val="3"/>
            <w:shd w:val="clear" w:color="auto" w:fill="CCEEFF"/>
            <w:tcMar>
              <w:top w:w="0" w:type="dxa"/>
              <w:left w:w="155" w:type="dxa"/>
              <w:bottom w:w="0" w:type="dxa"/>
              <w:right w:w="20" w:type="dxa"/>
            </w:tcMar>
            <w:vAlign w:val="center"/>
            <w:hideMark/>
          </w:tcPr>
          <w:p w14:paraId="53948CA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E3DCDA"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C3AF0" w14:textId="77777777" w:rsidR="00000000" w:rsidRDefault="001A570A">
            <w:pPr>
              <w:jc w:val="right"/>
              <w:rPr>
                <w:rFonts w:eastAsia="Times New Roman"/>
              </w:rPr>
            </w:pPr>
            <w:r>
              <w:rPr>
                <w:rFonts w:eastAsia="Times New Roman"/>
                <w:i/>
                <w:iCs/>
                <w:color w:val="000000"/>
                <w:sz w:val="20"/>
                <w:szCs w:val="20"/>
              </w:rPr>
              <w:t>11 </w:t>
            </w:r>
          </w:p>
        </w:tc>
        <w:tc>
          <w:tcPr>
            <w:tcW w:w="0" w:type="auto"/>
            <w:shd w:val="clear" w:color="auto" w:fill="CCEEFF"/>
            <w:tcMar>
              <w:top w:w="30" w:type="dxa"/>
              <w:left w:w="0" w:type="dxa"/>
              <w:bottom w:w="30" w:type="dxa"/>
              <w:right w:w="20" w:type="dxa"/>
            </w:tcMar>
            <w:vAlign w:val="bottom"/>
            <w:hideMark/>
          </w:tcPr>
          <w:p w14:paraId="688DD550"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3D4CE2"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BB4661" w14:textId="77777777" w:rsidR="00000000" w:rsidRDefault="001A570A">
            <w:pPr>
              <w:jc w:val="right"/>
              <w:rPr>
                <w:rFonts w:eastAsia="Times New Roman"/>
              </w:rPr>
            </w:pPr>
            <w:r>
              <w:rPr>
                <w:rFonts w:eastAsia="Times New Roman"/>
                <w:i/>
                <w:iCs/>
                <w:color w:val="000000"/>
                <w:sz w:val="20"/>
                <w:szCs w:val="20"/>
              </w:rPr>
              <w:t>8 </w:t>
            </w:r>
          </w:p>
        </w:tc>
        <w:tc>
          <w:tcPr>
            <w:tcW w:w="0" w:type="auto"/>
            <w:shd w:val="clear" w:color="auto" w:fill="CCEEFF"/>
            <w:tcMar>
              <w:top w:w="30" w:type="dxa"/>
              <w:left w:w="0" w:type="dxa"/>
              <w:bottom w:w="30" w:type="dxa"/>
              <w:right w:w="20" w:type="dxa"/>
            </w:tcMar>
            <w:vAlign w:val="bottom"/>
            <w:hideMark/>
          </w:tcPr>
          <w:p w14:paraId="5187CDA1" w14:textId="77777777" w:rsidR="00000000" w:rsidRDefault="001A570A">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1E883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8729C" w14:textId="77777777" w:rsidR="00000000" w:rsidRDefault="001A570A">
            <w:pPr>
              <w:rPr>
                <w:rFonts w:eastAsia="Times New Roman"/>
                <w:sz w:val="20"/>
                <w:szCs w:val="20"/>
              </w:rPr>
            </w:pPr>
          </w:p>
        </w:tc>
      </w:tr>
      <w:tr w:rsidR="00000000" w14:paraId="259DBC31" w14:textId="77777777">
        <w:trPr>
          <w:divId w:val="1690452047"/>
        </w:trPr>
        <w:tc>
          <w:tcPr>
            <w:tcW w:w="0" w:type="auto"/>
            <w:gridSpan w:val="3"/>
            <w:vAlign w:val="center"/>
            <w:hideMark/>
          </w:tcPr>
          <w:p w14:paraId="30EE590E" w14:textId="77777777" w:rsidR="00000000" w:rsidRDefault="001A570A">
            <w:pPr>
              <w:rPr>
                <w:rFonts w:eastAsia="Times New Roman"/>
                <w:sz w:val="20"/>
                <w:szCs w:val="20"/>
              </w:rPr>
            </w:pPr>
          </w:p>
        </w:tc>
        <w:tc>
          <w:tcPr>
            <w:tcW w:w="0" w:type="auto"/>
            <w:gridSpan w:val="3"/>
            <w:vAlign w:val="center"/>
            <w:hideMark/>
          </w:tcPr>
          <w:p w14:paraId="42DB2ED3" w14:textId="77777777" w:rsidR="00000000" w:rsidRDefault="001A570A">
            <w:pPr>
              <w:rPr>
                <w:rFonts w:eastAsia="Times New Roman"/>
                <w:sz w:val="20"/>
                <w:szCs w:val="20"/>
              </w:rPr>
            </w:pPr>
          </w:p>
        </w:tc>
        <w:tc>
          <w:tcPr>
            <w:tcW w:w="0" w:type="auto"/>
            <w:gridSpan w:val="3"/>
            <w:vAlign w:val="center"/>
            <w:hideMark/>
          </w:tcPr>
          <w:p w14:paraId="6DA02C17" w14:textId="77777777" w:rsidR="00000000" w:rsidRDefault="001A570A">
            <w:pPr>
              <w:rPr>
                <w:rFonts w:eastAsia="Times New Roman"/>
                <w:sz w:val="20"/>
                <w:szCs w:val="20"/>
              </w:rPr>
            </w:pPr>
          </w:p>
        </w:tc>
        <w:tc>
          <w:tcPr>
            <w:tcW w:w="0" w:type="auto"/>
            <w:gridSpan w:val="3"/>
            <w:vAlign w:val="center"/>
            <w:hideMark/>
          </w:tcPr>
          <w:p w14:paraId="34C86D96" w14:textId="77777777" w:rsidR="00000000" w:rsidRDefault="001A570A">
            <w:pPr>
              <w:rPr>
                <w:rFonts w:eastAsia="Times New Roman"/>
                <w:sz w:val="20"/>
                <w:szCs w:val="20"/>
              </w:rPr>
            </w:pPr>
          </w:p>
        </w:tc>
        <w:tc>
          <w:tcPr>
            <w:tcW w:w="0" w:type="auto"/>
            <w:gridSpan w:val="3"/>
            <w:vAlign w:val="center"/>
            <w:hideMark/>
          </w:tcPr>
          <w:p w14:paraId="0820D775" w14:textId="77777777" w:rsidR="00000000" w:rsidRDefault="001A570A">
            <w:pPr>
              <w:rPr>
                <w:rFonts w:eastAsia="Times New Roman"/>
                <w:sz w:val="20"/>
                <w:szCs w:val="20"/>
              </w:rPr>
            </w:pPr>
          </w:p>
        </w:tc>
        <w:tc>
          <w:tcPr>
            <w:tcW w:w="0" w:type="auto"/>
            <w:gridSpan w:val="3"/>
            <w:vAlign w:val="center"/>
            <w:hideMark/>
          </w:tcPr>
          <w:p w14:paraId="6EF64D50" w14:textId="77777777" w:rsidR="00000000" w:rsidRDefault="001A570A">
            <w:pPr>
              <w:rPr>
                <w:rFonts w:eastAsia="Times New Roman"/>
                <w:sz w:val="20"/>
                <w:szCs w:val="20"/>
              </w:rPr>
            </w:pPr>
          </w:p>
        </w:tc>
        <w:tc>
          <w:tcPr>
            <w:tcW w:w="0" w:type="auto"/>
            <w:gridSpan w:val="3"/>
            <w:vAlign w:val="center"/>
            <w:hideMark/>
          </w:tcPr>
          <w:p w14:paraId="7A00DD89" w14:textId="77777777" w:rsidR="00000000" w:rsidRDefault="001A570A">
            <w:pPr>
              <w:rPr>
                <w:rFonts w:eastAsia="Times New Roman"/>
                <w:sz w:val="20"/>
                <w:szCs w:val="20"/>
              </w:rPr>
            </w:pPr>
          </w:p>
        </w:tc>
        <w:tc>
          <w:tcPr>
            <w:tcW w:w="0" w:type="auto"/>
            <w:gridSpan w:val="3"/>
            <w:vAlign w:val="center"/>
            <w:hideMark/>
          </w:tcPr>
          <w:p w14:paraId="0E3FCB21" w14:textId="77777777" w:rsidR="00000000" w:rsidRDefault="001A570A">
            <w:pPr>
              <w:rPr>
                <w:rFonts w:eastAsia="Times New Roman"/>
                <w:sz w:val="20"/>
                <w:szCs w:val="20"/>
              </w:rPr>
            </w:pPr>
          </w:p>
        </w:tc>
        <w:tc>
          <w:tcPr>
            <w:tcW w:w="0" w:type="auto"/>
            <w:gridSpan w:val="3"/>
            <w:vAlign w:val="center"/>
            <w:hideMark/>
          </w:tcPr>
          <w:p w14:paraId="40607C4B" w14:textId="77777777" w:rsidR="00000000" w:rsidRDefault="001A570A">
            <w:pPr>
              <w:rPr>
                <w:rFonts w:eastAsia="Times New Roman"/>
                <w:sz w:val="20"/>
                <w:szCs w:val="20"/>
              </w:rPr>
            </w:pPr>
          </w:p>
        </w:tc>
        <w:tc>
          <w:tcPr>
            <w:tcW w:w="0" w:type="auto"/>
            <w:gridSpan w:val="3"/>
            <w:vAlign w:val="center"/>
            <w:hideMark/>
          </w:tcPr>
          <w:p w14:paraId="508D11C7" w14:textId="77777777" w:rsidR="00000000" w:rsidRDefault="001A570A">
            <w:pPr>
              <w:rPr>
                <w:rFonts w:eastAsia="Times New Roman"/>
                <w:sz w:val="20"/>
                <w:szCs w:val="20"/>
              </w:rPr>
            </w:pPr>
          </w:p>
        </w:tc>
        <w:tc>
          <w:tcPr>
            <w:tcW w:w="0" w:type="auto"/>
            <w:gridSpan w:val="3"/>
            <w:vAlign w:val="center"/>
            <w:hideMark/>
          </w:tcPr>
          <w:p w14:paraId="4EEFD28A" w14:textId="77777777" w:rsidR="00000000" w:rsidRDefault="001A570A">
            <w:pPr>
              <w:rPr>
                <w:rFonts w:eastAsia="Times New Roman"/>
                <w:sz w:val="20"/>
                <w:szCs w:val="20"/>
              </w:rPr>
            </w:pPr>
          </w:p>
        </w:tc>
        <w:tc>
          <w:tcPr>
            <w:tcW w:w="0" w:type="auto"/>
            <w:gridSpan w:val="3"/>
            <w:vAlign w:val="center"/>
            <w:hideMark/>
          </w:tcPr>
          <w:p w14:paraId="616CCA67" w14:textId="77777777" w:rsidR="00000000" w:rsidRDefault="001A570A">
            <w:pPr>
              <w:rPr>
                <w:rFonts w:eastAsia="Times New Roman"/>
                <w:sz w:val="20"/>
                <w:szCs w:val="20"/>
              </w:rPr>
            </w:pPr>
          </w:p>
        </w:tc>
      </w:tr>
      <w:tr w:rsidR="00000000" w14:paraId="1DA79FE3" w14:textId="77777777">
        <w:trPr>
          <w:divId w:val="1690452047"/>
        </w:trPr>
        <w:tc>
          <w:tcPr>
            <w:tcW w:w="0" w:type="auto"/>
            <w:gridSpan w:val="3"/>
            <w:vAlign w:val="center"/>
            <w:hideMark/>
          </w:tcPr>
          <w:p w14:paraId="2F49776C" w14:textId="77777777" w:rsidR="00000000" w:rsidRDefault="001A570A">
            <w:pPr>
              <w:rPr>
                <w:rFonts w:eastAsia="Times New Roman"/>
                <w:sz w:val="20"/>
                <w:szCs w:val="20"/>
              </w:rPr>
            </w:pPr>
          </w:p>
        </w:tc>
        <w:tc>
          <w:tcPr>
            <w:tcW w:w="0" w:type="auto"/>
            <w:gridSpan w:val="3"/>
            <w:vAlign w:val="center"/>
            <w:hideMark/>
          </w:tcPr>
          <w:p w14:paraId="307738FC" w14:textId="77777777" w:rsidR="00000000" w:rsidRDefault="001A570A">
            <w:pPr>
              <w:rPr>
                <w:rFonts w:eastAsia="Times New Roman"/>
                <w:sz w:val="20"/>
                <w:szCs w:val="20"/>
              </w:rPr>
            </w:pPr>
          </w:p>
        </w:tc>
        <w:tc>
          <w:tcPr>
            <w:tcW w:w="0" w:type="auto"/>
            <w:gridSpan w:val="3"/>
            <w:vAlign w:val="center"/>
            <w:hideMark/>
          </w:tcPr>
          <w:p w14:paraId="68D1F1B6" w14:textId="77777777" w:rsidR="00000000" w:rsidRDefault="001A570A">
            <w:pPr>
              <w:rPr>
                <w:rFonts w:eastAsia="Times New Roman"/>
                <w:sz w:val="20"/>
                <w:szCs w:val="20"/>
              </w:rPr>
            </w:pPr>
          </w:p>
        </w:tc>
        <w:tc>
          <w:tcPr>
            <w:tcW w:w="0" w:type="auto"/>
            <w:gridSpan w:val="3"/>
            <w:vAlign w:val="center"/>
            <w:hideMark/>
          </w:tcPr>
          <w:p w14:paraId="5932CEF9" w14:textId="77777777" w:rsidR="00000000" w:rsidRDefault="001A570A">
            <w:pPr>
              <w:rPr>
                <w:rFonts w:eastAsia="Times New Roman"/>
                <w:sz w:val="20"/>
                <w:szCs w:val="20"/>
              </w:rPr>
            </w:pPr>
          </w:p>
        </w:tc>
        <w:tc>
          <w:tcPr>
            <w:tcW w:w="0" w:type="auto"/>
            <w:gridSpan w:val="3"/>
            <w:vAlign w:val="center"/>
            <w:hideMark/>
          </w:tcPr>
          <w:p w14:paraId="0D3B09F7" w14:textId="77777777" w:rsidR="00000000" w:rsidRDefault="001A570A">
            <w:pPr>
              <w:rPr>
                <w:rFonts w:eastAsia="Times New Roman"/>
                <w:sz w:val="20"/>
                <w:szCs w:val="20"/>
              </w:rPr>
            </w:pPr>
          </w:p>
        </w:tc>
        <w:tc>
          <w:tcPr>
            <w:tcW w:w="0" w:type="auto"/>
            <w:gridSpan w:val="3"/>
            <w:vAlign w:val="center"/>
            <w:hideMark/>
          </w:tcPr>
          <w:p w14:paraId="2CFA049A" w14:textId="77777777" w:rsidR="00000000" w:rsidRDefault="001A570A">
            <w:pPr>
              <w:rPr>
                <w:rFonts w:eastAsia="Times New Roman"/>
                <w:sz w:val="20"/>
                <w:szCs w:val="20"/>
              </w:rPr>
            </w:pPr>
          </w:p>
        </w:tc>
        <w:tc>
          <w:tcPr>
            <w:tcW w:w="0" w:type="auto"/>
            <w:gridSpan w:val="3"/>
            <w:vAlign w:val="center"/>
            <w:hideMark/>
          </w:tcPr>
          <w:p w14:paraId="0E8F4072" w14:textId="77777777" w:rsidR="00000000" w:rsidRDefault="001A570A">
            <w:pPr>
              <w:rPr>
                <w:rFonts w:eastAsia="Times New Roman"/>
                <w:sz w:val="20"/>
                <w:szCs w:val="20"/>
              </w:rPr>
            </w:pPr>
          </w:p>
        </w:tc>
        <w:tc>
          <w:tcPr>
            <w:tcW w:w="0" w:type="auto"/>
            <w:gridSpan w:val="3"/>
            <w:vAlign w:val="center"/>
            <w:hideMark/>
          </w:tcPr>
          <w:p w14:paraId="28A8073E" w14:textId="77777777" w:rsidR="00000000" w:rsidRDefault="001A570A">
            <w:pPr>
              <w:rPr>
                <w:rFonts w:eastAsia="Times New Roman"/>
                <w:sz w:val="20"/>
                <w:szCs w:val="20"/>
              </w:rPr>
            </w:pPr>
          </w:p>
        </w:tc>
        <w:tc>
          <w:tcPr>
            <w:tcW w:w="0" w:type="auto"/>
            <w:gridSpan w:val="3"/>
            <w:vAlign w:val="center"/>
            <w:hideMark/>
          </w:tcPr>
          <w:p w14:paraId="512AA758" w14:textId="77777777" w:rsidR="00000000" w:rsidRDefault="001A570A">
            <w:pPr>
              <w:rPr>
                <w:rFonts w:eastAsia="Times New Roman"/>
                <w:sz w:val="20"/>
                <w:szCs w:val="20"/>
              </w:rPr>
            </w:pPr>
          </w:p>
        </w:tc>
        <w:tc>
          <w:tcPr>
            <w:tcW w:w="0" w:type="auto"/>
            <w:gridSpan w:val="3"/>
            <w:vAlign w:val="center"/>
            <w:hideMark/>
          </w:tcPr>
          <w:p w14:paraId="6C62C24B" w14:textId="77777777" w:rsidR="00000000" w:rsidRDefault="001A570A">
            <w:pPr>
              <w:rPr>
                <w:rFonts w:eastAsia="Times New Roman"/>
                <w:sz w:val="20"/>
                <w:szCs w:val="20"/>
              </w:rPr>
            </w:pPr>
          </w:p>
        </w:tc>
        <w:tc>
          <w:tcPr>
            <w:tcW w:w="0" w:type="auto"/>
            <w:gridSpan w:val="3"/>
            <w:vAlign w:val="center"/>
            <w:hideMark/>
          </w:tcPr>
          <w:p w14:paraId="23C4A398" w14:textId="77777777" w:rsidR="00000000" w:rsidRDefault="001A570A">
            <w:pPr>
              <w:rPr>
                <w:rFonts w:eastAsia="Times New Roman"/>
                <w:sz w:val="20"/>
                <w:szCs w:val="20"/>
              </w:rPr>
            </w:pPr>
          </w:p>
        </w:tc>
        <w:tc>
          <w:tcPr>
            <w:tcW w:w="0" w:type="auto"/>
            <w:gridSpan w:val="3"/>
            <w:vAlign w:val="center"/>
            <w:hideMark/>
          </w:tcPr>
          <w:p w14:paraId="49C4CADF" w14:textId="77777777" w:rsidR="00000000" w:rsidRDefault="001A570A">
            <w:pPr>
              <w:rPr>
                <w:rFonts w:eastAsia="Times New Roman"/>
                <w:sz w:val="20"/>
                <w:szCs w:val="20"/>
              </w:rPr>
            </w:pPr>
          </w:p>
        </w:tc>
      </w:tr>
      <w:tr w:rsidR="00000000" w14:paraId="77D5E0E3" w14:textId="77777777">
        <w:trPr>
          <w:divId w:val="1690452047"/>
        </w:trPr>
        <w:tc>
          <w:tcPr>
            <w:tcW w:w="0" w:type="auto"/>
            <w:gridSpan w:val="3"/>
            <w:vAlign w:val="center"/>
            <w:hideMark/>
          </w:tcPr>
          <w:p w14:paraId="42AD76E5" w14:textId="77777777" w:rsidR="00000000" w:rsidRDefault="001A570A">
            <w:pPr>
              <w:rPr>
                <w:rFonts w:eastAsia="Times New Roman"/>
                <w:sz w:val="20"/>
                <w:szCs w:val="20"/>
              </w:rPr>
            </w:pPr>
          </w:p>
        </w:tc>
        <w:tc>
          <w:tcPr>
            <w:tcW w:w="0" w:type="auto"/>
            <w:gridSpan w:val="3"/>
            <w:vAlign w:val="center"/>
            <w:hideMark/>
          </w:tcPr>
          <w:p w14:paraId="13B70836" w14:textId="77777777" w:rsidR="00000000" w:rsidRDefault="001A570A">
            <w:pPr>
              <w:rPr>
                <w:rFonts w:eastAsia="Times New Roman"/>
                <w:sz w:val="20"/>
                <w:szCs w:val="20"/>
              </w:rPr>
            </w:pPr>
          </w:p>
        </w:tc>
        <w:tc>
          <w:tcPr>
            <w:tcW w:w="0" w:type="auto"/>
            <w:gridSpan w:val="3"/>
            <w:vAlign w:val="center"/>
            <w:hideMark/>
          </w:tcPr>
          <w:p w14:paraId="6FC2AB00" w14:textId="77777777" w:rsidR="00000000" w:rsidRDefault="001A570A">
            <w:pPr>
              <w:rPr>
                <w:rFonts w:eastAsia="Times New Roman"/>
                <w:sz w:val="20"/>
                <w:szCs w:val="20"/>
              </w:rPr>
            </w:pPr>
          </w:p>
        </w:tc>
        <w:tc>
          <w:tcPr>
            <w:tcW w:w="0" w:type="auto"/>
            <w:gridSpan w:val="3"/>
            <w:vAlign w:val="center"/>
            <w:hideMark/>
          </w:tcPr>
          <w:p w14:paraId="1A26FF5C" w14:textId="77777777" w:rsidR="00000000" w:rsidRDefault="001A570A">
            <w:pPr>
              <w:rPr>
                <w:rFonts w:eastAsia="Times New Roman"/>
                <w:sz w:val="20"/>
                <w:szCs w:val="20"/>
              </w:rPr>
            </w:pPr>
          </w:p>
        </w:tc>
        <w:tc>
          <w:tcPr>
            <w:tcW w:w="0" w:type="auto"/>
            <w:gridSpan w:val="3"/>
            <w:vAlign w:val="center"/>
            <w:hideMark/>
          </w:tcPr>
          <w:p w14:paraId="651F36AD" w14:textId="77777777" w:rsidR="00000000" w:rsidRDefault="001A570A">
            <w:pPr>
              <w:rPr>
                <w:rFonts w:eastAsia="Times New Roman"/>
                <w:sz w:val="20"/>
                <w:szCs w:val="20"/>
              </w:rPr>
            </w:pPr>
          </w:p>
        </w:tc>
        <w:tc>
          <w:tcPr>
            <w:tcW w:w="0" w:type="auto"/>
            <w:gridSpan w:val="3"/>
            <w:vAlign w:val="center"/>
            <w:hideMark/>
          </w:tcPr>
          <w:p w14:paraId="798164E9" w14:textId="77777777" w:rsidR="00000000" w:rsidRDefault="001A570A">
            <w:pPr>
              <w:rPr>
                <w:rFonts w:eastAsia="Times New Roman"/>
                <w:sz w:val="20"/>
                <w:szCs w:val="20"/>
              </w:rPr>
            </w:pPr>
          </w:p>
        </w:tc>
        <w:tc>
          <w:tcPr>
            <w:tcW w:w="0" w:type="auto"/>
            <w:gridSpan w:val="3"/>
            <w:vAlign w:val="center"/>
            <w:hideMark/>
          </w:tcPr>
          <w:p w14:paraId="74092538" w14:textId="77777777" w:rsidR="00000000" w:rsidRDefault="001A570A">
            <w:pPr>
              <w:rPr>
                <w:rFonts w:eastAsia="Times New Roman"/>
                <w:sz w:val="20"/>
                <w:szCs w:val="20"/>
              </w:rPr>
            </w:pPr>
          </w:p>
        </w:tc>
        <w:tc>
          <w:tcPr>
            <w:tcW w:w="0" w:type="auto"/>
            <w:gridSpan w:val="3"/>
            <w:vAlign w:val="center"/>
            <w:hideMark/>
          </w:tcPr>
          <w:p w14:paraId="1DE5C8D0" w14:textId="77777777" w:rsidR="00000000" w:rsidRDefault="001A570A">
            <w:pPr>
              <w:rPr>
                <w:rFonts w:eastAsia="Times New Roman"/>
                <w:sz w:val="20"/>
                <w:szCs w:val="20"/>
              </w:rPr>
            </w:pPr>
          </w:p>
        </w:tc>
        <w:tc>
          <w:tcPr>
            <w:tcW w:w="0" w:type="auto"/>
            <w:gridSpan w:val="3"/>
            <w:vAlign w:val="center"/>
            <w:hideMark/>
          </w:tcPr>
          <w:p w14:paraId="13558398" w14:textId="77777777" w:rsidR="00000000" w:rsidRDefault="001A570A">
            <w:pPr>
              <w:rPr>
                <w:rFonts w:eastAsia="Times New Roman"/>
                <w:sz w:val="20"/>
                <w:szCs w:val="20"/>
              </w:rPr>
            </w:pPr>
          </w:p>
        </w:tc>
        <w:tc>
          <w:tcPr>
            <w:tcW w:w="0" w:type="auto"/>
            <w:gridSpan w:val="3"/>
            <w:vAlign w:val="center"/>
            <w:hideMark/>
          </w:tcPr>
          <w:p w14:paraId="52A62241" w14:textId="77777777" w:rsidR="00000000" w:rsidRDefault="001A570A">
            <w:pPr>
              <w:rPr>
                <w:rFonts w:eastAsia="Times New Roman"/>
                <w:sz w:val="20"/>
                <w:szCs w:val="20"/>
              </w:rPr>
            </w:pPr>
          </w:p>
        </w:tc>
        <w:tc>
          <w:tcPr>
            <w:tcW w:w="0" w:type="auto"/>
            <w:gridSpan w:val="3"/>
            <w:vAlign w:val="center"/>
            <w:hideMark/>
          </w:tcPr>
          <w:p w14:paraId="4A7CEEC1" w14:textId="77777777" w:rsidR="00000000" w:rsidRDefault="001A570A">
            <w:pPr>
              <w:rPr>
                <w:rFonts w:eastAsia="Times New Roman"/>
                <w:sz w:val="20"/>
                <w:szCs w:val="20"/>
              </w:rPr>
            </w:pPr>
          </w:p>
        </w:tc>
        <w:tc>
          <w:tcPr>
            <w:tcW w:w="0" w:type="auto"/>
            <w:gridSpan w:val="3"/>
            <w:vAlign w:val="center"/>
            <w:hideMark/>
          </w:tcPr>
          <w:p w14:paraId="35E04578" w14:textId="77777777" w:rsidR="00000000" w:rsidRDefault="001A570A">
            <w:pPr>
              <w:rPr>
                <w:rFonts w:eastAsia="Times New Roman"/>
                <w:sz w:val="20"/>
                <w:szCs w:val="20"/>
              </w:rPr>
            </w:pPr>
          </w:p>
        </w:tc>
      </w:tr>
    </w:tbl>
    <w:p w14:paraId="63214B90" w14:textId="77777777" w:rsidR="00000000" w:rsidRDefault="001A570A">
      <w:pPr>
        <w:jc w:val="both"/>
        <w:divId w:val="1036928103"/>
        <w:rPr>
          <w:rFonts w:eastAsia="Times New Roman"/>
        </w:rPr>
      </w:pPr>
      <w:r>
        <w:rPr>
          <w:rFonts w:eastAsia="Times New Roman"/>
          <w:color w:val="000000"/>
          <w:sz w:val="16"/>
          <w:szCs w:val="16"/>
        </w:rPr>
        <w:t>_________________</w:t>
      </w:r>
    </w:p>
    <w:p w14:paraId="0F5CD11F" w14:textId="77777777" w:rsidR="00000000" w:rsidRDefault="001A570A">
      <w:pPr>
        <w:ind w:hanging="360"/>
        <w:divId w:val="1246527231"/>
        <w:rPr>
          <w:rFonts w:eastAsia="Times New Roman"/>
        </w:rPr>
      </w:pPr>
      <w:r>
        <w:rPr>
          <w:rFonts w:eastAsia="Times New Roman"/>
          <w:color w:val="000000"/>
          <w:sz w:val="16"/>
          <w:szCs w:val="16"/>
        </w:rPr>
        <w:t>*Not meaningful</w:t>
      </w:r>
    </w:p>
    <w:p w14:paraId="76CF44C3" w14:textId="77777777" w:rsidR="00000000" w:rsidRDefault="001A570A">
      <w:pPr>
        <w:divId w:val="596402196"/>
        <w:rPr>
          <w:rFonts w:eastAsia="Times New Roman"/>
        </w:rPr>
      </w:pPr>
      <w:r>
        <w:rPr>
          <w:rFonts w:eastAsia="Times New Roman"/>
          <w:b/>
          <w:bCs/>
          <w:color w:val="000000"/>
          <w:sz w:val="20"/>
          <w:szCs w:val="20"/>
        </w:rPr>
        <w:t>As Reported</w:t>
      </w:r>
    </w:p>
    <w:p w14:paraId="088DD704" w14:textId="77777777" w:rsidR="00000000" w:rsidRDefault="001A570A">
      <w:pPr>
        <w:ind w:firstLine="450"/>
        <w:divId w:val="1893927948"/>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w:t>
      </w:r>
      <w:r>
        <w:rPr>
          <w:rFonts w:eastAsia="Times New Roman"/>
          <w:color w:val="000000"/>
          <w:sz w:val="20"/>
          <w:szCs w:val="20"/>
        </w:rPr>
        <w:t>The increase in segment revenue in fiscal 2020 compared with the four quarters ended January 3, 2020 was primarily due to the inclusion of L3 operations in segment operating results for the two quarters ended July 3, 2020 (but not for the comparable prior-</w:t>
      </w:r>
      <w:r>
        <w:rPr>
          <w:rFonts w:eastAsia="Times New Roman"/>
          <w:color w:val="000000"/>
          <w:sz w:val="20"/>
          <w:szCs w:val="20"/>
        </w:rPr>
        <w:t>year two quarters preceding the L3Harris Merger). Because the Aviation Systems segment is primarily comprised of L3 businesses, comparison to the four quarters ended January 3, 2020 segment operating metrics is not meaningful. The funded backlog for this s</w:t>
      </w:r>
      <w:r>
        <w:rPr>
          <w:rFonts w:eastAsia="Times New Roman"/>
          <w:color w:val="000000"/>
          <w:sz w:val="20"/>
          <w:szCs w:val="20"/>
        </w:rPr>
        <w:t xml:space="preserve">egment was $3.0 billion at January 1, 2021 compared with $3.4 billion at January 3, 2020, reflecting a $380 million reduction from the divestiture of the airport security and automation business during the quarter ended July 3, 2020. </w:t>
      </w:r>
    </w:p>
    <w:p w14:paraId="447E76C4" w14:textId="77777777" w:rsidR="00000000" w:rsidRDefault="001A570A">
      <w:pPr>
        <w:ind w:firstLine="450"/>
        <w:divId w:val="1174150796"/>
        <w:rPr>
          <w:rFonts w:eastAsia="Times New Roman"/>
        </w:rPr>
      </w:pPr>
      <w:r>
        <w:rPr>
          <w:rFonts w:eastAsia="Times New Roman"/>
          <w:color w:val="000000"/>
          <w:sz w:val="20"/>
          <w:szCs w:val="20"/>
        </w:rPr>
        <w:t>The segment operating</w:t>
      </w:r>
      <w:r>
        <w:rPr>
          <w:rFonts w:eastAsia="Times New Roman"/>
          <w:color w:val="000000"/>
          <w:sz w:val="20"/>
          <w:szCs w:val="20"/>
        </w:rPr>
        <w:t xml:space="preserve"> loss in fiscal 2020 compared with segment operating income for the four quarters ended January 3, 2020 was primarily due to $635 million of non-cash charges for the impairment of goodwill and other assets, $18 million of restructuring charges and other ex</w:t>
      </w:r>
      <w:r>
        <w:rPr>
          <w:rFonts w:eastAsia="Times New Roman"/>
          <w:color w:val="000000"/>
          <w:sz w:val="20"/>
          <w:szCs w:val="20"/>
        </w:rPr>
        <w:t xml:space="preserve">it costs recorded in fiscal 2020 in our Commercial Aviation Solutions reporting unit due to the downturn in the commercial aviation market, as well as the divestiture of the airport security and automation business, partially offset by the inclusion of L3 </w:t>
      </w:r>
      <w:r>
        <w:rPr>
          <w:rFonts w:eastAsia="Times New Roman"/>
          <w:color w:val="000000"/>
          <w:sz w:val="20"/>
          <w:szCs w:val="20"/>
        </w:rPr>
        <w:t xml:space="preserve">operations in segment operating results for the two quarters ended July 3, 2020 (but not for the comparable prior-year two quarters preceding the L3Harris Merger), principally Defense Aviation operations. </w:t>
      </w:r>
    </w:p>
    <w:p w14:paraId="429F0D87" w14:textId="77777777" w:rsidR="00000000" w:rsidRDefault="001A570A">
      <w:pPr>
        <w:ind w:firstLine="450"/>
        <w:divId w:val="1641031442"/>
        <w:rPr>
          <w:rFonts w:eastAsia="Times New Roman"/>
        </w:rPr>
      </w:pPr>
      <w:r>
        <w:rPr>
          <w:rFonts w:eastAsia="Times New Roman"/>
          <w:color w:val="000000"/>
          <w:sz w:val="20"/>
          <w:szCs w:val="20"/>
        </w:rPr>
        <w:t xml:space="preserve">The percentage of this segment’s revenue that was </w:t>
      </w:r>
      <w:r>
        <w:rPr>
          <w:rFonts w:eastAsia="Times New Roman"/>
          <w:color w:val="000000"/>
          <w:sz w:val="20"/>
          <w:szCs w:val="20"/>
        </w:rPr>
        <w:t>derived from sales to U.S. Government customers, including foreign military sales funded through the U.S. Government, whether directly or through prime contractors, was 71 percent in fiscal 2020.</w:t>
      </w:r>
    </w:p>
    <w:p w14:paraId="6AD6C317" w14:textId="77777777" w:rsidR="00000000" w:rsidRDefault="001A570A">
      <w:pPr>
        <w:ind w:firstLine="450"/>
        <w:divId w:val="1632055959"/>
        <w:rPr>
          <w:rFonts w:eastAsia="Times New Roman"/>
        </w:rPr>
      </w:pPr>
      <w:r>
        <w:rPr>
          <w:rFonts w:eastAsia="Times New Roman"/>
          <w:i/>
          <w:iCs/>
          <w:color w:val="000000"/>
          <w:sz w:val="20"/>
          <w:szCs w:val="20"/>
        </w:rPr>
        <w:t>Two quarters ended January 3, 2020 Compared With Two quarter</w:t>
      </w:r>
      <w:r>
        <w:rPr>
          <w:rFonts w:eastAsia="Times New Roman"/>
          <w:i/>
          <w:iCs/>
          <w:color w:val="000000"/>
          <w:sz w:val="20"/>
          <w:szCs w:val="20"/>
        </w:rPr>
        <w:t>s ended December 28, 2018:</w:t>
      </w:r>
      <w:r>
        <w:rPr>
          <w:rFonts w:eastAsia="Times New Roman"/>
          <w:color w:val="000000"/>
          <w:sz w:val="20"/>
          <w:szCs w:val="20"/>
        </w:rPr>
        <w:t xml:space="preserve"> The increases in segment revenue, operating income and operating margin percentage in the two quarters ended January 3, 2020 compared with the two quarters ended December 28, 2018 were primarily due to the inclusion of L3 operati</w:t>
      </w:r>
      <w:r>
        <w:rPr>
          <w:rFonts w:eastAsia="Times New Roman"/>
          <w:color w:val="000000"/>
          <w:sz w:val="20"/>
          <w:szCs w:val="20"/>
        </w:rPr>
        <w:t xml:space="preserve">ons in segment operating results as a result of </w:t>
      </w:r>
    </w:p>
    <w:p w14:paraId="4C073B65" w14:textId="77777777" w:rsidR="00000000" w:rsidRDefault="001A570A">
      <w:pPr>
        <w:ind w:firstLine="450"/>
        <w:jc w:val="center"/>
        <w:divId w:val="1477911430"/>
        <w:rPr>
          <w:rFonts w:eastAsia="Times New Roman"/>
        </w:rPr>
      </w:pPr>
      <w:r>
        <w:rPr>
          <w:rFonts w:eastAsia="Times New Roman"/>
          <w:color w:val="000000"/>
          <w:sz w:val="20"/>
          <w:szCs w:val="20"/>
        </w:rPr>
        <w:t>53</w:t>
      </w:r>
    </w:p>
    <w:p w14:paraId="4C7E7D37" w14:textId="77777777" w:rsidR="00000000" w:rsidRDefault="001A570A">
      <w:pPr>
        <w:rPr>
          <w:rFonts w:eastAsia="Times New Roman"/>
        </w:rPr>
      </w:pPr>
      <w:r>
        <w:rPr>
          <w:rFonts w:eastAsia="Times New Roman"/>
        </w:rPr>
        <w:pict w14:anchorId="2506B04E">
          <v:rect id="_x0000_i1081" style="width:0;height:1.5pt" o:hralign="center" o:hrstd="t" o:hr="t" fillcolor="#a0a0a0" stroked="f"/>
        </w:pict>
      </w:r>
    </w:p>
    <w:p w14:paraId="2B96738F" w14:textId="77777777" w:rsidR="00000000" w:rsidRDefault="001A570A">
      <w:pPr>
        <w:ind w:firstLine="450"/>
        <w:divId w:val="281112353"/>
        <w:rPr>
          <w:rFonts w:eastAsia="Times New Roman"/>
        </w:rPr>
      </w:pPr>
    </w:p>
    <w:p w14:paraId="45DC00DA" w14:textId="77777777" w:rsidR="00000000" w:rsidRDefault="001A570A">
      <w:pPr>
        <w:divId w:val="391580911"/>
        <w:rPr>
          <w:rFonts w:eastAsia="Times New Roman"/>
        </w:rPr>
      </w:pPr>
      <w:r>
        <w:rPr>
          <w:rFonts w:eastAsia="Times New Roman"/>
          <w:color w:val="000000"/>
          <w:sz w:val="20"/>
          <w:szCs w:val="20"/>
        </w:rPr>
        <w:t>the L3Harris Merger during the two quarters ended January 3, 2020. Because the Aviation Systems segment is primarily comprised of L3 businesses, comparison to the two</w:t>
      </w:r>
      <w:r>
        <w:rPr>
          <w:rFonts w:eastAsia="Times New Roman"/>
          <w:color w:val="000000"/>
          <w:sz w:val="20"/>
          <w:szCs w:val="20"/>
        </w:rPr>
        <w:t xml:space="preserve"> quarters ended December 28, 2018 segment operating metrics is not meaningful. In the two quarters ended January 3, 2020, segment revenue also reflected growth from precision engagement sensors and systems and $24 million of higher revenue in Mission Netwo</w:t>
      </w:r>
      <w:r>
        <w:rPr>
          <w:rFonts w:eastAsia="Times New Roman"/>
          <w:color w:val="000000"/>
          <w:sz w:val="20"/>
          <w:szCs w:val="20"/>
        </w:rPr>
        <w:t>rks, partially offset by a $50 million revenue impact from the prior period competitive loss of the C-17 training contract. The funded backlog for this segment was $3.4 billion at January 3, 2020 compared with $3.1 billion at the beginning of the Fiscal Tr</w:t>
      </w:r>
      <w:r>
        <w:rPr>
          <w:rFonts w:eastAsia="Times New Roman"/>
          <w:color w:val="000000"/>
          <w:sz w:val="20"/>
          <w:szCs w:val="20"/>
        </w:rPr>
        <w:t>ansition Period (including backlog acquired on June 29, 2019 in connection with the L3Harris Merger).</w:t>
      </w:r>
    </w:p>
    <w:p w14:paraId="2419851C" w14:textId="77777777" w:rsidR="00000000" w:rsidRDefault="001A570A">
      <w:pPr>
        <w:ind w:firstLine="450"/>
        <w:divId w:val="749355732"/>
        <w:rPr>
          <w:rFonts w:eastAsia="Times New Roman"/>
        </w:rPr>
      </w:pPr>
      <w:r>
        <w:rPr>
          <w:rFonts w:eastAsia="Times New Roman"/>
          <w:color w:val="000000"/>
          <w:sz w:val="20"/>
          <w:szCs w:val="20"/>
        </w:rPr>
        <w:t>The percentage of this segment’s revenue that was derived from sales to U.S. Government customers, including foreign military sales funded through the U.S</w:t>
      </w:r>
      <w:r>
        <w:rPr>
          <w:rFonts w:eastAsia="Times New Roman"/>
          <w:color w:val="000000"/>
          <w:sz w:val="20"/>
          <w:szCs w:val="20"/>
        </w:rPr>
        <w:t>. Government, whether directly or through prime contractors, was 59 percent in the two quarters ended January 3, 2020.</w:t>
      </w:r>
    </w:p>
    <w:p w14:paraId="02145BD1" w14:textId="77777777" w:rsidR="00000000" w:rsidRDefault="001A570A">
      <w:pPr>
        <w:divId w:val="1443960578"/>
        <w:rPr>
          <w:rFonts w:eastAsia="Times New Roman"/>
        </w:rPr>
      </w:pPr>
      <w:r>
        <w:rPr>
          <w:rFonts w:eastAsia="Times New Roman"/>
          <w:b/>
          <w:bCs/>
          <w:color w:val="000000"/>
          <w:sz w:val="20"/>
          <w:szCs w:val="20"/>
        </w:rPr>
        <w:t>Pro Forma</w:t>
      </w:r>
    </w:p>
    <w:p w14:paraId="62130FD4" w14:textId="77777777" w:rsidR="00000000" w:rsidRDefault="001A570A">
      <w:pPr>
        <w:ind w:firstLine="450"/>
        <w:divId w:val="986737727"/>
        <w:rPr>
          <w:rFonts w:eastAsia="Times New Roman"/>
        </w:rPr>
      </w:pPr>
      <w:r>
        <w:rPr>
          <w:rFonts w:eastAsia="Times New Roman"/>
          <w:i/>
          <w:iCs/>
          <w:color w:val="000000"/>
          <w:sz w:val="20"/>
          <w:szCs w:val="20"/>
        </w:rPr>
        <w:t>Fiscal Year Ended January 1, 2021 Compared With Four Quarters Ended January 3, 2020:</w:t>
      </w:r>
      <w:r>
        <w:rPr>
          <w:rFonts w:eastAsia="Times New Roman"/>
          <w:color w:val="000000"/>
          <w:sz w:val="20"/>
          <w:szCs w:val="20"/>
        </w:rPr>
        <w:t xml:space="preserve"> The decrease in segment revenue in fiscal </w:t>
      </w:r>
      <w:r>
        <w:rPr>
          <w:rFonts w:eastAsia="Times New Roman"/>
          <w:color w:val="000000"/>
          <w:sz w:val="20"/>
          <w:szCs w:val="20"/>
        </w:rPr>
        <w:t>2020 compared with the four quarters ended January 3, 2020 was primarily due to $681 million of lower commercial aviation sales, including a $364 million impact from the airport security and automation business divestiture and lower revenue from the downtu</w:t>
      </w:r>
      <w:r>
        <w:rPr>
          <w:rFonts w:eastAsia="Times New Roman"/>
          <w:color w:val="000000"/>
          <w:sz w:val="20"/>
          <w:szCs w:val="20"/>
        </w:rPr>
        <w:t>rn in the commercial aviation market and its impact on customer operations, partially offset by $189 million of higher revenue in Defense Aviation, from a ramp on classified programs and combat propulsion systems, and higher FAA volume in Mission Networks.</w:t>
      </w:r>
    </w:p>
    <w:p w14:paraId="10532CFC" w14:textId="77777777" w:rsidR="00000000" w:rsidRDefault="001A570A">
      <w:pPr>
        <w:ind w:firstLine="450"/>
        <w:divId w:val="1711346635"/>
        <w:rPr>
          <w:rFonts w:eastAsia="Times New Roman"/>
        </w:rPr>
      </w:pPr>
      <w:r>
        <w:rPr>
          <w:rFonts w:eastAsia="Times New Roman"/>
          <w:color w:val="000000"/>
          <w:sz w:val="20"/>
          <w:szCs w:val="20"/>
        </w:rPr>
        <w:t>The segment operating loss in fiscal 2020 compared with segment operating income for the four quarters ended January 3, 2020 was primarily due to $635 million of non-cash charges for impairment of goodwill and other assets, $18 million of restructuring ch</w:t>
      </w:r>
      <w:r>
        <w:rPr>
          <w:rFonts w:eastAsia="Times New Roman"/>
          <w:color w:val="000000"/>
          <w:sz w:val="20"/>
          <w:szCs w:val="20"/>
        </w:rPr>
        <w:t xml:space="preserve">arges and other exit costs recorded in fiscal 2020 in our Commercial Aviation Solutions reporting unit due to the downturn in the commercial aviation market and its impact on customer operations, as well as a $39 million impact from the divestiture of the </w:t>
      </w:r>
      <w:r>
        <w:rPr>
          <w:rFonts w:eastAsia="Times New Roman"/>
          <w:color w:val="000000"/>
          <w:sz w:val="20"/>
          <w:szCs w:val="20"/>
        </w:rPr>
        <w:t>airport security and automation business, partially offset by operational efficiencies, integration benefits and cost management in fiscal 2020.</w:t>
      </w:r>
    </w:p>
    <w:p w14:paraId="61F1786A" w14:textId="77777777" w:rsidR="00000000" w:rsidRDefault="001A570A">
      <w:pPr>
        <w:divId w:val="1874726032"/>
        <w:rPr>
          <w:rFonts w:eastAsia="Times New Roman"/>
        </w:rPr>
      </w:pPr>
      <w:r>
        <w:rPr>
          <w:rFonts w:eastAsia="Times New Roman"/>
          <w:b/>
          <w:bCs/>
          <w:color w:val="000000"/>
          <w:sz w:val="20"/>
          <w:szCs w:val="20"/>
        </w:rPr>
        <w:t>Additional Information on Known Trends and Uncertainties</w:t>
      </w:r>
    </w:p>
    <w:p w14:paraId="07A5758B" w14:textId="77777777" w:rsidR="00000000" w:rsidRDefault="001A570A">
      <w:pPr>
        <w:ind w:firstLine="450"/>
        <w:divId w:val="194201322"/>
        <w:rPr>
          <w:rFonts w:eastAsia="Times New Roman"/>
        </w:rPr>
      </w:pPr>
      <w:r>
        <w:rPr>
          <w:rFonts w:eastAsia="Times New Roman"/>
          <w:color w:val="000000"/>
          <w:sz w:val="20"/>
          <w:szCs w:val="20"/>
        </w:rPr>
        <w:t>Revenue and operating income from our Commercial Aviat</w:t>
      </w:r>
      <w:r>
        <w:rPr>
          <w:rFonts w:eastAsia="Times New Roman"/>
          <w:color w:val="000000"/>
          <w:sz w:val="20"/>
          <w:szCs w:val="20"/>
        </w:rPr>
        <w:t>ion Solutions reporting unit declined for 2020 due to decreased commercial training and commercial avionics sales volume, reflecting COVID and its impact on global air traffic and customer operations. On a pro forma basis, revenue in our Commercial Aviatio</w:t>
      </w:r>
      <w:r>
        <w:rPr>
          <w:rFonts w:eastAsia="Times New Roman"/>
          <w:color w:val="000000"/>
          <w:sz w:val="20"/>
          <w:szCs w:val="20"/>
        </w:rPr>
        <w:t>n Solutions reporting unit decreased by $317 million in fiscal 2020 compared with the four quarters ended January 3, 2020, primarily due to COVID-related impacts. We expect a continued decline in revenue in our commercial aviation businesses in early fisca</w:t>
      </w:r>
      <w:r>
        <w:rPr>
          <w:rFonts w:eastAsia="Times New Roman"/>
          <w:color w:val="000000"/>
          <w:sz w:val="20"/>
          <w:szCs w:val="20"/>
        </w:rPr>
        <w:t>l 2021 with stability and modest recovery later in the year; however, the ultimate duration and extent of COVID-related impacts to these businesses remains uncertain. In addition, the divestiture of our airport security and automation business on May 4, 20</w:t>
      </w:r>
      <w:r>
        <w:rPr>
          <w:rFonts w:eastAsia="Times New Roman"/>
          <w:color w:val="000000"/>
          <w:sz w:val="20"/>
          <w:szCs w:val="20"/>
        </w:rPr>
        <w:t>20 decreased segment revenue and operating income in calendar year fiscal 2020 compared with the four quarters ended January 3, 2020. Customer revenue from the airport security and automation business through the date of divestiture was $147 million compar</w:t>
      </w:r>
      <w:r>
        <w:rPr>
          <w:rFonts w:eastAsia="Times New Roman"/>
          <w:color w:val="000000"/>
          <w:sz w:val="20"/>
          <w:szCs w:val="20"/>
        </w:rPr>
        <w:t>ed with $495 million for the four quarters ended January 3, 2020 on a pro forma basis.</w:t>
      </w:r>
    </w:p>
    <w:p w14:paraId="719B12B6" w14:textId="77777777" w:rsidR="00000000" w:rsidRDefault="001A570A">
      <w:pPr>
        <w:divId w:val="420293609"/>
        <w:rPr>
          <w:rFonts w:eastAsia="Times New Roman"/>
        </w:rPr>
      </w:pPr>
      <w:r>
        <w:rPr>
          <w:rFonts w:eastAsia="Times New Roman"/>
          <w:b/>
          <w:bCs/>
          <w:color w:val="000000"/>
          <w:sz w:val="20"/>
          <w:szCs w:val="20"/>
        </w:rPr>
        <w:t>Unallocated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23"/>
        <w:gridCol w:w="38"/>
        <w:gridCol w:w="121"/>
        <w:gridCol w:w="546"/>
        <w:gridCol w:w="37"/>
        <w:gridCol w:w="36"/>
        <w:gridCol w:w="36"/>
        <w:gridCol w:w="36"/>
        <w:gridCol w:w="122"/>
        <w:gridCol w:w="776"/>
        <w:gridCol w:w="36"/>
        <w:gridCol w:w="36"/>
        <w:gridCol w:w="36"/>
        <w:gridCol w:w="36"/>
        <w:gridCol w:w="89"/>
        <w:gridCol w:w="574"/>
        <w:gridCol w:w="254"/>
        <w:gridCol w:w="36"/>
        <w:gridCol w:w="36"/>
        <w:gridCol w:w="36"/>
        <w:gridCol w:w="121"/>
        <w:gridCol w:w="545"/>
        <w:gridCol w:w="36"/>
        <w:gridCol w:w="36"/>
        <w:gridCol w:w="36"/>
        <w:gridCol w:w="36"/>
        <w:gridCol w:w="89"/>
        <w:gridCol w:w="574"/>
        <w:gridCol w:w="254"/>
      </w:tblGrid>
      <w:tr w:rsidR="00000000" w14:paraId="6C2F1073" w14:textId="77777777">
        <w:trPr>
          <w:divId w:val="458646801"/>
        </w:trPr>
        <w:tc>
          <w:tcPr>
            <w:tcW w:w="50" w:type="pct"/>
            <w:vAlign w:val="center"/>
            <w:hideMark/>
          </w:tcPr>
          <w:p w14:paraId="6529B951" w14:textId="77777777" w:rsidR="00000000" w:rsidRDefault="001A570A">
            <w:pPr>
              <w:rPr>
                <w:rFonts w:eastAsia="Times New Roman"/>
              </w:rPr>
            </w:pPr>
          </w:p>
        </w:tc>
        <w:tc>
          <w:tcPr>
            <w:tcW w:w="2495" w:type="pct"/>
            <w:vAlign w:val="center"/>
            <w:hideMark/>
          </w:tcPr>
          <w:p w14:paraId="0CB7332B" w14:textId="77777777" w:rsidR="00000000" w:rsidRDefault="001A570A">
            <w:pPr>
              <w:rPr>
                <w:rFonts w:eastAsia="Times New Roman"/>
                <w:sz w:val="20"/>
                <w:szCs w:val="20"/>
              </w:rPr>
            </w:pPr>
          </w:p>
        </w:tc>
        <w:tc>
          <w:tcPr>
            <w:tcW w:w="5" w:type="pct"/>
            <w:vAlign w:val="center"/>
            <w:hideMark/>
          </w:tcPr>
          <w:p w14:paraId="6B32AAD2" w14:textId="77777777" w:rsidR="00000000" w:rsidRDefault="001A570A">
            <w:pPr>
              <w:rPr>
                <w:rFonts w:eastAsia="Times New Roman"/>
                <w:sz w:val="20"/>
                <w:szCs w:val="20"/>
              </w:rPr>
            </w:pPr>
          </w:p>
        </w:tc>
        <w:tc>
          <w:tcPr>
            <w:tcW w:w="50" w:type="pct"/>
            <w:vAlign w:val="center"/>
            <w:hideMark/>
          </w:tcPr>
          <w:p w14:paraId="11D02EF5" w14:textId="77777777" w:rsidR="00000000" w:rsidRDefault="001A570A">
            <w:pPr>
              <w:rPr>
                <w:rFonts w:eastAsia="Times New Roman"/>
                <w:sz w:val="20"/>
                <w:szCs w:val="20"/>
              </w:rPr>
            </w:pPr>
          </w:p>
        </w:tc>
        <w:tc>
          <w:tcPr>
            <w:tcW w:w="469" w:type="pct"/>
            <w:vAlign w:val="center"/>
            <w:hideMark/>
          </w:tcPr>
          <w:p w14:paraId="7AA6196F" w14:textId="77777777" w:rsidR="00000000" w:rsidRDefault="001A570A">
            <w:pPr>
              <w:rPr>
                <w:rFonts w:eastAsia="Times New Roman"/>
                <w:sz w:val="20"/>
                <w:szCs w:val="20"/>
              </w:rPr>
            </w:pPr>
          </w:p>
        </w:tc>
        <w:tc>
          <w:tcPr>
            <w:tcW w:w="5" w:type="pct"/>
            <w:vAlign w:val="center"/>
            <w:hideMark/>
          </w:tcPr>
          <w:p w14:paraId="512AAC83" w14:textId="77777777" w:rsidR="00000000" w:rsidRDefault="001A570A">
            <w:pPr>
              <w:rPr>
                <w:rFonts w:eastAsia="Times New Roman"/>
                <w:sz w:val="20"/>
                <w:szCs w:val="20"/>
              </w:rPr>
            </w:pPr>
          </w:p>
        </w:tc>
        <w:tc>
          <w:tcPr>
            <w:tcW w:w="5" w:type="pct"/>
            <w:vAlign w:val="center"/>
            <w:hideMark/>
          </w:tcPr>
          <w:p w14:paraId="6D28FAB9" w14:textId="77777777" w:rsidR="00000000" w:rsidRDefault="001A570A">
            <w:pPr>
              <w:rPr>
                <w:rFonts w:eastAsia="Times New Roman"/>
                <w:sz w:val="20"/>
                <w:szCs w:val="20"/>
              </w:rPr>
            </w:pPr>
          </w:p>
        </w:tc>
        <w:tc>
          <w:tcPr>
            <w:tcW w:w="18" w:type="pct"/>
            <w:vAlign w:val="center"/>
            <w:hideMark/>
          </w:tcPr>
          <w:p w14:paraId="582782F1" w14:textId="77777777" w:rsidR="00000000" w:rsidRDefault="001A570A">
            <w:pPr>
              <w:rPr>
                <w:rFonts w:eastAsia="Times New Roman"/>
                <w:sz w:val="20"/>
                <w:szCs w:val="20"/>
              </w:rPr>
            </w:pPr>
          </w:p>
        </w:tc>
        <w:tc>
          <w:tcPr>
            <w:tcW w:w="5" w:type="pct"/>
            <w:vAlign w:val="center"/>
            <w:hideMark/>
          </w:tcPr>
          <w:p w14:paraId="7ED73B94" w14:textId="77777777" w:rsidR="00000000" w:rsidRDefault="001A570A">
            <w:pPr>
              <w:rPr>
                <w:rFonts w:eastAsia="Times New Roman"/>
                <w:sz w:val="20"/>
                <w:szCs w:val="20"/>
              </w:rPr>
            </w:pPr>
          </w:p>
        </w:tc>
        <w:tc>
          <w:tcPr>
            <w:tcW w:w="50" w:type="pct"/>
            <w:vAlign w:val="center"/>
            <w:hideMark/>
          </w:tcPr>
          <w:p w14:paraId="2215896A" w14:textId="77777777" w:rsidR="00000000" w:rsidRDefault="001A570A">
            <w:pPr>
              <w:rPr>
                <w:rFonts w:eastAsia="Times New Roman"/>
                <w:sz w:val="20"/>
                <w:szCs w:val="20"/>
              </w:rPr>
            </w:pPr>
          </w:p>
        </w:tc>
        <w:tc>
          <w:tcPr>
            <w:tcW w:w="469" w:type="pct"/>
            <w:vAlign w:val="center"/>
            <w:hideMark/>
          </w:tcPr>
          <w:p w14:paraId="2F4569AC" w14:textId="77777777" w:rsidR="00000000" w:rsidRDefault="001A570A">
            <w:pPr>
              <w:rPr>
                <w:rFonts w:eastAsia="Times New Roman"/>
                <w:sz w:val="20"/>
                <w:szCs w:val="20"/>
              </w:rPr>
            </w:pPr>
          </w:p>
        </w:tc>
        <w:tc>
          <w:tcPr>
            <w:tcW w:w="5" w:type="pct"/>
            <w:vAlign w:val="center"/>
            <w:hideMark/>
          </w:tcPr>
          <w:p w14:paraId="14F3ADE0" w14:textId="77777777" w:rsidR="00000000" w:rsidRDefault="001A570A">
            <w:pPr>
              <w:rPr>
                <w:rFonts w:eastAsia="Times New Roman"/>
                <w:sz w:val="20"/>
                <w:szCs w:val="20"/>
              </w:rPr>
            </w:pPr>
          </w:p>
        </w:tc>
        <w:tc>
          <w:tcPr>
            <w:tcW w:w="5" w:type="pct"/>
            <w:vAlign w:val="center"/>
            <w:hideMark/>
          </w:tcPr>
          <w:p w14:paraId="63621B4D" w14:textId="77777777" w:rsidR="00000000" w:rsidRDefault="001A570A">
            <w:pPr>
              <w:rPr>
                <w:rFonts w:eastAsia="Times New Roman"/>
                <w:sz w:val="20"/>
                <w:szCs w:val="20"/>
              </w:rPr>
            </w:pPr>
          </w:p>
        </w:tc>
        <w:tc>
          <w:tcPr>
            <w:tcW w:w="18" w:type="pct"/>
            <w:vAlign w:val="center"/>
            <w:hideMark/>
          </w:tcPr>
          <w:p w14:paraId="45BE4A44" w14:textId="77777777" w:rsidR="00000000" w:rsidRDefault="001A570A">
            <w:pPr>
              <w:rPr>
                <w:rFonts w:eastAsia="Times New Roman"/>
                <w:sz w:val="20"/>
                <w:szCs w:val="20"/>
              </w:rPr>
            </w:pPr>
          </w:p>
        </w:tc>
        <w:tc>
          <w:tcPr>
            <w:tcW w:w="5" w:type="pct"/>
            <w:vAlign w:val="center"/>
            <w:hideMark/>
          </w:tcPr>
          <w:p w14:paraId="3033DEC2" w14:textId="77777777" w:rsidR="00000000" w:rsidRDefault="001A570A">
            <w:pPr>
              <w:rPr>
                <w:rFonts w:eastAsia="Times New Roman"/>
                <w:sz w:val="20"/>
                <w:szCs w:val="20"/>
              </w:rPr>
            </w:pPr>
          </w:p>
        </w:tc>
        <w:tc>
          <w:tcPr>
            <w:tcW w:w="50" w:type="pct"/>
            <w:vAlign w:val="center"/>
            <w:hideMark/>
          </w:tcPr>
          <w:p w14:paraId="50F579F7" w14:textId="77777777" w:rsidR="00000000" w:rsidRDefault="001A570A">
            <w:pPr>
              <w:rPr>
                <w:rFonts w:eastAsia="Times New Roman"/>
                <w:sz w:val="20"/>
                <w:szCs w:val="20"/>
              </w:rPr>
            </w:pPr>
          </w:p>
        </w:tc>
        <w:tc>
          <w:tcPr>
            <w:tcW w:w="325" w:type="pct"/>
            <w:vAlign w:val="center"/>
            <w:hideMark/>
          </w:tcPr>
          <w:p w14:paraId="7454C920" w14:textId="77777777" w:rsidR="00000000" w:rsidRDefault="001A570A">
            <w:pPr>
              <w:rPr>
                <w:rFonts w:eastAsia="Times New Roman"/>
                <w:sz w:val="20"/>
                <w:szCs w:val="20"/>
              </w:rPr>
            </w:pPr>
          </w:p>
        </w:tc>
        <w:tc>
          <w:tcPr>
            <w:tcW w:w="5" w:type="pct"/>
            <w:vAlign w:val="center"/>
            <w:hideMark/>
          </w:tcPr>
          <w:p w14:paraId="73B4CD01" w14:textId="77777777" w:rsidR="00000000" w:rsidRDefault="001A570A">
            <w:pPr>
              <w:rPr>
                <w:rFonts w:eastAsia="Times New Roman"/>
                <w:sz w:val="20"/>
                <w:szCs w:val="20"/>
              </w:rPr>
            </w:pPr>
          </w:p>
        </w:tc>
        <w:tc>
          <w:tcPr>
            <w:tcW w:w="5" w:type="pct"/>
            <w:vAlign w:val="center"/>
            <w:hideMark/>
          </w:tcPr>
          <w:p w14:paraId="7A298D48" w14:textId="77777777" w:rsidR="00000000" w:rsidRDefault="001A570A">
            <w:pPr>
              <w:rPr>
                <w:rFonts w:eastAsia="Times New Roman"/>
                <w:sz w:val="20"/>
                <w:szCs w:val="20"/>
              </w:rPr>
            </w:pPr>
          </w:p>
        </w:tc>
        <w:tc>
          <w:tcPr>
            <w:tcW w:w="18" w:type="pct"/>
            <w:vAlign w:val="center"/>
            <w:hideMark/>
          </w:tcPr>
          <w:p w14:paraId="271DEEFB" w14:textId="77777777" w:rsidR="00000000" w:rsidRDefault="001A570A">
            <w:pPr>
              <w:rPr>
                <w:rFonts w:eastAsia="Times New Roman"/>
                <w:sz w:val="20"/>
                <w:szCs w:val="20"/>
              </w:rPr>
            </w:pPr>
          </w:p>
        </w:tc>
        <w:tc>
          <w:tcPr>
            <w:tcW w:w="5" w:type="pct"/>
            <w:vAlign w:val="center"/>
            <w:hideMark/>
          </w:tcPr>
          <w:p w14:paraId="4265D558" w14:textId="77777777" w:rsidR="00000000" w:rsidRDefault="001A570A">
            <w:pPr>
              <w:rPr>
                <w:rFonts w:eastAsia="Times New Roman"/>
                <w:sz w:val="20"/>
                <w:szCs w:val="20"/>
              </w:rPr>
            </w:pPr>
          </w:p>
        </w:tc>
        <w:tc>
          <w:tcPr>
            <w:tcW w:w="50" w:type="pct"/>
            <w:vAlign w:val="center"/>
            <w:hideMark/>
          </w:tcPr>
          <w:p w14:paraId="57B679B8" w14:textId="77777777" w:rsidR="00000000" w:rsidRDefault="001A570A">
            <w:pPr>
              <w:rPr>
                <w:rFonts w:eastAsia="Times New Roman"/>
                <w:sz w:val="20"/>
                <w:szCs w:val="20"/>
              </w:rPr>
            </w:pPr>
          </w:p>
        </w:tc>
        <w:tc>
          <w:tcPr>
            <w:tcW w:w="469" w:type="pct"/>
            <w:vAlign w:val="center"/>
            <w:hideMark/>
          </w:tcPr>
          <w:p w14:paraId="0E685F23" w14:textId="77777777" w:rsidR="00000000" w:rsidRDefault="001A570A">
            <w:pPr>
              <w:rPr>
                <w:rFonts w:eastAsia="Times New Roman"/>
                <w:sz w:val="20"/>
                <w:szCs w:val="20"/>
              </w:rPr>
            </w:pPr>
          </w:p>
        </w:tc>
        <w:tc>
          <w:tcPr>
            <w:tcW w:w="5" w:type="pct"/>
            <w:vAlign w:val="center"/>
            <w:hideMark/>
          </w:tcPr>
          <w:p w14:paraId="55168CA4" w14:textId="77777777" w:rsidR="00000000" w:rsidRDefault="001A570A">
            <w:pPr>
              <w:rPr>
                <w:rFonts w:eastAsia="Times New Roman"/>
                <w:sz w:val="20"/>
                <w:szCs w:val="20"/>
              </w:rPr>
            </w:pPr>
          </w:p>
        </w:tc>
        <w:tc>
          <w:tcPr>
            <w:tcW w:w="5" w:type="pct"/>
            <w:vAlign w:val="center"/>
            <w:hideMark/>
          </w:tcPr>
          <w:p w14:paraId="5D1E61FE" w14:textId="77777777" w:rsidR="00000000" w:rsidRDefault="001A570A">
            <w:pPr>
              <w:rPr>
                <w:rFonts w:eastAsia="Times New Roman"/>
                <w:sz w:val="20"/>
                <w:szCs w:val="20"/>
              </w:rPr>
            </w:pPr>
          </w:p>
        </w:tc>
        <w:tc>
          <w:tcPr>
            <w:tcW w:w="18" w:type="pct"/>
            <w:vAlign w:val="center"/>
            <w:hideMark/>
          </w:tcPr>
          <w:p w14:paraId="71A2351F" w14:textId="77777777" w:rsidR="00000000" w:rsidRDefault="001A570A">
            <w:pPr>
              <w:rPr>
                <w:rFonts w:eastAsia="Times New Roman"/>
                <w:sz w:val="20"/>
                <w:szCs w:val="20"/>
              </w:rPr>
            </w:pPr>
          </w:p>
        </w:tc>
        <w:tc>
          <w:tcPr>
            <w:tcW w:w="5" w:type="pct"/>
            <w:vAlign w:val="center"/>
            <w:hideMark/>
          </w:tcPr>
          <w:p w14:paraId="76DCDD05" w14:textId="77777777" w:rsidR="00000000" w:rsidRDefault="001A570A">
            <w:pPr>
              <w:rPr>
                <w:rFonts w:eastAsia="Times New Roman"/>
                <w:sz w:val="20"/>
                <w:szCs w:val="20"/>
              </w:rPr>
            </w:pPr>
          </w:p>
        </w:tc>
        <w:tc>
          <w:tcPr>
            <w:tcW w:w="50" w:type="pct"/>
            <w:vAlign w:val="center"/>
            <w:hideMark/>
          </w:tcPr>
          <w:p w14:paraId="12180547" w14:textId="77777777" w:rsidR="00000000" w:rsidRDefault="001A570A">
            <w:pPr>
              <w:rPr>
                <w:rFonts w:eastAsia="Times New Roman"/>
                <w:sz w:val="20"/>
                <w:szCs w:val="20"/>
              </w:rPr>
            </w:pPr>
          </w:p>
        </w:tc>
        <w:tc>
          <w:tcPr>
            <w:tcW w:w="326" w:type="pct"/>
            <w:vAlign w:val="center"/>
            <w:hideMark/>
          </w:tcPr>
          <w:p w14:paraId="3E8F1D08" w14:textId="77777777" w:rsidR="00000000" w:rsidRDefault="001A570A">
            <w:pPr>
              <w:rPr>
                <w:rFonts w:eastAsia="Times New Roman"/>
                <w:sz w:val="20"/>
                <w:szCs w:val="20"/>
              </w:rPr>
            </w:pPr>
          </w:p>
        </w:tc>
        <w:tc>
          <w:tcPr>
            <w:tcW w:w="5" w:type="pct"/>
            <w:vAlign w:val="center"/>
            <w:hideMark/>
          </w:tcPr>
          <w:p w14:paraId="13598424" w14:textId="77777777" w:rsidR="00000000" w:rsidRDefault="001A570A">
            <w:pPr>
              <w:rPr>
                <w:rFonts w:eastAsia="Times New Roman"/>
                <w:sz w:val="20"/>
                <w:szCs w:val="20"/>
              </w:rPr>
            </w:pPr>
          </w:p>
        </w:tc>
      </w:tr>
      <w:tr w:rsidR="00000000" w14:paraId="64051401" w14:textId="77777777">
        <w:trPr>
          <w:divId w:val="458646801"/>
        </w:trPr>
        <w:tc>
          <w:tcPr>
            <w:tcW w:w="0" w:type="auto"/>
            <w:gridSpan w:val="3"/>
            <w:tcMar>
              <w:top w:w="0" w:type="dxa"/>
              <w:left w:w="20" w:type="dxa"/>
              <w:bottom w:w="0" w:type="dxa"/>
              <w:right w:w="20" w:type="dxa"/>
            </w:tcMar>
            <w:vAlign w:val="center"/>
            <w:hideMark/>
          </w:tcPr>
          <w:p w14:paraId="6496EE88"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0D49C0D5"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617774A8" w14:textId="77777777" w:rsidR="00000000" w:rsidRDefault="001A570A">
            <w:pPr>
              <w:jc w:val="center"/>
              <w:rPr>
                <w:rFonts w:eastAsia="Times New Roman"/>
              </w:rPr>
            </w:pPr>
          </w:p>
        </w:tc>
        <w:tc>
          <w:tcPr>
            <w:tcW w:w="0" w:type="auto"/>
            <w:gridSpan w:val="21"/>
            <w:tcMar>
              <w:top w:w="30" w:type="dxa"/>
              <w:left w:w="20" w:type="dxa"/>
              <w:bottom w:w="30" w:type="dxa"/>
              <w:right w:w="20" w:type="dxa"/>
            </w:tcMar>
            <w:vAlign w:val="bottom"/>
            <w:hideMark/>
          </w:tcPr>
          <w:p w14:paraId="3EC34399" w14:textId="77777777" w:rsidR="00000000" w:rsidRDefault="001A570A">
            <w:pPr>
              <w:jc w:val="center"/>
              <w:rPr>
                <w:rFonts w:eastAsia="Times New Roman"/>
              </w:rPr>
            </w:pPr>
            <w:r>
              <w:rPr>
                <w:rFonts w:eastAsia="Times New Roman"/>
                <w:b/>
                <w:bCs/>
                <w:color w:val="000000"/>
                <w:sz w:val="16"/>
                <w:szCs w:val="16"/>
              </w:rPr>
              <w:t>Four Quarters Ended</w:t>
            </w:r>
          </w:p>
        </w:tc>
      </w:tr>
      <w:tr w:rsidR="00000000" w14:paraId="3AE1C41C" w14:textId="77777777">
        <w:trPr>
          <w:divId w:val="458646801"/>
        </w:trPr>
        <w:tc>
          <w:tcPr>
            <w:tcW w:w="0" w:type="auto"/>
            <w:gridSpan w:val="3"/>
            <w:tcMar>
              <w:top w:w="0" w:type="dxa"/>
              <w:left w:w="20" w:type="dxa"/>
              <w:bottom w:w="0" w:type="dxa"/>
              <w:right w:w="20" w:type="dxa"/>
            </w:tcMar>
            <w:vAlign w:val="center"/>
            <w:hideMark/>
          </w:tcPr>
          <w:p w14:paraId="31DD58E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A7ACDF" w14:textId="77777777" w:rsidR="00000000" w:rsidRDefault="001A570A">
            <w:pPr>
              <w:jc w:val="center"/>
              <w:rPr>
                <w:rFonts w:eastAsia="Times New Roman"/>
              </w:rPr>
            </w:pPr>
            <w:r>
              <w:rPr>
                <w:rFonts w:eastAsia="Times New Roman"/>
                <w:b/>
                <w:bCs/>
                <w:color w:val="000000"/>
                <w:sz w:val="16"/>
                <w:szCs w:val="16"/>
              </w:rPr>
              <w:t>January 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29FA78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EAA894"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02521AF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E26B53"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Borders>
              <w:top w:val="single" w:sz="8" w:space="0" w:color="000000"/>
            </w:tcBorders>
            <w:tcMar>
              <w:top w:w="0" w:type="dxa"/>
              <w:left w:w="20" w:type="dxa"/>
              <w:bottom w:w="0" w:type="dxa"/>
              <w:right w:w="20" w:type="dxa"/>
            </w:tcMar>
            <w:vAlign w:val="center"/>
            <w:hideMark/>
          </w:tcPr>
          <w:p w14:paraId="633C1BF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095774"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456CC1A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4CF1B6"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22B67831" w14:textId="77777777">
        <w:trPr>
          <w:divId w:val="458646801"/>
        </w:trPr>
        <w:tc>
          <w:tcPr>
            <w:tcW w:w="0" w:type="auto"/>
            <w:gridSpan w:val="3"/>
            <w:tcMar>
              <w:top w:w="30" w:type="dxa"/>
              <w:left w:w="20" w:type="dxa"/>
              <w:bottom w:w="30" w:type="dxa"/>
              <w:right w:w="20" w:type="dxa"/>
            </w:tcMar>
            <w:vAlign w:val="bottom"/>
            <w:hideMark/>
          </w:tcPr>
          <w:p w14:paraId="022D3CB8"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1C7F0A74"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50C0D30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6D21BE"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45B43A35"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E29E85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8C2DFFF"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17E852" w14:textId="77777777" w:rsidR="00000000" w:rsidRDefault="001A570A">
            <w:pPr>
              <w:jc w:val="center"/>
              <w:rPr>
                <w:rFonts w:eastAsia="Times New Roman"/>
              </w:rPr>
            </w:pPr>
            <w:r>
              <w:rPr>
                <w:rFonts w:eastAsia="Times New Roman"/>
                <w:b/>
                <w:bCs/>
                <w:color w:val="000000"/>
                <w:sz w:val="16"/>
                <w:szCs w:val="16"/>
              </w:rPr>
              <w:t>Pro forma</w:t>
            </w:r>
          </w:p>
        </w:tc>
        <w:tc>
          <w:tcPr>
            <w:tcW w:w="0" w:type="auto"/>
            <w:gridSpan w:val="3"/>
            <w:tcMar>
              <w:top w:w="0" w:type="dxa"/>
              <w:left w:w="20" w:type="dxa"/>
              <w:bottom w:w="0" w:type="dxa"/>
              <w:right w:w="20" w:type="dxa"/>
            </w:tcMar>
            <w:vAlign w:val="center"/>
            <w:hideMark/>
          </w:tcPr>
          <w:p w14:paraId="3B384B7C"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9B4A8A3" w14:textId="77777777" w:rsidR="00000000" w:rsidRDefault="001A570A">
            <w:pPr>
              <w:rPr>
                <w:rFonts w:eastAsia="Times New Roman"/>
                <w:sz w:val="20"/>
                <w:szCs w:val="20"/>
              </w:rPr>
            </w:pPr>
          </w:p>
        </w:tc>
      </w:tr>
      <w:tr w:rsidR="00000000" w14:paraId="2B5691D9" w14:textId="77777777">
        <w:trPr>
          <w:divId w:val="458646801"/>
          <w:trHeight w:val="60"/>
        </w:trPr>
        <w:tc>
          <w:tcPr>
            <w:tcW w:w="0" w:type="auto"/>
            <w:gridSpan w:val="3"/>
            <w:tcMar>
              <w:top w:w="0" w:type="dxa"/>
              <w:left w:w="20" w:type="dxa"/>
              <w:bottom w:w="0" w:type="dxa"/>
              <w:right w:w="20" w:type="dxa"/>
            </w:tcMar>
            <w:vAlign w:val="center"/>
            <w:hideMark/>
          </w:tcPr>
          <w:p w14:paraId="4D2DB6C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C90AD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4B1B63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A758C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F05C87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BE89F4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634229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20D27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B376C4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842F24F" w14:textId="77777777" w:rsidR="00000000" w:rsidRDefault="001A570A">
            <w:pPr>
              <w:rPr>
                <w:rFonts w:eastAsia="Times New Roman"/>
                <w:sz w:val="20"/>
                <w:szCs w:val="20"/>
              </w:rPr>
            </w:pPr>
          </w:p>
        </w:tc>
      </w:tr>
      <w:tr w:rsidR="00000000" w14:paraId="43217349" w14:textId="77777777">
        <w:trPr>
          <w:divId w:val="458646801"/>
        </w:trPr>
        <w:tc>
          <w:tcPr>
            <w:tcW w:w="0" w:type="auto"/>
            <w:gridSpan w:val="3"/>
            <w:shd w:val="clear" w:color="auto" w:fill="CCEEFF"/>
            <w:tcMar>
              <w:top w:w="30" w:type="dxa"/>
              <w:left w:w="20" w:type="dxa"/>
              <w:bottom w:w="30" w:type="dxa"/>
              <w:right w:w="20" w:type="dxa"/>
            </w:tcMar>
            <w:hideMark/>
          </w:tcPr>
          <w:p w14:paraId="332600CF" w14:textId="77777777" w:rsidR="00000000" w:rsidRDefault="001A570A">
            <w:pPr>
              <w:rPr>
                <w:rFonts w:eastAsia="Times New Roman"/>
              </w:rPr>
            </w:pPr>
            <w:r>
              <w:rPr>
                <w:rFonts w:eastAsia="Times New Roman"/>
                <w:color w:val="000000"/>
                <w:sz w:val="20"/>
                <w:szCs w:val="20"/>
              </w:rPr>
              <w:t>Unallocated corporate expenses and corporate eliminations</w:t>
            </w:r>
          </w:p>
        </w:tc>
        <w:tc>
          <w:tcPr>
            <w:tcW w:w="0" w:type="auto"/>
            <w:shd w:val="clear" w:color="auto" w:fill="CCEEFF"/>
            <w:tcMar>
              <w:top w:w="30" w:type="dxa"/>
              <w:left w:w="20" w:type="dxa"/>
              <w:bottom w:w="30" w:type="dxa"/>
              <w:right w:w="0" w:type="dxa"/>
            </w:tcMar>
            <w:vAlign w:val="bottom"/>
            <w:hideMark/>
          </w:tcPr>
          <w:p w14:paraId="53F9C9E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C3B8C7"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14:paraId="5F9468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C0D9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232DC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A115A5" w14:textId="77777777" w:rsidR="00000000" w:rsidRDefault="001A570A">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14:paraId="27C844A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F12F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83698" w14:textId="77777777" w:rsidR="00000000" w:rsidRDefault="001A570A">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10A35863"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82887B" w14:textId="77777777" w:rsidR="00000000" w:rsidRDefault="001A570A">
            <w:pPr>
              <w:rPr>
                <w:rFonts w:eastAsia="Times New Roman"/>
              </w:rPr>
            </w:pPr>
          </w:p>
        </w:tc>
        <w:tc>
          <w:tcPr>
            <w:tcW w:w="0" w:type="auto"/>
            <w:shd w:val="clear" w:color="auto" w:fill="CCEEFF"/>
            <w:tcMar>
              <w:top w:w="30" w:type="dxa"/>
              <w:left w:w="20" w:type="dxa"/>
              <w:bottom w:w="30" w:type="dxa"/>
              <w:right w:w="0" w:type="dxa"/>
            </w:tcMar>
            <w:vAlign w:val="bottom"/>
            <w:hideMark/>
          </w:tcPr>
          <w:p w14:paraId="5BBAD19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067D52" w14:textId="77777777" w:rsidR="00000000" w:rsidRDefault="001A570A">
            <w:pPr>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14:paraId="79027DD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387A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757E5"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1C13EABF" w14:textId="77777777" w:rsidR="00000000" w:rsidRDefault="001A570A">
            <w:pPr>
              <w:rPr>
                <w:rFonts w:eastAsia="Times New Roman"/>
              </w:rPr>
            </w:pPr>
            <w:r>
              <w:rPr>
                <w:rFonts w:eastAsia="Times New Roman"/>
                <w:color w:val="000000"/>
                <w:sz w:val="20"/>
                <w:szCs w:val="20"/>
              </w:rPr>
              <w:t>%)</w:t>
            </w:r>
          </w:p>
        </w:tc>
      </w:tr>
      <w:tr w:rsidR="00000000" w14:paraId="7EC299CC" w14:textId="77777777">
        <w:trPr>
          <w:divId w:val="458646801"/>
        </w:trPr>
        <w:tc>
          <w:tcPr>
            <w:tcW w:w="0" w:type="auto"/>
            <w:gridSpan w:val="3"/>
            <w:shd w:val="clear" w:color="auto" w:fill="FFFFFF"/>
            <w:tcMar>
              <w:top w:w="30" w:type="dxa"/>
              <w:left w:w="290" w:type="dxa"/>
              <w:bottom w:w="30" w:type="dxa"/>
              <w:right w:w="20" w:type="dxa"/>
            </w:tcMar>
            <w:hideMark/>
          </w:tcPr>
          <w:p w14:paraId="75507F73" w14:textId="77777777" w:rsidR="00000000" w:rsidRDefault="001A570A">
            <w:pPr>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14:paraId="2C364701" w14:textId="77777777" w:rsidR="00000000" w:rsidRDefault="001A570A">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394EBE5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7F1C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345783" w14:textId="77777777" w:rsidR="00000000" w:rsidRDefault="001A570A">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14:paraId="380DF0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96CB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2B503C" w14:textId="77777777" w:rsidR="00000000" w:rsidRDefault="001A570A">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19B205C2"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93B5F9" w14:textId="77777777" w:rsidR="00000000" w:rsidRDefault="001A570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B8EAC6" w14:textId="77777777" w:rsidR="00000000" w:rsidRDefault="001A570A">
            <w:pPr>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14:paraId="7F1375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3825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B02D0" w14:textId="77777777" w:rsidR="00000000" w:rsidRDefault="001A570A">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0517D7E8" w14:textId="77777777" w:rsidR="00000000" w:rsidRDefault="001A570A">
            <w:pPr>
              <w:rPr>
                <w:rFonts w:eastAsia="Times New Roman"/>
              </w:rPr>
            </w:pPr>
            <w:r>
              <w:rPr>
                <w:rFonts w:eastAsia="Times New Roman"/>
                <w:color w:val="000000"/>
                <w:sz w:val="20"/>
                <w:szCs w:val="20"/>
              </w:rPr>
              <w:t>%)</w:t>
            </w:r>
          </w:p>
        </w:tc>
      </w:tr>
      <w:tr w:rsidR="00000000" w14:paraId="7D42995E" w14:textId="77777777">
        <w:trPr>
          <w:divId w:val="458646801"/>
        </w:trPr>
        <w:tc>
          <w:tcPr>
            <w:tcW w:w="0" w:type="auto"/>
            <w:gridSpan w:val="3"/>
            <w:shd w:val="clear" w:color="auto" w:fill="CCEEFF"/>
            <w:tcMar>
              <w:top w:w="30" w:type="dxa"/>
              <w:left w:w="20" w:type="dxa"/>
              <w:bottom w:w="30" w:type="dxa"/>
              <w:right w:w="20" w:type="dxa"/>
            </w:tcMar>
            <w:hideMark/>
          </w:tcPr>
          <w:p w14:paraId="0A9321FF" w14:textId="77777777" w:rsidR="00000000" w:rsidRDefault="001A570A">
            <w:pPr>
              <w:rPr>
                <w:rFonts w:eastAsia="Times New Roman"/>
              </w:rPr>
            </w:pPr>
            <w:r>
              <w:rPr>
                <w:rFonts w:eastAsia="Times New Roman"/>
                <w:color w:val="000000"/>
                <w:sz w:val="20"/>
                <w:szCs w:val="20"/>
              </w:rPr>
              <w:t>L3Harris Merger-related restructuring costs</w:t>
            </w:r>
          </w:p>
        </w:tc>
        <w:tc>
          <w:tcPr>
            <w:tcW w:w="0" w:type="auto"/>
            <w:gridSpan w:val="2"/>
            <w:shd w:val="clear" w:color="auto" w:fill="CCEEFF"/>
            <w:tcMar>
              <w:top w:w="30" w:type="dxa"/>
              <w:left w:w="20" w:type="dxa"/>
              <w:bottom w:w="30" w:type="dxa"/>
              <w:right w:w="0" w:type="dxa"/>
            </w:tcMar>
            <w:vAlign w:val="bottom"/>
            <w:hideMark/>
          </w:tcPr>
          <w:p w14:paraId="498BE2EB"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168D1C7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941C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CDBD0"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2C798BB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1941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CB216E" w14:textId="77777777" w:rsidR="00000000" w:rsidRDefault="001A570A">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14:paraId="56CE4217"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CA50FC" w14:textId="77777777" w:rsidR="00000000" w:rsidRDefault="001A570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91AB37"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3462246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AC7C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EE0A8" w14:textId="77777777" w:rsidR="00000000" w:rsidRDefault="001A570A">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14:paraId="72AD4BD2" w14:textId="77777777" w:rsidR="00000000" w:rsidRDefault="001A570A">
            <w:pPr>
              <w:rPr>
                <w:rFonts w:eastAsia="Times New Roman"/>
              </w:rPr>
            </w:pPr>
            <w:r>
              <w:rPr>
                <w:rFonts w:eastAsia="Times New Roman"/>
                <w:color w:val="000000"/>
                <w:sz w:val="20"/>
                <w:szCs w:val="20"/>
              </w:rPr>
              <w:t>%)</w:t>
            </w:r>
          </w:p>
        </w:tc>
      </w:tr>
      <w:tr w:rsidR="00000000" w14:paraId="6601DE33" w14:textId="77777777">
        <w:trPr>
          <w:divId w:val="458646801"/>
        </w:trPr>
        <w:tc>
          <w:tcPr>
            <w:tcW w:w="0" w:type="auto"/>
            <w:gridSpan w:val="3"/>
            <w:shd w:val="clear" w:color="auto" w:fill="FFFFFF"/>
            <w:tcMar>
              <w:top w:w="30" w:type="dxa"/>
              <w:left w:w="20" w:type="dxa"/>
              <w:bottom w:w="30" w:type="dxa"/>
              <w:right w:w="20" w:type="dxa"/>
            </w:tcMar>
            <w:vAlign w:val="bottom"/>
            <w:hideMark/>
          </w:tcPr>
          <w:p w14:paraId="7F02B96F" w14:textId="77777777" w:rsidR="00000000" w:rsidRDefault="001A570A">
            <w:pPr>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2690D521" w14:textId="77777777" w:rsidR="00000000" w:rsidRDefault="001A570A">
            <w:pPr>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14:paraId="1D4D2BE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B14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44CA4" w14:textId="77777777" w:rsidR="00000000" w:rsidRDefault="001A570A">
            <w:pPr>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14:paraId="6EDCF94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51B5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70279"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14:paraId="31F686F8"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A4959C" w14:textId="77777777" w:rsidR="00000000" w:rsidRDefault="001A570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0C6062" w14:textId="77777777" w:rsidR="00000000" w:rsidRDefault="001A570A">
            <w:pPr>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14:paraId="67DA59D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6009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2BA56" w14:textId="77777777" w:rsidR="00000000" w:rsidRDefault="001A570A">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05F368A3" w14:textId="77777777" w:rsidR="00000000" w:rsidRDefault="001A570A">
            <w:pPr>
              <w:rPr>
                <w:rFonts w:eastAsia="Times New Roman"/>
              </w:rPr>
            </w:pPr>
            <w:r>
              <w:rPr>
                <w:rFonts w:eastAsia="Times New Roman"/>
                <w:color w:val="000000"/>
                <w:sz w:val="20"/>
                <w:szCs w:val="20"/>
              </w:rPr>
              <w:t>%</w:t>
            </w:r>
          </w:p>
        </w:tc>
      </w:tr>
      <w:tr w:rsidR="00000000" w14:paraId="2E2DFF26" w14:textId="77777777">
        <w:trPr>
          <w:divId w:val="458646801"/>
        </w:trPr>
        <w:tc>
          <w:tcPr>
            <w:tcW w:w="0" w:type="auto"/>
            <w:gridSpan w:val="3"/>
            <w:shd w:val="clear" w:color="auto" w:fill="CCEEFF"/>
            <w:tcMar>
              <w:top w:w="30" w:type="dxa"/>
              <w:left w:w="20" w:type="dxa"/>
              <w:bottom w:w="30" w:type="dxa"/>
              <w:right w:w="20" w:type="dxa"/>
            </w:tcMar>
            <w:vAlign w:val="bottom"/>
            <w:hideMark/>
          </w:tcPr>
          <w:p w14:paraId="70B63213" w14:textId="77777777" w:rsidR="00000000" w:rsidRDefault="001A570A">
            <w:pPr>
              <w:rPr>
                <w:rFonts w:eastAsia="Times New Roman"/>
              </w:rPr>
            </w:pPr>
            <w:r>
              <w:rPr>
                <w:rFonts w:eastAsia="Times New Roman"/>
                <w:color w:val="000000"/>
                <w:sz w:val="20"/>
                <w:szCs w:val="20"/>
              </w:rPr>
              <w:t>Impairment of identifiable intangible assets</w:t>
            </w:r>
          </w:p>
        </w:tc>
        <w:tc>
          <w:tcPr>
            <w:tcW w:w="0" w:type="auto"/>
            <w:gridSpan w:val="2"/>
            <w:shd w:val="clear" w:color="auto" w:fill="CCEEFF"/>
            <w:tcMar>
              <w:top w:w="30" w:type="dxa"/>
              <w:left w:w="20" w:type="dxa"/>
              <w:bottom w:w="30" w:type="dxa"/>
              <w:right w:w="0" w:type="dxa"/>
            </w:tcMar>
            <w:vAlign w:val="bottom"/>
            <w:hideMark/>
          </w:tcPr>
          <w:p w14:paraId="18AC0428" w14:textId="77777777" w:rsidR="00000000" w:rsidRDefault="001A570A">
            <w:pPr>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14:paraId="1A2832B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F966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AA2FD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FACC1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5290F"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BB50AF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71F8B2"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5EBE9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C1D5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F263C"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C0A9CCC" w14:textId="77777777" w:rsidR="00000000" w:rsidRDefault="001A570A">
            <w:pPr>
              <w:jc w:val="right"/>
              <w:rPr>
                <w:rFonts w:eastAsia="Times New Roman"/>
              </w:rPr>
            </w:pPr>
            <w:r>
              <w:rPr>
                <w:rFonts w:eastAsia="Times New Roman"/>
                <w:color w:val="000000"/>
                <w:sz w:val="20"/>
                <w:szCs w:val="20"/>
              </w:rPr>
              <w:t>*</w:t>
            </w:r>
          </w:p>
        </w:tc>
      </w:tr>
      <w:tr w:rsidR="00000000" w14:paraId="6091CBAD" w14:textId="77777777">
        <w:trPr>
          <w:divId w:val="458646801"/>
        </w:trPr>
        <w:tc>
          <w:tcPr>
            <w:tcW w:w="0" w:type="auto"/>
            <w:gridSpan w:val="3"/>
            <w:shd w:val="clear" w:color="auto" w:fill="FFFFFF"/>
            <w:tcMar>
              <w:top w:w="30" w:type="dxa"/>
              <w:left w:w="20" w:type="dxa"/>
              <w:bottom w:w="30" w:type="dxa"/>
              <w:right w:w="20" w:type="dxa"/>
            </w:tcMar>
            <w:vAlign w:val="bottom"/>
            <w:hideMark/>
          </w:tcPr>
          <w:p w14:paraId="35A221C2"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14:paraId="27F5D7DC" w14:textId="77777777" w:rsidR="00000000" w:rsidRDefault="001A570A">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14:paraId="1D66D83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229F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9012F0" w14:textId="77777777" w:rsidR="00000000" w:rsidRDefault="001A570A">
            <w:pPr>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14:paraId="13335BD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78BCB"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D9ABD2B"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457ECF7"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2AB179" w14:textId="77777777" w:rsidR="00000000" w:rsidRDefault="001A570A">
            <w:pPr>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14:paraId="1CE73E7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3DDA0"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26A3C23" w14:textId="77777777" w:rsidR="00000000" w:rsidRDefault="001A570A">
            <w:pPr>
              <w:jc w:val="right"/>
              <w:rPr>
                <w:rFonts w:eastAsia="Times New Roman"/>
              </w:rPr>
            </w:pPr>
            <w:r>
              <w:rPr>
                <w:rFonts w:eastAsia="Times New Roman"/>
                <w:color w:val="000000"/>
                <w:sz w:val="20"/>
                <w:szCs w:val="20"/>
              </w:rPr>
              <w:t>*</w:t>
            </w:r>
          </w:p>
        </w:tc>
      </w:tr>
      <w:tr w:rsidR="00000000" w14:paraId="34B6D0B2" w14:textId="77777777">
        <w:trPr>
          <w:divId w:val="458646801"/>
        </w:trPr>
        <w:tc>
          <w:tcPr>
            <w:tcW w:w="0" w:type="auto"/>
            <w:gridSpan w:val="3"/>
            <w:vAlign w:val="center"/>
            <w:hideMark/>
          </w:tcPr>
          <w:p w14:paraId="543F9831" w14:textId="77777777" w:rsidR="00000000" w:rsidRDefault="001A570A">
            <w:pPr>
              <w:jc w:val="right"/>
              <w:rPr>
                <w:rFonts w:eastAsia="Times New Roman"/>
              </w:rPr>
            </w:pPr>
          </w:p>
        </w:tc>
        <w:tc>
          <w:tcPr>
            <w:tcW w:w="0" w:type="auto"/>
            <w:gridSpan w:val="3"/>
            <w:vAlign w:val="center"/>
            <w:hideMark/>
          </w:tcPr>
          <w:p w14:paraId="26BE82AB" w14:textId="77777777" w:rsidR="00000000" w:rsidRDefault="001A570A">
            <w:pPr>
              <w:rPr>
                <w:rFonts w:eastAsia="Times New Roman"/>
                <w:sz w:val="20"/>
                <w:szCs w:val="20"/>
              </w:rPr>
            </w:pPr>
          </w:p>
        </w:tc>
        <w:tc>
          <w:tcPr>
            <w:tcW w:w="0" w:type="auto"/>
            <w:gridSpan w:val="3"/>
            <w:vAlign w:val="center"/>
            <w:hideMark/>
          </w:tcPr>
          <w:p w14:paraId="75A79F0D" w14:textId="77777777" w:rsidR="00000000" w:rsidRDefault="001A570A">
            <w:pPr>
              <w:rPr>
                <w:rFonts w:eastAsia="Times New Roman"/>
                <w:sz w:val="20"/>
                <w:szCs w:val="20"/>
              </w:rPr>
            </w:pPr>
          </w:p>
        </w:tc>
        <w:tc>
          <w:tcPr>
            <w:tcW w:w="0" w:type="auto"/>
            <w:gridSpan w:val="3"/>
            <w:vAlign w:val="center"/>
            <w:hideMark/>
          </w:tcPr>
          <w:p w14:paraId="3A8DBA1F" w14:textId="77777777" w:rsidR="00000000" w:rsidRDefault="001A570A">
            <w:pPr>
              <w:rPr>
                <w:rFonts w:eastAsia="Times New Roman"/>
                <w:sz w:val="20"/>
                <w:szCs w:val="20"/>
              </w:rPr>
            </w:pPr>
          </w:p>
        </w:tc>
        <w:tc>
          <w:tcPr>
            <w:tcW w:w="0" w:type="auto"/>
            <w:gridSpan w:val="3"/>
            <w:vAlign w:val="center"/>
            <w:hideMark/>
          </w:tcPr>
          <w:p w14:paraId="6A2A0F9A" w14:textId="77777777" w:rsidR="00000000" w:rsidRDefault="001A570A">
            <w:pPr>
              <w:rPr>
                <w:rFonts w:eastAsia="Times New Roman"/>
                <w:sz w:val="20"/>
                <w:szCs w:val="20"/>
              </w:rPr>
            </w:pPr>
          </w:p>
        </w:tc>
        <w:tc>
          <w:tcPr>
            <w:tcW w:w="0" w:type="auto"/>
            <w:gridSpan w:val="3"/>
            <w:vAlign w:val="center"/>
            <w:hideMark/>
          </w:tcPr>
          <w:p w14:paraId="6AA566B4" w14:textId="77777777" w:rsidR="00000000" w:rsidRDefault="001A570A">
            <w:pPr>
              <w:rPr>
                <w:rFonts w:eastAsia="Times New Roman"/>
                <w:sz w:val="20"/>
                <w:szCs w:val="20"/>
              </w:rPr>
            </w:pPr>
          </w:p>
        </w:tc>
        <w:tc>
          <w:tcPr>
            <w:tcW w:w="0" w:type="auto"/>
            <w:gridSpan w:val="3"/>
            <w:vAlign w:val="center"/>
            <w:hideMark/>
          </w:tcPr>
          <w:p w14:paraId="6661E679" w14:textId="77777777" w:rsidR="00000000" w:rsidRDefault="001A570A">
            <w:pPr>
              <w:rPr>
                <w:rFonts w:eastAsia="Times New Roman"/>
                <w:sz w:val="20"/>
                <w:szCs w:val="20"/>
              </w:rPr>
            </w:pPr>
          </w:p>
        </w:tc>
        <w:tc>
          <w:tcPr>
            <w:tcW w:w="0" w:type="auto"/>
            <w:gridSpan w:val="3"/>
            <w:vAlign w:val="center"/>
            <w:hideMark/>
          </w:tcPr>
          <w:p w14:paraId="54D39D0D" w14:textId="77777777" w:rsidR="00000000" w:rsidRDefault="001A570A">
            <w:pPr>
              <w:rPr>
                <w:rFonts w:eastAsia="Times New Roman"/>
                <w:sz w:val="20"/>
                <w:szCs w:val="20"/>
              </w:rPr>
            </w:pPr>
          </w:p>
        </w:tc>
        <w:tc>
          <w:tcPr>
            <w:tcW w:w="0" w:type="auto"/>
            <w:gridSpan w:val="3"/>
            <w:vAlign w:val="center"/>
            <w:hideMark/>
          </w:tcPr>
          <w:p w14:paraId="553CE78B" w14:textId="77777777" w:rsidR="00000000" w:rsidRDefault="001A570A">
            <w:pPr>
              <w:rPr>
                <w:rFonts w:eastAsia="Times New Roman"/>
                <w:sz w:val="20"/>
                <w:szCs w:val="20"/>
              </w:rPr>
            </w:pPr>
          </w:p>
        </w:tc>
        <w:tc>
          <w:tcPr>
            <w:tcW w:w="0" w:type="auto"/>
            <w:gridSpan w:val="3"/>
            <w:vAlign w:val="center"/>
            <w:hideMark/>
          </w:tcPr>
          <w:p w14:paraId="1C8BA7F3" w14:textId="77777777" w:rsidR="00000000" w:rsidRDefault="001A570A">
            <w:pPr>
              <w:rPr>
                <w:rFonts w:eastAsia="Times New Roman"/>
                <w:sz w:val="20"/>
                <w:szCs w:val="20"/>
              </w:rPr>
            </w:pPr>
          </w:p>
        </w:tc>
      </w:tr>
    </w:tbl>
    <w:p w14:paraId="64711813" w14:textId="77777777" w:rsidR="00000000" w:rsidRDefault="001A570A">
      <w:pPr>
        <w:ind w:firstLine="450"/>
        <w:divId w:val="1878159565"/>
        <w:rPr>
          <w:rFonts w:eastAsia="Times New Roman"/>
        </w:rPr>
      </w:pPr>
    </w:p>
    <w:p w14:paraId="61B581D1" w14:textId="77777777" w:rsidR="00000000" w:rsidRDefault="001A570A">
      <w:pPr>
        <w:ind w:firstLine="450"/>
        <w:jc w:val="center"/>
        <w:divId w:val="488517738"/>
        <w:rPr>
          <w:rFonts w:eastAsia="Times New Roman"/>
        </w:rPr>
      </w:pPr>
      <w:r>
        <w:rPr>
          <w:rFonts w:eastAsia="Times New Roman"/>
          <w:color w:val="000000"/>
          <w:sz w:val="20"/>
          <w:szCs w:val="20"/>
        </w:rPr>
        <w:t>54</w:t>
      </w:r>
    </w:p>
    <w:p w14:paraId="0B4224DE" w14:textId="77777777" w:rsidR="00000000" w:rsidRDefault="001A570A">
      <w:pPr>
        <w:rPr>
          <w:rFonts w:eastAsia="Times New Roman"/>
        </w:rPr>
      </w:pPr>
      <w:r>
        <w:rPr>
          <w:rFonts w:eastAsia="Times New Roman"/>
        </w:rPr>
        <w:pict w14:anchorId="0CA66400">
          <v:rect id="_x0000_i1082" style="width:0;height:1.5pt" o:hralign="center" o:hrstd="t" o:hr="t" fillcolor="#a0a0a0" stroked="f"/>
        </w:pict>
      </w:r>
    </w:p>
    <w:p w14:paraId="038D0862" w14:textId="77777777" w:rsidR="00000000" w:rsidRDefault="001A570A">
      <w:pPr>
        <w:ind w:firstLine="450"/>
        <w:divId w:val="8798811"/>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2964"/>
        <w:gridCol w:w="38"/>
        <w:gridCol w:w="121"/>
        <w:gridCol w:w="651"/>
        <w:gridCol w:w="36"/>
        <w:gridCol w:w="36"/>
        <w:gridCol w:w="36"/>
        <w:gridCol w:w="36"/>
        <w:gridCol w:w="122"/>
        <w:gridCol w:w="776"/>
        <w:gridCol w:w="37"/>
        <w:gridCol w:w="36"/>
        <w:gridCol w:w="36"/>
        <w:gridCol w:w="36"/>
        <w:gridCol w:w="89"/>
        <w:gridCol w:w="574"/>
        <w:gridCol w:w="187"/>
        <w:gridCol w:w="36"/>
        <w:gridCol w:w="36"/>
        <w:gridCol w:w="36"/>
        <w:gridCol w:w="121"/>
        <w:gridCol w:w="330"/>
        <w:gridCol w:w="36"/>
        <w:gridCol w:w="36"/>
        <w:gridCol w:w="36"/>
        <w:gridCol w:w="36"/>
        <w:gridCol w:w="120"/>
        <w:gridCol w:w="547"/>
        <w:gridCol w:w="36"/>
        <w:gridCol w:w="36"/>
        <w:gridCol w:w="36"/>
        <w:gridCol w:w="36"/>
        <w:gridCol w:w="88"/>
        <w:gridCol w:w="575"/>
        <w:gridCol w:w="254"/>
      </w:tblGrid>
      <w:tr w:rsidR="00000000" w14:paraId="69D62E15" w14:textId="77777777">
        <w:trPr>
          <w:divId w:val="378629895"/>
        </w:trPr>
        <w:tc>
          <w:tcPr>
            <w:tcW w:w="50" w:type="pct"/>
            <w:vAlign w:val="center"/>
            <w:hideMark/>
          </w:tcPr>
          <w:p w14:paraId="54873FC3" w14:textId="77777777" w:rsidR="00000000" w:rsidRDefault="001A570A">
            <w:pPr>
              <w:ind w:firstLine="450"/>
              <w:rPr>
                <w:rFonts w:eastAsia="Times New Roman"/>
              </w:rPr>
            </w:pPr>
          </w:p>
        </w:tc>
        <w:tc>
          <w:tcPr>
            <w:tcW w:w="1897" w:type="pct"/>
            <w:vAlign w:val="center"/>
            <w:hideMark/>
          </w:tcPr>
          <w:p w14:paraId="63A60377" w14:textId="77777777" w:rsidR="00000000" w:rsidRDefault="001A570A">
            <w:pPr>
              <w:rPr>
                <w:rFonts w:eastAsia="Times New Roman"/>
                <w:sz w:val="20"/>
                <w:szCs w:val="20"/>
              </w:rPr>
            </w:pPr>
          </w:p>
        </w:tc>
        <w:tc>
          <w:tcPr>
            <w:tcW w:w="5" w:type="pct"/>
            <w:vAlign w:val="center"/>
            <w:hideMark/>
          </w:tcPr>
          <w:p w14:paraId="72DFCE16" w14:textId="77777777" w:rsidR="00000000" w:rsidRDefault="001A570A">
            <w:pPr>
              <w:rPr>
                <w:rFonts w:eastAsia="Times New Roman"/>
                <w:sz w:val="20"/>
                <w:szCs w:val="20"/>
              </w:rPr>
            </w:pPr>
          </w:p>
        </w:tc>
        <w:tc>
          <w:tcPr>
            <w:tcW w:w="50" w:type="pct"/>
            <w:vAlign w:val="center"/>
            <w:hideMark/>
          </w:tcPr>
          <w:p w14:paraId="0EF20460" w14:textId="77777777" w:rsidR="00000000" w:rsidRDefault="001A570A">
            <w:pPr>
              <w:rPr>
                <w:rFonts w:eastAsia="Times New Roman"/>
                <w:sz w:val="20"/>
                <w:szCs w:val="20"/>
              </w:rPr>
            </w:pPr>
          </w:p>
        </w:tc>
        <w:tc>
          <w:tcPr>
            <w:tcW w:w="470" w:type="pct"/>
            <w:vAlign w:val="center"/>
            <w:hideMark/>
          </w:tcPr>
          <w:p w14:paraId="759E9D61" w14:textId="77777777" w:rsidR="00000000" w:rsidRDefault="001A570A">
            <w:pPr>
              <w:rPr>
                <w:rFonts w:eastAsia="Times New Roman"/>
                <w:sz w:val="20"/>
                <w:szCs w:val="20"/>
              </w:rPr>
            </w:pPr>
          </w:p>
        </w:tc>
        <w:tc>
          <w:tcPr>
            <w:tcW w:w="5" w:type="pct"/>
            <w:vAlign w:val="center"/>
            <w:hideMark/>
          </w:tcPr>
          <w:p w14:paraId="61088F84" w14:textId="77777777" w:rsidR="00000000" w:rsidRDefault="001A570A">
            <w:pPr>
              <w:rPr>
                <w:rFonts w:eastAsia="Times New Roman"/>
                <w:sz w:val="20"/>
                <w:szCs w:val="20"/>
              </w:rPr>
            </w:pPr>
          </w:p>
        </w:tc>
        <w:tc>
          <w:tcPr>
            <w:tcW w:w="5" w:type="pct"/>
            <w:vAlign w:val="center"/>
            <w:hideMark/>
          </w:tcPr>
          <w:p w14:paraId="2076AFC5" w14:textId="77777777" w:rsidR="00000000" w:rsidRDefault="001A570A">
            <w:pPr>
              <w:rPr>
                <w:rFonts w:eastAsia="Times New Roman"/>
                <w:sz w:val="20"/>
                <w:szCs w:val="20"/>
              </w:rPr>
            </w:pPr>
          </w:p>
        </w:tc>
        <w:tc>
          <w:tcPr>
            <w:tcW w:w="26" w:type="pct"/>
            <w:vAlign w:val="center"/>
            <w:hideMark/>
          </w:tcPr>
          <w:p w14:paraId="0441D2DD" w14:textId="77777777" w:rsidR="00000000" w:rsidRDefault="001A570A">
            <w:pPr>
              <w:rPr>
                <w:rFonts w:eastAsia="Times New Roman"/>
                <w:sz w:val="20"/>
                <w:szCs w:val="20"/>
              </w:rPr>
            </w:pPr>
          </w:p>
        </w:tc>
        <w:tc>
          <w:tcPr>
            <w:tcW w:w="5" w:type="pct"/>
            <w:vAlign w:val="center"/>
            <w:hideMark/>
          </w:tcPr>
          <w:p w14:paraId="6C4327E6" w14:textId="77777777" w:rsidR="00000000" w:rsidRDefault="001A570A">
            <w:pPr>
              <w:rPr>
                <w:rFonts w:eastAsia="Times New Roman"/>
                <w:sz w:val="20"/>
                <w:szCs w:val="20"/>
              </w:rPr>
            </w:pPr>
          </w:p>
        </w:tc>
        <w:tc>
          <w:tcPr>
            <w:tcW w:w="50" w:type="pct"/>
            <w:vAlign w:val="center"/>
            <w:hideMark/>
          </w:tcPr>
          <w:p w14:paraId="675E848F" w14:textId="77777777" w:rsidR="00000000" w:rsidRDefault="001A570A">
            <w:pPr>
              <w:rPr>
                <w:rFonts w:eastAsia="Times New Roman"/>
                <w:sz w:val="20"/>
                <w:szCs w:val="20"/>
              </w:rPr>
            </w:pPr>
          </w:p>
        </w:tc>
        <w:tc>
          <w:tcPr>
            <w:tcW w:w="470" w:type="pct"/>
            <w:vAlign w:val="center"/>
            <w:hideMark/>
          </w:tcPr>
          <w:p w14:paraId="30105245" w14:textId="77777777" w:rsidR="00000000" w:rsidRDefault="001A570A">
            <w:pPr>
              <w:rPr>
                <w:rFonts w:eastAsia="Times New Roman"/>
                <w:sz w:val="20"/>
                <w:szCs w:val="20"/>
              </w:rPr>
            </w:pPr>
          </w:p>
        </w:tc>
        <w:tc>
          <w:tcPr>
            <w:tcW w:w="5" w:type="pct"/>
            <w:vAlign w:val="center"/>
            <w:hideMark/>
          </w:tcPr>
          <w:p w14:paraId="7D30DF41" w14:textId="77777777" w:rsidR="00000000" w:rsidRDefault="001A570A">
            <w:pPr>
              <w:rPr>
                <w:rFonts w:eastAsia="Times New Roman"/>
                <w:sz w:val="20"/>
                <w:szCs w:val="20"/>
              </w:rPr>
            </w:pPr>
          </w:p>
        </w:tc>
        <w:tc>
          <w:tcPr>
            <w:tcW w:w="5" w:type="pct"/>
            <w:vAlign w:val="center"/>
            <w:hideMark/>
          </w:tcPr>
          <w:p w14:paraId="56F1B7AC" w14:textId="77777777" w:rsidR="00000000" w:rsidRDefault="001A570A">
            <w:pPr>
              <w:rPr>
                <w:rFonts w:eastAsia="Times New Roman"/>
                <w:sz w:val="20"/>
                <w:szCs w:val="20"/>
              </w:rPr>
            </w:pPr>
          </w:p>
        </w:tc>
        <w:tc>
          <w:tcPr>
            <w:tcW w:w="26" w:type="pct"/>
            <w:vAlign w:val="center"/>
            <w:hideMark/>
          </w:tcPr>
          <w:p w14:paraId="12203374" w14:textId="77777777" w:rsidR="00000000" w:rsidRDefault="001A570A">
            <w:pPr>
              <w:rPr>
                <w:rFonts w:eastAsia="Times New Roman"/>
                <w:sz w:val="20"/>
                <w:szCs w:val="20"/>
              </w:rPr>
            </w:pPr>
          </w:p>
        </w:tc>
        <w:tc>
          <w:tcPr>
            <w:tcW w:w="5" w:type="pct"/>
            <w:vAlign w:val="center"/>
            <w:hideMark/>
          </w:tcPr>
          <w:p w14:paraId="7862A72E" w14:textId="77777777" w:rsidR="00000000" w:rsidRDefault="001A570A">
            <w:pPr>
              <w:rPr>
                <w:rFonts w:eastAsia="Times New Roman"/>
                <w:sz w:val="20"/>
                <w:szCs w:val="20"/>
              </w:rPr>
            </w:pPr>
          </w:p>
        </w:tc>
        <w:tc>
          <w:tcPr>
            <w:tcW w:w="50" w:type="pct"/>
            <w:vAlign w:val="center"/>
            <w:hideMark/>
          </w:tcPr>
          <w:p w14:paraId="7BB478D5" w14:textId="77777777" w:rsidR="00000000" w:rsidRDefault="001A570A">
            <w:pPr>
              <w:rPr>
                <w:rFonts w:eastAsia="Times New Roman"/>
                <w:sz w:val="20"/>
                <w:szCs w:val="20"/>
              </w:rPr>
            </w:pPr>
          </w:p>
        </w:tc>
        <w:tc>
          <w:tcPr>
            <w:tcW w:w="326" w:type="pct"/>
            <w:vAlign w:val="center"/>
            <w:hideMark/>
          </w:tcPr>
          <w:p w14:paraId="558C7D96" w14:textId="77777777" w:rsidR="00000000" w:rsidRDefault="001A570A">
            <w:pPr>
              <w:rPr>
                <w:rFonts w:eastAsia="Times New Roman"/>
                <w:sz w:val="20"/>
                <w:szCs w:val="20"/>
              </w:rPr>
            </w:pPr>
          </w:p>
        </w:tc>
        <w:tc>
          <w:tcPr>
            <w:tcW w:w="5" w:type="pct"/>
            <w:vAlign w:val="center"/>
            <w:hideMark/>
          </w:tcPr>
          <w:p w14:paraId="09BAC73A" w14:textId="77777777" w:rsidR="00000000" w:rsidRDefault="001A570A">
            <w:pPr>
              <w:rPr>
                <w:rFonts w:eastAsia="Times New Roman"/>
                <w:sz w:val="20"/>
                <w:szCs w:val="20"/>
              </w:rPr>
            </w:pPr>
          </w:p>
        </w:tc>
        <w:tc>
          <w:tcPr>
            <w:tcW w:w="5" w:type="pct"/>
            <w:vAlign w:val="center"/>
            <w:hideMark/>
          </w:tcPr>
          <w:p w14:paraId="5D79A67A" w14:textId="77777777" w:rsidR="00000000" w:rsidRDefault="001A570A">
            <w:pPr>
              <w:rPr>
                <w:rFonts w:eastAsia="Times New Roman"/>
                <w:sz w:val="20"/>
                <w:szCs w:val="20"/>
              </w:rPr>
            </w:pPr>
          </w:p>
        </w:tc>
        <w:tc>
          <w:tcPr>
            <w:tcW w:w="26" w:type="pct"/>
            <w:vAlign w:val="center"/>
            <w:hideMark/>
          </w:tcPr>
          <w:p w14:paraId="1EF48F2F" w14:textId="77777777" w:rsidR="00000000" w:rsidRDefault="001A570A">
            <w:pPr>
              <w:rPr>
                <w:rFonts w:eastAsia="Times New Roman"/>
                <w:sz w:val="20"/>
                <w:szCs w:val="20"/>
              </w:rPr>
            </w:pPr>
          </w:p>
        </w:tc>
        <w:tc>
          <w:tcPr>
            <w:tcW w:w="5" w:type="pct"/>
            <w:vAlign w:val="center"/>
            <w:hideMark/>
          </w:tcPr>
          <w:p w14:paraId="2725B107" w14:textId="77777777" w:rsidR="00000000" w:rsidRDefault="001A570A">
            <w:pPr>
              <w:rPr>
                <w:rFonts w:eastAsia="Times New Roman"/>
                <w:sz w:val="20"/>
                <w:szCs w:val="20"/>
              </w:rPr>
            </w:pPr>
          </w:p>
        </w:tc>
        <w:tc>
          <w:tcPr>
            <w:tcW w:w="50" w:type="pct"/>
            <w:vAlign w:val="center"/>
            <w:hideMark/>
          </w:tcPr>
          <w:p w14:paraId="6C0520CC" w14:textId="77777777" w:rsidR="00000000" w:rsidRDefault="001A570A">
            <w:pPr>
              <w:rPr>
                <w:rFonts w:eastAsia="Times New Roman"/>
                <w:sz w:val="20"/>
                <w:szCs w:val="20"/>
              </w:rPr>
            </w:pPr>
          </w:p>
        </w:tc>
        <w:tc>
          <w:tcPr>
            <w:tcW w:w="470" w:type="pct"/>
            <w:vAlign w:val="center"/>
            <w:hideMark/>
          </w:tcPr>
          <w:p w14:paraId="1BC82859" w14:textId="77777777" w:rsidR="00000000" w:rsidRDefault="001A570A">
            <w:pPr>
              <w:rPr>
                <w:rFonts w:eastAsia="Times New Roman"/>
                <w:sz w:val="20"/>
                <w:szCs w:val="20"/>
              </w:rPr>
            </w:pPr>
          </w:p>
        </w:tc>
        <w:tc>
          <w:tcPr>
            <w:tcW w:w="5" w:type="pct"/>
            <w:vAlign w:val="center"/>
            <w:hideMark/>
          </w:tcPr>
          <w:p w14:paraId="68C0AA15" w14:textId="77777777" w:rsidR="00000000" w:rsidRDefault="001A570A">
            <w:pPr>
              <w:rPr>
                <w:rFonts w:eastAsia="Times New Roman"/>
                <w:sz w:val="20"/>
                <w:szCs w:val="20"/>
              </w:rPr>
            </w:pPr>
          </w:p>
        </w:tc>
        <w:tc>
          <w:tcPr>
            <w:tcW w:w="5" w:type="pct"/>
            <w:vAlign w:val="center"/>
            <w:hideMark/>
          </w:tcPr>
          <w:p w14:paraId="4249D9F8" w14:textId="77777777" w:rsidR="00000000" w:rsidRDefault="001A570A">
            <w:pPr>
              <w:rPr>
                <w:rFonts w:eastAsia="Times New Roman"/>
                <w:sz w:val="20"/>
                <w:szCs w:val="20"/>
              </w:rPr>
            </w:pPr>
          </w:p>
        </w:tc>
        <w:tc>
          <w:tcPr>
            <w:tcW w:w="26" w:type="pct"/>
            <w:vAlign w:val="center"/>
            <w:hideMark/>
          </w:tcPr>
          <w:p w14:paraId="263BDFFA" w14:textId="77777777" w:rsidR="00000000" w:rsidRDefault="001A570A">
            <w:pPr>
              <w:rPr>
                <w:rFonts w:eastAsia="Times New Roman"/>
                <w:sz w:val="20"/>
                <w:szCs w:val="20"/>
              </w:rPr>
            </w:pPr>
          </w:p>
        </w:tc>
        <w:tc>
          <w:tcPr>
            <w:tcW w:w="5" w:type="pct"/>
            <w:vAlign w:val="center"/>
            <w:hideMark/>
          </w:tcPr>
          <w:p w14:paraId="620C4E56" w14:textId="77777777" w:rsidR="00000000" w:rsidRDefault="001A570A">
            <w:pPr>
              <w:rPr>
                <w:rFonts w:eastAsia="Times New Roman"/>
                <w:sz w:val="20"/>
                <w:szCs w:val="20"/>
              </w:rPr>
            </w:pPr>
          </w:p>
        </w:tc>
        <w:tc>
          <w:tcPr>
            <w:tcW w:w="50" w:type="pct"/>
            <w:vAlign w:val="center"/>
            <w:hideMark/>
          </w:tcPr>
          <w:p w14:paraId="0D263540" w14:textId="77777777" w:rsidR="00000000" w:rsidRDefault="001A570A">
            <w:pPr>
              <w:rPr>
                <w:rFonts w:eastAsia="Times New Roman"/>
                <w:sz w:val="20"/>
                <w:szCs w:val="20"/>
              </w:rPr>
            </w:pPr>
          </w:p>
        </w:tc>
        <w:tc>
          <w:tcPr>
            <w:tcW w:w="470" w:type="pct"/>
            <w:vAlign w:val="center"/>
            <w:hideMark/>
          </w:tcPr>
          <w:p w14:paraId="0DD5A355" w14:textId="77777777" w:rsidR="00000000" w:rsidRDefault="001A570A">
            <w:pPr>
              <w:rPr>
                <w:rFonts w:eastAsia="Times New Roman"/>
                <w:sz w:val="20"/>
                <w:szCs w:val="20"/>
              </w:rPr>
            </w:pPr>
          </w:p>
        </w:tc>
        <w:tc>
          <w:tcPr>
            <w:tcW w:w="5" w:type="pct"/>
            <w:vAlign w:val="center"/>
            <w:hideMark/>
          </w:tcPr>
          <w:p w14:paraId="57E7A781" w14:textId="77777777" w:rsidR="00000000" w:rsidRDefault="001A570A">
            <w:pPr>
              <w:rPr>
                <w:rFonts w:eastAsia="Times New Roman"/>
                <w:sz w:val="20"/>
                <w:szCs w:val="20"/>
              </w:rPr>
            </w:pPr>
          </w:p>
        </w:tc>
        <w:tc>
          <w:tcPr>
            <w:tcW w:w="5" w:type="pct"/>
            <w:vAlign w:val="center"/>
            <w:hideMark/>
          </w:tcPr>
          <w:p w14:paraId="6D11DF78" w14:textId="77777777" w:rsidR="00000000" w:rsidRDefault="001A570A">
            <w:pPr>
              <w:rPr>
                <w:rFonts w:eastAsia="Times New Roman"/>
                <w:sz w:val="20"/>
                <w:szCs w:val="20"/>
              </w:rPr>
            </w:pPr>
          </w:p>
        </w:tc>
        <w:tc>
          <w:tcPr>
            <w:tcW w:w="26" w:type="pct"/>
            <w:vAlign w:val="center"/>
            <w:hideMark/>
          </w:tcPr>
          <w:p w14:paraId="61B6F61A" w14:textId="77777777" w:rsidR="00000000" w:rsidRDefault="001A570A">
            <w:pPr>
              <w:rPr>
                <w:rFonts w:eastAsia="Times New Roman"/>
                <w:sz w:val="20"/>
                <w:szCs w:val="20"/>
              </w:rPr>
            </w:pPr>
          </w:p>
        </w:tc>
        <w:tc>
          <w:tcPr>
            <w:tcW w:w="5" w:type="pct"/>
            <w:vAlign w:val="center"/>
            <w:hideMark/>
          </w:tcPr>
          <w:p w14:paraId="430C38DC" w14:textId="77777777" w:rsidR="00000000" w:rsidRDefault="001A570A">
            <w:pPr>
              <w:rPr>
                <w:rFonts w:eastAsia="Times New Roman"/>
                <w:sz w:val="20"/>
                <w:szCs w:val="20"/>
              </w:rPr>
            </w:pPr>
          </w:p>
        </w:tc>
        <w:tc>
          <w:tcPr>
            <w:tcW w:w="50" w:type="pct"/>
            <w:vAlign w:val="center"/>
            <w:hideMark/>
          </w:tcPr>
          <w:p w14:paraId="46EE1B99" w14:textId="77777777" w:rsidR="00000000" w:rsidRDefault="001A570A">
            <w:pPr>
              <w:rPr>
                <w:rFonts w:eastAsia="Times New Roman"/>
                <w:sz w:val="20"/>
                <w:szCs w:val="20"/>
              </w:rPr>
            </w:pPr>
          </w:p>
        </w:tc>
        <w:tc>
          <w:tcPr>
            <w:tcW w:w="327" w:type="pct"/>
            <w:vAlign w:val="center"/>
            <w:hideMark/>
          </w:tcPr>
          <w:p w14:paraId="37A5A7F5" w14:textId="77777777" w:rsidR="00000000" w:rsidRDefault="001A570A">
            <w:pPr>
              <w:rPr>
                <w:rFonts w:eastAsia="Times New Roman"/>
                <w:sz w:val="20"/>
                <w:szCs w:val="20"/>
              </w:rPr>
            </w:pPr>
          </w:p>
        </w:tc>
        <w:tc>
          <w:tcPr>
            <w:tcW w:w="5" w:type="pct"/>
            <w:vAlign w:val="center"/>
            <w:hideMark/>
          </w:tcPr>
          <w:p w14:paraId="692920A4" w14:textId="77777777" w:rsidR="00000000" w:rsidRDefault="001A570A">
            <w:pPr>
              <w:rPr>
                <w:rFonts w:eastAsia="Times New Roman"/>
                <w:sz w:val="20"/>
                <w:szCs w:val="20"/>
              </w:rPr>
            </w:pPr>
          </w:p>
        </w:tc>
      </w:tr>
      <w:tr w:rsidR="00000000" w14:paraId="2244E846" w14:textId="77777777">
        <w:trPr>
          <w:divId w:val="378629895"/>
        </w:trPr>
        <w:tc>
          <w:tcPr>
            <w:tcW w:w="0" w:type="auto"/>
            <w:gridSpan w:val="3"/>
            <w:tcMar>
              <w:top w:w="0" w:type="dxa"/>
              <w:left w:w="20" w:type="dxa"/>
              <w:bottom w:w="0" w:type="dxa"/>
              <w:right w:w="20" w:type="dxa"/>
            </w:tcMar>
            <w:vAlign w:val="center"/>
            <w:hideMark/>
          </w:tcPr>
          <w:p w14:paraId="58B2DB28" w14:textId="77777777" w:rsidR="00000000" w:rsidRDefault="001A570A">
            <w:pPr>
              <w:rPr>
                <w:rFonts w:eastAsia="Times New Roman"/>
                <w:sz w:val="20"/>
                <w:szCs w:val="20"/>
              </w:rPr>
            </w:pPr>
          </w:p>
        </w:tc>
        <w:tc>
          <w:tcPr>
            <w:tcW w:w="0" w:type="auto"/>
            <w:gridSpan w:val="15"/>
            <w:tcMar>
              <w:top w:w="30" w:type="dxa"/>
              <w:left w:w="20" w:type="dxa"/>
              <w:bottom w:w="30" w:type="dxa"/>
              <w:right w:w="20" w:type="dxa"/>
            </w:tcMar>
            <w:vAlign w:val="bottom"/>
            <w:hideMark/>
          </w:tcPr>
          <w:p w14:paraId="608E6D37"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5300AF18"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5C4A1CEF"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18BCD834" w14:textId="77777777">
        <w:trPr>
          <w:divId w:val="378629895"/>
        </w:trPr>
        <w:tc>
          <w:tcPr>
            <w:tcW w:w="0" w:type="auto"/>
            <w:gridSpan w:val="3"/>
            <w:tcMar>
              <w:top w:w="0" w:type="dxa"/>
              <w:left w:w="20" w:type="dxa"/>
              <w:bottom w:w="0" w:type="dxa"/>
              <w:right w:w="20" w:type="dxa"/>
            </w:tcMar>
            <w:vAlign w:val="center"/>
            <w:hideMark/>
          </w:tcPr>
          <w:p w14:paraId="488F8B0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D5CEA8" w14:textId="77777777" w:rsidR="00000000" w:rsidRDefault="001A570A">
            <w:pPr>
              <w:jc w:val="center"/>
              <w:rPr>
                <w:rFonts w:eastAsia="Times New Roman"/>
              </w:rPr>
            </w:pPr>
            <w:r>
              <w:rPr>
                <w:rFonts w:eastAsia="Times New Roman"/>
                <w:b/>
                <w:bCs/>
                <w:color w:val="000000"/>
                <w:sz w:val="16"/>
                <w:szCs w:val="16"/>
              </w:rPr>
              <w:t>January 3,</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3665DC9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CBA933" w14:textId="77777777" w:rsidR="00000000" w:rsidRDefault="001A570A">
            <w:pPr>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2018</w:t>
            </w:r>
          </w:p>
        </w:tc>
        <w:tc>
          <w:tcPr>
            <w:tcW w:w="0" w:type="auto"/>
            <w:gridSpan w:val="3"/>
            <w:tcBorders>
              <w:top w:val="single" w:sz="8" w:space="0" w:color="000000"/>
            </w:tcBorders>
            <w:tcMar>
              <w:top w:w="0" w:type="dxa"/>
              <w:left w:w="20" w:type="dxa"/>
              <w:bottom w:w="0" w:type="dxa"/>
              <w:right w:w="20" w:type="dxa"/>
            </w:tcMar>
            <w:vAlign w:val="center"/>
            <w:hideMark/>
          </w:tcPr>
          <w:p w14:paraId="2C26F36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548338"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c>
          <w:tcPr>
            <w:tcW w:w="0" w:type="auto"/>
            <w:gridSpan w:val="3"/>
            <w:tcMar>
              <w:top w:w="0" w:type="dxa"/>
              <w:left w:w="20" w:type="dxa"/>
              <w:bottom w:w="0" w:type="dxa"/>
              <w:right w:w="20" w:type="dxa"/>
            </w:tcMar>
            <w:vAlign w:val="center"/>
            <w:hideMark/>
          </w:tcPr>
          <w:p w14:paraId="5E3ADC2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1C91B9"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4A0F199C"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564060" w14:textId="77777777" w:rsidR="00000000" w:rsidRDefault="001A570A">
            <w:pPr>
              <w:jc w:val="center"/>
              <w:rPr>
                <w:rFonts w:eastAsia="Times New Roman"/>
              </w:rPr>
            </w:pPr>
            <w:r>
              <w:rPr>
                <w:rFonts w:eastAsia="Times New Roman"/>
                <w:b/>
                <w:bCs/>
                <w:color w:val="000000"/>
                <w:sz w:val="16"/>
                <w:szCs w:val="16"/>
              </w:rPr>
              <w:t>June 29, 2018</w:t>
            </w:r>
          </w:p>
        </w:tc>
        <w:tc>
          <w:tcPr>
            <w:tcW w:w="0" w:type="auto"/>
            <w:gridSpan w:val="3"/>
            <w:tcBorders>
              <w:top w:val="single" w:sz="8" w:space="0" w:color="000000"/>
            </w:tcBorders>
            <w:tcMar>
              <w:top w:w="0" w:type="dxa"/>
              <w:left w:w="20" w:type="dxa"/>
              <w:bottom w:w="0" w:type="dxa"/>
              <w:right w:w="20" w:type="dxa"/>
            </w:tcMar>
            <w:vAlign w:val="center"/>
            <w:hideMark/>
          </w:tcPr>
          <w:p w14:paraId="47F0806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7A23D0" w14:textId="77777777" w:rsidR="00000000" w:rsidRDefault="001A570A">
            <w:pPr>
              <w:jc w:val="center"/>
              <w:rPr>
                <w:rFonts w:eastAsia="Times New Roman"/>
              </w:rPr>
            </w:pPr>
            <w:r>
              <w:rPr>
                <w:rFonts w:eastAsia="Times New Roman"/>
                <w:b/>
                <w:bCs/>
                <w:color w:val="000000"/>
                <w:sz w:val="16"/>
                <w:szCs w:val="16"/>
              </w:rPr>
              <w:t>%</w:t>
            </w:r>
            <w:r>
              <w:rPr>
                <w:rFonts w:eastAsia="Times New Roman"/>
                <w:b/>
                <w:bCs/>
                <w:color w:val="000000"/>
                <w:sz w:val="16"/>
                <w:szCs w:val="16"/>
              </w:rPr>
              <w:br/>
              <w:t>Inc/(Dec)</w:t>
            </w:r>
          </w:p>
        </w:tc>
      </w:tr>
      <w:tr w:rsidR="00000000" w14:paraId="01253AE2" w14:textId="77777777">
        <w:trPr>
          <w:divId w:val="378629895"/>
        </w:trPr>
        <w:tc>
          <w:tcPr>
            <w:tcW w:w="0" w:type="auto"/>
            <w:gridSpan w:val="3"/>
            <w:tcMar>
              <w:top w:w="30" w:type="dxa"/>
              <w:left w:w="20" w:type="dxa"/>
              <w:bottom w:w="30" w:type="dxa"/>
              <w:right w:w="20" w:type="dxa"/>
            </w:tcMar>
            <w:vAlign w:val="bottom"/>
            <w:hideMark/>
          </w:tcPr>
          <w:p w14:paraId="1FBEFD43" w14:textId="77777777" w:rsidR="00000000" w:rsidRDefault="001A570A">
            <w:pPr>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14:paraId="7D06B9EB"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061770A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484E2A"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0CEB894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2FD875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33CD5D7" w14:textId="77777777" w:rsidR="00000000" w:rsidRDefault="001A570A">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FE4616A"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1779DDDA"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940AC78" w14:textId="77777777" w:rsidR="00000000" w:rsidRDefault="001A570A">
            <w:pPr>
              <w:rPr>
                <w:rFonts w:eastAsia="Times New Roman"/>
                <w:sz w:val="20"/>
                <w:szCs w:val="20"/>
              </w:rPr>
            </w:pPr>
          </w:p>
        </w:tc>
      </w:tr>
      <w:tr w:rsidR="00000000" w14:paraId="43DE464A" w14:textId="77777777">
        <w:trPr>
          <w:divId w:val="378629895"/>
          <w:trHeight w:val="60"/>
        </w:trPr>
        <w:tc>
          <w:tcPr>
            <w:tcW w:w="0" w:type="auto"/>
            <w:gridSpan w:val="3"/>
            <w:tcMar>
              <w:top w:w="0" w:type="dxa"/>
              <w:left w:w="20" w:type="dxa"/>
              <w:bottom w:w="0" w:type="dxa"/>
              <w:right w:w="20" w:type="dxa"/>
            </w:tcMar>
            <w:vAlign w:val="center"/>
            <w:hideMark/>
          </w:tcPr>
          <w:p w14:paraId="0C50A7E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46EEF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549493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8B756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C23B02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02AC4A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3C722B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8CB85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88382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DFB8A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BBC32F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DFB1195" w14:textId="77777777" w:rsidR="00000000" w:rsidRDefault="001A570A">
            <w:pPr>
              <w:rPr>
                <w:rFonts w:eastAsia="Times New Roman"/>
                <w:sz w:val="20"/>
                <w:szCs w:val="20"/>
              </w:rPr>
            </w:pPr>
          </w:p>
        </w:tc>
      </w:tr>
      <w:tr w:rsidR="00000000" w14:paraId="5A5E5E89" w14:textId="77777777">
        <w:trPr>
          <w:divId w:val="378629895"/>
        </w:trPr>
        <w:tc>
          <w:tcPr>
            <w:tcW w:w="0" w:type="auto"/>
            <w:gridSpan w:val="3"/>
            <w:shd w:val="clear" w:color="auto" w:fill="CCEEFF"/>
            <w:tcMar>
              <w:top w:w="30" w:type="dxa"/>
              <w:left w:w="20" w:type="dxa"/>
              <w:bottom w:w="30" w:type="dxa"/>
              <w:right w:w="20" w:type="dxa"/>
            </w:tcMar>
            <w:hideMark/>
          </w:tcPr>
          <w:p w14:paraId="413B5176" w14:textId="77777777" w:rsidR="00000000" w:rsidRDefault="001A570A">
            <w:pPr>
              <w:rPr>
                <w:rFonts w:eastAsia="Times New Roman"/>
              </w:rPr>
            </w:pPr>
            <w:r>
              <w:rPr>
                <w:rFonts w:eastAsia="Times New Roman"/>
                <w:color w:val="000000"/>
                <w:sz w:val="20"/>
                <w:szCs w:val="20"/>
              </w:rPr>
              <w:t>Unallocated corporate expenses and corporate eliminations</w:t>
            </w:r>
          </w:p>
        </w:tc>
        <w:tc>
          <w:tcPr>
            <w:tcW w:w="0" w:type="auto"/>
            <w:shd w:val="clear" w:color="auto" w:fill="CCEEFF"/>
            <w:tcMar>
              <w:top w:w="30" w:type="dxa"/>
              <w:left w:w="20" w:type="dxa"/>
              <w:bottom w:w="30" w:type="dxa"/>
              <w:right w:w="0" w:type="dxa"/>
            </w:tcMar>
            <w:vAlign w:val="bottom"/>
            <w:hideMark/>
          </w:tcPr>
          <w:p w14:paraId="1BB0E7C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B84A7A" w14:textId="77777777" w:rsidR="00000000" w:rsidRDefault="001A570A">
            <w:pPr>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14:paraId="750E295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42A7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EF1FC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A306BC"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F4634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50B422"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A1B272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EB938B1" w14:textId="77777777" w:rsidR="00000000" w:rsidRDefault="001A570A">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2C0A30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3A7338"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4630FF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89B3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16C1E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19949C" w14:textId="77777777" w:rsidR="00000000" w:rsidRDefault="001A570A">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14:paraId="0F66E86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EBF6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212FC" w14:textId="77777777" w:rsidR="00000000" w:rsidRDefault="001A570A">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14:paraId="370F207E" w14:textId="77777777" w:rsidR="00000000" w:rsidRDefault="001A570A">
            <w:pPr>
              <w:rPr>
                <w:rFonts w:eastAsia="Times New Roman"/>
              </w:rPr>
            </w:pPr>
            <w:r>
              <w:rPr>
                <w:rFonts w:eastAsia="Times New Roman"/>
                <w:color w:val="000000"/>
                <w:sz w:val="20"/>
                <w:szCs w:val="20"/>
              </w:rPr>
              <w:t>%)</w:t>
            </w:r>
          </w:p>
        </w:tc>
      </w:tr>
      <w:tr w:rsidR="00000000" w14:paraId="4B676614" w14:textId="77777777">
        <w:trPr>
          <w:divId w:val="378629895"/>
        </w:trPr>
        <w:tc>
          <w:tcPr>
            <w:tcW w:w="0" w:type="auto"/>
            <w:gridSpan w:val="3"/>
            <w:shd w:val="clear" w:color="auto" w:fill="FFFFFF"/>
            <w:tcMar>
              <w:top w:w="30" w:type="dxa"/>
              <w:left w:w="290" w:type="dxa"/>
              <w:bottom w:w="30" w:type="dxa"/>
              <w:right w:w="20" w:type="dxa"/>
            </w:tcMar>
            <w:hideMark/>
          </w:tcPr>
          <w:p w14:paraId="715D82A9" w14:textId="77777777" w:rsidR="00000000" w:rsidRDefault="001A570A">
            <w:pPr>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14:paraId="2B6A85E1" w14:textId="77777777" w:rsidR="00000000" w:rsidRDefault="001A570A">
            <w:pPr>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14:paraId="309EE5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A144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4842B3"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1E33D09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67C49"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36ADC4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5916EE0"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57748C" w14:textId="77777777" w:rsidR="00000000" w:rsidRDefault="001A570A">
            <w:pPr>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111EEB4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533D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2EDF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40DA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6C6C9"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2D4DE77" w14:textId="77777777" w:rsidR="00000000" w:rsidRDefault="001A570A">
            <w:pPr>
              <w:jc w:val="right"/>
              <w:rPr>
                <w:rFonts w:eastAsia="Times New Roman"/>
              </w:rPr>
            </w:pPr>
            <w:r>
              <w:rPr>
                <w:rFonts w:eastAsia="Times New Roman"/>
                <w:color w:val="000000"/>
                <w:sz w:val="20"/>
                <w:szCs w:val="20"/>
              </w:rPr>
              <w:t>*</w:t>
            </w:r>
          </w:p>
        </w:tc>
      </w:tr>
      <w:tr w:rsidR="00000000" w14:paraId="049568CC" w14:textId="77777777">
        <w:trPr>
          <w:divId w:val="378629895"/>
        </w:trPr>
        <w:tc>
          <w:tcPr>
            <w:tcW w:w="0" w:type="auto"/>
            <w:gridSpan w:val="3"/>
            <w:shd w:val="clear" w:color="auto" w:fill="CCEEFF"/>
            <w:tcMar>
              <w:top w:w="30" w:type="dxa"/>
              <w:left w:w="20" w:type="dxa"/>
              <w:bottom w:w="30" w:type="dxa"/>
              <w:right w:w="20" w:type="dxa"/>
            </w:tcMar>
            <w:hideMark/>
          </w:tcPr>
          <w:p w14:paraId="58C3E7DA" w14:textId="77777777" w:rsidR="00000000" w:rsidRDefault="001A570A">
            <w:pPr>
              <w:rPr>
                <w:rFonts w:eastAsia="Times New Roman"/>
              </w:rPr>
            </w:pPr>
            <w:r>
              <w:rPr>
                <w:rFonts w:eastAsia="Times New Roman"/>
                <w:color w:val="000000"/>
                <w:sz w:val="20"/>
                <w:szCs w:val="20"/>
              </w:rPr>
              <w:t>L3Harris Merger-related restructuring costs</w:t>
            </w:r>
          </w:p>
        </w:tc>
        <w:tc>
          <w:tcPr>
            <w:tcW w:w="0" w:type="auto"/>
            <w:gridSpan w:val="2"/>
            <w:shd w:val="clear" w:color="auto" w:fill="CCEEFF"/>
            <w:tcMar>
              <w:top w:w="30" w:type="dxa"/>
              <w:left w:w="20" w:type="dxa"/>
              <w:bottom w:w="30" w:type="dxa"/>
              <w:right w:w="0" w:type="dxa"/>
            </w:tcMar>
            <w:vAlign w:val="bottom"/>
            <w:hideMark/>
          </w:tcPr>
          <w:p w14:paraId="6EA2872F"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6C2912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9F93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6B226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12A3E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6A564"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DA3CA5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F9548DC"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190C0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EFE0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26B2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64FC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AF422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8FF12"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CAE44E2" w14:textId="77777777" w:rsidR="00000000" w:rsidRDefault="001A570A">
            <w:pPr>
              <w:jc w:val="right"/>
              <w:rPr>
                <w:rFonts w:eastAsia="Times New Roman"/>
              </w:rPr>
            </w:pPr>
            <w:r>
              <w:rPr>
                <w:rFonts w:eastAsia="Times New Roman"/>
                <w:color w:val="000000"/>
                <w:sz w:val="20"/>
                <w:szCs w:val="20"/>
              </w:rPr>
              <w:t>*</w:t>
            </w:r>
          </w:p>
        </w:tc>
      </w:tr>
      <w:tr w:rsidR="00000000" w14:paraId="28E4F8E9" w14:textId="77777777">
        <w:trPr>
          <w:divId w:val="378629895"/>
        </w:trPr>
        <w:tc>
          <w:tcPr>
            <w:tcW w:w="0" w:type="auto"/>
            <w:gridSpan w:val="3"/>
            <w:shd w:val="clear" w:color="auto" w:fill="FFFFFF"/>
            <w:tcMar>
              <w:top w:w="30" w:type="dxa"/>
              <w:left w:w="20" w:type="dxa"/>
              <w:bottom w:w="30" w:type="dxa"/>
              <w:right w:w="20" w:type="dxa"/>
            </w:tcMar>
            <w:vAlign w:val="bottom"/>
            <w:hideMark/>
          </w:tcPr>
          <w:p w14:paraId="72E213A7" w14:textId="77777777" w:rsidR="00000000" w:rsidRDefault="001A570A">
            <w:pPr>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6618DAB0" w14:textId="77777777" w:rsidR="00000000" w:rsidRDefault="001A570A">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628A76D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EEFD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434EEF" w14:textId="77777777" w:rsidR="00000000" w:rsidRDefault="001A570A">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78382C9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2BFB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1D839" w14:textId="77777777" w:rsidR="00000000" w:rsidRDefault="001A570A">
            <w:pPr>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14:paraId="6EE0EF80" w14:textId="77777777" w:rsidR="00000000" w:rsidRDefault="001A570A">
            <w:pP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50F7D0" w14:textId="77777777" w:rsidR="00000000" w:rsidRDefault="001A570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3FB936"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46B10D8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FF33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36226"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01D9105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5A15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1B737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29FD3E" w14:textId="77777777" w:rsidR="00000000" w:rsidRDefault="001A570A">
            <w:pPr>
              <w:rPr>
                <w:rFonts w:eastAsia="Times New Roman"/>
              </w:rPr>
            </w:pPr>
            <w:r>
              <w:rPr>
                <w:rFonts w:eastAsia="Times New Roman"/>
                <w:color w:val="000000"/>
                <w:sz w:val="20"/>
                <w:szCs w:val="20"/>
              </w:rPr>
              <w:t>%</w:t>
            </w:r>
          </w:p>
        </w:tc>
      </w:tr>
      <w:tr w:rsidR="00000000" w14:paraId="083FED00" w14:textId="77777777">
        <w:trPr>
          <w:divId w:val="378629895"/>
        </w:trPr>
        <w:tc>
          <w:tcPr>
            <w:tcW w:w="0" w:type="auto"/>
            <w:gridSpan w:val="3"/>
            <w:shd w:val="clear" w:color="auto" w:fill="CCEEFF"/>
            <w:tcMar>
              <w:top w:w="30" w:type="dxa"/>
              <w:left w:w="20" w:type="dxa"/>
              <w:bottom w:w="30" w:type="dxa"/>
              <w:right w:w="20" w:type="dxa"/>
            </w:tcMar>
            <w:vAlign w:val="bottom"/>
            <w:hideMark/>
          </w:tcPr>
          <w:p w14:paraId="732DBDC3"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CCEEFF"/>
            <w:tcMar>
              <w:top w:w="30" w:type="dxa"/>
              <w:left w:w="20" w:type="dxa"/>
              <w:bottom w:w="30" w:type="dxa"/>
              <w:right w:w="0" w:type="dxa"/>
            </w:tcMar>
            <w:vAlign w:val="bottom"/>
            <w:hideMark/>
          </w:tcPr>
          <w:p w14:paraId="3CD5C7BE" w14:textId="77777777" w:rsidR="00000000" w:rsidRDefault="001A570A">
            <w:pPr>
              <w:jc w:val="right"/>
              <w:rPr>
                <w:rFonts w:eastAsia="Times New Roman"/>
              </w:rPr>
            </w:pPr>
            <w:r>
              <w:rPr>
                <w:rFonts w:eastAsia="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14:paraId="705C9F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EF6E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6246C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42BBE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F64F5"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D40F54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0D87D2"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20488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8B10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A48D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9ADA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1702E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75D11"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A1A2665" w14:textId="77777777" w:rsidR="00000000" w:rsidRDefault="001A570A">
            <w:pPr>
              <w:jc w:val="right"/>
              <w:rPr>
                <w:rFonts w:eastAsia="Times New Roman"/>
              </w:rPr>
            </w:pPr>
            <w:r>
              <w:rPr>
                <w:rFonts w:eastAsia="Times New Roman"/>
                <w:color w:val="000000"/>
                <w:sz w:val="20"/>
                <w:szCs w:val="20"/>
              </w:rPr>
              <w:t>*</w:t>
            </w:r>
          </w:p>
        </w:tc>
      </w:tr>
      <w:tr w:rsidR="00000000" w14:paraId="7896AEE9" w14:textId="77777777">
        <w:trPr>
          <w:divId w:val="378629895"/>
        </w:trPr>
        <w:tc>
          <w:tcPr>
            <w:tcW w:w="0" w:type="auto"/>
            <w:gridSpan w:val="3"/>
            <w:vAlign w:val="center"/>
            <w:hideMark/>
          </w:tcPr>
          <w:p w14:paraId="1773D997" w14:textId="77777777" w:rsidR="00000000" w:rsidRDefault="001A570A">
            <w:pPr>
              <w:jc w:val="right"/>
              <w:rPr>
                <w:rFonts w:eastAsia="Times New Roman"/>
              </w:rPr>
            </w:pPr>
          </w:p>
        </w:tc>
        <w:tc>
          <w:tcPr>
            <w:tcW w:w="0" w:type="auto"/>
            <w:gridSpan w:val="3"/>
            <w:vAlign w:val="center"/>
            <w:hideMark/>
          </w:tcPr>
          <w:p w14:paraId="526F3F5C" w14:textId="77777777" w:rsidR="00000000" w:rsidRDefault="001A570A">
            <w:pPr>
              <w:rPr>
                <w:rFonts w:eastAsia="Times New Roman"/>
                <w:sz w:val="20"/>
                <w:szCs w:val="20"/>
              </w:rPr>
            </w:pPr>
          </w:p>
        </w:tc>
        <w:tc>
          <w:tcPr>
            <w:tcW w:w="0" w:type="auto"/>
            <w:gridSpan w:val="3"/>
            <w:vAlign w:val="center"/>
            <w:hideMark/>
          </w:tcPr>
          <w:p w14:paraId="10DE8D88" w14:textId="77777777" w:rsidR="00000000" w:rsidRDefault="001A570A">
            <w:pPr>
              <w:rPr>
                <w:rFonts w:eastAsia="Times New Roman"/>
                <w:sz w:val="20"/>
                <w:szCs w:val="20"/>
              </w:rPr>
            </w:pPr>
          </w:p>
        </w:tc>
        <w:tc>
          <w:tcPr>
            <w:tcW w:w="0" w:type="auto"/>
            <w:gridSpan w:val="3"/>
            <w:vAlign w:val="center"/>
            <w:hideMark/>
          </w:tcPr>
          <w:p w14:paraId="44E85D78" w14:textId="77777777" w:rsidR="00000000" w:rsidRDefault="001A570A">
            <w:pPr>
              <w:rPr>
                <w:rFonts w:eastAsia="Times New Roman"/>
                <w:sz w:val="20"/>
                <w:szCs w:val="20"/>
              </w:rPr>
            </w:pPr>
          </w:p>
        </w:tc>
        <w:tc>
          <w:tcPr>
            <w:tcW w:w="0" w:type="auto"/>
            <w:gridSpan w:val="3"/>
            <w:vAlign w:val="center"/>
            <w:hideMark/>
          </w:tcPr>
          <w:p w14:paraId="21568DE0" w14:textId="77777777" w:rsidR="00000000" w:rsidRDefault="001A570A">
            <w:pPr>
              <w:rPr>
                <w:rFonts w:eastAsia="Times New Roman"/>
                <w:sz w:val="20"/>
                <w:szCs w:val="20"/>
              </w:rPr>
            </w:pPr>
          </w:p>
        </w:tc>
        <w:tc>
          <w:tcPr>
            <w:tcW w:w="0" w:type="auto"/>
            <w:gridSpan w:val="3"/>
            <w:vAlign w:val="center"/>
            <w:hideMark/>
          </w:tcPr>
          <w:p w14:paraId="108D9695" w14:textId="77777777" w:rsidR="00000000" w:rsidRDefault="001A570A">
            <w:pPr>
              <w:rPr>
                <w:rFonts w:eastAsia="Times New Roman"/>
                <w:sz w:val="20"/>
                <w:szCs w:val="20"/>
              </w:rPr>
            </w:pPr>
          </w:p>
        </w:tc>
        <w:tc>
          <w:tcPr>
            <w:tcW w:w="0" w:type="auto"/>
            <w:gridSpan w:val="3"/>
            <w:vAlign w:val="center"/>
            <w:hideMark/>
          </w:tcPr>
          <w:p w14:paraId="22D67B31" w14:textId="77777777" w:rsidR="00000000" w:rsidRDefault="001A570A">
            <w:pPr>
              <w:rPr>
                <w:rFonts w:eastAsia="Times New Roman"/>
                <w:sz w:val="20"/>
                <w:szCs w:val="20"/>
              </w:rPr>
            </w:pPr>
          </w:p>
        </w:tc>
        <w:tc>
          <w:tcPr>
            <w:tcW w:w="0" w:type="auto"/>
            <w:gridSpan w:val="3"/>
            <w:vAlign w:val="center"/>
            <w:hideMark/>
          </w:tcPr>
          <w:p w14:paraId="1940CEF6" w14:textId="77777777" w:rsidR="00000000" w:rsidRDefault="001A570A">
            <w:pPr>
              <w:rPr>
                <w:rFonts w:eastAsia="Times New Roman"/>
                <w:sz w:val="20"/>
                <w:szCs w:val="20"/>
              </w:rPr>
            </w:pPr>
          </w:p>
        </w:tc>
        <w:tc>
          <w:tcPr>
            <w:tcW w:w="0" w:type="auto"/>
            <w:gridSpan w:val="3"/>
            <w:vAlign w:val="center"/>
            <w:hideMark/>
          </w:tcPr>
          <w:p w14:paraId="665063C5" w14:textId="77777777" w:rsidR="00000000" w:rsidRDefault="001A570A">
            <w:pPr>
              <w:rPr>
                <w:rFonts w:eastAsia="Times New Roman"/>
                <w:sz w:val="20"/>
                <w:szCs w:val="20"/>
              </w:rPr>
            </w:pPr>
          </w:p>
        </w:tc>
        <w:tc>
          <w:tcPr>
            <w:tcW w:w="0" w:type="auto"/>
            <w:gridSpan w:val="3"/>
            <w:vAlign w:val="center"/>
            <w:hideMark/>
          </w:tcPr>
          <w:p w14:paraId="35106372" w14:textId="77777777" w:rsidR="00000000" w:rsidRDefault="001A570A">
            <w:pPr>
              <w:rPr>
                <w:rFonts w:eastAsia="Times New Roman"/>
                <w:sz w:val="20"/>
                <w:szCs w:val="20"/>
              </w:rPr>
            </w:pPr>
          </w:p>
        </w:tc>
        <w:tc>
          <w:tcPr>
            <w:tcW w:w="0" w:type="auto"/>
            <w:gridSpan w:val="3"/>
            <w:vAlign w:val="center"/>
            <w:hideMark/>
          </w:tcPr>
          <w:p w14:paraId="50C3CEF3" w14:textId="77777777" w:rsidR="00000000" w:rsidRDefault="001A570A">
            <w:pPr>
              <w:rPr>
                <w:rFonts w:eastAsia="Times New Roman"/>
                <w:sz w:val="20"/>
                <w:szCs w:val="20"/>
              </w:rPr>
            </w:pPr>
          </w:p>
        </w:tc>
        <w:tc>
          <w:tcPr>
            <w:tcW w:w="0" w:type="auto"/>
            <w:gridSpan w:val="3"/>
            <w:vAlign w:val="center"/>
            <w:hideMark/>
          </w:tcPr>
          <w:p w14:paraId="02E72582" w14:textId="77777777" w:rsidR="00000000" w:rsidRDefault="001A570A">
            <w:pPr>
              <w:rPr>
                <w:rFonts w:eastAsia="Times New Roman"/>
                <w:sz w:val="20"/>
                <w:szCs w:val="20"/>
              </w:rPr>
            </w:pPr>
          </w:p>
        </w:tc>
      </w:tr>
    </w:tbl>
    <w:p w14:paraId="47C113D0" w14:textId="77777777" w:rsidR="00000000" w:rsidRDefault="001A570A">
      <w:pPr>
        <w:jc w:val="both"/>
        <w:divId w:val="280570234"/>
        <w:rPr>
          <w:rFonts w:eastAsia="Times New Roman"/>
        </w:rPr>
      </w:pPr>
      <w:r>
        <w:rPr>
          <w:rFonts w:eastAsia="Times New Roman"/>
          <w:color w:val="000000"/>
          <w:sz w:val="16"/>
          <w:szCs w:val="16"/>
        </w:rPr>
        <w:t>_________________</w:t>
      </w:r>
    </w:p>
    <w:p w14:paraId="5521E402" w14:textId="77777777" w:rsidR="00000000" w:rsidRDefault="001A570A">
      <w:pPr>
        <w:ind w:hanging="360"/>
        <w:divId w:val="1046952928"/>
        <w:rPr>
          <w:rFonts w:eastAsia="Times New Roman"/>
        </w:rPr>
      </w:pPr>
      <w:r>
        <w:rPr>
          <w:rFonts w:eastAsia="Times New Roman"/>
          <w:color w:val="000000"/>
          <w:sz w:val="16"/>
          <w:szCs w:val="16"/>
        </w:rPr>
        <w:t>*Not meaningful</w:t>
      </w:r>
    </w:p>
    <w:p w14:paraId="10350B94" w14:textId="77777777" w:rsidR="00000000" w:rsidRDefault="001A570A">
      <w:pPr>
        <w:ind w:firstLine="450"/>
        <w:divId w:val="476192591"/>
        <w:rPr>
          <w:rFonts w:eastAsia="Times New Roman"/>
        </w:rPr>
      </w:pPr>
      <w:r>
        <w:rPr>
          <w:rFonts w:eastAsia="Times New Roman"/>
          <w:i/>
          <w:iCs/>
          <w:color w:val="000000"/>
          <w:sz w:val="20"/>
          <w:szCs w:val="20"/>
        </w:rPr>
        <w:t xml:space="preserve">Fiscal Year Ended January 1, 2021 Compared With Four Quarters Ended January 3, 2020: </w:t>
      </w:r>
      <w:r>
        <w:rPr>
          <w:rFonts w:eastAsia="Times New Roman"/>
          <w:color w:val="000000"/>
          <w:sz w:val="20"/>
          <w:szCs w:val="20"/>
        </w:rPr>
        <w:t> </w:t>
      </w:r>
      <w:r>
        <w:rPr>
          <w:rFonts w:eastAsia="Times New Roman"/>
          <w:color w:val="000000"/>
          <w:sz w:val="20"/>
          <w:szCs w:val="20"/>
        </w:rPr>
        <w:t>The decrease in unallocated corporate expense in fiscal 2020 compared with the four quarters ended January 3, 2020 on both an as reported and pro forma basis was primarily due to $111 million of lower cost of sales related to the fair value step-up in inve</w:t>
      </w:r>
      <w:r>
        <w:rPr>
          <w:rFonts w:eastAsia="Times New Roman"/>
          <w:color w:val="000000"/>
          <w:sz w:val="20"/>
          <w:szCs w:val="20"/>
        </w:rPr>
        <w:t>ntory sold in fiscal 2020 and a $22 million gain on sale of property, plant and equipment, partially offset by higher L3Harris Merger-related equity compensation expense, the timing of expense accruals, a $14 million non-cash goodwill impairment charge rel</w:t>
      </w:r>
      <w:r>
        <w:rPr>
          <w:rFonts w:eastAsia="Times New Roman"/>
          <w:color w:val="000000"/>
          <w:sz w:val="20"/>
          <w:szCs w:val="20"/>
        </w:rPr>
        <w:t xml:space="preserve">ated to a potential divestiture, and $13 million of higher divestiture-related expenses in fiscal 2020. </w:t>
      </w:r>
    </w:p>
    <w:p w14:paraId="5E09E0FD" w14:textId="77777777" w:rsidR="00000000" w:rsidRDefault="001A570A">
      <w:pPr>
        <w:ind w:firstLine="450"/>
        <w:divId w:val="427972739"/>
        <w:rPr>
          <w:rFonts w:eastAsia="Times New Roman"/>
        </w:rPr>
      </w:pPr>
      <w:r>
        <w:rPr>
          <w:rFonts w:eastAsia="Times New Roman"/>
          <w:i/>
          <w:iCs/>
          <w:color w:val="000000"/>
          <w:sz w:val="20"/>
          <w:szCs w:val="20"/>
        </w:rPr>
        <w:t>Two Quarters Ended January 3, 2020 Compared With Two Quarters Ended December 28, 2018:</w:t>
      </w:r>
      <w:r>
        <w:rPr>
          <w:rFonts w:eastAsia="Times New Roman"/>
          <w:color w:val="000000"/>
          <w:sz w:val="20"/>
          <w:szCs w:val="20"/>
        </w:rPr>
        <w:t xml:space="preserve"> The increase in unallocated corporate expense during the two qua</w:t>
      </w:r>
      <w:r>
        <w:rPr>
          <w:rFonts w:eastAsia="Times New Roman"/>
          <w:color w:val="000000"/>
          <w:sz w:val="20"/>
          <w:szCs w:val="20"/>
        </w:rPr>
        <w:t>rters ended January 3, 2020 compared with the two quarters ended December 28, 2018 was due to $142 million of additional cost of sales related to the fair value step-up in inventory sold and a $10 million non-cash cumulative adjustment to lease expense, pa</w:t>
      </w:r>
      <w:r>
        <w:rPr>
          <w:rFonts w:eastAsia="Times New Roman"/>
          <w:color w:val="000000"/>
          <w:sz w:val="20"/>
          <w:szCs w:val="20"/>
        </w:rPr>
        <w:t>rtially offset by a $12 million gain on the sale of an asset group in the two quarters ended January 3, 2020.</w:t>
      </w:r>
    </w:p>
    <w:p w14:paraId="3C093AE7" w14:textId="77777777" w:rsidR="00000000" w:rsidRDefault="001A570A">
      <w:pPr>
        <w:divId w:val="750589813"/>
        <w:rPr>
          <w:rFonts w:eastAsia="Times New Roman"/>
        </w:rPr>
      </w:pPr>
      <w:r>
        <w:rPr>
          <w:rFonts w:eastAsia="Times New Roman"/>
          <w:b/>
          <w:bCs/>
          <w:color w:val="000000"/>
          <w:sz w:val="20"/>
          <w:szCs w:val="20"/>
        </w:rPr>
        <w:t>LIQUIDITY, CAPITAL RESOURCES AND FINANCIAL STRATEGIES</w:t>
      </w:r>
    </w:p>
    <w:p w14:paraId="49258676" w14:textId="77777777" w:rsidR="00000000" w:rsidRDefault="001A570A">
      <w:pPr>
        <w:divId w:val="51851023"/>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838"/>
        <w:gridCol w:w="40"/>
        <w:gridCol w:w="121"/>
        <w:gridCol w:w="679"/>
        <w:gridCol w:w="37"/>
        <w:gridCol w:w="36"/>
        <w:gridCol w:w="36"/>
        <w:gridCol w:w="36"/>
        <w:gridCol w:w="122"/>
        <w:gridCol w:w="774"/>
        <w:gridCol w:w="37"/>
        <w:gridCol w:w="36"/>
        <w:gridCol w:w="36"/>
        <w:gridCol w:w="36"/>
        <w:gridCol w:w="121"/>
        <w:gridCol w:w="608"/>
        <w:gridCol w:w="37"/>
        <w:gridCol w:w="36"/>
        <w:gridCol w:w="36"/>
        <w:gridCol w:w="36"/>
        <w:gridCol w:w="122"/>
        <w:gridCol w:w="770"/>
        <w:gridCol w:w="37"/>
        <w:gridCol w:w="36"/>
        <w:gridCol w:w="36"/>
        <w:gridCol w:w="36"/>
        <w:gridCol w:w="120"/>
        <w:gridCol w:w="500"/>
        <w:gridCol w:w="36"/>
        <w:gridCol w:w="36"/>
        <w:gridCol w:w="36"/>
        <w:gridCol w:w="36"/>
        <w:gridCol w:w="120"/>
        <w:gridCol w:w="570"/>
        <w:gridCol w:w="36"/>
      </w:tblGrid>
      <w:tr w:rsidR="00000000" w14:paraId="4B044FC7" w14:textId="77777777">
        <w:trPr>
          <w:divId w:val="925966028"/>
        </w:trPr>
        <w:tc>
          <w:tcPr>
            <w:tcW w:w="50" w:type="pct"/>
            <w:vAlign w:val="center"/>
            <w:hideMark/>
          </w:tcPr>
          <w:p w14:paraId="3FA42ED7" w14:textId="77777777" w:rsidR="00000000" w:rsidRDefault="001A570A">
            <w:pPr>
              <w:rPr>
                <w:rFonts w:eastAsia="Times New Roman"/>
              </w:rPr>
            </w:pPr>
          </w:p>
        </w:tc>
        <w:tc>
          <w:tcPr>
            <w:tcW w:w="1776" w:type="pct"/>
            <w:vAlign w:val="center"/>
            <w:hideMark/>
          </w:tcPr>
          <w:p w14:paraId="18A5BD02" w14:textId="77777777" w:rsidR="00000000" w:rsidRDefault="001A570A">
            <w:pPr>
              <w:rPr>
                <w:rFonts w:eastAsia="Times New Roman"/>
                <w:sz w:val="20"/>
                <w:szCs w:val="20"/>
              </w:rPr>
            </w:pPr>
          </w:p>
        </w:tc>
        <w:tc>
          <w:tcPr>
            <w:tcW w:w="5" w:type="pct"/>
            <w:vAlign w:val="center"/>
            <w:hideMark/>
          </w:tcPr>
          <w:p w14:paraId="2950B378" w14:textId="77777777" w:rsidR="00000000" w:rsidRDefault="001A570A">
            <w:pPr>
              <w:rPr>
                <w:rFonts w:eastAsia="Times New Roman"/>
                <w:sz w:val="20"/>
                <w:szCs w:val="20"/>
              </w:rPr>
            </w:pPr>
          </w:p>
        </w:tc>
        <w:tc>
          <w:tcPr>
            <w:tcW w:w="50" w:type="pct"/>
            <w:vAlign w:val="center"/>
            <w:hideMark/>
          </w:tcPr>
          <w:p w14:paraId="1801CFD9" w14:textId="77777777" w:rsidR="00000000" w:rsidRDefault="001A570A">
            <w:pPr>
              <w:rPr>
                <w:rFonts w:eastAsia="Times New Roman"/>
                <w:sz w:val="20"/>
                <w:szCs w:val="20"/>
              </w:rPr>
            </w:pPr>
          </w:p>
        </w:tc>
        <w:tc>
          <w:tcPr>
            <w:tcW w:w="455" w:type="pct"/>
            <w:vAlign w:val="center"/>
            <w:hideMark/>
          </w:tcPr>
          <w:p w14:paraId="188F75BA" w14:textId="77777777" w:rsidR="00000000" w:rsidRDefault="001A570A">
            <w:pPr>
              <w:rPr>
                <w:rFonts w:eastAsia="Times New Roman"/>
                <w:sz w:val="20"/>
                <w:szCs w:val="20"/>
              </w:rPr>
            </w:pPr>
          </w:p>
        </w:tc>
        <w:tc>
          <w:tcPr>
            <w:tcW w:w="5" w:type="pct"/>
            <w:vAlign w:val="center"/>
            <w:hideMark/>
          </w:tcPr>
          <w:p w14:paraId="52A41565" w14:textId="77777777" w:rsidR="00000000" w:rsidRDefault="001A570A">
            <w:pPr>
              <w:rPr>
                <w:rFonts w:eastAsia="Times New Roman"/>
                <w:sz w:val="20"/>
                <w:szCs w:val="20"/>
              </w:rPr>
            </w:pPr>
          </w:p>
        </w:tc>
        <w:tc>
          <w:tcPr>
            <w:tcW w:w="5" w:type="pct"/>
            <w:vAlign w:val="center"/>
            <w:hideMark/>
          </w:tcPr>
          <w:p w14:paraId="7BD59FB3" w14:textId="77777777" w:rsidR="00000000" w:rsidRDefault="001A570A">
            <w:pPr>
              <w:rPr>
                <w:rFonts w:eastAsia="Times New Roman"/>
                <w:sz w:val="20"/>
                <w:szCs w:val="20"/>
              </w:rPr>
            </w:pPr>
          </w:p>
        </w:tc>
        <w:tc>
          <w:tcPr>
            <w:tcW w:w="25" w:type="pct"/>
            <w:vAlign w:val="center"/>
            <w:hideMark/>
          </w:tcPr>
          <w:p w14:paraId="4D5C9854" w14:textId="77777777" w:rsidR="00000000" w:rsidRDefault="001A570A">
            <w:pPr>
              <w:rPr>
                <w:rFonts w:eastAsia="Times New Roman"/>
                <w:sz w:val="20"/>
                <w:szCs w:val="20"/>
              </w:rPr>
            </w:pPr>
          </w:p>
        </w:tc>
        <w:tc>
          <w:tcPr>
            <w:tcW w:w="5" w:type="pct"/>
            <w:vAlign w:val="center"/>
            <w:hideMark/>
          </w:tcPr>
          <w:p w14:paraId="744CA38E" w14:textId="77777777" w:rsidR="00000000" w:rsidRDefault="001A570A">
            <w:pPr>
              <w:rPr>
                <w:rFonts w:eastAsia="Times New Roman"/>
                <w:sz w:val="20"/>
                <w:szCs w:val="20"/>
              </w:rPr>
            </w:pPr>
          </w:p>
        </w:tc>
        <w:tc>
          <w:tcPr>
            <w:tcW w:w="50" w:type="pct"/>
            <w:vAlign w:val="center"/>
            <w:hideMark/>
          </w:tcPr>
          <w:p w14:paraId="3B2B8502" w14:textId="77777777" w:rsidR="00000000" w:rsidRDefault="001A570A">
            <w:pPr>
              <w:rPr>
                <w:rFonts w:eastAsia="Times New Roman"/>
                <w:sz w:val="20"/>
                <w:szCs w:val="20"/>
              </w:rPr>
            </w:pPr>
          </w:p>
        </w:tc>
        <w:tc>
          <w:tcPr>
            <w:tcW w:w="455" w:type="pct"/>
            <w:vAlign w:val="center"/>
            <w:hideMark/>
          </w:tcPr>
          <w:p w14:paraId="0F9A7279" w14:textId="77777777" w:rsidR="00000000" w:rsidRDefault="001A570A">
            <w:pPr>
              <w:rPr>
                <w:rFonts w:eastAsia="Times New Roman"/>
                <w:sz w:val="20"/>
                <w:szCs w:val="20"/>
              </w:rPr>
            </w:pPr>
          </w:p>
        </w:tc>
        <w:tc>
          <w:tcPr>
            <w:tcW w:w="5" w:type="pct"/>
            <w:vAlign w:val="center"/>
            <w:hideMark/>
          </w:tcPr>
          <w:p w14:paraId="33265025" w14:textId="77777777" w:rsidR="00000000" w:rsidRDefault="001A570A">
            <w:pPr>
              <w:rPr>
                <w:rFonts w:eastAsia="Times New Roman"/>
                <w:sz w:val="20"/>
                <w:szCs w:val="20"/>
              </w:rPr>
            </w:pPr>
          </w:p>
        </w:tc>
        <w:tc>
          <w:tcPr>
            <w:tcW w:w="5" w:type="pct"/>
            <w:vAlign w:val="center"/>
            <w:hideMark/>
          </w:tcPr>
          <w:p w14:paraId="5FDD5A28" w14:textId="77777777" w:rsidR="00000000" w:rsidRDefault="001A570A">
            <w:pPr>
              <w:rPr>
                <w:rFonts w:eastAsia="Times New Roman"/>
                <w:sz w:val="20"/>
                <w:szCs w:val="20"/>
              </w:rPr>
            </w:pPr>
          </w:p>
        </w:tc>
        <w:tc>
          <w:tcPr>
            <w:tcW w:w="18" w:type="pct"/>
            <w:vAlign w:val="center"/>
            <w:hideMark/>
          </w:tcPr>
          <w:p w14:paraId="49D88BA5" w14:textId="77777777" w:rsidR="00000000" w:rsidRDefault="001A570A">
            <w:pPr>
              <w:rPr>
                <w:rFonts w:eastAsia="Times New Roman"/>
                <w:sz w:val="20"/>
                <w:szCs w:val="20"/>
              </w:rPr>
            </w:pPr>
          </w:p>
        </w:tc>
        <w:tc>
          <w:tcPr>
            <w:tcW w:w="5" w:type="pct"/>
            <w:vAlign w:val="center"/>
            <w:hideMark/>
          </w:tcPr>
          <w:p w14:paraId="13720DFD" w14:textId="77777777" w:rsidR="00000000" w:rsidRDefault="001A570A">
            <w:pPr>
              <w:rPr>
                <w:rFonts w:eastAsia="Times New Roman"/>
                <w:sz w:val="20"/>
                <w:szCs w:val="20"/>
              </w:rPr>
            </w:pPr>
          </w:p>
        </w:tc>
        <w:tc>
          <w:tcPr>
            <w:tcW w:w="50" w:type="pct"/>
            <w:vAlign w:val="center"/>
            <w:hideMark/>
          </w:tcPr>
          <w:p w14:paraId="198F5C9C" w14:textId="77777777" w:rsidR="00000000" w:rsidRDefault="001A570A">
            <w:pPr>
              <w:rPr>
                <w:rFonts w:eastAsia="Times New Roman"/>
                <w:sz w:val="20"/>
                <w:szCs w:val="20"/>
              </w:rPr>
            </w:pPr>
          </w:p>
        </w:tc>
        <w:tc>
          <w:tcPr>
            <w:tcW w:w="455" w:type="pct"/>
            <w:vAlign w:val="center"/>
            <w:hideMark/>
          </w:tcPr>
          <w:p w14:paraId="2BE07AE7" w14:textId="77777777" w:rsidR="00000000" w:rsidRDefault="001A570A">
            <w:pPr>
              <w:rPr>
                <w:rFonts w:eastAsia="Times New Roman"/>
                <w:sz w:val="20"/>
                <w:szCs w:val="20"/>
              </w:rPr>
            </w:pPr>
          </w:p>
        </w:tc>
        <w:tc>
          <w:tcPr>
            <w:tcW w:w="5" w:type="pct"/>
            <w:vAlign w:val="center"/>
            <w:hideMark/>
          </w:tcPr>
          <w:p w14:paraId="5DD7CC87" w14:textId="77777777" w:rsidR="00000000" w:rsidRDefault="001A570A">
            <w:pPr>
              <w:rPr>
                <w:rFonts w:eastAsia="Times New Roman"/>
                <w:sz w:val="20"/>
                <w:szCs w:val="20"/>
              </w:rPr>
            </w:pPr>
          </w:p>
        </w:tc>
        <w:tc>
          <w:tcPr>
            <w:tcW w:w="5" w:type="pct"/>
            <w:vAlign w:val="center"/>
            <w:hideMark/>
          </w:tcPr>
          <w:p w14:paraId="3ACE445D" w14:textId="77777777" w:rsidR="00000000" w:rsidRDefault="001A570A">
            <w:pPr>
              <w:rPr>
                <w:rFonts w:eastAsia="Times New Roman"/>
                <w:sz w:val="20"/>
                <w:szCs w:val="20"/>
              </w:rPr>
            </w:pPr>
          </w:p>
        </w:tc>
        <w:tc>
          <w:tcPr>
            <w:tcW w:w="25" w:type="pct"/>
            <w:vAlign w:val="center"/>
            <w:hideMark/>
          </w:tcPr>
          <w:p w14:paraId="16217E27" w14:textId="77777777" w:rsidR="00000000" w:rsidRDefault="001A570A">
            <w:pPr>
              <w:rPr>
                <w:rFonts w:eastAsia="Times New Roman"/>
                <w:sz w:val="20"/>
                <w:szCs w:val="20"/>
              </w:rPr>
            </w:pPr>
          </w:p>
        </w:tc>
        <w:tc>
          <w:tcPr>
            <w:tcW w:w="5" w:type="pct"/>
            <w:vAlign w:val="center"/>
            <w:hideMark/>
          </w:tcPr>
          <w:p w14:paraId="1DF153E5" w14:textId="77777777" w:rsidR="00000000" w:rsidRDefault="001A570A">
            <w:pPr>
              <w:rPr>
                <w:rFonts w:eastAsia="Times New Roman"/>
                <w:sz w:val="20"/>
                <w:szCs w:val="20"/>
              </w:rPr>
            </w:pPr>
          </w:p>
        </w:tc>
        <w:tc>
          <w:tcPr>
            <w:tcW w:w="50" w:type="pct"/>
            <w:vAlign w:val="center"/>
            <w:hideMark/>
          </w:tcPr>
          <w:p w14:paraId="4E2C34BC" w14:textId="77777777" w:rsidR="00000000" w:rsidRDefault="001A570A">
            <w:pPr>
              <w:rPr>
                <w:rFonts w:eastAsia="Times New Roman"/>
                <w:sz w:val="20"/>
                <w:szCs w:val="20"/>
              </w:rPr>
            </w:pPr>
          </w:p>
        </w:tc>
        <w:tc>
          <w:tcPr>
            <w:tcW w:w="433" w:type="pct"/>
            <w:vAlign w:val="center"/>
            <w:hideMark/>
          </w:tcPr>
          <w:p w14:paraId="10EFE126" w14:textId="77777777" w:rsidR="00000000" w:rsidRDefault="001A570A">
            <w:pPr>
              <w:rPr>
                <w:rFonts w:eastAsia="Times New Roman"/>
                <w:sz w:val="20"/>
                <w:szCs w:val="20"/>
              </w:rPr>
            </w:pPr>
          </w:p>
        </w:tc>
        <w:tc>
          <w:tcPr>
            <w:tcW w:w="5" w:type="pct"/>
            <w:vAlign w:val="center"/>
            <w:hideMark/>
          </w:tcPr>
          <w:p w14:paraId="5D9D21E8" w14:textId="77777777" w:rsidR="00000000" w:rsidRDefault="001A570A">
            <w:pPr>
              <w:rPr>
                <w:rFonts w:eastAsia="Times New Roman"/>
                <w:sz w:val="20"/>
                <w:szCs w:val="20"/>
              </w:rPr>
            </w:pPr>
          </w:p>
        </w:tc>
        <w:tc>
          <w:tcPr>
            <w:tcW w:w="5" w:type="pct"/>
            <w:vAlign w:val="center"/>
            <w:hideMark/>
          </w:tcPr>
          <w:p w14:paraId="702A9679" w14:textId="77777777" w:rsidR="00000000" w:rsidRDefault="001A570A">
            <w:pPr>
              <w:rPr>
                <w:rFonts w:eastAsia="Times New Roman"/>
                <w:sz w:val="20"/>
                <w:szCs w:val="20"/>
              </w:rPr>
            </w:pPr>
          </w:p>
        </w:tc>
        <w:tc>
          <w:tcPr>
            <w:tcW w:w="25" w:type="pct"/>
            <w:vAlign w:val="center"/>
            <w:hideMark/>
          </w:tcPr>
          <w:p w14:paraId="2CDB8DF4" w14:textId="77777777" w:rsidR="00000000" w:rsidRDefault="001A570A">
            <w:pPr>
              <w:rPr>
                <w:rFonts w:eastAsia="Times New Roman"/>
                <w:sz w:val="20"/>
                <w:szCs w:val="20"/>
              </w:rPr>
            </w:pPr>
          </w:p>
        </w:tc>
        <w:tc>
          <w:tcPr>
            <w:tcW w:w="5" w:type="pct"/>
            <w:vAlign w:val="center"/>
            <w:hideMark/>
          </w:tcPr>
          <w:p w14:paraId="7DE195FD" w14:textId="77777777" w:rsidR="00000000" w:rsidRDefault="001A570A">
            <w:pPr>
              <w:rPr>
                <w:rFonts w:eastAsia="Times New Roman"/>
                <w:sz w:val="20"/>
                <w:szCs w:val="20"/>
              </w:rPr>
            </w:pPr>
          </w:p>
        </w:tc>
        <w:tc>
          <w:tcPr>
            <w:tcW w:w="50" w:type="pct"/>
            <w:vAlign w:val="center"/>
            <w:hideMark/>
          </w:tcPr>
          <w:p w14:paraId="52440EA2" w14:textId="77777777" w:rsidR="00000000" w:rsidRDefault="001A570A">
            <w:pPr>
              <w:rPr>
                <w:rFonts w:eastAsia="Times New Roman"/>
                <w:sz w:val="20"/>
                <w:szCs w:val="20"/>
              </w:rPr>
            </w:pPr>
          </w:p>
        </w:tc>
        <w:tc>
          <w:tcPr>
            <w:tcW w:w="433" w:type="pct"/>
            <w:vAlign w:val="center"/>
            <w:hideMark/>
          </w:tcPr>
          <w:p w14:paraId="17F24348" w14:textId="77777777" w:rsidR="00000000" w:rsidRDefault="001A570A">
            <w:pPr>
              <w:rPr>
                <w:rFonts w:eastAsia="Times New Roman"/>
                <w:sz w:val="20"/>
                <w:szCs w:val="20"/>
              </w:rPr>
            </w:pPr>
          </w:p>
        </w:tc>
        <w:tc>
          <w:tcPr>
            <w:tcW w:w="5" w:type="pct"/>
            <w:vAlign w:val="center"/>
            <w:hideMark/>
          </w:tcPr>
          <w:p w14:paraId="440BE03F" w14:textId="77777777" w:rsidR="00000000" w:rsidRDefault="001A570A">
            <w:pPr>
              <w:rPr>
                <w:rFonts w:eastAsia="Times New Roman"/>
                <w:sz w:val="20"/>
                <w:szCs w:val="20"/>
              </w:rPr>
            </w:pPr>
          </w:p>
        </w:tc>
        <w:tc>
          <w:tcPr>
            <w:tcW w:w="5" w:type="pct"/>
            <w:vAlign w:val="center"/>
            <w:hideMark/>
          </w:tcPr>
          <w:p w14:paraId="16A6A87B" w14:textId="77777777" w:rsidR="00000000" w:rsidRDefault="001A570A">
            <w:pPr>
              <w:rPr>
                <w:rFonts w:eastAsia="Times New Roman"/>
                <w:sz w:val="20"/>
                <w:szCs w:val="20"/>
              </w:rPr>
            </w:pPr>
          </w:p>
        </w:tc>
        <w:tc>
          <w:tcPr>
            <w:tcW w:w="25" w:type="pct"/>
            <w:vAlign w:val="center"/>
            <w:hideMark/>
          </w:tcPr>
          <w:p w14:paraId="129A3720" w14:textId="77777777" w:rsidR="00000000" w:rsidRDefault="001A570A">
            <w:pPr>
              <w:rPr>
                <w:rFonts w:eastAsia="Times New Roman"/>
                <w:sz w:val="20"/>
                <w:szCs w:val="20"/>
              </w:rPr>
            </w:pPr>
          </w:p>
        </w:tc>
        <w:tc>
          <w:tcPr>
            <w:tcW w:w="5" w:type="pct"/>
            <w:vAlign w:val="center"/>
            <w:hideMark/>
          </w:tcPr>
          <w:p w14:paraId="41418231" w14:textId="77777777" w:rsidR="00000000" w:rsidRDefault="001A570A">
            <w:pPr>
              <w:rPr>
                <w:rFonts w:eastAsia="Times New Roman"/>
                <w:sz w:val="20"/>
                <w:szCs w:val="20"/>
              </w:rPr>
            </w:pPr>
          </w:p>
        </w:tc>
        <w:tc>
          <w:tcPr>
            <w:tcW w:w="50" w:type="pct"/>
            <w:vAlign w:val="center"/>
            <w:hideMark/>
          </w:tcPr>
          <w:p w14:paraId="092C7B27" w14:textId="77777777" w:rsidR="00000000" w:rsidRDefault="001A570A">
            <w:pPr>
              <w:rPr>
                <w:rFonts w:eastAsia="Times New Roman"/>
                <w:sz w:val="20"/>
                <w:szCs w:val="20"/>
              </w:rPr>
            </w:pPr>
          </w:p>
        </w:tc>
        <w:tc>
          <w:tcPr>
            <w:tcW w:w="433" w:type="pct"/>
            <w:vAlign w:val="center"/>
            <w:hideMark/>
          </w:tcPr>
          <w:p w14:paraId="0A7D497C" w14:textId="77777777" w:rsidR="00000000" w:rsidRDefault="001A570A">
            <w:pPr>
              <w:rPr>
                <w:rFonts w:eastAsia="Times New Roman"/>
                <w:sz w:val="20"/>
                <w:szCs w:val="20"/>
              </w:rPr>
            </w:pPr>
          </w:p>
        </w:tc>
        <w:tc>
          <w:tcPr>
            <w:tcW w:w="5" w:type="pct"/>
            <w:vAlign w:val="center"/>
            <w:hideMark/>
          </w:tcPr>
          <w:p w14:paraId="0378C403" w14:textId="77777777" w:rsidR="00000000" w:rsidRDefault="001A570A">
            <w:pPr>
              <w:rPr>
                <w:rFonts w:eastAsia="Times New Roman"/>
                <w:sz w:val="20"/>
                <w:szCs w:val="20"/>
              </w:rPr>
            </w:pPr>
          </w:p>
        </w:tc>
      </w:tr>
      <w:tr w:rsidR="00000000" w14:paraId="4E71612C" w14:textId="77777777">
        <w:trPr>
          <w:divId w:val="925966028"/>
        </w:trPr>
        <w:tc>
          <w:tcPr>
            <w:tcW w:w="0" w:type="auto"/>
            <w:gridSpan w:val="3"/>
            <w:tcMar>
              <w:top w:w="30" w:type="dxa"/>
              <w:left w:w="20" w:type="dxa"/>
              <w:bottom w:w="30" w:type="dxa"/>
              <w:right w:w="20" w:type="dxa"/>
            </w:tcMar>
            <w:vAlign w:val="bottom"/>
            <w:hideMark/>
          </w:tcPr>
          <w:p w14:paraId="7F7550F8"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2B02577"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4A9A2B4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177C50D1" w14:textId="77777777" w:rsidR="00000000" w:rsidRDefault="001A570A">
            <w:pPr>
              <w:jc w:val="center"/>
              <w:rPr>
                <w:rFonts w:eastAsia="Times New Roman"/>
              </w:rPr>
            </w:pPr>
            <w:r>
              <w:rPr>
                <w:rFonts w:eastAsia="Times New Roman"/>
                <w:b/>
                <w:bCs/>
                <w:color w:val="000000"/>
                <w:sz w:val="16"/>
                <w:szCs w:val="16"/>
              </w:rPr>
              <w:t>Four Quarters Ended</w:t>
            </w:r>
          </w:p>
        </w:tc>
        <w:tc>
          <w:tcPr>
            <w:tcW w:w="0" w:type="auto"/>
            <w:gridSpan w:val="3"/>
            <w:tcMar>
              <w:top w:w="0" w:type="dxa"/>
              <w:left w:w="20" w:type="dxa"/>
              <w:bottom w:w="0" w:type="dxa"/>
              <w:right w:w="20" w:type="dxa"/>
            </w:tcMar>
            <w:vAlign w:val="center"/>
            <w:hideMark/>
          </w:tcPr>
          <w:p w14:paraId="1735109C"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9CAEA5D"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288DECBF"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7C011A2"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25D2399" w14:textId="77777777">
        <w:trPr>
          <w:divId w:val="925966028"/>
        </w:trPr>
        <w:tc>
          <w:tcPr>
            <w:tcW w:w="0" w:type="auto"/>
            <w:gridSpan w:val="3"/>
            <w:tcMar>
              <w:top w:w="0" w:type="dxa"/>
              <w:left w:w="20" w:type="dxa"/>
              <w:bottom w:w="0" w:type="dxa"/>
              <w:right w:w="20" w:type="dxa"/>
            </w:tcMar>
            <w:vAlign w:val="center"/>
            <w:hideMark/>
          </w:tcPr>
          <w:p w14:paraId="6EA9AF5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B8C56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117A7CD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148F17"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66C21B4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9E50C9"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14:paraId="378DF38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C37673" w14:textId="77777777" w:rsidR="00000000" w:rsidRDefault="001A570A">
            <w:pPr>
              <w:jc w:val="center"/>
              <w:rPr>
                <w:rFonts w:eastAsia="Times New Roman"/>
              </w:rPr>
            </w:pPr>
            <w:r>
              <w:rPr>
                <w:rFonts w:eastAsia="Times New Roman"/>
                <w:b/>
                <w:bCs/>
                <w:color w:val="000000"/>
                <w:sz w:val="16"/>
                <w:szCs w:val="16"/>
              </w:rPr>
              <w:t>December 28, 2018</w:t>
            </w:r>
          </w:p>
        </w:tc>
        <w:tc>
          <w:tcPr>
            <w:tcW w:w="0" w:type="auto"/>
            <w:gridSpan w:val="3"/>
            <w:tcMar>
              <w:top w:w="0" w:type="dxa"/>
              <w:left w:w="20" w:type="dxa"/>
              <w:bottom w:w="0" w:type="dxa"/>
              <w:right w:w="20" w:type="dxa"/>
            </w:tcMar>
            <w:vAlign w:val="center"/>
            <w:hideMark/>
          </w:tcPr>
          <w:p w14:paraId="74A40AC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3DFE1C"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694A4A37"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0E1C36" w14:textId="77777777" w:rsidR="00000000" w:rsidRDefault="001A570A">
            <w:pPr>
              <w:jc w:val="center"/>
              <w:rPr>
                <w:rFonts w:eastAsia="Times New Roman"/>
              </w:rPr>
            </w:pPr>
            <w:r>
              <w:rPr>
                <w:rFonts w:eastAsia="Times New Roman"/>
                <w:b/>
                <w:bCs/>
                <w:color w:val="000000"/>
                <w:sz w:val="16"/>
                <w:szCs w:val="16"/>
              </w:rPr>
              <w:t>June 29, 2018</w:t>
            </w:r>
          </w:p>
        </w:tc>
      </w:tr>
      <w:tr w:rsidR="00000000" w14:paraId="293D3C8E" w14:textId="77777777">
        <w:trPr>
          <w:divId w:val="925966028"/>
        </w:trPr>
        <w:tc>
          <w:tcPr>
            <w:tcW w:w="0" w:type="auto"/>
            <w:gridSpan w:val="3"/>
            <w:tcMar>
              <w:top w:w="30" w:type="dxa"/>
              <w:left w:w="20" w:type="dxa"/>
              <w:bottom w:w="30" w:type="dxa"/>
              <w:right w:w="20" w:type="dxa"/>
            </w:tcMar>
            <w:vAlign w:val="bottom"/>
            <w:hideMark/>
          </w:tcPr>
          <w:p w14:paraId="5A2B9892"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588F9C5"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02E2E78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D86A79"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6A7994A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489C57" w14:textId="77777777" w:rsidR="00000000" w:rsidRDefault="001A570A">
            <w:pPr>
              <w:jc w:val="center"/>
              <w:rPr>
                <w:rFonts w:eastAsia="Times New Roman"/>
              </w:rPr>
            </w:pPr>
            <w:r>
              <w:rPr>
                <w:rFonts w:eastAsia="Times New Roman"/>
                <w:b/>
                <w:bCs/>
                <w:color w:val="000000"/>
                <w:sz w:val="16"/>
                <w:szCs w:val="16"/>
              </w:rPr>
              <w:t>As Reported</w:t>
            </w:r>
          </w:p>
        </w:tc>
        <w:tc>
          <w:tcPr>
            <w:tcW w:w="0" w:type="auto"/>
            <w:gridSpan w:val="3"/>
            <w:tcMar>
              <w:top w:w="0" w:type="dxa"/>
              <w:left w:w="20" w:type="dxa"/>
              <w:bottom w:w="0" w:type="dxa"/>
              <w:right w:w="20" w:type="dxa"/>
            </w:tcMar>
            <w:vAlign w:val="center"/>
            <w:hideMark/>
          </w:tcPr>
          <w:p w14:paraId="5DA28EF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549ADD" w14:textId="77777777" w:rsidR="00000000" w:rsidRDefault="001A570A">
            <w:pPr>
              <w:jc w:val="center"/>
              <w:rPr>
                <w:rFonts w:eastAsia="Times New Roman"/>
              </w:rPr>
            </w:pPr>
            <w:r>
              <w:rPr>
                <w:rFonts w:eastAsia="Times New Roman"/>
                <w:b/>
                <w:bCs/>
                <w:color w:val="000000"/>
                <w:sz w:val="16"/>
                <w:szCs w:val="16"/>
              </w:rPr>
              <w:t>As Reported (Unaudited)</w:t>
            </w:r>
          </w:p>
        </w:tc>
        <w:tc>
          <w:tcPr>
            <w:tcW w:w="0" w:type="auto"/>
            <w:gridSpan w:val="3"/>
            <w:tcMar>
              <w:top w:w="0" w:type="dxa"/>
              <w:left w:w="20" w:type="dxa"/>
              <w:bottom w:w="0" w:type="dxa"/>
              <w:right w:w="20" w:type="dxa"/>
            </w:tcMar>
            <w:vAlign w:val="center"/>
            <w:hideMark/>
          </w:tcPr>
          <w:p w14:paraId="08C5DC0B" w14:textId="77777777" w:rsidR="00000000" w:rsidRDefault="001A570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997379D" w14:textId="77777777" w:rsidR="00000000" w:rsidRDefault="001A570A">
            <w:pPr>
              <w:jc w:val="center"/>
              <w:rPr>
                <w:rFonts w:eastAsia="Times New Roman"/>
              </w:rPr>
            </w:pPr>
            <w:r>
              <w:rPr>
                <w:rFonts w:eastAsia="Times New Roman"/>
                <w:b/>
                <w:bCs/>
                <w:color w:val="000000"/>
                <w:sz w:val="16"/>
                <w:szCs w:val="16"/>
              </w:rPr>
              <w:t>As Reported</w:t>
            </w:r>
          </w:p>
        </w:tc>
      </w:tr>
      <w:tr w:rsidR="00000000" w14:paraId="16821457" w14:textId="77777777">
        <w:trPr>
          <w:divId w:val="925966028"/>
          <w:trHeight w:val="60"/>
        </w:trPr>
        <w:tc>
          <w:tcPr>
            <w:tcW w:w="0" w:type="auto"/>
            <w:gridSpan w:val="3"/>
            <w:tcMar>
              <w:top w:w="0" w:type="dxa"/>
              <w:left w:w="20" w:type="dxa"/>
              <w:bottom w:w="0" w:type="dxa"/>
              <w:right w:w="20" w:type="dxa"/>
            </w:tcMar>
            <w:vAlign w:val="center"/>
            <w:hideMark/>
          </w:tcPr>
          <w:p w14:paraId="2D48E81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0FD297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B2C123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C3C85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5E9449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F8206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00E6D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A3A50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3FE29B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92881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7D143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7D1456" w14:textId="77777777" w:rsidR="00000000" w:rsidRDefault="001A570A">
            <w:pPr>
              <w:rPr>
                <w:rFonts w:eastAsia="Times New Roman"/>
                <w:sz w:val="20"/>
                <w:szCs w:val="20"/>
              </w:rPr>
            </w:pPr>
          </w:p>
        </w:tc>
      </w:tr>
      <w:tr w:rsidR="00000000" w14:paraId="7756DCEB" w14:textId="77777777">
        <w:trPr>
          <w:divId w:val="925966028"/>
        </w:trPr>
        <w:tc>
          <w:tcPr>
            <w:tcW w:w="0" w:type="auto"/>
            <w:gridSpan w:val="3"/>
            <w:shd w:val="clear" w:color="auto" w:fill="CCEEFF"/>
            <w:tcMar>
              <w:top w:w="30" w:type="dxa"/>
              <w:left w:w="20" w:type="dxa"/>
              <w:bottom w:w="30" w:type="dxa"/>
              <w:right w:w="20" w:type="dxa"/>
            </w:tcMar>
            <w:hideMark/>
          </w:tcPr>
          <w:p w14:paraId="17531311" w14:textId="77777777" w:rsidR="00000000" w:rsidRDefault="001A570A">
            <w:pPr>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14:paraId="690F354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7B2D20" w14:textId="77777777" w:rsidR="00000000" w:rsidRDefault="001A570A">
            <w:pPr>
              <w:jc w:val="right"/>
              <w:rPr>
                <w:rFonts w:eastAsia="Times New Roman"/>
              </w:rPr>
            </w:pPr>
            <w:r>
              <w:rPr>
                <w:rFonts w:eastAsia="Times New Roman"/>
                <w:color w:val="000000"/>
                <w:sz w:val="20"/>
                <w:szCs w:val="20"/>
              </w:rPr>
              <w:t>2,790 </w:t>
            </w:r>
          </w:p>
        </w:tc>
        <w:tc>
          <w:tcPr>
            <w:tcW w:w="0" w:type="auto"/>
            <w:shd w:val="clear" w:color="auto" w:fill="CCEEFF"/>
            <w:tcMar>
              <w:top w:w="30" w:type="dxa"/>
              <w:left w:w="0" w:type="dxa"/>
              <w:bottom w:w="30" w:type="dxa"/>
              <w:right w:w="20" w:type="dxa"/>
            </w:tcMar>
            <w:vAlign w:val="bottom"/>
            <w:hideMark/>
          </w:tcPr>
          <w:p w14:paraId="1B7ED9A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18C6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241AF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2C5885" w14:textId="77777777" w:rsidR="00000000" w:rsidRDefault="001A570A">
            <w:pPr>
              <w:jc w:val="right"/>
              <w:rPr>
                <w:rFonts w:eastAsia="Times New Roman"/>
              </w:rPr>
            </w:pPr>
            <w:r>
              <w:rPr>
                <w:rFonts w:eastAsia="Times New Roman"/>
                <w:color w:val="000000"/>
                <w:sz w:val="20"/>
                <w:szCs w:val="20"/>
              </w:rPr>
              <w:t>1,655 </w:t>
            </w:r>
          </w:p>
        </w:tc>
        <w:tc>
          <w:tcPr>
            <w:tcW w:w="0" w:type="auto"/>
            <w:shd w:val="clear" w:color="auto" w:fill="CCEEFF"/>
            <w:tcMar>
              <w:top w:w="30" w:type="dxa"/>
              <w:left w:w="0" w:type="dxa"/>
              <w:bottom w:w="30" w:type="dxa"/>
              <w:right w:w="20" w:type="dxa"/>
            </w:tcMar>
            <w:vAlign w:val="bottom"/>
            <w:hideMark/>
          </w:tcPr>
          <w:p w14:paraId="274C9C6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96DE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99A67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92CBAA" w14:textId="77777777" w:rsidR="00000000" w:rsidRDefault="001A570A">
            <w:pPr>
              <w:jc w:val="right"/>
              <w:rPr>
                <w:rFonts w:eastAsia="Times New Roman"/>
              </w:rPr>
            </w:pPr>
            <w:r>
              <w:rPr>
                <w:rFonts w:eastAsia="Times New Roman"/>
                <w:color w:val="000000"/>
                <w:sz w:val="20"/>
                <w:szCs w:val="20"/>
              </w:rPr>
              <w:t>939 </w:t>
            </w:r>
          </w:p>
        </w:tc>
        <w:tc>
          <w:tcPr>
            <w:tcW w:w="0" w:type="auto"/>
            <w:shd w:val="clear" w:color="auto" w:fill="CCEEFF"/>
            <w:tcMar>
              <w:top w:w="30" w:type="dxa"/>
              <w:left w:w="0" w:type="dxa"/>
              <w:bottom w:w="30" w:type="dxa"/>
              <w:right w:w="20" w:type="dxa"/>
            </w:tcMar>
            <w:vAlign w:val="bottom"/>
            <w:hideMark/>
          </w:tcPr>
          <w:p w14:paraId="169BFC5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C8FA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90427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53145D" w14:textId="77777777" w:rsidR="00000000" w:rsidRDefault="001A570A">
            <w:pPr>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14:paraId="2841300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BE96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973B4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CB4CCC" w14:textId="77777777" w:rsidR="00000000" w:rsidRDefault="001A570A">
            <w:pPr>
              <w:jc w:val="right"/>
              <w:rPr>
                <w:rFonts w:eastAsia="Times New Roman"/>
              </w:rPr>
            </w:pPr>
            <w:r>
              <w:rPr>
                <w:rFonts w:eastAsia="Times New Roman"/>
                <w:color w:val="000000"/>
                <w:sz w:val="20"/>
                <w:szCs w:val="20"/>
              </w:rPr>
              <w:t>1,185 </w:t>
            </w:r>
          </w:p>
        </w:tc>
        <w:tc>
          <w:tcPr>
            <w:tcW w:w="0" w:type="auto"/>
            <w:shd w:val="clear" w:color="auto" w:fill="CCEEFF"/>
            <w:tcMar>
              <w:top w:w="30" w:type="dxa"/>
              <w:left w:w="0" w:type="dxa"/>
              <w:bottom w:w="30" w:type="dxa"/>
              <w:right w:w="20" w:type="dxa"/>
            </w:tcMar>
            <w:vAlign w:val="bottom"/>
            <w:hideMark/>
          </w:tcPr>
          <w:p w14:paraId="104DF4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3E80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DA4DA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E20770" w14:textId="77777777" w:rsidR="00000000" w:rsidRDefault="001A570A">
            <w:pPr>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14:paraId="7444329E" w14:textId="77777777" w:rsidR="00000000" w:rsidRDefault="001A570A">
            <w:pPr>
              <w:jc w:val="right"/>
              <w:rPr>
                <w:rFonts w:eastAsia="Times New Roman"/>
              </w:rPr>
            </w:pPr>
          </w:p>
        </w:tc>
      </w:tr>
      <w:tr w:rsidR="00000000" w14:paraId="572DF282" w14:textId="77777777">
        <w:trPr>
          <w:divId w:val="925966028"/>
        </w:trPr>
        <w:tc>
          <w:tcPr>
            <w:tcW w:w="0" w:type="auto"/>
            <w:gridSpan w:val="3"/>
            <w:shd w:val="clear" w:color="auto" w:fill="FFFFFF"/>
            <w:tcMar>
              <w:top w:w="30" w:type="dxa"/>
              <w:left w:w="290" w:type="dxa"/>
              <w:bottom w:w="30" w:type="dxa"/>
              <w:right w:w="20" w:type="dxa"/>
            </w:tcMar>
            <w:hideMark/>
          </w:tcPr>
          <w:p w14:paraId="5A661795" w14:textId="77777777" w:rsidR="00000000" w:rsidRDefault="001A570A">
            <w:pPr>
              <w:ind w:hanging="270"/>
              <w:rPr>
                <w:rFonts w:eastAsia="Times New Roman"/>
              </w:rPr>
            </w:pPr>
            <w:r>
              <w:rPr>
                <w:rFonts w:eastAsia="Times New Roman"/>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14:paraId="19A3A4D8" w14:textId="77777777" w:rsidR="00000000" w:rsidRDefault="001A570A">
            <w:pPr>
              <w:jc w:val="right"/>
              <w:rPr>
                <w:rFonts w:eastAsia="Times New Roman"/>
              </w:rPr>
            </w:pPr>
            <w:r>
              <w:rPr>
                <w:rFonts w:eastAsia="Times New Roman"/>
                <w:color w:val="000000"/>
                <w:sz w:val="20"/>
                <w:szCs w:val="20"/>
              </w:rPr>
              <w:t>751 </w:t>
            </w:r>
          </w:p>
        </w:tc>
        <w:tc>
          <w:tcPr>
            <w:tcW w:w="0" w:type="auto"/>
            <w:shd w:val="clear" w:color="auto" w:fill="FFFFFF"/>
            <w:tcMar>
              <w:top w:w="30" w:type="dxa"/>
              <w:left w:w="0" w:type="dxa"/>
              <w:bottom w:w="30" w:type="dxa"/>
              <w:right w:w="20" w:type="dxa"/>
            </w:tcMar>
            <w:vAlign w:val="bottom"/>
            <w:hideMark/>
          </w:tcPr>
          <w:p w14:paraId="35F7B3A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40EE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D33DF" w14:textId="77777777" w:rsidR="00000000" w:rsidRDefault="001A570A">
            <w:pPr>
              <w:jc w:val="right"/>
              <w:rPr>
                <w:rFonts w:eastAsia="Times New Roman"/>
              </w:rPr>
            </w:pPr>
            <w:r>
              <w:rPr>
                <w:rFonts w:eastAsia="Times New Roman"/>
                <w:color w:val="000000"/>
                <w:sz w:val="20"/>
                <w:szCs w:val="20"/>
              </w:rPr>
              <w:t>1,228 </w:t>
            </w:r>
          </w:p>
        </w:tc>
        <w:tc>
          <w:tcPr>
            <w:tcW w:w="0" w:type="auto"/>
            <w:shd w:val="clear" w:color="auto" w:fill="FFFFFF"/>
            <w:tcMar>
              <w:top w:w="30" w:type="dxa"/>
              <w:left w:w="0" w:type="dxa"/>
              <w:bottom w:w="30" w:type="dxa"/>
              <w:right w:w="20" w:type="dxa"/>
            </w:tcMar>
            <w:vAlign w:val="bottom"/>
            <w:hideMark/>
          </w:tcPr>
          <w:p w14:paraId="57ABDE6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11BC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421EC" w14:textId="77777777" w:rsidR="00000000" w:rsidRDefault="001A570A">
            <w:pPr>
              <w:jc w:val="right"/>
              <w:rPr>
                <w:rFonts w:eastAsia="Times New Roman"/>
              </w:rPr>
            </w:pPr>
            <w:r>
              <w:rPr>
                <w:rFonts w:eastAsia="Times New Roman"/>
                <w:color w:val="000000"/>
                <w:sz w:val="20"/>
                <w:szCs w:val="20"/>
              </w:rPr>
              <w:t>1,320 </w:t>
            </w:r>
          </w:p>
        </w:tc>
        <w:tc>
          <w:tcPr>
            <w:tcW w:w="0" w:type="auto"/>
            <w:shd w:val="clear" w:color="auto" w:fill="FFFFFF"/>
            <w:tcMar>
              <w:top w:w="30" w:type="dxa"/>
              <w:left w:w="0" w:type="dxa"/>
              <w:bottom w:w="30" w:type="dxa"/>
              <w:right w:w="20" w:type="dxa"/>
            </w:tcMar>
            <w:vAlign w:val="bottom"/>
            <w:hideMark/>
          </w:tcPr>
          <w:p w14:paraId="3266393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DF50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9F0084" w14:textId="77777777" w:rsidR="00000000" w:rsidRDefault="001A570A">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14:paraId="30E387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0889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44C94C" w14:textId="77777777" w:rsidR="00000000" w:rsidRDefault="001A570A">
            <w:pPr>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14:paraId="65EB24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7BBB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88456" w14:textId="77777777" w:rsidR="00000000" w:rsidRDefault="001A570A">
            <w:pPr>
              <w:jc w:val="right"/>
              <w:rPr>
                <w:rFonts w:eastAsia="Times New Roman"/>
              </w:rPr>
            </w:pPr>
            <w:r>
              <w:rPr>
                <w:rFonts w:eastAsia="Times New Roman"/>
                <w:color w:val="000000"/>
                <w:sz w:val="20"/>
                <w:szCs w:val="20"/>
              </w:rPr>
              <w:t>(141)</w:t>
            </w:r>
          </w:p>
        </w:tc>
        <w:tc>
          <w:tcPr>
            <w:tcW w:w="0" w:type="auto"/>
            <w:shd w:val="clear" w:color="auto" w:fill="FFFFFF"/>
            <w:tcMar>
              <w:top w:w="30" w:type="dxa"/>
              <w:left w:w="0" w:type="dxa"/>
              <w:bottom w:w="30" w:type="dxa"/>
              <w:right w:w="20" w:type="dxa"/>
            </w:tcMar>
            <w:vAlign w:val="bottom"/>
            <w:hideMark/>
          </w:tcPr>
          <w:p w14:paraId="1409CDEE" w14:textId="77777777" w:rsidR="00000000" w:rsidRDefault="001A570A">
            <w:pPr>
              <w:jc w:val="right"/>
              <w:rPr>
                <w:rFonts w:eastAsia="Times New Roman"/>
              </w:rPr>
            </w:pPr>
          </w:p>
        </w:tc>
      </w:tr>
      <w:tr w:rsidR="00000000" w14:paraId="14199A3F" w14:textId="77777777">
        <w:trPr>
          <w:divId w:val="925966028"/>
        </w:trPr>
        <w:tc>
          <w:tcPr>
            <w:tcW w:w="0" w:type="auto"/>
            <w:gridSpan w:val="3"/>
            <w:shd w:val="clear" w:color="auto" w:fill="CCEEFF"/>
            <w:tcMar>
              <w:top w:w="30" w:type="dxa"/>
              <w:left w:w="20" w:type="dxa"/>
              <w:bottom w:w="30" w:type="dxa"/>
              <w:right w:w="20" w:type="dxa"/>
            </w:tcMar>
            <w:hideMark/>
          </w:tcPr>
          <w:p w14:paraId="18BD5745" w14:textId="77777777" w:rsidR="00000000" w:rsidRDefault="001A570A">
            <w:pPr>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14:paraId="32C9B714" w14:textId="77777777" w:rsidR="00000000" w:rsidRDefault="001A570A">
            <w:pPr>
              <w:jc w:val="right"/>
              <w:rPr>
                <w:rFonts w:eastAsia="Times New Roman"/>
              </w:rPr>
            </w:pPr>
            <w:r>
              <w:rPr>
                <w:rFonts w:eastAsia="Times New Roman"/>
                <w:color w:val="000000"/>
                <w:sz w:val="20"/>
                <w:szCs w:val="20"/>
              </w:rPr>
              <w:t>(3,112)</w:t>
            </w:r>
          </w:p>
        </w:tc>
        <w:tc>
          <w:tcPr>
            <w:tcW w:w="0" w:type="auto"/>
            <w:shd w:val="clear" w:color="auto" w:fill="CCEEFF"/>
            <w:tcMar>
              <w:top w:w="30" w:type="dxa"/>
              <w:left w:w="0" w:type="dxa"/>
              <w:bottom w:w="30" w:type="dxa"/>
              <w:right w:w="20" w:type="dxa"/>
            </w:tcMar>
            <w:vAlign w:val="bottom"/>
            <w:hideMark/>
          </w:tcPr>
          <w:p w14:paraId="7F8138E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0F06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C45ED6" w14:textId="77777777" w:rsidR="00000000" w:rsidRDefault="001A570A">
            <w:pPr>
              <w:jc w:val="right"/>
              <w:rPr>
                <w:rFonts w:eastAsia="Times New Roman"/>
              </w:rPr>
            </w:pPr>
            <w:r>
              <w:rPr>
                <w:rFonts w:eastAsia="Times New Roman"/>
                <w:color w:val="000000"/>
                <w:sz w:val="20"/>
                <w:szCs w:val="20"/>
              </w:rPr>
              <w:t>(2,410)</w:t>
            </w:r>
          </w:p>
        </w:tc>
        <w:tc>
          <w:tcPr>
            <w:tcW w:w="0" w:type="auto"/>
            <w:shd w:val="clear" w:color="auto" w:fill="CCEEFF"/>
            <w:tcMar>
              <w:top w:w="30" w:type="dxa"/>
              <w:left w:w="0" w:type="dxa"/>
              <w:bottom w:w="30" w:type="dxa"/>
              <w:right w:w="20" w:type="dxa"/>
            </w:tcMar>
            <w:vAlign w:val="bottom"/>
            <w:hideMark/>
          </w:tcPr>
          <w:p w14:paraId="46771E6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5DCA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0172A" w14:textId="77777777" w:rsidR="00000000" w:rsidRDefault="001A570A">
            <w:pPr>
              <w:jc w:val="right"/>
              <w:rPr>
                <w:rFonts w:eastAsia="Times New Roman"/>
              </w:rPr>
            </w:pPr>
            <w:r>
              <w:rPr>
                <w:rFonts w:eastAsia="Times New Roman"/>
                <w:color w:val="000000"/>
                <w:sz w:val="20"/>
                <w:szCs w:val="20"/>
              </w:rPr>
              <w:t>(1,971)</w:t>
            </w:r>
          </w:p>
        </w:tc>
        <w:tc>
          <w:tcPr>
            <w:tcW w:w="0" w:type="auto"/>
            <w:shd w:val="clear" w:color="auto" w:fill="CCEEFF"/>
            <w:tcMar>
              <w:top w:w="30" w:type="dxa"/>
              <w:left w:w="0" w:type="dxa"/>
              <w:bottom w:w="30" w:type="dxa"/>
              <w:right w:w="20" w:type="dxa"/>
            </w:tcMar>
            <w:vAlign w:val="bottom"/>
            <w:hideMark/>
          </w:tcPr>
          <w:p w14:paraId="6A058E2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C787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558F3" w14:textId="77777777" w:rsidR="00000000" w:rsidRDefault="001A570A">
            <w:pPr>
              <w:jc w:val="right"/>
              <w:rPr>
                <w:rFonts w:eastAsia="Times New Roman"/>
              </w:rPr>
            </w:pPr>
            <w:r>
              <w:rPr>
                <w:rFonts w:eastAsia="Times New Roman"/>
                <w:color w:val="000000"/>
                <w:sz w:val="20"/>
                <w:szCs w:val="20"/>
              </w:rPr>
              <w:t>(342)</w:t>
            </w:r>
          </w:p>
        </w:tc>
        <w:tc>
          <w:tcPr>
            <w:tcW w:w="0" w:type="auto"/>
            <w:shd w:val="clear" w:color="auto" w:fill="CCEEFF"/>
            <w:tcMar>
              <w:top w:w="30" w:type="dxa"/>
              <w:left w:w="0" w:type="dxa"/>
              <w:bottom w:w="30" w:type="dxa"/>
              <w:right w:w="20" w:type="dxa"/>
            </w:tcMar>
            <w:vAlign w:val="bottom"/>
            <w:hideMark/>
          </w:tcPr>
          <w:p w14:paraId="61022A4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CFB5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37474" w14:textId="77777777" w:rsidR="00000000" w:rsidRDefault="001A570A">
            <w:pPr>
              <w:jc w:val="right"/>
              <w:rPr>
                <w:rFonts w:eastAsia="Times New Roman"/>
              </w:rPr>
            </w:pPr>
            <w:r>
              <w:rPr>
                <w:rFonts w:eastAsia="Times New Roman"/>
                <w:color w:val="000000"/>
                <w:sz w:val="20"/>
                <w:szCs w:val="20"/>
              </w:rPr>
              <w:t>(781)</w:t>
            </w:r>
          </w:p>
        </w:tc>
        <w:tc>
          <w:tcPr>
            <w:tcW w:w="0" w:type="auto"/>
            <w:shd w:val="clear" w:color="auto" w:fill="CCEEFF"/>
            <w:tcMar>
              <w:top w:w="30" w:type="dxa"/>
              <w:left w:w="0" w:type="dxa"/>
              <w:bottom w:w="30" w:type="dxa"/>
              <w:right w:w="20" w:type="dxa"/>
            </w:tcMar>
            <w:vAlign w:val="bottom"/>
            <w:hideMark/>
          </w:tcPr>
          <w:p w14:paraId="5DF747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F3B5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E5710B" w14:textId="77777777" w:rsidR="00000000" w:rsidRDefault="001A570A">
            <w:pPr>
              <w:jc w:val="right"/>
              <w:rPr>
                <w:rFonts w:eastAsia="Times New Roman"/>
              </w:rPr>
            </w:pPr>
            <w:r>
              <w:rPr>
                <w:rFonts w:eastAsia="Times New Roman"/>
                <w:color w:val="000000"/>
                <w:sz w:val="20"/>
                <w:szCs w:val="20"/>
              </w:rPr>
              <w:t>(805)</w:t>
            </w:r>
          </w:p>
        </w:tc>
        <w:tc>
          <w:tcPr>
            <w:tcW w:w="0" w:type="auto"/>
            <w:shd w:val="clear" w:color="auto" w:fill="CCEEFF"/>
            <w:tcMar>
              <w:top w:w="30" w:type="dxa"/>
              <w:left w:w="0" w:type="dxa"/>
              <w:bottom w:w="30" w:type="dxa"/>
              <w:right w:w="20" w:type="dxa"/>
            </w:tcMar>
            <w:vAlign w:val="bottom"/>
            <w:hideMark/>
          </w:tcPr>
          <w:p w14:paraId="2C2EA26A" w14:textId="77777777" w:rsidR="00000000" w:rsidRDefault="001A570A">
            <w:pPr>
              <w:jc w:val="right"/>
              <w:rPr>
                <w:rFonts w:eastAsia="Times New Roman"/>
              </w:rPr>
            </w:pPr>
          </w:p>
        </w:tc>
      </w:tr>
      <w:tr w:rsidR="00000000" w14:paraId="67C52054" w14:textId="77777777">
        <w:trPr>
          <w:divId w:val="925966028"/>
        </w:trPr>
        <w:tc>
          <w:tcPr>
            <w:tcW w:w="0" w:type="auto"/>
            <w:gridSpan w:val="3"/>
            <w:shd w:val="clear" w:color="auto" w:fill="FFFFFF"/>
            <w:tcMar>
              <w:top w:w="30" w:type="dxa"/>
              <w:left w:w="20" w:type="dxa"/>
              <w:bottom w:w="30" w:type="dxa"/>
              <w:right w:w="20" w:type="dxa"/>
            </w:tcMar>
            <w:hideMark/>
          </w:tcPr>
          <w:p w14:paraId="353F1F48" w14:textId="77777777" w:rsidR="00000000" w:rsidRDefault="001A570A">
            <w:pPr>
              <w:ind w:hanging="270"/>
              <w:divId w:val="1758558571"/>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14:paraId="519FD011"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7AFDFDE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19B8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9189C"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74F1EEE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7637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5FD221"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0C0D062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2811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EF061"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21289EE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5638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A7264E"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61753B0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65A5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430BE"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3EEB5E7" w14:textId="77777777" w:rsidR="00000000" w:rsidRDefault="001A570A">
            <w:pPr>
              <w:jc w:val="right"/>
              <w:rPr>
                <w:rFonts w:eastAsia="Times New Roman"/>
              </w:rPr>
            </w:pPr>
          </w:p>
        </w:tc>
      </w:tr>
      <w:tr w:rsidR="00000000" w14:paraId="4A7D2958" w14:textId="77777777">
        <w:trPr>
          <w:divId w:val="925966028"/>
        </w:trPr>
        <w:tc>
          <w:tcPr>
            <w:tcW w:w="0" w:type="auto"/>
            <w:gridSpan w:val="3"/>
            <w:shd w:val="clear" w:color="auto" w:fill="CCEEFF"/>
            <w:tcMar>
              <w:top w:w="30" w:type="dxa"/>
              <w:left w:w="290" w:type="dxa"/>
              <w:bottom w:w="30" w:type="dxa"/>
              <w:right w:w="20" w:type="dxa"/>
            </w:tcMar>
            <w:hideMark/>
          </w:tcPr>
          <w:p w14:paraId="10762650" w14:textId="77777777" w:rsidR="00000000" w:rsidRDefault="001A570A">
            <w:pPr>
              <w:ind w:hanging="270"/>
              <w:rPr>
                <w:rFonts w:eastAsia="Times New Roman"/>
              </w:rPr>
            </w:pPr>
            <w:r>
              <w:rPr>
                <w:rFonts w:eastAsia="Times New Roman"/>
                <w:color w:val="000000"/>
                <w:sz w:val="20"/>
                <w:szCs w:val="20"/>
              </w:rPr>
              <w:t>Net increase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A87ED7" w14:textId="77777777" w:rsidR="00000000" w:rsidRDefault="001A570A">
            <w:pPr>
              <w:jc w:val="right"/>
              <w:rPr>
                <w:rFonts w:eastAsia="Times New Roman"/>
              </w:rPr>
            </w:pPr>
            <w:r>
              <w:rPr>
                <w:rFonts w:eastAsia="Times New Roman"/>
                <w:color w:val="000000"/>
                <w:sz w:val="20"/>
                <w:szCs w:val="20"/>
              </w:rPr>
              <w:t>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16C5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9B70C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42C51B" w14:textId="77777777" w:rsidR="00000000" w:rsidRDefault="001A570A">
            <w:pPr>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9080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B7E6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1C8457" w14:textId="77777777" w:rsidR="00000000" w:rsidRDefault="001A570A">
            <w:pPr>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0DD86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4606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634009" w14:textId="77777777" w:rsidR="00000000" w:rsidRDefault="001A570A">
            <w:pPr>
              <w:jc w:val="right"/>
              <w:rPr>
                <w:rFonts w:eastAsia="Times New Roman"/>
              </w:rPr>
            </w:pPr>
            <w:r>
              <w:rPr>
                <w:rFonts w:eastAsia="Times New Roman"/>
                <w:color w:val="000000"/>
                <w:sz w:val="20"/>
                <w:szCs w:val="20"/>
              </w:rPr>
              <w:t>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9C735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16A7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5DD787" w14:textId="77777777" w:rsidR="00000000" w:rsidRDefault="001A570A">
            <w:pPr>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224BC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112A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F5DEA6" w14:textId="77777777" w:rsidR="00000000" w:rsidRDefault="001A570A">
            <w:pPr>
              <w:jc w:val="right"/>
              <w:rPr>
                <w:rFonts w:eastAsia="Times New Roman"/>
              </w:rPr>
            </w:pPr>
            <w:r>
              <w:rPr>
                <w:rFonts w:eastAsia="Times New Roman"/>
                <w:color w:val="000000"/>
                <w:sz w:val="20"/>
                <w:szCs w:val="20"/>
              </w:rPr>
              <w:t>(196)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6B4685" w14:textId="77777777" w:rsidR="00000000" w:rsidRDefault="001A570A">
            <w:pPr>
              <w:jc w:val="right"/>
              <w:rPr>
                <w:rFonts w:eastAsia="Times New Roman"/>
              </w:rPr>
            </w:pPr>
          </w:p>
        </w:tc>
      </w:tr>
      <w:tr w:rsidR="00000000" w14:paraId="1D61A5DE" w14:textId="77777777">
        <w:trPr>
          <w:divId w:val="925966028"/>
        </w:trPr>
        <w:tc>
          <w:tcPr>
            <w:tcW w:w="0" w:type="auto"/>
            <w:gridSpan w:val="3"/>
            <w:shd w:val="clear" w:color="auto" w:fill="FFFFFF"/>
            <w:tcMar>
              <w:top w:w="30" w:type="dxa"/>
              <w:left w:w="290" w:type="dxa"/>
              <w:bottom w:w="30" w:type="dxa"/>
              <w:right w:w="20" w:type="dxa"/>
            </w:tcMar>
            <w:hideMark/>
          </w:tcPr>
          <w:p w14:paraId="3EA7E451" w14:textId="77777777" w:rsidR="00000000" w:rsidRDefault="001A570A">
            <w:pPr>
              <w:ind w:hanging="270"/>
              <w:rPr>
                <w:rFonts w:eastAsia="Times New Roman"/>
              </w:rPr>
            </w:pPr>
            <w:r>
              <w:rPr>
                <w:rFonts w:eastAsia="Times New Roman"/>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vAlign w:val="bottom"/>
            <w:hideMark/>
          </w:tcPr>
          <w:p w14:paraId="49EEDEFA" w14:textId="77777777" w:rsidR="00000000" w:rsidRDefault="001A570A">
            <w:pPr>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14:paraId="6BECF7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7C14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DC708" w14:textId="77777777" w:rsidR="00000000" w:rsidRDefault="001A570A">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14:paraId="79F977D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654B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C7E31" w14:textId="77777777" w:rsidR="00000000" w:rsidRDefault="001A570A">
            <w:pPr>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vAlign w:val="bottom"/>
            <w:hideMark/>
          </w:tcPr>
          <w:p w14:paraId="4EA200E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A903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B5B16" w14:textId="77777777" w:rsidR="00000000" w:rsidRDefault="001A570A">
            <w:pPr>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14:paraId="4DF20AF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AC95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2B103C" w14:textId="77777777" w:rsidR="00000000" w:rsidRDefault="001A570A">
            <w:pPr>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14:paraId="691A8A6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CDC5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D317F" w14:textId="77777777" w:rsidR="00000000" w:rsidRDefault="001A570A">
            <w:pPr>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14:paraId="7FC0AAB4" w14:textId="77777777" w:rsidR="00000000" w:rsidRDefault="001A570A">
            <w:pPr>
              <w:jc w:val="right"/>
              <w:rPr>
                <w:rFonts w:eastAsia="Times New Roman"/>
              </w:rPr>
            </w:pPr>
          </w:p>
        </w:tc>
      </w:tr>
      <w:tr w:rsidR="00000000" w14:paraId="60CFEABF" w14:textId="77777777">
        <w:trPr>
          <w:divId w:val="925966028"/>
        </w:trPr>
        <w:tc>
          <w:tcPr>
            <w:tcW w:w="0" w:type="auto"/>
            <w:gridSpan w:val="3"/>
            <w:shd w:val="clear" w:color="auto" w:fill="CCEEFF"/>
            <w:tcMar>
              <w:top w:w="30" w:type="dxa"/>
              <w:left w:w="20" w:type="dxa"/>
              <w:bottom w:w="30" w:type="dxa"/>
              <w:right w:w="20" w:type="dxa"/>
            </w:tcMar>
            <w:hideMark/>
          </w:tcPr>
          <w:p w14:paraId="4624ED78" w14:textId="77777777" w:rsidR="00000000" w:rsidRDefault="001A570A">
            <w:pPr>
              <w:rPr>
                <w:rFonts w:eastAsia="Times New Roman"/>
              </w:rPr>
            </w:pPr>
            <w:r>
              <w:rPr>
                <w:rFonts w:eastAsia="Times New Roman"/>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B6FAC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C034A9" w14:textId="77777777" w:rsidR="00000000" w:rsidRDefault="001A570A">
            <w:pPr>
              <w:jc w:val="right"/>
              <w:rPr>
                <w:rFonts w:eastAsia="Times New Roman"/>
              </w:rPr>
            </w:pPr>
            <w:r>
              <w:rPr>
                <w:rFonts w:eastAsia="Times New Roman"/>
                <w:color w:val="000000"/>
                <w:sz w:val="20"/>
                <w:szCs w:val="20"/>
              </w:rPr>
              <w:t>1,276 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B0F4F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34D39"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A6704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2E3547" w14:textId="77777777" w:rsidR="00000000" w:rsidRDefault="001A570A">
            <w:pPr>
              <w:jc w:val="right"/>
              <w:rPr>
                <w:rFonts w:eastAsia="Times New Roman"/>
              </w:rPr>
            </w:pPr>
            <w:r>
              <w:rPr>
                <w:rFonts w:eastAsia="Times New Roman"/>
                <w:color w:val="000000"/>
                <w:sz w:val="20"/>
                <w:szCs w:val="20"/>
              </w:rPr>
              <w:t>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BEA45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32BE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A8BB7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2C05E4" w14:textId="77777777" w:rsidR="00000000" w:rsidRDefault="001A570A">
            <w:pPr>
              <w:jc w:val="right"/>
              <w:rPr>
                <w:rFonts w:eastAsia="Times New Roman"/>
              </w:rPr>
            </w:pPr>
            <w:r>
              <w:rPr>
                <w:rFonts w:eastAsia="Times New Roman"/>
                <w:color w:val="000000"/>
                <w:sz w:val="20"/>
                <w:szCs w:val="20"/>
              </w:rPr>
              <w:t>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EAD0D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BDB1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F0164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93B2B4" w14:textId="77777777" w:rsidR="00000000" w:rsidRDefault="001A570A">
            <w:pPr>
              <w:jc w:val="right"/>
              <w:rPr>
                <w:rFonts w:eastAsia="Times New Roman"/>
              </w:rPr>
            </w:pPr>
            <w:r>
              <w:rPr>
                <w:rFonts w:eastAsia="Times New Roman"/>
                <w:color w:val="000000"/>
                <w:sz w:val="20"/>
                <w:szCs w:val="20"/>
              </w:rPr>
              <w:t>343 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3B889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4FE7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D24E9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1D6494" w14:textId="77777777" w:rsidR="00000000" w:rsidRDefault="001A570A">
            <w:pPr>
              <w:jc w:val="right"/>
              <w:rPr>
                <w:rFonts w:eastAsia="Times New Roman"/>
              </w:rPr>
            </w:pPr>
            <w:r>
              <w:rPr>
                <w:rFonts w:eastAsia="Times New Roman"/>
                <w:color w:val="000000"/>
                <w:sz w:val="20"/>
                <w:szCs w:val="20"/>
              </w:rPr>
              <w:t>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A828F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7F26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5B4A7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45548F" w14:textId="77777777" w:rsidR="00000000" w:rsidRDefault="001A570A">
            <w:pPr>
              <w:jc w:val="right"/>
              <w:rPr>
                <w:rFonts w:eastAsia="Times New Roman"/>
              </w:rPr>
            </w:pPr>
            <w:r>
              <w:rPr>
                <w:rFonts w:eastAsia="Times New Roman"/>
                <w:color w:val="000000"/>
                <w:sz w:val="20"/>
                <w:szCs w:val="20"/>
              </w:rPr>
              <w:t>288 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C9BFCE" w14:textId="77777777" w:rsidR="00000000" w:rsidRDefault="001A570A">
            <w:pPr>
              <w:jc w:val="right"/>
              <w:rPr>
                <w:rFonts w:eastAsia="Times New Roman"/>
              </w:rPr>
            </w:pPr>
          </w:p>
        </w:tc>
      </w:tr>
    </w:tbl>
    <w:p w14:paraId="236D81F9" w14:textId="77777777" w:rsidR="00000000" w:rsidRDefault="001A570A">
      <w:pPr>
        <w:ind w:firstLine="450"/>
        <w:divId w:val="2138136102"/>
        <w:rPr>
          <w:rFonts w:eastAsia="Times New Roman"/>
        </w:rPr>
      </w:pPr>
      <w:r>
        <w:rPr>
          <w:rFonts w:eastAsia="Times New Roman"/>
          <w:b/>
          <w:bCs/>
          <w:i/>
          <w:iCs/>
          <w:color w:val="000000"/>
          <w:sz w:val="20"/>
          <w:szCs w:val="20"/>
        </w:rPr>
        <w:t>Cash and cash equivalents</w:t>
      </w:r>
      <w:r>
        <w:rPr>
          <w:rFonts w:eastAsia="Times New Roman"/>
          <w:color w:val="000000"/>
          <w:sz w:val="20"/>
          <w:szCs w:val="20"/>
        </w:rPr>
        <w:t xml:space="preserve"> </w:t>
      </w:r>
    </w:p>
    <w:p w14:paraId="3B1FE61A" w14:textId="77777777" w:rsidR="00000000" w:rsidRDefault="001A570A">
      <w:pPr>
        <w:ind w:firstLine="450"/>
        <w:divId w:val="8263130"/>
        <w:rPr>
          <w:rFonts w:eastAsia="Times New Roman"/>
        </w:rPr>
      </w:pPr>
      <w:r>
        <w:rPr>
          <w:rFonts w:eastAsia="Times New Roman"/>
          <w:color w:val="000000"/>
          <w:sz w:val="20"/>
          <w:szCs w:val="20"/>
        </w:rPr>
        <w:t>The $452 million net increase in cash and cash equivalents in fiscal 2020 was primarily due to:</w:t>
      </w:r>
    </w:p>
    <w:p w14:paraId="51CB5992" w14:textId="77777777" w:rsidR="00000000" w:rsidRDefault="001A570A">
      <w:pPr>
        <w:ind w:hanging="360"/>
        <w:divId w:val="1595237971"/>
        <w:rPr>
          <w:rFonts w:eastAsia="Times New Roman"/>
        </w:rPr>
      </w:pPr>
      <w:r>
        <w:rPr>
          <w:rFonts w:eastAsia="Times New Roman"/>
          <w:color w:val="000000"/>
          <w:sz w:val="20"/>
          <w:szCs w:val="20"/>
        </w:rPr>
        <w:t>•$2,790 million of net cash provided by operating activities;</w:t>
      </w:r>
    </w:p>
    <w:p w14:paraId="013825FC" w14:textId="77777777" w:rsidR="00000000" w:rsidRDefault="001A570A">
      <w:pPr>
        <w:ind w:hanging="360"/>
        <w:divId w:val="377358103"/>
        <w:rPr>
          <w:rFonts w:eastAsia="Times New Roman"/>
        </w:rPr>
      </w:pPr>
      <w:r>
        <w:rPr>
          <w:rFonts w:eastAsia="Times New Roman"/>
          <w:color w:val="000000"/>
          <w:sz w:val="20"/>
          <w:szCs w:val="20"/>
        </w:rPr>
        <w:t>•</w:t>
      </w:r>
      <w:r>
        <w:rPr>
          <w:rFonts w:eastAsia="Times New Roman"/>
          <w:color w:val="000000"/>
          <w:sz w:val="20"/>
          <w:szCs w:val="20"/>
        </w:rPr>
        <w:t xml:space="preserve">$1,040 million of net proceeds from sale of business; </w:t>
      </w:r>
    </w:p>
    <w:p w14:paraId="6215F642" w14:textId="77777777" w:rsidR="00000000" w:rsidRDefault="001A570A">
      <w:pPr>
        <w:ind w:hanging="360"/>
        <w:divId w:val="265845458"/>
        <w:rPr>
          <w:rFonts w:eastAsia="Times New Roman"/>
        </w:rPr>
      </w:pPr>
      <w:r>
        <w:rPr>
          <w:rFonts w:eastAsia="Times New Roman"/>
          <w:color w:val="000000"/>
          <w:sz w:val="20"/>
          <w:szCs w:val="20"/>
        </w:rPr>
        <w:t>•$901 million of net proceeds from borrowings, including $650 million in proceeds from the issuance of our 1.80% notes due January 15, 2031 and $250 million in proceeds from the issuance of our Floatin</w:t>
      </w:r>
      <w:r>
        <w:rPr>
          <w:rFonts w:eastAsia="Times New Roman"/>
          <w:color w:val="000000"/>
          <w:sz w:val="20"/>
          <w:szCs w:val="20"/>
        </w:rPr>
        <w:t xml:space="preserve">g Rate Notes due March 10, 2023; </w:t>
      </w:r>
    </w:p>
    <w:p w14:paraId="7F952747" w14:textId="77777777" w:rsidR="00000000" w:rsidRDefault="001A570A">
      <w:pPr>
        <w:ind w:hanging="360"/>
        <w:divId w:val="1684822317"/>
        <w:rPr>
          <w:rFonts w:eastAsia="Times New Roman"/>
        </w:rPr>
      </w:pPr>
      <w:r>
        <w:rPr>
          <w:rFonts w:eastAsia="Times New Roman"/>
          <w:color w:val="000000"/>
          <w:sz w:val="20"/>
          <w:szCs w:val="20"/>
        </w:rPr>
        <w:t>•$91 million of net proceeds sale of property, plant and equipment; and</w:t>
      </w:r>
    </w:p>
    <w:p w14:paraId="1810CA47" w14:textId="77777777" w:rsidR="00000000" w:rsidRDefault="001A570A">
      <w:pPr>
        <w:ind w:hanging="360"/>
        <w:divId w:val="744455604"/>
        <w:rPr>
          <w:rFonts w:eastAsia="Times New Roman"/>
        </w:rPr>
      </w:pPr>
      <w:r>
        <w:rPr>
          <w:rFonts w:eastAsia="Times New Roman"/>
          <w:color w:val="000000"/>
          <w:sz w:val="20"/>
          <w:szCs w:val="20"/>
        </w:rPr>
        <w:t>•$56 million of proceeds from exercises of employee stock options; partially offset by</w:t>
      </w:r>
    </w:p>
    <w:p w14:paraId="572CC674" w14:textId="77777777" w:rsidR="00000000" w:rsidRDefault="001A570A">
      <w:pPr>
        <w:ind w:firstLine="450"/>
        <w:jc w:val="center"/>
        <w:divId w:val="364718797"/>
        <w:rPr>
          <w:rFonts w:eastAsia="Times New Roman"/>
        </w:rPr>
      </w:pPr>
      <w:r>
        <w:rPr>
          <w:rFonts w:eastAsia="Times New Roman"/>
          <w:color w:val="000000"/>
          <w:sz w:val="20"/>
          <w:szCs w:val="20"/>
        </w:rPr>
        <w:t>55</w:t>
      </w:r>
    </w:p>
    <w:p w14:paraId="6BC646F9" w14:textId="77777777" w:rsidR="00000000" w:rsidRDefault="001A570A">
      <w:pPr>
        <w:rPr>
          <w:rFonts w:eastAsia="Times New Roman"/>
        </w:rPr>
      </w:pPr>
      <w:r>
        <w:rPr>
          <w:rFonts w:eastAsia="Times New Roman"/>
        </w:rPr>
        <w:pict w14:anchorId="6657084C">
          <v:rect id="_x0000_i1083" style="width:0;height:1.5pt" o:hralign="center" o:hrstd="t" o:hr="t" fillcolor="#a0a0a0" stroked="f"/>
        </w:pict>
      </w:r>
    </w:p>
    <w:p w14:paraId="309DC1CF" w14:textId="77777777" w:rsidR="00000000" w:rsidRDefault="001A570A">
      <w:pPr>
        <w:ind w:firstLine="450"/>
        <w:divId w:val="2020543860"/>
        <w:rPr>
          <w:rFonts w:eastAsia="Times New Roman"/>
        </w:rPr>
      </w:pPr>
    </w:p>
    <w:p w14:paraId="2F20E5B6" w14:textId="77777777" w:rsidR="00000000" w:rsidRDefault="001A570A">
      <w:pPr>
        <w:ind w:hanging="360"/>
        <w:divId w:val="515122449"/>
        <w:rPr>
          <w:rFonts w:eastAsia="Times New Roman"/>
        </w:rPr>
      </w:pPr>
      <w:r>
        <w:rPr>
          <w:rFonts w:eastAsia="Times New Roman"/>
          <w:color w:val="000000"/>
          <w:sz w:val="20"/>
          <w:szCs w:val="20"/>
        </w:rPr>
        <w:t>•$2,290 million used t</w:t>
      </w:r>
      <w:r>
        <w:rPr>
          <w:rFonts w:eastAsia="Times New Roman"/>
          <w:color w:val="000000"/>
          <w:sz w:val="20"/>
          <w:szCs w:val="20"/>
        </w:rPr>
        <w:t>o repurchase shares of our common stock;</w:t>
      </w:r>
    </w:p>
    <w:p w14:paraId="1C1943D9" w14:textId="77777777" w:rsidR="00000000" w:rsidRDefault="001A570A">
      <w:pPr>
        <w:ind w:hanging="360"/>
        <w:divId w:val="224730780"/>
        <w:rPr>
          <w:rFonts w:eastAsia="Times New Roman"/>
        </w:rPr>
      </w:pPr>
      <w:r>
        <w:rPr>
          <w:rFonts w:eastAsia="Times New Roman"/>
          <w:color w:val="000000"/>
          <w:sz w:val="20"/>
          <w:szCs w:val="20"/>
        </w:rPr>
        <w:t>•$931 million used for repayment of borrowings, including $650 million used for our optional redemption of our 4.95% Notes due February 15, 2021 and $250 million used for repayment of our Floating Rate Notes due Apr</w:t>
      </w:r>
      <w:r>
        <w:rPr>
          <w:rFonts w:eastAsia="Times New Roman"/>
          <w:color w:val="000000"/>
          <w:sz w:val="20"/>
          <w:szCs w:val="20"/>
        </w:rPr>
        <w:t xml:space="preserve">il 30, 2020; </w:t>
      </w:r>
    </w:p>
    <w:p w14:paraId="104C8F50" w14:textId="77777777" w:rsidR="00000000" w:rsidRDefault="001A570A">
      <w:pPr>
        <w:ind w:hanging="360"/>
        <w:divId w:val="1400832902"/>
        <w:rPr>
          <w:rFonts w:eastAsia="Times New Roman"/>
        </w:rPr>
      </w:pPr>
      <w:r>
        <w:rPr>
          <w:rFonts w:eastAsia="Times New Roman"/>
          <w:color w:val="000000"/>
          <w:sz w:val="20"/>
          <w:szCs w:val="20"/>
        </w:rPr>
        <w:t xml:space="preserve">•$725 million used to pay cash dividends; </w:t>
      </w:r>
    </w:p>
    <w:p w14:paraId="64229B5F" w14:textId="77777777" w:rsidR="00000000" w:rsidRDefault="001A570A">
      <w:pPr>
        <w:ind w:hanging="360"/>
        <w:divId w:val="854075844"/>
        <w:rPr>
          <w:rFonts w:eastAsia="Times New Roman"/>
        </w:rPr>
      </w:pPr>
      <w:r>
        <w:rPr>
          <w:rFonts w:eastAsia="Times New Roman"/>
          <w:color w:val="000000"/>
          <w:sz w:val="20"/>
          <w:szCs w:val="20"/>
        </w:rPr>
        <w:t>•$368 million used for additions of property, plant and equipment; and</w:t>
      </w:r>
    </w:p>
    <w:p w14:paraId="1EAF64E7" w14:textId="77777777" w:rsidR="00000000" w:rsidRDefault="001A570A">
      <w:pPr>
        <w:ind w:hanging="360"/>
        <w:divId w:val="1408115581"/>
        <w:rPr>
          <w:rFonts w:eastAsia="Times New Roman"/>
        </w:rPr>
      </w:pPr>
      <w:r>
        <w:rPr>
          <w:rFonts w:eastAsia="Times New Roman"/>
          <w:color w:val="000000"/>
          <w:sz w:val="20"/>
          <w:szCs w:val="20"/>
        </w:rPr>
        <w:t>•</w:t>
      </w:r>
      <w:r>
        <w:rPr>
          <w:rFonts w:eastAsia="Times New Roman"/>
          <w:color w:val="000000"/>
          <w:sz w:val="20"/>
          <w:szCs w:val="20"/>
        </w:rPr>
        <w:t>$113 million used for payments of interest rate derivative obligations.</w:t>
      </w:r>
    </w:p>
    <w:p w14:paraId="49BEC025" w14:textId="77777777" w:rsidR="00000000" w:rsidRDefault="001A570A">
      <w:pPr>
        <w:ind w:firstLine="450"/>
        <w:divId w:val="16586945"/>
        <w:rPr>
          <w:rFonts w:eastAsia="Times New Roman"/>
        </w:rPr>
      </w:pPr>
      <w:r>
        <w:rPr>
          <w:rFonts w:eastAsia="Times New Roman"/>
          <w:color w:val="000000"/>
          <w:sz w:val="20"/>
          <w:szCs w:val="20"/>
        </w:rPr>
        <w:t>The $294 million net increase in cash and cash equivalents during the two quarters ended January 3, 2020 was primarily due to:</w:t>
      </w:r>
    </w:p>
    <w:p w14:paraId="35DE1732" w14:textId="77777777" w:rsidR="00000000" w:rsidRDefault="001A570A">
      <w:pPr>
        <w:ind w:hanging="360"/>
        <w:divId w:val="706026820"/>
        <w:rPr>
          <w:rFonts w:eastAsia="Times New Roman"/>
        </w:rPr>
      </w:pPr>
      <w:r>
        <w:rPr>
          <w:rFonts w:eastAsia="Times New Roman"/>
          <w:color w:val="000000"/>
          <w:sz w:val="20"/>
          <w:szCs w:val="20"/>
        </w:rPr>
        <w:t>•$1,130 million of net cash acquired in the L3Harris Merg</w:t>
      </w:r>
      <w:r>
        <w:rPr>
          <w:rFonts w:eastAsia="Times New Roman"/>
          <w:color w:val="000000"/>
          <w:sz w:val="20"/>
          <w:szCs w:val="20"/>
        </w:rPr>
        <w:t>er;</w:t>
      </w:r>
    </w:p>
    <w:p w14:paraId="242CA525" w14:textId="77777777" w:rsidR="00000000" w:rsidRDefault="001A570A">
      <w:pPr>
        <w:ind w:hanging="360"/>
        <w:divId w:val="1443380138"/>
        <w:rPr>
          <w:rFonts w:eastAsia="Times New Roman"/>
        </w:rPr>
      </w:pPr>
      <w:r>
        <w:rPr>
          <w:rFonts w:eastAsia="Times New Roman"/>
          <w:color w:val="000000"/>
          <w:sz w:val="20"/>
          <w:szCs w:val="20"/>
        </w:rPr>
        <w:t>•$939 million of net cash provided by operating activities;</w:t>
      </w:r>
    </w:p>
    <w:p w14:paraId="5FC836F5" w14:textId="77777777" w:rsidR="00000000" w:rsidRDefault="001A570A">
      <w:pPr>
        <w:ind w:hanging="360"/>
        <w:divId w:val="227036843"/>
        <w:rPr>
          <w:rFonts w:eastAsia="Times New Roman"/>
        </w:rPr>
      </w:pPr>
      <w:r>
        <w:rPr>
          <w:rFonts w:eastAsia="Times New Roman"/>
          <w:color w:val="000000"/>
          <w:sz w:val="20"/>
          <w:szCs w:val="20"/>
        </w:rPr>
        <w:t>•$396 million of net proceeds from borrowings, including $400 million in proceeds from the issuance of our 2.90% notes due December 15, 2029;</w:t>
      </w:r>
    </w:p>
    <w:p w14:paraId="1EF14FE3" w14:textId="77777777" w:rsidR="00000000" w:rsidRDefault="001A570A">
      <w:pPr>
        <w:ind w:hanging="360"/>
        <w:divId w:val="514149273"/>
        <w:rPr>
          <w:rFonts w:eastAsia="Times New Roman"/>
        </w:rPr>
      </w:pPr>
      <w:r>
        <w:rPr>
          <w:rFonts w:eastAsia="Times New Roman"/>
          <w:color w:val="000000"/>
          <w:sz w:val="20"/>
          <w:szCs w:val="20"/>
        </w:rPr>
        <w:t>•$343 million of net proceeds from sale of busines</w:t>
      </w:r>
      <w:r>
        <w:rPr>
          <w:rFonts w:eastAsia="Times New Roman"/>
          <w:color w:val="000000"/>
          <w:sz w:val="20"/>
          <w:szCs w:val="20"/>
        </w:rPr>
        <w:t>s; and</w:t>
      </w:r>
    </w:p>
    <w:p w14:paraId="2A928D1C" w14:textId="77777777" w:rsidR="00000000" w:rsidRDefault="001A570A">
      <w:pPr>
        <w:ind w:hanging="360"/>
        <w:divId w:val="1544710412"/>
        <w:rPr>
          <w:rFonts w:eastAsia="Times New Roman"/>
        </w:rPr>
      </w:pPr>
      <w:r>
        <w:rPr>
          <w:rFonts w:eastAsia="Times New Roman"/>
          <w:color w:val="000000"/>
          <w:sz w:val="20"/>
          <w:szCs w:val="20"/>
        </w:rPr>
        <w:t>•$109 million of proceeds from exercises of employee stock options; partially offset by</w:t>
      </w:r>
    </w:p>
    <w:p w14:paraId="533C3640" w14:textId="77777777" w:rsidR="00000000" w:rsidRDefault="001A570A">
      <w:pPr>
        <w:ind w:hanging="360"/>
        <w:divId w:val="494692399"/>
        <w:rPr>
          <w:rFonts w:eastAsia="Times New Roman"/>
        </w:rPr>
      </w:pPr>
      <w:r>
        <w:rPr>
          <w:rFonts w:eastAsia="Times New Roman"/>
          <w:color w:val="000000"/>
          <w:sz w:val="20"/>
          <w:szCs w:val="20"/>
        </w:rPr>
        <w:t xml:space="preserve">•$1,500 million used to repurchase shares of our common stock; </w:t>
      </w:r>
    </w:p>
    <w:p w14:paraId="47FA0F3D" w14:textId="77777777" w:rsidR="00000000" w:rsidRDefault="001A570A">
      <w:pPr>
        <w:ind w:hanging="360"/>
        <w:divId w:val="2036687127"/>
        <w:rPr>
          <w:rFonts w:eastAsia="Times New Roman"/>
        </w:rPr>
      </w:pPr>
      <w:r>
        <w:rPr>
          <w:rFonts w:eastAsia="Times New Roman"/>
          <w:color w:val="000000"/>
          <w:sz w:val="20"/>
          <w:szCs w:val="20"/>
        </w:rPr>
        <w:t>•$505 million used for repayment of borrowings, including $400 million used for our optional rede</w:t>
      </w:r>
      <w:r>
        <w:rPr>
          <w:rFonts w:eastAsia="Times New Roman"/>
          <w:color w:val="000000"/>
          <w:sz w:val="20"/>
          <w:szCs w:val="20"/>
        </w:rPr>
        <w:t>mption of our 2.7% Notes due April 27, 2020 and $100 million used for repayment of short-term debt;</w:t>
      </w:r>
    </w:p>
    <w:p w14:paraId="5F2776C4" w14:textId="77777777" w:rsidR="00000000" w:rsidRDefault="001A570A">
      <w:pPr>
        <w:ind w:hanging="360"/>
        <w:divId w:val="1187907619"/>
        <w:rPr>
          <w:rFonts w:eastAsia="Times New Roman"/>
        </w:rPr>
      </w:pPr>
      <w:r>
        <w:rPr>
          <w:rFonts w:eastAsia="Times New Roman"/>
          <w:color w:val="000000"/>
          <w:sz w:val="20"/>
          <w:szCs w:val="20"/>
        </w:rPr>
        <w:t>•$337 million used to pay cash dividends;</w:t>
      </w:r>
    </w:p>
    <w:p w14:paraId="080434B8" w14:textId="77777777" w:rsidR="00000000" w:rsidRDefault="001A570A">
      <w:pPr>
        <w:ind w:hanging="360"/>
        <w:divId w:val="1122381302"/>
        <w:rPr>
          <w:rFonts w:eastAsia="Times New Roman"/>
        </w:rPr>
      </w:pPr>
      <w:r>
        <w:rPr>
          <w:rFonts w:eastAsia="Times New Roman"/>
          <w:color w:val="000000"/>
          <w:sz w:val="20"/>
          <w:szCs w:val="20"/>
        </w:rPr>
        <w:t>•$173 million used for additions of property, plant and equipment;</w:t>
      </w:r>
    </w:p>
    <w:p w14:paraId="24671F75" w14:textId="77777777" w:rsidR="00000000" w:rsidRDefault="001A570A">
      <w:pPr>
        <w:ind w:hanging="360"/>
        <w:divId w:val="1252356413"/>
        <w:rPr>
          <w:rFonts w:eastAsia="Times New Roman"/>
        </w:rPr>
      </w:pPr>
      <w:r>
        <w:rPr>
          <w:rFonts w:eastAsia="Times New Roman"/>
          <w:color w:val="000000"/>
          <w:sz w:val="20"/>
          <w:szCs w:val="20"/>
        </w:rPr>
        <w:t xml:space="preserve">•$86 million used for tax withholding payments </w:t>
      </w:r>
      <w:r>
        <w:rPr>
          <w:rFonts w:eastAsia="Times New Roman"/>
          <w:color w:val="000000"/>
          <w:sz w:val="20"/>
          <w:szCs w:val="20"/>
        </w:rPr>
        <w:t>associated with vested share-based awards; and</w:t>
      </w:r>
    </w:p>
    <w:p w14:paraId="232E9037" w14:textId="77777777" w:rsidR="00000000" w:rsidRDefault="001A570A">
      <w:pPr>
        <w:ind w:hanging="360"/>
        <w:divId w:val="1837262306"/>
        <w:rPr>
          <w:rFonts w:eastAsia="Times New Roman"/>
        </w:rPr>
      </w:pPr>
      <w:r>
        <w:rPr>
          <w:rFonts w:eastAsia="Times New Roman"/>
          <w:color w:val="000000"/>
          <w:sz w:val="20"/>
          <w:szCs w:val="20"/>
        </w:rPr>
        <w:t>•$32 million used for payments of interest rate derivative obligations.</w:t>
      </w:r>
    </w:p>
    <w:p w14:paraId="4C5F571C" w14:textId="77777777" w:rsidR="00000000" w:rsidRDefault="001A570A">
      <w:pPr>
        <w:ind w:firstLine="450"/>
        <w:divId w:val="1043291384"/>
        <w:rPr>
          <w:rFonts w:eastAsia="Times New Roman"/>
        </w:rPr>
      </w:pPr>
      <w:r>
        <w:rPr>
          <w:rFonts w:eastAsia="Times New Roman"/>
          <w:color w:val="000000"/>
          <w:sz w:val="20"/>
          <w:szCs w:val="20"/>
        </w:rPr>
        <w:t>We ended fiscal 2020 with cash and cash equivalents of $1,276 million, and we have a senior unsecured $2 billion revolving credit facilit</w:t>
      </w:r>
      <w:r>
        <w:rPr>
          <w:rFonts w:eastAsia="Times New Roman"/>
          <w:color w:val="000000"/>
          <w:sz w:val="20"/>
          <w:szCs w:val="20"/>
        </w:rPr>
        <w:t>y that expires in June 2024 (all of which was available to us as of January 1, 2021). Additionally, we had $6.9 billion of net long-term debt outstanding at January 1, 2021, the majority of which we incurred in connection with our the L3Harris Merger in th</w:t>
      </w:r>
      <w:r>
        <w:rPr>
          <w:rFonts w:eastAsia="Times New Roman"/>
          <w:color w:val="000000"/>
          <w:sz w:val="20"/>
          <w:szCs w:val="20"/>
        </w:rPr>
        <w:t xml:space="preserve">e Fiscal Transition Period and the acquisition of Exelis in the fourth quarter of fiscal 2015. For further information regarding our long-term debt, see </w:t>
      </w:r>
      <w:r>
        <w:rPr>
          <w:rFonts w:eastAsia="Times New Roman"/>
          <w:i/>
          <w:iCs/>
          <w:color w:val="000000"/>
          <w:sz w:val="20"/>
          <w:szCs w:val="20"/>
        </w:rPr>
        <w:t xml:space="preserve">Note 14: Debt </w:t>
      </w:r>
      <w:r>
        <w:rPr>
          <w:rFonts w:eastAsia="Times New Roman"/>
          <w:color w:val="000000"/>
          <w:sz w:val="20"/>
          <w:szCs w:val="20"/>
        </w:rPr>
        <w:t>in the Notes. Our $1,276 million of cash and cash equivalents at January 1, 2021 included</w:t>
      </w:r>
      <w:r>
        <w:rPr>
          <w:rFonts w:eastAsia="Times New Roman"/>
          <w:color w:val="000000"/>
          <w:sz w:val="20"/>
          <w:szCs w:val="20"/>
        </w:rPr>
        <w:t xml:space="preserve"> $296 million held by our foreign subsidiaries, a significant portion of which we believe can be repatriated to the U.S. with minimal tax cost.</w:t>
      </w:r>
    </w:p>
    <w:p w14:paraId="009DB1CE" w14:textId="77777777" w:rsidR="00000000" w:rsidRDefault="001A570A">
      <w:pPr>
        <w:ind w:firstLine="450"/>
        <w:divId w:val="992679474"/>
        <w:rPr>
          <w:rFonts w:eastAsia="Times New Roman"/>
        </w:rPr>
      </w:pPr>
      <w:r>
        <w:rPr>
          <w:rFonts w:eastAsia="Times New Roman"/>
          <w:color w:val="000000"/>
          <w:sz w:val="20"/>
          <w:szCs w:val="20"/>
        </w:rPr>
        <w:t>Given our current cash position, outlook for funds generated from operations, credit ratings, available credit f</w:t>
      </w:r>
      <w:r>
        <w:rPr>
          <w:rFonts w:eastAsia="Times New Roman"/>
          <w:color w:val="000000"/>
          <w:sz w:val="20"/>
          <w:szCs w:val="20"/>
        </w:rPr>
        <w:t xml:space="preserve">acility, cash needs and debt structure, we have not experienced to date, and do not expect to experience, any material issues with liquidity, although we can give no assurances concerning our future liquidity, particularly in light of our current level of </w:t>
      </w:r>
      <w:r>
        <w:rPr>
          <w:rFonts w:eastAsia="Times New Roman"/>
          <w:color w:val="000000"/>
          <w:sz w:val="20"/>
          <w:szCs w:val="20"/>
        </w:rPr>
        <w:t xml:space="preserve">debt, U.S. Government budget uncertainties and the state of global commerce and general political and financial uncertainty. We cannot predict the impact that COVID, among other potential risks and uncertainties, will have on our cash from operations. For </w:t>
      </w:r>
      <w:r>
        <w:rPr>
          <w:rFonts w:eastAsia="Times New Roman"/>
          <w:color w:val="000000"/>
          <w:sz w:val="20"/>
          <w:szCs w:val="20"/>
        </w:rPr>
        <w:t>further information regarding COVID-related risks and uncertainties, see Part I, “Item 1A. Risk Factors” in this Report.</w:t>
      </w:r>
    </w:p>
    <w:p w14:paraId="3CBADD24" w14:textId="77777777" w:rsidR="00000000" w:rsidRDefault="001A570A">
      <w:pPr>
        <w:ind w:firstLine="450"/>
        <w:divId w:val="399518053"/>
        <w:rPr>
          <w:rFonts w:eastAsia="Times New Roman"/>
        </w:rPr>
      </w:pPr>
      <w:r>
        <w:rPr>
          <w:rFonts w:eastAsia="Times New Roman"/>
          <w:color w:val="000000"/>
          <w:sz w:val="20"/>
          <w:szCs w:val="20"/>
        </w:rPr>
        <w:t>Based on our current business plan and revenue prospects, we believe that our existing cash, funds generated from operations, our credi</w:t>
      </w:r>
      <w:r>
        <w:rPr>
          <w:rFonts w:eastAsia="Times New Roman"/>
          <w:color w:val="000000"/>
          <w:sz w:val="20"/>
          <w:szCs w:val="20"/>
        </w:rPr>
        <w:t>t facility and access to the public and private debt and equity markets will be sufficient to provide for our anticipated working capital requirements, capital expenditures, dividend payments, repurchases under our share repurchase program and repayments o</w:t>
      </w:r>
      <w:r>
        <w:rPr>
          <w:rFonts w:eastAsia="Times New Roman"/>
          <w:color w:val="000000"/>
          <w:sz w:val="20"/>
          <w:szCs w:val="20"/>
        </w:rPr>
        <w:t>f our debt securities at maturity for the next twelve months and reasonably foreseeable future thereafter. Our total capital expenditures for fiscal 2021 are expected to be approximately $375 million. We anticipate tax payments for fiscal 2021 to be approx</w:t>
      </w:r>
      <w:r>
        <w:rPr>
          <w:rFonts w:eastAsia="Times New Roman"/>
          <w:color w:val="000000"/>
          <w:sz w:val="20"/>
          <w:szCs w:val="20"/>
        </w:rPr>
        <w:t xml:space="preserve">imately equal to or marginally less than our tax expense for the same period, subject to adjustment for certain timing differences. For additional information regarding our income taxes, see </w:t>
      </w:r>
      <w:r>
        <w:rPr>
          <w:rFonts w:eastAsia="Times New Roman"/>
          <w:i/>
          <w:iCs/>
          <w:color w:val="000000"/>
          <w:sz w:val="20"/>
          <w:szCs w:val="20"/>
        </w:rPr>
        <w:t>Note 23: Income Taxes</w:t>
      </w:r>
      <w:r>
        <w:rPr>
          <w:rFonts w:eastAsia="Times New Roman"/>
          <w:color w:val="000000"/>
          <w:sz w:val="20"/>
          <w:szCs w:val="20"/>
        </w:rPr>
        <w:t xml:space="preserve"> in the Notes. Other than those cash outlays</w:t>
      </w:r>
      <w:r>
        <w:rPr>
          <w:rFonts w:eastAsia="Times New Roman"/>
          <w:color w:val="000000"/>
          <w:sz w:val="20"/>
          <w:szCs w:val="20"/>
        </w:rPr>
        <w:t xml:space="preserve"> noted in the “Contractual Obligations” discussion below in this MD&amp;A, capital expenditures, dividend payments, repurchases under our share repurchase program and L3Harris Merger-related transaction and integration costs, we do not anticipate any significa</w:t>
      </w:r>
      <w:r>
        <w:rPr>
          <w:rFonts w:eastAsia="Times New Roman"/>
          <w:color w:val="000000"/>
          <w:sz w:val="20"/>
          <w:szCs w:val="20"/>
        </w:rPr>
        <w:t xml:space="preserve">nt cash outlays in fiscal 2021. For additional information regarding potential repurchases of our common stock, see </w:t>
      </w:r>
      <w:r>
        <w:rPr>
          <w:rFonts w:eastAsia="Times New Roman"/>
          <w:i/>
          <w:iCs/>
          <w:color w:val="000000"/>
          <w:sz w:val="20"/>
          <w:szCs w:val="20"/>
        </w:rPr>
        <w:t xml:space="preserve">Note 28: Subsequent Events </w:t>
      </w:r>
      <w:r>
        <w:rPr>
          <w:rFonts w:eastAsia="Times New Roman"/>
          <w:color w:val="000000"/>
          <w:sz w:val="20"/>
          <w:szCs w:val="20"/>
        </w:rPr>
        <w:t>in the Notes. For further information regarding COVID-related risks and uncertainties, see Part I, “Item 1A. Risk</w:t>
      </w:r>
      <w:r>
        <w:rPr>
          <w:rFonts w:eastAsia="Times New Roman"/>
          <w:color w:val="000000"/>
          <w:sz w:val="20"/>
          <w:szCs w:val="20"/>
        </w:rPr>
        <w:t xml:space="preserve"> Factors” in this Report.</w:t>
      </w:r>
    </w:p>
    <w:p w14:paraId="67C2757C" w14:textId="77777777" w:rsidR="00000000" w:rsidRDefault="001A570A">
      <w:pPr>
        <w:ind w:firstLine="450"/>
        <w:divId w:val="219631903"/>
        <w:rPr>
          <w:rFonts w:eastAsia="Times New Roman"/>
        </w:rPr>
      </w:pPr>
      <w:r>
        <w:rPr>
          <w:rFonts w:eastAsia="Times New Roman"/>
          <w:color w:val="000000"/>
          <w:sz w:val="20"/>
          <w:szCs w:val="20"/>
        </w:rPr>
        <w:t>There can be no assurance, however, that our business will continue to generate cash flows at current levels or that the cost or availability of future borrowings, if any, under our commercial paper program or our credit facility or in the debt markets wil</w:t>
      </w:r>
      <w:r>
        <w:rPr>
          <w:rFonts w:eastAsia="Times New Roman"/>
          <w:color w:val="000000"/>
          <w:sz w:val="20"/>
          <w:szCs w:val="20"/>
        </w:rPr>
        <w:t>l not be impacted by any potential future credit or capital markets disruptions. For example, the commercial paper market was temporarily disrupted in March 2020 as a result of COVID, and although commercial paper markets are currently functioning in a nor</w:t>
      </w:r>
      <w:r>
        <w:rPr>
          <w:rFonts w:eastAsia="Times New Roman"/>
          <w:color w:val="000000"/>
          <w:sz w:val="20"/>
          <w:szCs w:val="20"/>
        </w:rPr>
        <w:t>mal manner, depending on future market conditions and volatility, commercial paper may not be available on favorable terms or at all, or in the capacity desired. If we are unable to maintain cash balances, generate sufficient cash flow from operations or b</w:t>
      </w:r>
      <w:r>
        <w:rPr>
          <w:rFonts w:eastAsia="Times New Roman"/>
          <w:color w:val="000000"/>
          <w:sz w:val="20"/>
          <w:szCs w:val="20"/>
        </w:rPr>
        <w:t>orrow under our commercial paper program or our credit facility sufficient to service our obligations, we may be required to sell assets, reduce capital expenditures, reduce or eliminate strategic acquisitions, reduce or terminate our share repurchases, re</w:t>
      </w:r>
      <w:r>
        <w:rPr>
          <w:rFonts w:eastAsia="Times New Roman"/>
          <w:color w:val="000000"/>
          <w:sz w:val="20"/>
          <w:szCs w:val="20"/>
        </w:rPr>
        <w:t xml:space="preserve">duce or eliminate dividends, refinance all or a portion of our existing debt or obtain additional financing. Our ability to make principal </w:t>
      </w:r>
    </w:p>
    <w:p w14:paraId="2A21FF53" w14:textId="77777777" w:rsidR="00000000" w:rsidRDefault="001A570A">
      <w:pPr>
        <w:ind w:firstLine="450"/>
        <w:jc w:val="center"/>
        <w:divId w:val="967903050"/>
        <w:rPr>
          <w:rFonts w:eastAsia="Times New Roman"/>
        </w:rPr>
      </w:pPr>
      <w:r>
        <w:rPr>
          <w:rFonts w:eastAsia="Times New Roman"/>
          <w:color w:val="000000"/>
          <w:sz w:val="20"/>
          <w:szCs w:val="20"/>
        </w:rPr>
        <w:t>56</w:t>
      </w:r>
    </w:p>
    <w:p w14:paraId="754CCE7E" w14:textId="77777777" w:rsidR="00000000" w:rsidRDefault="001A570A">
      <w:pPr>
        <w:rPr>
          <w:rFonts w:eastAsia="Times New Roman"/>
        </w:rPr>
      </w:pPr>
      <w:r>
        <w:rPr>
          <w:rFonts w:eastAsia="Times New Roman"/>
        </w:rPr>
        <w:pict w14:anchorId="33E64392">
          <v:rect id="_x0000_i1084" style="width:0;height:1.5pt" o:hralign="center" o:hrstd="t" o:hr="t" fillcolor="#a0a0a0" stroked="f"/>
        </w:pict>
      </w:r>
    </w:p>
    <w:p w14:paraId="1E9AB295" w14:textId="77777777" w:rsidR="00000000" w:rsidRDefault="001A570A">
      <w:pPr>
        <w:ind w:firstLine="450"/>
        <w:divId w:val="1211766222"/>
        <w:rPr>
          <w:rFonts w:eastAsia="Times New Roman"/>
        </w:rPr>
      </w:pPr>
    </w:p>
    <w:p w14:paraId="2FC1CCE1" w14:textId="77777777" w:rsidR="00000000" w:rsidRDefault="001A570A">
      <w:pPr>
        <w:divId w:val="1288198450"/>
        <w:rPr>
          <w:rFonts w:eastAsia="Times New Roman"/>
        </w:rPr>
      </w:pPr>
      <w:r>
        <w:rPr>
          <w:rFonts w:eastAsia="Times New Roman"/>
          <w:color w:val="000000"/>
          <w:sz w:val="20"/>
          <w:szCs w:val="20"/>
        </w:rPr>
        <w:t>payments or pay interest on or refinance our indebtedness depends on our f</w:t>
      </w:r>
      <w:r>
        <w:rPr>
          <w:rFonts w:eastAsia="Times New Roman"/>
          <w:color w:val="000000"/>
          <w:sz w:val="20"/>
          <w:szCs w:val="20"/>
        </w:rPr>
        <w:t>uture performance and financial results, which, to a certain extent, are subject to general conditions in or affecting the defense, government and other markets we serve and to general economic, political, financial, competitive, legislative and regulatory</w:t>
      </w:r>
      <w:r>
        <w:rPr>
          <w:rFonts w:eastAsia="Times New Roman"/>
          <w:color w:val="000000"/>
          <w:sz w:val="20"/>
          <w:szCs w:val="20"/>
        </w:rPr>
        <w:t xml:space="preserve"> factors beyond our control.</w:t>
      </w:r>
    </w:p>
    <w:p w14:paraId="38DDA9E8" w14:textId="77777777" w:rsidR="00000000" w:rsidRDefault="001A570A">
      <w:pPr>
        <w:ind w:firstLine="450"/>
        <w:divId w:val="26033558"/>
        <w:rPr>
          <w:rFonts w:eastAsia="Times New Roman"/>
        </w:rPr>
      </w:pPr>
      <w:r>
        <w:rPr>
          <w:rFonts w:eastAsia="Times New Roman"/>
          <w:b/>
          <w:bCs/>
          <w:i/>
          <w:iCs/>
          <w:color w:val="000000"/>
          <w:sz w:val="20"/>
          <w:szCs w:val="20"/>
        </w:rPr>
        <w:t>Net cash provided by operating activities:</w:t>
      </w:r>
      <w:r>
        <w:rPr>
          <w:rFonts w:eastAsia="Times New Roman"/>
          <w:color w:val="000000"/>
          <w:sz w:val="20"/>
          <w:szCs w:val="20"/>
        </w:rPr>
        <w:t xml:space="preserve"> The $1,135 million increase in net cash provided by operating activities in fiscal 2020 compared with the four quarters ended January 3, 2020 was primarily due to the impact of higher </w:t>
      </w:r>
      <w:r>
        <w:rPr>
          <w:rFonts w:eastAsia="Times New Roman"/>
          <w:color w:val="000000"/>
          <w:sz w:val="20"/>
          <w:szCs w:val="20"/>
        </w:rPr>
        <w:t>income (excluding the impacts of a $721 million increase in non-cash impairments of goodwill and other assets and $461 million increase in depreciation and amortization in fiscal 2020), reflecting the inclusion of cash flows from L3 operations following th</w:t>
      </w:r>
      <w:r>
        <w:rPr>
          <w:rFonts w:eastAsia="Times New Roman"/>
          <w:color w:val="000000"/>
          <w:sz w:val="20"/>
          <w:szCs w:val="20"/>
        </w:rPr>
        <w:t>e L3Harris Merger, as well as a $302 million voluntary contribution to our U.S. qualified pension plans and $278 million of cash used for L3Harris Merger transaction costs, including change in control charges, in the four quarters ended January 3, 2020, pa</w:t>
      </w:r>
      <w:r>
        <w:rPr>
          <w:rFonts w:eastAsia="Times New Roman"/>
          <w:color w:val="000000"/>
          <w:sz w:val="20"/>
          <w:szCs w:val="20"/>
        </w:rPr>
        <w:t xml:space="preserve">rtially offset by a $306 million increase in cash used to fund working capital in fiscal 2020. </w:t>
      </w:r>
    </w:p>
    <w:p w14:paraId="2ACBFEC7" w14:textId="77777777" w:rsidR="00000000" w:rsidRDefault="001A570A">
      <w:pPr>
        <w:ind w:firstLine="450"/>
        <w:divId w:val="1002507919"/>
        <w:rPr>
          <w:rFonts w:eastAsia="Times New Roman"/>
        </w:rPr>
      </w:pPr>
      <w:r>
        <w:rPr>
          <w:rFonts w:eastAsia="Times New Roman"/>
          <w:color w:val="000000"/>
          <w:sz w:val="20"/>
          <w:szCs w:val="20"/>
        </w:rPr>
        <w:t>The $470 million increase in net cash provided by operating activities in the two quarters ended January 3, 2020 compared with the two quarters ended December 2</w:t>
      </w:r>
      <w:r>
        <w:rPr>
          <w:rFonts w:eastAsia="Times New Roman"/>
          <w:color w:val="000000"/>
          <w:sz w:val="20"/>
          <w:szCs w:val="20"/>
        </w:rPr>
        <w:t xml:space="preserve">8, 2018 was primarily due to the impact of higher income, including a $229 million pre-tax gain on sale of business, $182 million decrease in net cash used to fund working capital and $157 million more in share-based compensation, partially offset by $328 </w:t>
      </w:r>
      <w:r>
        <w:rPr>
          <w:rFonts w:eastAsia="Times New Roman"/>
          <w:color w:val="000000"/>
          <w:sz w:val="20"/>
          <w:szCs w:val="20"/>
        </w:rPr>
        <w:t>million more in qualified pension contributions, including a $302 million voluntary contribution, in the two quarters ended January 3, 2020.</w:t>
      </w:r>
    </w:p>
    <w:p w14:paraId="6EF9D56F" w14:textId="77777777" w:rsidR="00000000" w:rsidRDefault="001A570A">
      <w:pPr>
        <w:ind w:firstLine="450"/>
        <w:divId w:val="66922973"/>
        <w:rPr>
          <w:rFonts w:eastAsia="Times New Roman"/>
        </w:rPr>
      </w:pPr>
      <w:r>
        <w:rPr>
          <w:rFonts w:eastAsia="Times New Roman"/>
          <w:color w:val="000000"/>
          <w:sz w:val="20"/>
          <w:szCs w:val="20"/>
        </w:rPr>
        <w:t>Cash flow from operations was positive in all of our business segments in fiscal 2020, the two quarters ended Janua</w:t>
      </w:r>
      <w:r>
        <w:rPr>
          <w:rFonts w:eastAsia="Times New Roman"/>
          <w:color w:val="000000"/>
          <w:sz w:val="20"/>
          <w:szCs w:val="20"/>
        </w:rPr>
        <w:t>ry 3, 2020 and fiscal 2019 and 2018.</w:t>
      </w:r>
    </w:p>
    <w:p w14:paraId="017DE58F" w14:textId="77777777" w:rsidR="00000000" w:rsidRDefault="001A570A">
      <w:pPr>
        <w:ind w:firstLine="450"/>
        <w:divId w:val="344863864"/>
        <w:rPr>
          <w:rFonts w:eastAsia="Times New Roman"/>
        </w:rPr>
      </w:pPr>
      <w:r>
        <w:rPr>
          <w:rFonts w:eastAsia="Times New Roman"/>
          <w:b/>
          <w:bCs/>
          <w:i/>
          <w:iCs/>
          <w:color w:val="000000"/>
          <w:sz w:val="20"/>
          <w:szCs w:val="20"/>
        </w:rPr>
        <w:t>Net cash provided by investing activities:</w:t>
      </w:r>
      <w:r>
        <w:rPr>
          <w:rFonts w:eastAsia="Times New Roman"/>
          <w:color w:val="000000"/>
          <w:sz w:val="20"/>
          <w:szCs w:val="20"/>
        </w:rPr>
        <w:t xml:space="preserve"> The $477 million decrease in net cash provided by investing activities in fiscal 2020 compared with the four quarters ended January 3, 2020 was primarily due to $1,130 million </w:t>
      </w:r>
      <w:r>
        <w:rPr>
          <w:rFonts w:eastAsia="Times New Roman"/>
          <w:color w:val="000000"/>
          <w:sz w:val="20"/>
          <w:szCs w:val="20"/>
        </w:rPr>
        <w:t>of net cash received from the L3Harris Merger in the four quarters ended January 3, 2020 and $101 million increase in cash used for additions of property, plant and equipment, partially offset by a $697 million increase in net proceeds from sales businesse</w:t>
      </w:r>
      <w:r>
        <w:rPr>
          <w:rFonts w:eastAsia="Times New Roman"/>
          <w:color w:val="000000"/>
          <w:sz w:val="20"/>
          <w:szCs w:val="20"/>
        </w:rPr>
        <w:t xml:space="preserve">s and $91 million of proceeds from sale of property, plant and equipment in fiscal 2020. </w:t>
      </w:r>
    </w:p>
    <w:p w14:paraId="55DC5785" w14:textId="77777777" w:rsidR="00000000" w:rsidRDefault="001A570A">
      <w:pPr>
        <w:ind w:firstLine="450"/>
        <w:divId w:val="2143036479"/>
        <w:rPr>
          <w:rFonts w:eastAsia="Times New Roman"/>
        </w:rPr>
      </w:pPr>
      <w:r>
        <w:rPr>
          <w:rFonts w:eastAsia="Times New Roman"/>
          <w:color w:val="000000"/>
          <w:sz w:val="20"/>
          <w:szCs w:val="20"/>
        </w:rPr>
        <w:t>The $1.4 billion increase in net cash provided by investing activities in the two quarters ended January 3, 2020 compared with the two quarters ended December 28, 201</w:t>
      </w:r>
      <w:r>
        <w:rPr>
          <w:rFonts w:eastAsia="Times New Roman"/>
          <w:color w:val="000000"/>
          <w:sz w:val="20"/>
          <w:szCs w:val="20"/>
        </w:rPr>
        <w:t xml:space="preserve">8 was primarily due to $1.1 billion of net cash received from L3Harris Merger and $343 million of net proceeds from the sale of the Harris Night Vision business, partially offset by a $106 million increase in cash used for additions of property, plant and </w:t>
      </w:r>
      <w:r>
        <w:rPr>
          <w:rFonts w:eastAsia="Times New Roman"/>
          <w:color w:val="000000"/>
          <w:sz w:val="20"/>
          <w:szCs w:val="20"/>
        </w:rPr>
        <w:t>equipment.</w:t>
      </w:r>
    </w:p>
    <w:p w14:paraId="0116687B" w14:textId="77777777" w:rsidR="00000000" w:rsidRDefault="001A570A">
      <w:pPr>
        <w:ind w:firstLine="450"/>
        <w:divId w:val="559051778"/>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The $702 million increase in net cash used in financing activities in fiscal 2020 compared with the four quarters ended January 3, 2020 was primarily due to a $790 million increase in cash used to repurchas</w:t>
      </w:r>
      <w:r>
        <w:rPr>
          <w:rFonts w:eastAsia="Times New Roman"/>
          <w:color w:val="000000"/>
          <w:sz w:val="20"/>
          <w:szCs w:val="20"/>
        </w:rPr>
        <w:t>e our common stock, a $226 million increase in cash used to pay dividends, a $121 million increase in cash used for repayments of borrowings, a $85 million decrease in proceeds from exercises of employee stock options and $81 million of payments of interes</w:t>
      </w:r>
      <w:r>
        <w:rPr>
          <w:rFonts w:eastAsia="Times New Roman"/>
          <w:color w:val="000000"/>
          <w:sz w:val="20"/>
          <w:szCs w:val="20"/>
        </w:rPr>
        <w:t xml:space="preserve">t rate derivatives obligations, partially offset by a $504 million increase in net proceeds from borrowings and a $87 million decrease in cash used for tax withholding payments associated with vested share-based awards in fiscal 2020. </w:t>
      </w:r>
    </w:p>
    <w:p w14:paraId="53B2E97C" w14:textId="77777777" w:rsidR="00000000" w:rsidRDefault="001A570A">
      <w:pPr>
        <w:ind w:firstLine="450"/>
        <w:divId w:val="386223603"/>
        <w:rPr>
          <w:rFonts w:eastAsia="Times New Roman"/>
        </w:rPr>
      </w:pPr>
      <w:r>
        <w:rPr>
          <w:rFonts w:eastAsia="Times New Roman"/>
          <w:color w:val="000000"/>
          <w:sz w:val="20"/>
          <w:szCs w:val="20"/>
        </w:rPr>
        <w:t>The $1.6 billion inc</w:t>
      </w:r>
      <w:r>
        <w:rPr>
          <w:rFonts w:eastAsia="Times New Roman"/>
          <w:color w:val="000000"/>
          <w:sz w:val="20"/>
          <w:szCs w:val="20"/>
        </w:rPr>
        <w:t>rease in net cash used in financing activities in the two quarters ended January 3, 2020 compared with the two quarters ended December 28, 2018 was primarily due to a $1.3 billion increase in cash used to repurchase our common stock, a $174 million increas</w:t>
      </w:r>
      <w:r>
        <w:rPr>
          <w:rFonts w:eastAsia="Times New Roman"/>
          <w:color w:val="000000"/>
          <w:sz w:val="20"/>
          <w:szCs w:val="20"/>
        </w:rPr>
        <w:t>e in cash used to pay dividends, a $502 million increase in net cash used for repayments of borrowings and a $66 million increase in cash used for tax withholding payments associated with vested share-based awards, partially offset by a $370 million increa</w:t>
      </w:r>
      <w:r>
        <w:rPr>
          <w:rFonts w:eastAsia="Times New Roman"/>
          <w:color w:val="000000"/>
          <w:sz w:val="20"/>
          <w:szCs w:val="20"/>
        </w:rPr>
        <w:t>se in net proceeds from borrowings and a $91 million increase in proceeds from exercises of employee stock options.</w:t>
      </w:r>
    </w:p>
    <w:p w14:paraId="11B419BC" w14:textId="77777777" w:rsidR="00000000" w:rsidRDefault="001A570A">
      <w:pPr>
        <w:divId w:val="206919987"/>
        <w:rPr>
          <w:rFonts w:eastAsia="Times New Roman"/>
        </w:rPr>
      </w:pPr>
      <w:r>
        <w:rPr>
          <w:rFonts w:eastAsia="Times New Roman"/>
          <w:b/>
          <w:bCs/>
          <w:color w:val="000000"/>
          <w:sz w:val="20"/>
          <w:szCs w:val="20"/>
        </w:rPr>
        <w:t>Funding of Pension Plans</w:t>
      </w:r>
    </w:p>
    <w:p w14:paraId="454BFE83" w14:textId="77777777" w:rsidR="00000000" w:rsidRDefault="001A570A">
      <w:pPr>
        <w:ind w:firstLine="450"/>
        <w:divId w:val="742803283"/>
        <w:rPr>
          <w:rFonts w:eastAsia="Times New Roman"/>
        </w:rPr>
      </w:pPr>
      <w:r>
        <w:rPr>
          <w:rFonts w:eastAsia="Times New Roman"/>
          <w:color w:val="000000"/>
          <w:sz w:val="20"/>
          <w:szCs w:val="20"/>
        </w:rPr>
        <w:t>Funding requirements under applicable laws and regulations are a major consideration in making contributions to our</w:t>
      </w:r>
      <w:r>
        <w:rPr>
          <w:rFonts w:eastAsia="Times New Roman"/>
          <w:color w:val="000000"/>
          <w:sz w:val="20"/>
          <w:szCs w:val="20"/>
        </w:rPr>
        <w:t xml:space="preserve"> U.S. pension plans. Although we have significant discretion in making voluntary contributions, the Employee Retirement Income Security Act of 1974, as amended by the Pension Protection Act of 2006 and further amended by the Worker, Retiree, and Employer R</w:t>
      </w:r>
      <w:r>
        <w:rPr>
          <w:rFonts w:eastAsia="Times New Roman"/>
          <w:color w:val="000000"/>
          <w:sz w:val="20"/>
          <w:szCs w:val="20"/>
        </w:rPr>
        <w:t>ecovery Act of 2008, the Moving Ahead for Progress in the 21st Century Act (“MAP-21”) and applicable Internal Revenue Code regulations mandate minimum funding thresholds. Failure to satisfy the minimum funding thresholds could result in restrictions on our</w:t>
      </w:r>
      <w:r>
        <w:rPr>
          <w:rFonts w:eastAsia="Times New Roman"/>
          <w:color w:val="000000"/>
          <w:sz w:val="20"/>
          <w:szCs w:val="20"/>
        </w:rPr>
        <w:t xml:space="preserve"> ability to amend the plan or make benefit payments. With respect to our U.S. qualified defined benefit pension plans, we intend to contribute annually not less than the required minimum funding thresholds. </w:t>
      </w:r>
    </w:p>
    <w:p w14:paraId="0F6FD0CB" w14:textId="77777777" w:rsidR="00000000" w:rsidRDefault="001A570A">
      <w:pPr>
        <w:ind w:firstLine="450"/>
        <w:divId w:val="1164857540"/>
        <w:rPr>
          <w:rFonts w:eastAsia="Times New Roman"/>
        </w:rPr>
      </w:pPr>
      <w:r>
        <w:rPr>
          <w:rFonts w:eastAsia="Times New Roman"/>
          <w:color w:val="000000"/>
          <w:sz w:val="20"/>
          <w:szCs w:val="20"/>
        </w:rPr>
        <w:t>The Highway and Transportation Funding Act of 20</w:t>
      </w:r>
      <w:r>
        <w:rPr>
          <w:rFonts w:eastAsia="Times New Roman"/>
          <w:color w:val="000000"/>
          <w:sz w:val="20"/>
          <w:szCs w:val="20"/>
        </w:rPr>
        <w:t>14 and the Bipartisan Budget Act of 2015 further extended the interest rate stabilization provision of MAP-21 until 2020. We made a $302 million voluntary contribution to our U.S. qualified defined benefit pension plans in the two quarters ended January 3,</w:t>
      </w:r>
      <w:r>
        <w:rPr>
          <w:rFonts w:eastAsia="Times New Roman"/>
          <w:color w:val="000000"/>
          <w:sz w:val="20"/>
          <w:szCs w:val="20"/>
        </w:rPr>
        <w:t xml:space="preserve"> 2020. As a result of this voluntary contribution, as well as $300 million and $400 million of voluntary contributions in fiscal 2018 and 2017, respectively, we are not required to make any contributions to our U.S. qualified defined benefit pension plans </w:t>
      </w:r>
      <w:r>
        <w:rPr>
          <w:rFonts w:eastAsia="Times New Roman"/>
          <w:color w:val="000000"/>
          <w:sz w:val="20"/>
          <w:szCs w:val="20"/>
        </w:rPr>
        <w:t>in fiscal 2021 and for several years thereafter.</w:t>
      </w:r>
    </w:p>
    <w:p w14:paraId="4FA9B01F" w14:textId="77777777" w:rsidR="00000000" w:rsidRDefault="001A570A">
      <w:pPr>
        <w:ind w:firstLine="450"/>
        <w:divId w:val="222369828"/>
        <w:rPr>
          <w:rFonts w:eastAsia="Times New Roman"/>
        </w:rPr>
      </w:pPr>
      <w:r>
        <w:rPr>
          <w:rFonts w:eastAsia="Times New Roman"/>
          <w:color w:val="000000"/>
          <w:sz w:val="20"/>
          <w:szCs w:val="20"/>
        </w:rPr>
        <w:t>Future required contributions primarily will depend on the actual annual return on assets and the discount rate used to measure the benefit obligation at the end of each year. Depending on these factors, and</w:t>
      </w:r>
      <w:r>
        <w:rPr>
          <w:rFonts w:eastAsia="Times New Roman"/>
          <w:color w:val="000000"/>
          <w:sz w:val="20"/>
          <w:szCs w:val="20"/>
        </w:rPr>
        <w:t xml:space="preserve"> the resulting funded status of our pension </w:t>
      </w:r>
    </w:p>
    <w:p w14:paraId="3BD66DD4" w14:textId="77777777" w:rsidR="00000000" w:rsidRDefault="001A570A">
      <w:pPr>
        <w:ind w:firstLine="450"/>
        <w:jc w:val="center"/>
        <w:divId w:val="544025757"/>
        <w:rPr>
          <w:rFonts w:eastAsia="Times New Roman"/>
        </w:rPr>
      </w:pPr>
      <w:r>
        <w:rPr>
          <w:rFonts w:eastAsia="Times New Roman"/>
          <w:color w:val="000000"/>
          <w:sz w:val="20"/>
          <w:szCs w:val="20"/>
        </w:rPr>
        <w:t>57</w:t>
      </w:r>
    </w:p>
    <w:p w14:paraId="2C402C51" w14:textId="77777777" w:rsidR="00000000" w:rsidRDefault="001A570A">
      <w:pPr>
        <w:rPr>
          <w:rFonts w:eastAsia="Times New Roman"/>
        </w:rPr>
      </w:pPr>
      <w:r>
        <w:rPr>
          <w:rFonts w:eastAsia="Times New Roman"/>
        </w:rPr>
        <w:pict w14:anchorId="23BB0A76">
          <v:rect id="_x0000_i1085" style="width:0;height:1.5pt" o:hralign="center" o:hrstd="t" o:hr="t" fillcolor="#a0a0a0" stroked="f"/>
        </w:pict>
      </w:r>
    </w:p>
    <w:p w14:paraId="34F0F226" w14:textId="77777777" w:rsidR="00000000" w:rsidRDefault="001A570A">
      <w:pPr>
        <w:ind w:firstLine="450"/>
        <w:divId w:val="1708675138"/>
        <w:rPr>
          <w:rFonts w:eastAsia="Times New Roman"/>
        </w:rPr>
      </w:pPr>
    </w:p>
    <w:p w14:paraId="1A8663AA" w14:textId="77777777" w:rsidR="00000000" w:rsidRDefault="001A570A">
      <w:pPr>
        <w:divId w:val="1414663985"/>
        <w:rPr>
          <w:rFonts w:eastAsia="Times New Roman"/>
        </w:rPr>
      </w:pPr>
      <w:r>
        <w:rPr>
          <w:rFonts w:eastAsia="Times New Roman"/>
          <w:color w:val="000000"/>
          <w:sz w:val="20"/>
          <w:szCs w:val="20"/>
        </w:rPr>
        <w:t xml:space="preserve">plans, the level of future statutory required minimum contributions could be material. We had net unfunded defined benefit pension plan obligations of $1.8 billion as of January 1, 2021 compared with $1.7 billion as of January 3, 2020. See </w:t>
      </w:r>
      <w:r>
        <w:rPr>
          <w:rFonts w:eastAsia="Times New Roman"/>
          <w:i/>
          <w:iCs/>
          <w:color w:val="000000"/>
          <w:sz w:val="20"/>
          <w:szCs w:val="20"/>
        </w:rPr>
        <w:t>Note 15: Pension</w:t>
      </w:r>
      <w:r>
        <w:rPr>
          <w:rFonts w:eastAsia="Times New Roman"/>
          <w:i/>
          <w:iCs/>
          <w:color w:val="000000"/>
          <w:sz w:val="20"/>
          <w:szCs w:val="20"/>
        </w:rPr>
        <w:t xml:space="preserve"> and Other Postretirement Benefits</w:t>
      </w:r>
      <w:r>
        <w:rPr>
          <w:rFonts w:eastAsia="Times New Roman"/>
          <w:color w:val="000000"/>
          <w:sz w:val="20"/>
          <w:szCs w:val="20"/>
        </w:rPr>
        <w:t xml:space="preserve"> in the Notes for further information regarding our defined benefit pension plans.</w:t>
      </w:r>
    </w:p>
    <w:p w14:paraId="30AA2BA7" w14:textId="77777777" w:rsidR="00000000" w:rsidRDefault="001A570A">
      <w:pPr>
        <w:divId w:val="1565992005"/>
        <w:rPr>
          <w:rFonts w:eastAsia="Times New Roman"/>
        </w:rPr>
      </w:pPr>
      <w:r>
        <w:rPr>
          <w:rFonts w:eastAsia="Times New Roman"/>
          <w:b/>
          <w:bCs/>
          <w:color w:val="000000"/>
          <w:sz w:val="20"/>
          <w:szCs w:val="20"/>
        </w:rPr>
        <w:t xml:space="preserve">Common Stock Repurchases </w:t>
      </w:r>
    </w:p>
    <w:p w14:paraId="0B5976AB" w14:textId="77777777" w:rsidR="00000000" w:rsidRDefault="001A570A">
      <w:pPr>
        <w:ind w:firstLine="450"/>
        <w:divId w:val="86271215"/>
        <w:rPr>
          <w:rFonts w:eastAsia="Times New Roman"/>
        </w:rPr>
      </w:pPr>
      <w:r>
        <w:rPr>
          <w:rFonts w:eastAsia="Times New Roman"/>
          <w:color w:val="000000"/>
          <w:sz w:val="20"/>
          <w:szCs w:val="20"/>
        </w:rPr>
        <w:t>During fiscal 2020, we used $2.3 billion to repurchase 12.0 million shares of our common stock under our share re</w:t>
      </w:r>
      <w:r>
        <w:rPr>
          <w:rFonts w:eastAsia="Times New Roman"/>
          <w:color w:val="000000"/>
          <w:sz w:val="20"/>
          <w:szCs w:val="20"/>
        </w:rPr>
        <w:t xml:space="preserve">purchase program at an average price per share of $191.42, including commissions of $.02 per share. During the two quarters ended January 3, 2020, we repurchased 7.4 million shares of our common stock under our share repurchase program for $1.5 billion at </w:t>
      </w:r>
      <w:r>
        <w:rPr>
          <w:rFonts w:eastAsia="Times New Roman"/>
          <w:color w:val="000000"/>
          <w:sz w:val="20"/>
          <w:szCs w:val="20"/>
        </w:rPr>
        <w:t>an average price per share of $203.92, including commissions of $.02 per share. We did not repurchase any shares of our common stock under our prior repurchase program during the third and fourth quarters of fiscal 2019. In fiscal 2020, $4 million in share</w:t>
      </w:r>
      <w:r>
        <w:rPr>
          <w:rFonts w:eastAsia="Times New Roman"/>
          <w:color w:val="000000"/>
          <w:sz w:val="20"/>
          <w:szCs w:val="20"/>
        </w:rPr>
        <w:t>s of our common stock were delivered to us or withheld by us to satisfy withholding taxes on employee share-based awards. In two quarters ended January 3, 2020, $86 million in shares of our common stock were delivered to us or withheld by us to satisfy wit</w:t>
      </w:r>
      <w:r>
        <w:rPr>
          <w:rFonts w:eastAsia="Times New Roman"/>
          <w:color w:val="000000"/>
          <w:sz w:val="20"/>
          <w:szCs w:val="20"/>
        </w:rPr>
        <w:t xml:space="preserve">hholding taxes on employee share-based awards. Shares repurchased by us are cancelled and retired. </w:t>
      </w:r>
    </w:p>
    <w:p w14:paraId="022A3F2A" w14:textId="77777777" w:rsidR="00000000" w:rsidRDefault="001A570A">
      <w:pPr>
        <w:ind w:firstLine="540"/>
        <w:divId w:val="972292262"/>
        <w:rPr>
          <w:rFonts w:eastAsia="Times New Roman"/>
        </w:rPr>
      </w:pPr>
      <w:r>
        <w:rPr>
          <w:rFonts w:eastAsia="Times New Roman"/>
          <w:color w:val="000000"/>
          <w:sz w:val="20"/>
          <w:szCs w:val="20"/>
        </w:rPr>
        <w:t>On July 1, 2019, we announced that our Board of Directors approved our 2019 Repurchase Program, a new share repurchase program with a $4 billion share repur</w:t>
      </w:r>
      <w:r>
        <w:rPr>
          <w:rFonts w:eastAsia="Times New Roman"/>
          <w:color w:val="000000"/>
          <w:sz w:val="20"/>
          <w:szCs w:val="20"/>
        </w:rPr>
        <w:t>chase authorization replacing our prior share repurchase programs. Our repurchase program does not have a stated expiration date and authorizes us to repurchase shares of our common stock through open market purchases, private transactions, transactions st</w:t>
      </w:r>
      <w:r>
        <w:rPr>
          <w:rFonts w:eastAsia="Times New Roman"/>
          <w:color w:val="000000"/>
          <w:sz w:val="20"/>
          <w:szCs w:val="20"/>
        </w:rPr>
        <w:t xml:space="preserve">ructured through investment banking institutions or any combination thereof. At January 1, 2021, we had a remaining, unused authorization under our repurchase program of $210 million. As discussed in more detail in </w:t>
      </w:r>
      <w:r>
        <w:rPr>
          <w:rFonts w:eastAsia="Times New Roman"/>
          <w:i/>
          <w:iCs/>
          <w:color w:val="000000"/>
          <w:sz w:val="20"/>
          <w:szCs w:val="20"/>
        </w:rPr>
        <w:t>Note 28: Subsequent Events</w:t>
      </w:r>
      <w:r>
        <w:rPr>
          <w:rFonts w:eastAsia="Times New Roman"/>
          <w:color w:val="000000"/>
          <w:sz w:val="20"/>
          <w:szCs w:val="20"/>
        </w:rPr>
        <w:t xml:space="preserve"> in the Notes, </w:t>
      </w:r>
      <w:r>
        <w:rPr>
          <w:rFonts w:eastAsia="Times New Roman"/>
          <w:color w:val="000000"/>
          <w:sz w:val="20"/>
          <w:szCs w:val="20"/>
        </w:rPr>
        <w:t>on January 28, 2021, we announced that our Board of Directors approved a new $6 billion share repurchase authorization under our repurchase program that was in addition to the remaining unused authorization of $210 million, for a total unused authorization</w:t>
      </w:r>
      <w:r>
        <w:rPr>
          <w:rFonts w:eastAsia="Times New Roman"/>
          <w:color w:val="000000"/>
          <w:sz w:val="20"/>
          <w:szCs w:val="20"/>
        </w:rPr>
        <w:t xml:space="preserve"> of $6.2 billion. We have announced that we currently expect to repurchase up to $2.3 billion in shares under our repurchase program in fiscal 2021, exclusive of any proceeds from divestitures we may complete, but we can give no assurances regarding the le</w:t>
      </w:r>
      <w:r>
        <w:rPr>
          <w:rFonts w:eastAsia="Times New Roman"/>
          <w:color w:val="000000"/>
          <w:sz w:val="20"/>
          <w:szCs w:val="20"/>
        </w:rPr>
        <w:t xml:space="preserve">vel and timing of shares repurchases. The level and timing of our repurchases depends on a number of factors, including our financial condition, capital requirements, cash flows, results of operations, future business prospects and other factors our Board </w:t>
      </w:r>
      <w:r>
        <w:rPr>
          <w:rFonts w:eastAsia="Times New Roman"/>
          <w:color w:val="000000"/>
          <w:sz w:val="20"/>
          <w:szCs w:val="20"/>
        </w:rPr>
        <w:t>and management may deem relevant. The timing, volume and nature of repurchases are subject to market conditions, applicable securities laws and other factors and are at our discretion and may be suspended or discontinued at any time. Additional information</w:t>
      </w:r>
      <w:r>
        <w:rPr>
          <w:rFonts w:eastAsia="Times New Roman"/>
          <w:color w:val="000000"/>
          <w:sz w:val="20"/>
          <w:szCs w:val="20"/>
        </w:rPr>
        <w:t xml:space="preserve"> regarding our repurchase program is set forth above under “Item 5. Market for Registrant’s Common Equity, Related Stockholder Matters and Issuer Purchases of Equity Securities” of this Report. For additional information regarding potential repurchases of </w:t>
      </w:r>
      <w:r>
        <w:rPr>
          <w:rFonts w:eastAsia="Times New Roman"/>
          <w:color w:val="000000"/>
          <w:sz w:val="20"/>
          <w:szCs w:val="20"/>
        </w:rPr>
        <w:t xml:space="preserve">our common stock, see </w:t>
      </w:r>
      <w:r>
        <w:rPr>
          <w:rFonts w:eastAsia="Times New Roman"/>
          <w:i/>
          <w:iCs/>
          <w:color w:val="000000"/>
          <w:sz w:val="20"/>
          <w:szCs w:val="20"/>
        </w:rPr>
        <w:t xml:space="preserve">Note 28: Subsequent Events </w:t>
      </w:r>
      <w:r>
        <w:rPr>
          <w:rFonts w:eastAsia="Times New Roman"/>
          <w:color w:val="000000"/>
          <w:sz w:val="20"/>
          <w:szCs w:val="20"/>
        </w:rPr>
        <w:t xml:space="preserve">in the Notes. </w:t>
      </w:r>
    </w:p>
    <w:p w14:paraId="29C5D4D9" w14:textId="77777777" w:rsidR="00000000" w:rsidRDefault="001A570A">
      <w:pPr>
        <w:divId w:val="1528328363"/>
        <w:rPr>
          <w:rFonts w:eastAsia="Times New Roman"/>
        </w:rPr>
      </w:pPr>
      <w:r>
        <w:rPr>
          <w:rFonts w:eastAsia="Times New Roman"/>
          <w:b/>
          <w:bCs/>
          <w:color w:val="000000"/>
          <w:sz w:val="20"/>
          <w:szCs w:val="20"/>
        </w:rPr>
        <w:t>Dividends</w:t>
      </w:r>
    </w:p>
    <w:p w14:paraId="25835138" w14:textId="77777777" w:rsidR="00000000" w:rsidRDefault="001A570A">
      <w:pPr>
        <w:ind w:firstLine="450"/>
        <w:divId w:val="80565094"/>
        <w:rPr>
          <w:rFonts w:eastAsia="Times New Roman"/>
        </w:rPr>
      </w:pPr>
      <w:r>
        <w:rPr>
          <w:rFonts w:eastAsia="Times New Roman"/>
          <w:color w:val="000000"/>
          <w:sz w:val="20"/>
          <w:szCs w:val="20"/>
        </w:rPr>
        <w:t>On January 28, 2021, we announced that our Board of Directors increased the quarterly per share cash dividend rate on our common stock from $.85 to $1.02,</w:t>
      </w:r>
      <w:r>
        <w:rPr>
          <w:rFonts w:eastAsia="Times New Roman"/>
          <w:color w:val="FF0000"/>
          <w:sz w:val="20"/>
          <w:szCs w:val="20"/>
        </w:rPr>
        <w:t xml:space="preserve"> </w:t>
      </w:r>
      <w:r>
        <w:rPr>
          <w:rFonts w:eastAsia="Times New Roman"/>
          <w:color w:val="000000"/>
          <w:sz w:val="20"/>
          <w:szCs w:val="20"/>
        </w:rPr>
        <w:t>commencing with the dividen</w:t>
      </w:r>
      <w:r>
        <w:rPr>
          <w:rFonts w:eastAsia="Times New Roman"/>
          <w:color w:val="000000"/>
          <w:sz w:val="20"/>
          <w:szCs w:val="20"/>
        </w:rPr>
        <w:t>d declared by our Board of Directors for the first quarter of fiscal 2021, for an annualized per share cash dividend rate</w:t>
      </w:r>
      <w:r>
        <w:rPr>
          <w:rFonts w:eastAsia="Times New Roman"/>
          <w:color w:val="FF0000"/>
          <w:sz w:val="20"/>
          <w:szCs w:val="20"/>
        </w:rPr>
        <w:t xml:space="preserve"> </w:t>
      </w:r>
      <w:r>
        <w:rPr>
          <w:rFonts w:eastAsia="Times New Roman"/>
          <w:color w:val="000000"/>
          <w:sz w:val="20"/>
          <w:szCs w:val="20"/>
        </w:rPr>
        <w:t>of $4.08, which was our twentieth consecutive annual increase in our quarterly cash dividend rate. Our annualized per share cash divid</w:t>
      </w:r>
      <w:r>
        <w:rPr>
          <w:rFonts w:eastAsia="Times New Roman"/>
          <w:color w:val="000000"/>
          <w:sz w:val="20"/>
          <w:szCs w:val="20"/>
        </w:rPr>
        <w:t>end rate was $3.40 in fiscal 2020, $3.00 in the two quarters ended January 3, 2020, and $2.74 and $2.28 in fiscal 2019 and 2018, respectively. Quarterly cash dividends are typically paid in March, June, September and December. We currently expect that cash</w:t>
      </w:r>
      <w:r>
        <w:rPr>
          <w:rFonts w:eastAsia="Times New Roman"/>
          <w:color w:val="000000"/>
          <w:sz w:val="20"/>
          <w:szCs w:val="20"/>
        </w:rPr>
        <w:t xml:space="preserve"> dividends will continue to be paid in the near future, but we can give no assurances concerning payment of future dividends or future dividend increases</w:t>
      </w:r>
      <w:r>
        <w:rPr>
          <w:rFonts w:eastAsia="Times New Roman"/>
          <w:color w:val="FF0000"/>
          <w:sz w:val="20"/>
          <w:szCs w:val="20"/>
        </w:rPr>
        <w:t xml:space="preserve">. </w:t>
      </w:r>
      <w:r>
        <w:rPr>
          <w:rFonts w:eastAsia="Times New Roman"/>
          <w:color w:val="000000"/>
          <w:sz w:val="20"/>
          <w:szCs w:val="20"/>
        </w:rPr>
        <w:t>The declaration of dividends and the amount thereof will depend on a number of factors, including our</w:t>
      </w:r>
      <w:r>
        <w:rPr>
          <w:rFonts w:eastAsia="Times New Roman"/>
          <w:color w:val="000000"/>
          <w:sz w:val="20"/>
          <w:szCs w:val="20"/>
        </w:rPr>
        <w:t xml:space="preserve"> financial condition, capital requirements, cash flows, results of operations, future business prospects and other factors our Board of Directors may deem relevant. Additional information concerning our dividends is set forth above under “Item 5. Market fo</w:t>
      </w:r>
      <w:r>
        <w:rPr>
          <w:rFonts w:eastAsia="Times New Roman"/>
          <w:color w:val="000000"/>
          <w:sz w:val="20"/>
          <w:szCs w:val="20"/>
        </w:rPr>
        <w:t>r Registrant’s Common Equity, Related Stockholder Matters and Issuer Purchases of Equity Securities” of this Report.</w:t>
      </w:r>
    </w:p>
    <w:p w14:paraId="39CF874B" w14:textId="77777777" w:rsidR="00000000" w:rsidRDefault="001A570A">
      <w:pPr>
        <w:divId w:val="555435100"/>
        <w:rPr>
          <w:rFonts w:eastAsia="Times New Roman"/>
        </w:rPr>
      </w:pPr>
      <w:r>
        <w:rPr>
          <w:rFonts w:eastAsia="Times New Roman"/>
          <w:b/>
          <w:bCs/>
          <w:color w:val="000000"/>
          <w:sz w:val="20"/>
          <w:szCs w:val="20"/>
        </w:rPr>
        <w:t>Capital Structure and Resources</w:t>
      </w:r>
    </w:p>
    <w:p w14:paraId="698619B1" w14:textId="77777777" w:rsidR="00000000" w:rsidRDefault="001A570A">
      <w:pPr>
        <w:ind w:firstLine="450"/>
        <w:divId w:val="552159800"/>
        <w:rPr>
          <w:rFonts w:eastAsia="Times New Roman"/>
        </w:rPr>
      </w:pPr>
      <w:r>
        <w:rPr>
          <w:rFonts w:eastAsia="Times New Roman"/>
          <w:b/>
          <w:bCs/>
          <w:i/>
          <w:iCs/>
          <w:color w:val="000000"/>
          <w:sz w:val="20"/>
          <w:szCs w:val="20"/>
        </w:rPr>
        <w:t>2019 Credit Agreement:</w:t>
      </w:r>
      <w:r>
        <w:rPr>
          <w:rFonts w:eastAsia="Times New Roman"/>
          <w:color w:val="000000"/>
          <w:sz w:val="20"/>
          <w:szCs w:val="20"/>
        </w:rPr>
        <w:t> We have a $2 billion, 5-year senior unsecured revolving credit facility (the “2019 C</w:t>
      </w:r>
      <w:r>
        <w:rPr>
          <w:rFonts w:eastAsia="Times New Roman"/>
          <w:color w:val="000000"/>
          <w:sz w:val="20"/>
          <w:szCs w:val="20"/>
        </w:rPr>
        <w:t xml:space="preserve">redit Facility”) under a Revolving Credit Agreement (the “2019 Credit Agreement”) entered into on June 28, 2019 with a syndicate of lenders. The description of the 2019 Credit Facility and the 2019 Credit Agreement set forth in </w:t>
      </w:r>
      <w:r>
        <w:rPr>
          <w:rFonts w:eastAsia="Times New Roman"/>
          <w:i/>
          <w:iCs/>
          <w:color w:val="000000"/>
          <w:sz w:val="20"/>
          <w:szCs w:val="20"/>
        </w:rPr>
        <w:t>Note 13: Credit Arrangements</w:t>
      </w:r>
      <w:r>
        <w:rPr>
          <w:rFonts w:eastAsia="Times New Roman"/>
          <w:color w:val="000000"/>
          <w:sz w:val="20"/>
          <w:szCs w:val="20"/>
        </w:rPr>
        <w:t xml:space="preserve"> in the Notes is incorporated herein by reference.</w:t>
      </w:r>
    </w:p>
    <w:p w14:paraId="58948626" w14:textId="77777777" w:rsidR="00000000" w:rsidRDefault="001A570A">
      <w:pPr>
        <w:ind w:firstLine="450"/>
        <w:divId w:val="1920170975"/>
        <w:rPr>
          <w:rFonts w:eastAsia="Times New Roman"/>
        </w:rPr>
      </w:pPr>
      <w:r>
        <w:rPr>
          <w:rFonts w:eastAsia="Times New Roman"/>
          <w:color w:val="000000"/>
          <w:sz w:val="20"/>
          <w:szCs w:val="20"/>
        </w:rPr>
        <w:t>We were in compliance with the covenants in the 2019 Credit Agreement at January </w:t>
      </w:r>
      <w:r>
        <w:rPr>
          <w:rFonts w:eastAsia="Times New Roman"/>
          <w:color w:val="000000"/>
          <w:sz w:val="20"/>
          <w:szCs w:val="20"/>
        </w:rPr>
        <w:t xml:space="preserve">1, 2021, including the covenant requiring that we not permit our ratio of consolidated total indebtedness to total capital, each as defined in the 2019 Credit Agreement, to be greater than 0.65 to 1.00. At January 1, 2021, we had no borrowings outstanding </w:t>
      </w:r>
      <w:r>
        <w:rPr>
          <w:rFonts w:eastAsia="Times New Roman"/>
          <w:color w:val="000000"/>
          <w:sz w:val="20"/>
          <w:szCs w:val="20"/>
        </w:rPr>
        <w:t>under the 2019 Credit Agreement.</w:t>
      </w:r>
    </w:p>
    <w:p w14:paraId="54EB3A64" w14:textId="77777777" w:rsidR="00000000" w:rsidRDefault="001A570A">
      <w:pPr>
        <w:ind w:firstLine="450"/>
        <w:divId w:val="1299385620"/>
        <w:rPr>
          <w:rFonts w:eastAsia="Times New Roman"/>
        </w:rPr>
      </w:pPr>
      <w:r>
        <w:rPr>
          <w:rFonts w:eastAsia="Times New Roman"/>
          <w:b/>
          <w:bCs/>
          <w:i/>
          <w:iCs/>
          <w:color w:val="000000"/>
          <w:sz w:val="20"/>
          <w:szCs w:val="20"/>
        </w:rPr>
        <w:t>Exchange Offer:</w:t>
      </w:r>
      <w:r>
        <w:rPr>
          <w:rFonts w:eastAsia="Times New Roman"/>
          <w:color w:val="000000"/>
          <w:sz w:val="20"/>
          <w:szCs w:val="20"/>
        </w:rPr>
        <w:t xml:space="preserve"> In connection with the L3Harris Merger, on May 30, 2019, we commenced offers to eligible holders to exchange any and all outstanding 4.950% Senior Notes due 2021, 3.850% Senior Notes due 2023, 3.950% Senior </w:t>
      </w:r>
      <w:r>
        <w:rPr>
          <w:rFonts w:eastAsia="Times New Roman"/>
          <w:color w:val="000000"/>
          <w:sz w:val="20"/>
          <w:szCs w:val="20"/>
        </w:rPr>
        <w:t>Notes due 2024, 3.850% Senior Notes due 2026 and 4.400% Senior Notes due 2028 issued by L3 for up to $3.35 billion aggregate principal amount of new notes issued by L3Harris</w:t>
      </w:r>
      <w:r>
        <w:rPr>
          <w:rFonts w:eastAsia="Times New Roman"/>
          <w:b/>
          <w:bCs/>
          <w:color w:val="000000"/>
          <w:sz w:val="20"/>
          <w:szCs w:val="20"/>
        </w:rPr>
        <w:t xml:space="preserve"> </w:t>
      </w:r>
      <w:r>
        <w:rPr>
          <w:rFonts w:eastAsia="Times New Roman"/>
          <w:color w:val="000000"/>
          <w:sz w:val="20"/>
          <w:szCs w:val="20"/>
        </w:rPr>
        <w:t>and cash. On July 2, 2019, we settled the debt exchange offer, and on March 31, 20</w:t>
      </w:r>
      <w:r>
        <w:rPr>
          <w:rFonts w:eastAsia="Times New Roman"/>
          <w:color w:val="000000"/>
          <w:sz w:val="20"/>
          <w:szCs w:val="20"/>
        </w:rPr>
        <w:t xml:space="preserve">20, </w:t>
      </w:r>
    </w:p>
    <w:p w14:paraId="5F2BFF52" w14:textId="77777777" w:rsidR="00000000" w:rsidRDefault="001A570A">
      <w:pPr>
        <w:ind w:firstLine="450"/>
        <w:jc w:val="center"/>
        <w:divId w:val="1055860857"/>
        <w:rPr>
          <w:rFonts w:eastAsia="Times New Roman"/>
        </w:rPr>
      </w:pPr>
      <w:r>
        <w:rPr>
          <w:rFonts w:eastAsia="Times New Roman"/>
          <w:color w:val="000000"/>
          <w:sz w:val="20"/>
          <w:szCs w:val="20"/>
        </w:rPr>
        <w:t>58</w:t>
      </w:r>
    </w:p>
    <w:p w14:paraId="35EEC355" w14:textId="77777777" w:rsidR="00000000" w:rsidRDefault="001A570A">
      <w:pPr>
        <w:rPr>
          <w:rFonts w:eastAsia="Times New Roman"/>
        </w:rPr>
      </w:pPr>
      <w:r>
        <w:rPr>
          <w:rFonts w:eastAsia="Times New Roman"/>
        </w:rPr>
        <w:pict w14:anchorId="598D2336">
          <v:rect id="_x0000_i1086" style="width:0;height:1.5pt" o:hralign="center" o:hrstd="t" o:hr="t" fillcolor="#a0a0a0" stroked="f"/>
        </w:pict>
      </w:r>
    </w:p>
    <w:p w14:paraId="23C865DA" w14:textId="77777777" w:rsidR="00000000" w:rsidRDefault="001A570A">
      <w:pPr>
        <w:ind w:firstLine="450"/>
        <w:divId w:val="442463209"/>
        <w:rPr>
          <w:rFonts w:eastAsia="Times New Roman"/>
        </w:rPr>
      </w:pPr>
    </w:p>
    <w:p w14:paraId="59F82B18" w14:textId="77777777" w:rsidR="00000000" w:rsidRDefault="001A570A">
      <w:pPr>
        <w:divId w:val="639387091"/>
        <w:rPr>
          <w:rFonts w:eastAsia="Times New Roman"/>
        </w:rPr>
      </w:pPr>
      <w:r>
        <w:rPr>
          <w:rFonts w:eastAsia="Times New Roman"/>
          <w:color w:val="000000"/>
          <w:sz w:val="20"/>
          <w:szCs w:val="20"/>
        </w:rPr>
        <w:t>we commenced offers to eligible holders to exchange any and all the outstanding notes that were previously issued by L3Harris pursuant to an exemption from the registration requirements of the Securities Act (“</w:t>
      </w:r>
      <w:r>
        <w:rPr>
          <w:rFonts w:eastAsia="Times New Roman"/>
          <w:color w:val="000000"/>
          <w:sz w:val="20"/>
          <w:szCs w:val="20"/>
        </w:rPr>
        <w:t xml:space="preserve">Original Notes”) for an equal principal amount of new notes registered under the Securities Act (the “Exchange Notes”). The terms of the Exchange Notes are substantially identical to the terms of the corresponding series of the Original Notes, except that </w:t>
      </w:r>
      <w:r>
        <w:rPr>
          <w:rFonts w:eastAsia="Times New Roman"/>
          <w:color w:val="000000"/>
          <w:sz w:val="20"/>
          <w:szCs w:val="20"/>
        </w:rPr>
        <w:t xml:space="preserve">the Exchange Notes are registered under the Securities Act, and the transfer restrictions, registration rights and related special interest provisions applicable to the Original Notes do not apply to the Exchange Notes. The Exchange Offers expired at 5:00 </w:t>
      </w:r>
      <w:r>
        <w:rPr>
          <w:rFonts w:eastAsia="Times New Roman"/>
          <w:color w:val="000000"/>
          <w:sz w:val="20"/>
          <w:szCs w:val="20"/>
        </w:rPr>
        <w:t xml:space="preserve">p.m., New York City time, on May 1, 2020. On May 5, 2020, we settled the Exchange Offers and issued Exchange Notes for validly tendered Original Notes. See </w:t>
      </w:r>
      <w:r>
        <w:rPr>
          <w:rFonts w:eastAsia="Times New Roman"/>
          <w:i/>
          <w:iCs/>
          <w:color w:val="000000"/>
          <w:sz w:val="20"/>
          <w:szCs w:val="20"/>
        </w:rPr>
        <w:t>Note 14: Debt</w:t>
      </w:r>
      <w:r>
        <w:rPr>
          <w:rFonts w:eastAsia="Times New Roman"/>
          <w:color w:val="000000"/>
          <w:sz w:val="20"/>
          <w:szCs w:val="20"/>
        </w:rPr>
        <w:t xml:space="preserve"> in the Notes for additional information.</w:t>
      </w:r>
    </w:p>
    <w:p w14:paraId="209A1BD3" w14:textId="77777777" w:rsidR="00000000" w:rsidRDefault="001A570A">
      <w:pPr>
        <w:ind w:firstLine="450"/>
        <w:divId w:val="1424181234"/>
        <w:rPr>
          <w:rFonts w:eastAsia="Times New Roman"/>
        </w:rPr>
      </w:pPr>
      <w:r>
        <w:rPr>
          <w:rFonts w:eastAsia="Times New Roman"/>
          <w:b/>
          <w:bCs/>
          <w:i/>
          <w:iCs/>
          <w:color w:val="000000"/>
          <w:sz w:val="20"/>
          <w:szCs w:val="20"/>
        </w:rPr>
        <w:t>Short-Term Debt:</w:t>
      </w:r>
      <w:r>
        <w:rPr>
          <w:rFonts w:eastAsia="Times New Roman"/>
          <w:color w:val="000000"/>
          <w:sz w:val="20"/>
          <w:szCs w:val="20"/>
        </w:rPr>
        <w:t> Our short-term debt at Janua</w:t>
      </w:r>
      <w:r>
        <w:rPr>
          <w:rFonts w:eastAsia="Times New Roman"/>
          <w:color w:val="000000"/>
          <w:sz w:val="20"/>
          <w:szCs w:val="20"/>
        </w:rPr>
        <w:t>ry 1, 2021 and January 3, 2020 was $2 million and $3 million, respectively, consisting of local borrowing by international subsidiaries for working capital needs. Our commercial paper program was supported by the 2019 Credit Facility at January 1, 2021 and</w:t>
      </w:r>
      <w:r>
        <w:rPr>
          <w:rFonts w:eastAsia="Times New Roman"/>
          <w:color w:val="000000"/>
          <w:sz w:val="20"/>
          <w:szCs w:val="20"/>
        </w:rPr>
        <w:t xml:space="preserve"> January 3, 2020. See </w:t>
      </w:r>
      <w:r>
        <w:rPr>
          <w:rFonts w:eastAsia="Times New Roman"/>
          <w:i/>
          <w:iCs/>
          <w:color w:val="000000"/>
          <w:sz w:val="20"/>
          <w:szCs w:val="20"/>
        </w:rPr>
        <w:t>Note 13: Credit Arrangements</w:t>
      </w:r>
      <w:r>
        <w:rPr>
          <w:rFonts w:eastAsia="Times New Roman"/>
          <w:color w:val="000000"/>
          <w:sz w:val="20"/>
          <w:szCs w:val="20"/>
        </w:rPr>
        <w:t xml:space="preserve"> in the Notes for additional information regarding credit arrangements.</w:t>
      </w:r>
    </w:p>
    <w:p w14:paraId="532A3AE7" w14:textId="77777777" w:rsidR="00000000" w:rsidRDefault="001A570A">
      <w:pPr>
        <w:ind w:firstLine="450"/>
        <w:divId w:val="980184854"/>
        <w:rPr>
          <w:rFonts w:eastAsia="Times New Roman"/>
        </w:rPr>
      </w:pPr>
      <w:r>
        <w:rPr>
          <w:rFonts w:eastAsia="Times New Roman"/>
          <w:b/>
          <w:bCs/>
          <w:i/>
          <w:iCs/>
          <w:color w:val="000000"/>
          <w:sz w:val="20"/>
          <w:szCs w:val="20"/>
        </w:rPr>
        <w:t>Long-Term Variable-Rate Debt:</w:t>
      </w:r>
      <w:r>
        <w:rPr>
          <w:rFonts w:eastAsia="Times New Roman"/>
          <w:color w:val="000000"/>
          <w:sz w:val="20"/>
          <w:szCs w:val="20"/>
        </w:rPr>
        <w:t xml:space="preserve"> The description of our long-term variable-rate debt set forth in </w:t>
      </w:r>
      <w:r>
        <w:rPr>
          <w:rFonts w:eastAsia="Times New Roman"/>
          <w:i/>
          <w:iCs/>
          <w:color w:val="000000"/>
          <w:sz w:val="20"/>
          <w:szCs w:val="20"/>
        </w:rPr>
        <w:t>Note 14: Debt</w:t>
      </w:r>
      <w:r>
        <w:rPr>
          <w:rFonts w:eastAsia="Times New Roman"/>
          <w:color w:val="000000"/>
          <w:sz w:val="20"/>
          <w:szCs w:val="20"/>
        </w:rPr>
        <w:t xml:space="preserve"> in the Notes is incorpora</w:t>
      </w:r>
      <w:r>
        <w:rPr>
          <w:rFonts w:eastAsia="Times New Roman"/>
          <w:color w:val="000000"/>
          <w:sz w:val="20"/>
          <w:szCs w:val="20"/>
        </w:rPr>
        <w:t xml:space="preserve">ted herein by reference. As discussed in </w:t>
      </w:r>
      <w:r>
        <w:rPr>
          <w:rFonts w:eastAsia="Times New Roman"/>
          <w:i/>
          <w:iCs/>
          <w:color w:val="000000"/>
          <w:sz w:val="20"/>
          <w:szCs w:val="20"/>
        </w:rPr>
        <w:t>Note 14: Debt</w:t>
      </w:r>
      <w:r>
        <w:rPr>
          <w:rFonts w:eastAsia="Times New Roman"/>
          <w:color w:val="000000"/>
          <w:sz w:val="20"/>
          <w:szCs w:val="20"/>
        </w:rPr>
        <w:t xml:space="preserve"> in the Notes, during the first quarter of fiscal 2020, we completed the issuance and sale of $250 million in aggregate principal amount of Floating Rate Notes due March 10, 2023 and used the net procee</w:t>
      </w:r>
      <w:r>
        <w:rPr>
          <w:rFonts w:eastAsia="Times New Roman"/>
          <w:color w:val="000000"/>
          <w:sz w:val="20"/>
          <w:szCs w:val="20"/>
        </w:rPr>
        <w:t xml:space="preserve">ds from the sale to repay in full the entire outstanding $250 million aggregate principal amount of our Floating Rate Notes due April 30, 2020 that had been issued in the second quarter of fiscal 2018. </w:t>
      </w:r>
    </w:p>
    <w:p w14:paraId="1622942D" w14:textId="77777777" w:rsidR="00000000" w:rsidRDefault="001A570A">
      <w:pPr>
        <w:ind w:firstLine="450"/>
        <w:divId w:val="989023069"/>
        <w:rPr>
          <w:rFonts w:eastAsia="Times New Roman"/>
        </w:rPr>
      </w:pPr>
      <w:r>
        <w:rPr>
          <w:rFonts w:eastAsia="Times New Roman"/>
          <w:b/>
          <w:bCs/>
          <w:i/>
          <w:iCs/>
          <w:color w:val="000000"/>
          <w:sz w:val="20"/>
          <w:szCs w:val="20"/>
        </w:rPr>
        <w:t>Long-Term Fixed-Rate Debt:</w:t>
      </w:r>
      <w:r>
        <w:rPr>
          <w:rFonts w:eastAsia="Times New Roman"/>
          <w:b/>
          <w:bCs/>
          <w:color w:val="000000"/>
          <w:sz w:val="20"/>
          <w:szCs w:val="20"/>
        </w:rPr>
        <w:t> </w:t>
      </w:r>
      <w:r>
        <w:rPr>
          <w:rFonts w:eastAsia="Times New Roman"/>
          <w:color w:val="000000"/>
          <w:sz w:val="20"/>
          <w:szCs w:val="20"/>
        </w:rPr>
        <w:t>The description of our lon</w:t>
      </w:r>
      <w:r>
        <w:rPr>
          <w:rFonts w:eastAsia="Times New Roman"/>
          <w:color w:val="000000"/>
          <w:sz w:val="20"/>
          <w:szCs w:val="20"/>
        </w:rPr>
        <w:t xml:space="preserve">g-term fixed-rate debt set forth in </w:t>
      </w:r>
      <w:r>
        <w:rPr>
          <w:rFonts w:eastAsia="Times New Roman"/>
          <w:i/>
          <w:iCs/>
          <w:color w:val="000000"/>
          <w:sz w:val="20"/>
          <w:szCs w:val="20"/>
        </w:rPr>
        <w:t>Note 14: Debt</w:t>
      </w:r>
      <w:r>
        <w:rPr>
          <w:rFonts w:eastAsia="Times New Roman"/>
          <w:color w:val="000000"/>
          <w:sz w:val="20"/>
          <w:szCs w:val="20"/>
        </w:rPr>
        <w:t xml:space="preserve"> in the Notes is incorporated herein by reference. As discussed in </w:t>
      </w:r>
      <w:r>
        <w:rPr>
          <w:rFonts w:eastAsia="Times New Roman"/>
          <w:i/>
          <w:iCs/>
          <w:color w:val="000000"/>
          <w:sz w:val="20"/>
          <w:szCs w:val="20"/>
        </w:rPr>
        <w:t>Note 14: Debt</w:t>
      </w:r>
      <w:r>
        <w:rPr>
          <w:rFonts w:eastAsia="Times New Roman"/>
          <w:color w:val="000000"/>
          <w:sz w:val="20"/>
          <w:szCs w:val="20"/>
        </w:rPr>
        <w:t xml:space="preserve"> in the Notes, on November 25, 2020, we completed the issuance and sale of $650 million in aggregate principal amount of 1.80% </w:t>
      </w:r>
      <w:r>
        <w:rPr>
          <w:rFonts w:eastAsia="Times New Roman"/>
          <w:color w:val="000000"/>
          <w:sz w:val="20"/>
          <w:szCs w:val="20"/>
        </w:rPr>
        <w:t>notes due January 15, 2031 (the “1.80% 2031 Notes”) and used the proceeds from the sale to redeem the entire outstanding $650 million aggregate principal amount of our 4.95% Notes due February 15, 2021 (the “4.95% 2021 Notes”) ( $501 million of which was i</w:t>
      </w:r>
      <w:r>
        <w:rPr>
          <w:rFonts w:eastAsia="Times New Roman"/>
          <w:color w:val="000000"/>
          <w:sz w:val="20"/>
          <w:szCs w:val="20"/>
        </w:rPr>
        <w:t>ssued by L3Harris and $149 million of which was issued by L3). On November 27, 2019, we completed the issuance and sale of $400 million in aggregate principal amount of 2.900% Notes due December 15, 2029 and used the proceeds from the sale to redeem the en</w:t>
      </w:r>
      <w:r>
        <w:rPr>
          <w:rFonts w:eastAsia="Times New Roman"/>
          <w:color w:val="000000"/>
          <w:sz w:val="20"/>
          <w:szCs w:val="20"/>
        </w:rPr>
        <w:t>tire outstanding $400 million aggregate principal amount of our 2.7% Notes due April 27, 2020 (the “2.7% 2020 Notes”) at a “make-whole” redemption price of $403 million, as set forth in the 2.7% 2020 Notes. The 4.95% 2021 Notes and 2.7% 2020 Notes were ter</w:t>
      </w:r>
      <w:r>
        <w:rPr>
          <w:rFonts w:eastAsia="Times New Roman"/>
          <w:color w:val="000000"/>
          <w:sz w:val="20"/>
          <w:szCs w:val="20"/>
        </w:rPr>
        <w:t>minated and cancelled.</w:t>
      </w:r>
    </w:p>
    <w:p w14:paraId="479B372C" w14:textId="77777777" w:rsidR="00000000" w:rsidRDefault="001A570A">
      <w:pPr>
        <w:ind w:firstLine="450"/>
        <w:divId w:val="1538856464"/>
        <w:rPr>
          <w:rFonts w:eastAsia="Times New Roman"/>
        </w:rPr>
      </w:pPr>
      <w:r>
        <w:rPr>
          <w:rFonts w:eastAsia="Times New Roman"/>
          <w:b/>
          <w:bCs/>
          <w:i/>
          <w:iCs/>
          <w:color w:val="000000"/>
          <w:sz w:val="20"/>
          <w:szCs w:val="20"/>
        </w:rPr>
        <w:t xml:space="preserve">Other Agreements: </w:t>
      </w:r>
      <w:r>
        <w:rPr>
          <w:rFonts w:eastAsia="Times New Roman"/>
          <w:color w:val="000000"/>
          <w:sz w:val="20"/>
          <w:szCs w:val="20"/>
        </w:rPr>
        <w:t>We have a receivable sales agreement (“RSA”</w:t>
      </w:r>
      <w:r>
        <w:rPr>
          <w:rFonts w:eastAsia="Times New Roman"/>
          <w:color w:val="000000"/>
          <w:sz w:val="20"/>
          <w:szCs w:val="20"/>
        </w:rPr>
        <w:t>) with a third-party financial institution that permits us to sell, on a non-recourse basis, up to $100 million of outstanding receivables at any given time. From time to time, we have sold certain customer receivables under the RSA, which we continue to s</w:t>
      </w:r>
      <w:r>
        <w:rPr>
          <w:rFonts w:eastAsia="Times New Roman"/>
          <w:color w:val="000000"/>
          <w:sz w:val="20"/>
          <w:szCs w:val="20"/>
        </w:rPr>
        <w:t>ervice and collect on behalf of the third-party financial institution and which we account for as sales of receivables with sale proceeds included in net cash from operating activities. The impact to net cash from operating activities from these transactio</w:t>
      </w:r>
      <w:r>
        <w:rPr>
          <w:rFonts w:eastAsia="Times New Roman"/>
          <w:color w:val="000000"/>
          <w:sz w:val="20"/>
          <w:szCs w:val="20"/>
        </w:rPr>
        <w:t>ns was not material in fiscal 2020, the two quarters ended January 3, 2020 or in fiscal 2019 or 2018.</w:t>
      </w:r>
    </w:p>
    <w:p w14:paraId="28A06F00" w14:textId="77777777" w:rsidR="00000000" w:rsidRDefault="001A570A">
      <w:pPr>
        <w:divId w:val="57899953"/>
        <w:rPr>
          <w:rFonts w:eastAsia="Times New Roman"/>
        </w:rPr>
      </w:pPr>
      <w:r>
        <w:rPr>
          <w:rFonts w:eastAsia="Times New Roman"/>
          <w:b/>
          <w:bCs/>
          <w:color w:val="000000"/>
          <w:sz w:val="20"/>
          <w:szCs w:val="20"/>
        </w:rPr>
        <w:t>Contractual Obligations</w:t>
      </w:r>
    </w:p>
    <w:p w14:paraId="2DCF0893" w14:textId="77777777" w:rsidR="00000000" w:rsidRDefault="001A570A">
      <w:pPr>
        <w:ind w:firstLine="450"/>
        <w:divId w:val="1699158675"/>
        <w:rPr>
          <w:rFonts w:eastAsia="Times New Roman"/>
        </w:rPr>
      </w:pPr>
      <w:r>
        <w:rPr>
          <w:rFonts w:eastAsia="Times New Roman"/>
          <w:color w:val="000000"/>
          <w:sz w:val="20"/>
          <w:szCs w:val="20"/>
        </w:rPr>
        <w:t>At January 1, 2021, we had contractual cash obligations to repay debt, to purchase goods and services and to make payments under o</w:t>
      </w:r>
      <w:r>
        <w:rPr>
          <w:rFonts w:eastAsia="Times New Roman"/>
          <w:color w:val="000000"/>
          <w:sz w:val="20"/>
          <w:szCs w:val="20"/>
        </w:rPr>
        <w:t>perating leases. Payments due under these long-term obligations are as follows:</w:t>
      </w:r>
    </w:p>
    <w:tbl>
      <w:tblPr>
        <w:tblW w:w="4748" w:type="pct"/>
        <w:tblCellMar>
          <w:top w:w="15" w:type="dxa"/>
          <w:left w:w="15" w:type="dxa"/>
          <w:bottom w:w="15" w:type="dxa"/>
          <w:right w:w="15" w:type="dxa"/>
        </w:tblCellMar>
        <w:tblLook w:val="04A0" w:firstRow="1" w:lastRow="0" w:firstColumn="1" w:lastColumn="0" w:noHBand="0" w:noVBand="1"/>
      </w:tblPr>
      <w:tblGrid>
        <w:gridCol w:w="39"/>
        <w:gridCol w:w="3884"/>
        <w:gridCol w:w="38"/>
        <w:gridCol w:w="120"/>
        <w:gridCol w:w="600"/>
        <w:gridCol w:w="36"/>
        <w:gridCol w:w="36"/>
        <w:gridCol w:w="52"/>
        <w:gridCol w:w="36"/>
        <w:gridCol w:w="120"/>
        <w:gridCol w:w="506"/>
        <w:gridCol w:w="36"/>
        <w:gridCol w:w="36"/>
        <w:gridCol w:w="52"/>
        <w:gridCol w:w="36"/>
        <w:gridCol w:w="120"/>
        <w:gridCol w:w="506"/>
        <w:gridCol w:w="36"/>
        <w:gridCol w:w="36"/>
        <w:gridCol w:w="52"/>
        <w:gridCol w:w="36"/>
        <w:gridCol w:w="120"/>
        <w:gridCol w:w="506"/>
        <w:gridCol w:w="36"/>
        <w:gridCol w:w="36"/>
        <w:gridCol w:w="53"/>
        <w:gridCol w:w="36"/>
        <w:gridCol w:w="120"/>
        <w:gridCol w:w="531"/>
        <w:gridCol w:w="36"/>
      </w:tblGrid>
      <w:tr w:rsidR="00000000" w14:paraId="1854803A" w14:textId="77777777">
        <w:trPr>
          <w:divId w:val="934479025"/>
        </w:trPr>
        <w:tc>
          <w:tcPr>
            <w:tcW w:w="50" w:type="pct"/>
            <w:vAlign w:val="center"/>
            <w:hideMark/>
          </w:tcPr>
          <w:p w14:paraId="7A88C45E" w14:textId="77777777" w:rsidR="00000000" w:rsidRDefault="001A570A">
            <w:pPr>
              <w:ind w:firstLine="450"/>
              <w:rPr>
                <w:rFonts w:eastAsia="Times New Roman"/>
              </w:rPr>
            </w:pPr>
          </w:p>
        </w:tc>
        <w:tc>
          <w:tcPr>
            <w:tcW w:w="2516" w:type="pct"/>
            <w:vAlign w:val="center"/>
            <w:hideMark/>
          </w:tcPr>
          <w:p w14:paraId="6BE24999" w14:textId="77777777" w:rsidR="00000000" w:rsidRDefault="001A570A">
            <w:pPr>
              <w:rPr>
                <w:rFonts w:eastAsia="Times New Roman"/>
                <w:sz w:val="20"/>
                <w:szCs w:val="20"/>
              </w:rPr>
            </w:pPr>
          </w:p>
        </w:tc>
        <w:tc>
          <w:tcPr>
            <w:tcW w:w="5" w:type="pct"/>
            <w:vAlign w:val="center"/>
            <w:hideMark/>
          </w:tcPr>
          <w:p w14:paraId="632E71BC" w14:textId="77777777" w:rsidR="00000000" w:rsidRDefault="001A570A">
            <w:pPr>
              <w:rPr>
                <w:rFonts w:eastAsia="Times New Roman"/>
                <w:sz w:val="20"/>
                <w:szCs w:val="20"/>
              </w:rPr>
            </w:pPr>
          </w:p>
        </w:tc>
        <w:tc>
          <w:tcPr>
            <w:tcW w:w="50" w:type="pct"/>
            <w:vAlign w:val="center"/>
            <w:hideMark/>
          </w:tcPr>
          <w:p w14:paraId="07CE1C95" w14:textId="77777777" w:rsidR="00000000" w:rsidRDefault="001A570A">
            <w:pPr>
              <w:rPr>
                <w:rFonts w:eastAsia="Times New Roman"/>
                <w:sz w:val="20"/>
                <w:szCs w:val="20"/>
              </w:rPr>
            </w:pPr>
          </w:p>
        </w:tc>
        <w:tc>
          <w:tcPr>
            <w:tcW w:w="361" w:type="pct"/>
            <w:vAlign w:val="center"/>
            <w:hideMark/>
          </w:tcPr>
          <w:p w14:paraId="092B2718" w14:textId="77777777" w:rsidR="00000000" w:rsidRDefault="001A570A">
            <w:pPr>
              <w:rPr>
                <w:rFonts w:eastAsia="Times New Roman"/>
                <w:sz w:val="20"/>
                <w:szCs w:val="20"/>
              </w:rPr>
            </w:pPr>
          </w:p>
        </w:tc>
        <w:tc>
          <w:tcPr>
            <w:tcW w:w="5" w:type="pct"/>
            <w:vAlign w:val="center"/>
            <w:hideMark/>
          </w:tcPr>
          <w:p w14:paraId="57878894" w14:textId="77777777" w:rsidR="00000000" w:rsidRDefault="001A570A">
            <w:pPr>
              <w:rPr>
                <w:rFonts w:eastAsia="Times New Roman"/>
                <w:sz w:val="20"/>
                <w:szCs w:val="20"/>
              </w:rPr>
            </w:pPr>
          </w:p>
        </w:tc>
        <w:tc>
          <w:tcPr>
            <w:tcW w:w="5" w:type="pct"/>
            <w:vAlign w:val="center"/>
            <w:hideMark/>
          </w:tcPr>
          <w:p w14:paraId="058F6CD6" w14:textId="77777777" w:rsidR="00000000" w:rsidRDefault="001A570A">
            <w:pPr>
              <w:rPr>
                <w:rFonts w:eastAsia="Times New Roman"/>
                <w:sz w:val="20"/>
                <w:szCs w:val="20"/>
              </w:rPr>
            </w:pPr>
          </w:p>
        </w:tc>
        <w:tc>
          <w:tcPr>
            <w:tcW w:w="73" w:type="pct"/>
            <w:vAlign w:val="center"/>
            <w:hideMark/>
          </w:tcPr>
          <w:p w14:paraId="6A4F03C3" w14:textId="77777777" w:rsidR="00000000" w:rsidRDefault="001A570A">
            <w:pPr>
              <w:rPr>
                <w:rFonts w:eastAsia="Times New Roman"/>
                <w:sz w:val="20"/>
                <w:szCs w:val="20"/>
              </w:rPr>
            </w:pPr>
          </w:p>
        </w:tc>
        <w:tc>
          <w:tcPr>
            <w:tcW w:w="5" w:type="pct"/>
            <w:vAlign w:val="center"/>
            <w:hideMark/>
          </w:tcPr>
          <w:p w14:paraId="74504E9E" w14:textId="77777777" w:rsidR="00000000" w:rsidRDefault="001A570A">
            <w:pPr>
              <w:rPr>
                <w:rFonts w:eastAsia="Times New Roman"/>
                <w:sz w:val="20"/>
                <w:szCs w:val="20"/>
              </w:rPr>
            </w:pPr>
          </w:p>
        </w:tc>
        <w:tc>
          <w:tcPr>
            <w:tcW w:w="50" w:type="pct"/>
            <w:vAlign w:val="center"/>
            <w:hideMark/>
          </w:tcPr>
          <w:p w14:paraId="47E4EA20" w14:textId="77777777" w:rsidR="00000000" w:rsidRDefault="001A570A">
            <w:pPr>
              <w:rPr>
                <w:rFonts w:eastAsia="Times New Roman"/>
                <w:sz w:val="20"/>
                <w:szCs w:val="20"/>
              </w:rPr>
            </w:pPr>
          </w:p>
        </w:tc>
        <w:tc>
          <w:tcPr>
            <w:tcW w:w="361" w:type="pct"/>
            <w:vAlign w:val="center"/>
            <w:hideMark/>
          </w:tcPr>
          <w:p w14:paraId="33F6A8AA" w14:textId="77777777" w:rsidR="00000000" w:rsidRDefault="001A570A">
            <w:pPr>
              <w:rPr>
                <w:rFonts w:eastAsia="Times New Roman"/>
                <w:sz w:val="20"/>
                <w:szCs w:val="20"/>
              </w:rPr>
            </w:pPr>
          </w:p>
        </w:tc>
        <w:tc>
          <w:tcPr>
            <w:tcW w:w="5" w:type="pct"/>
            <w:vAlign w:val="center"/>
            <w:hideMark/>
          </w:tcPr>
          <w:p w14:paraId="18B14FD6" w14:textId="77777777" w:rsidR="00000000" w:rsidRDefault="001A570A">
            <w:pPr>
              <w:rPr>
                <w:rFonts w:eastAsia="Times New Roman"/>
                <w:sz w:val="20"/>
                <w:szCs w:val="20"/>
              </w:rPr>
            </w:pPr>
          </w:p>
        </w:tc>
        <w:tc>
          <w:tcPr>
            <w:tcW w:w="5" w:type="pct"/>
            <w:vAlign w:val="center"/>
            <w:hideMark/>
          </w:tcPr>
          <w:p w14:paraId="6550828E" w14:textId="77777777" w:rsidR="00000000" w:rsidRDefault="001A570A">
            <w:pPr>
              <w:rPr>
                <w:rFonts w:eastAsia="Times New Roman"/>
                <w:sz w:val="20"/>
                <w:szCs w:val="20"/>
              </w:rPr>
            </w:pPr>
          </w:p>
        </w:tc>
        <w:tc>
          <w:tcPr>
            <w:tcW w:w="73" w:type="pct"/>
            <w:vAlign w:val="center"/>
            <w:hideMark/>
          </w:tcPr>
          <w:p w14:paraId="5CAD7C2B" w14:textId="77777777" w:rsidR="00000000" w:rsidRDefault="001A570A">
            <w:pPr>
              <w:rPr>
                <w:rFonts w:eastAsia="Times New Roman"/>
                <w:sz w:val="20"/>
                <w:szCs w:val="20"/>
              </w:rPr>
            </w:pPr>
          </w:p>
        </w:tc>
        <w:tc>
          <w:tcPr>
            <w:tcW w:w="5" w:type="pct"/>
            <w:vAlign w:val="center"/>
            <w:hideMark/>
          </w:tcPr>
          <w:p w14:paraId="06815DC2" w14:textId="77777777" w:rsidR="00000000" w:rsidRDefault="001A570A">
            <w:pPr>
              <w:rPr>
                <w:rFonts w:eastAsia="Times New Roman"/>
                <w:sz w:val="20"/>
                <w:szCs w:val="20"/>
              </w:rPr>
            </w:pPr>
          </w:p>
        </w:tc>
        <w:tc>
          <w:tcPr>
            <w:tcW w:w="50" w:type="pct"/>
            <w:vAlign w:val="center"/>
            <w:hideMark/>
          </w:tcPr>
          <w:p w14:paraId="2BF690AD" w14:textId="77777777" w:rsidR="00000000" w:rsidRDefault="001A570A">
            <w:pPr>
              <w:rPr>
                <w:rFonts w:eastAsia="Times New Roman"/>
                <w:sz w:val="20"/>
                <w:szCs w:val="20"/>
              </w:rPr>
            </w:pPr>
          </w:p>
        </w:tc>
        <w:tc>
          <w:tcPr>
            <w:tcW w:w="361" w:type="pct"/>
            <w:vAlign w:val="center"/>
            <w:hideMark/>
          </w:tcPr>
          <w:p w14:paraId="2D191557" w14:textId="77777777" w:rsidR="00000000" w:rsidRDefault="001A570A">
            <w:pPr>
              <w:rPr>
                <w:rFonts w:eastAsia="Times New Roman"/>
                <w:sz w:val="20"/>
                <w:szCs w:val="20"/>
              </w:rPr>
            </w:pPr>
          </w:p>
        </w:tc>
        <w:tc>
          <w:tcPr>
            <w:tcW w:w="5" w:type="pct"/>
            <w:vAlign w:val="center"/>
            <w:hideMark/>
          </w:tcPr>
          <w:p w14:paraId="365471F0" w14:textId="77777777" w:rsidR="00000000" w:rsidRDefault="001A570A">
            <w:pPr>
              <w:rPr>
                <w:rFonts w:eastAsia="Times New Roman"/>
                <w:sz w:val="20"/>
                <w:szCs w:val="20"/>
              </w:rPr>
            </w:pPr>
          </w:p>
        </w:tc>
        <w:tc>
          <w:tcPr>
            <w:tcW w:w="5" w:type="pct"/>
            <w:vAlign w:val="center"/>
            <w:hideMark/>
          </w:tcPr>
          <w:p w14:paraId="60A3DB07" w14:textId="77777777" w:rsidR="00000000" w:rsidRDefault="001A570A">
            <w:pPr>
              <w:rPr>
                <w:rFonts w:eastAsia="Times New Roman"/>
                <w:sz w:val="20"/>
                <w:szCs w:val="20"/>
              </w:rPr>
            </w:pPr>
          </w:p>
        </w:tc>
        <w:tc>
          <w:tcPr>
            <w:tcW w:w="73" w:type="pct"/>
            <w:vAlign w:val="center"/>
            <w:hideMark/>
          </w:tcPr>
          <w:p w14:paraId="09168964" w14:textId="77777777" w:rsidR="00000000" w:rsidRDefault="001A570A">
            <w:pPr>
              <w:rPr>
                <w:rFonts w:eastAsia="Times New Roman"/>
                <w:sz w:val="20"/>
                <w:szCs w:val="20"/>
              </w:rPr>
            </w:pPr>
          </w:p>
        </w:tc>
        <w:tc>
          <w:tcPr>
            <w:tcW w:w="5" w:type="pct"/>
            <w:vAlign w:val="center"/>
            <w:hideMark/>
          </w:tcPr>
          <w:p w14:paraId="40A17FBE" w14:textId="77777777" w:rsidR="00000000" w:rsidRDefault="001A570A">
            <w:pPr>
              <w:rPr>
                <w:rFonts w:eastAsia="Times New Roman"/>
                <w:sz w:val="20"/>
                <w:szCs w:val="20"/>
              </w:rPr>
            </w:pPr>
          </w:p>
        </w:tc>
        <w:tc>
          <w:tcPr>
            <w:tcW w:w="50" w:type="pct"/>
            <w:vAlign w:val="center"/>
            <w:hideMark/>
          </w:tcPr>
          <w:p w14:paraId="0EAE81A1" w14:textId="77777777" w:rsidR="00000000" w:rsidRDefault="001A570A">
            <w:pPr>
              <w:rPr>
                <w:rFonts w:eastAsia="Times New Roman"/>
                <w:sz w:val="20"/>
                <w:szCs w:val="20"/>
              </w:rPr>
            </w:pPr>
          </w:p>
        </w:tc>
        <w:tc>
          <w:tcPr>
            <w:tcW w:w="361" w:type="pct"/>
            <w:vAlign w:val="center"/>
            <w:hideMark/>
          </w:tcPr>
          <w:p w14:paraId="57AFBCA7" w14:textId="77777777" w:rsidR="00000000" w:rsidRDefault="001A570A">
            <w:pPr>
              <w:rPr>
                <w:rFonts w:eastAsia="Times New Roman"/>
                <w:sz w:val="20"/>
                <w:szCs w:val="20"/>
              </w:rPr>
            </w:pPr>
          </w:p>
        </w:tc>
        <w:tc>
          <w:tcPr>
            <w:tcW w:w="5" w:type="pct"/>
            <w:vAlign w:val="center"/>
            <w:hideMark/>
          </w:tcPr>
          <w:p w14:paraId="0BE5313B" w14:textId="77777777" w:rsidR="00000000" w:rsidRDefault="001A570A">
            <w:pPr>
              <w:rPr>
                <w:rFonts w:eastAsia="Times New Roman"/>
                <w:sz w:val="20"/>
                <w:szCs w:val="20"/>
              </w:rPr>
            </w:pPr>
          </w:p>
        </w:tc>
        <w:tc>
          <w:tcPr>
            <w:tcW w:w="5" w:type="pct"/>
            <w:vAlign w:val="center"/>
            <w:hideMark/>
          </w:tcPr>
          <w:p w14:paraId="729E60C0" w14:textId="77777777" w:rsidR="00000000" w:rsidRDefault="001A570A">
            <w:pPr>
              <w:rPr>
                <w:rFonts w:eastAsia="Times New Roman"/>
                <w:sz w:val="20"/>
                <w:szCs w:val="20"/>
              </w:rPr>
            </w:pPr>
          </w:p>
        </w:tc>
        <w:tc>
          <w:tcPr>
            <w:tcW w:w="73" w:type="pct"/>
            <w:vAlign w:val="center"/>
            <w:hideMark/>
          </w:tcPr>
          <w:p w14:paraId="40F2880E" w14:textId="77777777" w:rsidR="00000000" w:rsidRDefault="001A570A">
            <w:pPr>
              <w:rPr>
                <w:rFonts w:eastAsia="Times New Roman"/>
                <w:sz w:val="20"/>
                <w:szCs w:val="20"/>
              </w:rPr>
            </w:pPr>
          </w:p>
        </w:tc>
        <w:tc>
          <w:tcPr>
            <w:tcW w:w="5" w:type="pct"/>
            <w:vAlign w:val="center"/>
            <w:hideMark/>
          </w:tcPr>
          <w:p w14:paraId="335A66EA" w14:textId="77777777" w:rsidR="00000000" w:rsidRDefault="001A570A">
            <w:pPr>
              <w:rPr>
                <w:rFonts w:eastAsia="Times New Roman"/>
                <w:sz w:val="20"/>
                <w:szCs w:val="20"/>
              </w:rPr>
            </w:pPr>
          </w:p>
        </w:tc>
        <w:tc>
          <w:tcPr>
            <w:tcW w:w="50" w:type="pct"/>
            <w:vAlign w:val="center"/>
            <w:hideMark/>
          </w:tcPr>
          <w:p w14:paraId="2E2AF314" w14:textId="77777777" w:rsidR="00000000" w:rsidRDefault="001A570A">
            <w:pPr>
              <w:rPr>
                <w:rFonts w:eastAsia="Times New Roman"/>
                <w:sz w:val="20"/>
                <w:szCs w:val="20"/>
              </w:rPr>
            </w:pPr>
          </w:p>
        </w:tc>
        <w:tc>
          <w:tcPr>
            <w:tcW w:w="376" w:type="pct"/>
            <w:vAlign w:val="center"/>
            <w:hideMark/>
          </w:tcPr>
          <w:p w14:paraId="40BC1876" w14:textId="77777777" w:rsidR="00000000" w:rsidRDefault="001A570A">
            <w:pPr>
              <w:rPr>
                <w:rFonts w:eastAsia="Times New Roman"/>
                <w:sz w:val="20"/>
                <w:szCs w:val="20"/>
              </w:rPr>
            </w:pPr>
          </w:p>
        </w:tc>
        <w:tc>
          <w:tcPr>
            <w:tcW w:w="5" w:type="pct"/>
            <w:vAlign w:val="center"/>
            <w:hideMark/>
          </w:tcPr>
          <w:p w14:paraId="0B034AAD" w14:textId="77777777" w:rsidR="00000000" w:rsidRDefault="001A570A">
            <w:pPr>
              <w:rPr>
                <w:rFonts w:eastAsia="Times New Roman"/>
                <w:sz w:val="20"/>
                <w:szCs w:val="20"/>
              </w:rPr>
            </w:pPr>
          </w:p>
        </w:tc>
      </w:tr>
      <w:tr w:rsidR="00000000" w14:paraId="1DCEA85B" w14:textId="77777777">
        <w:trPr>
          <w:divId w:val="934479025"/>
        </w:trPr>
        <w:tc>
          <w:tcPr>
            <w:tcW w:w="0" w:type="auto"/>
            <w:gridSpan w:val="3"/>
            <w:tcMar>
              <w:top w:w="0" w:type="dxa"/>
              <w:left w:w="20" w:type="dxa"/>
              <w:bottom w:w="0" w:type="dxa"/>
              <w:right w:w="20" w:type="dxa"/>
            </w:tcMar>
            <w:vAlign w:val="center"/>
            <w:hideMark/>
          </w:tcPr>
          <w:p w14:paraId="7CC7FF71"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1F9F921B"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7B4D99E" w14:textId="77777777" w:rsidR="00000000" w:rsidRDefault="001A570A">
            <w:pPr>
              <w:rPr>
                <w:rFonts w:eastAsia="Times New Roman"/>
              </w:rPr>
            </w:pPr>
          </w:p>
        </w:tc>
        <w:tc>
          <w:tcPr>
            <w:tcW w:w="0" w:type="auto"/>
            <w:gridSpan w:val="21"/>
            <w:tcMar>
              <w:top w:w="30" w:type="dxa"/>
              <w:left w:w="20" w:type="dxa"/>
              <w:bottom w:w="30" w:type="dxa"/>
              <w:right w:w="20" w:type="dxa"/>
            </w:tcMar>
            <w:vAlign w:val="bottom"/>
            <w:hideMark/>
          </w:tcPr>
          <w:p w14:paraId="000D6B01" w14:textId="77777777" w:rsidR="00000000" w:rsidRDefault="001A570A">
            <w:pPr>
              <w:jc w:val="center"/>
              <w:rPr>
                <w:rFonts w:eastAsia="Times New Roman"/>
              </w:rPr>
            </w:pPr>
            <w:r>
              <w:rPr>
                <w:rFonts w:eastAsia="Times New Roman"/>
                <w:b/>
                <w:bCs/>
                <w:color w:val="000000"/>
                <w:sz w:val="16"/>
                <w:szCs w:val="16"/>
              </w:rPr>
              <w:t>Payment Due by Period</w:t>
            </w:r>
          </w:p>
        </w:tc>
      </w:tr>
      <w:tr w:rsidR="00000000" w14:paraId="34017C8D" w14:textId="77777777">
        <w:trPr>
          <w:divId w:val="934479025"/>
        </w:trPr>
        <w:tc>
          <w:tcPr>
            <w:tcW w:w="0" w:type="auto"/>
            <w:gridSpan w:val="3"/>
            <w:tcMar>
              <w:top w:w="30" w:type="dxa"/>
              <w:left w:w="20" w:type="dxa"/>
              <w:bottom w:w="30" w:type="dxa"/>
              <w:right w:w="20" w:type="dxa"/>
            </w:tcMar>
            <w:vAlign w:val="bottom"/>
            <w:hideMark/>
          </w:tcPr>
          <w:p w14:paraId="1C1D7E3C"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2807660"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054A0BA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ADEA27" w14:textId="77777777" w:rsidR="00000000" w:rsidRDefault="001A570A">
            <w:pPr>
              <w:jc w:val="center"/>
              <w:rPr>
                <w:rFonts w:eastAsia="Times New Roman"/>
              </w:rPr>
            </w:pPr>
            <w:r>
              <w:rPr>
                <w:rFonts w:eastAsia="Times New Roman"/>
                <w:b/>
                <w:bCs/>
                <w:color w:val="000000"/>
                <w:sz w:val="16"/>
                <w:szCs w:val="16"/>
              </w:rPr>
              <w:t>Less than 1 Year</w:t>
            </w:r>
          </w:p>
        </w:tc>
        <w:tc>
          <w:tcPr>
            <w:tcW w:w="0" w:type="auto"/>
            <w:gridSpan w:val="3"/>
            <w:tcBorders>
              <w:top w:val="single" w:sz="8" w:space="0" w:color="000000"/>
            </w:tcBorders>
            <w:tcMar>
              <w:top w:w="0" w:type="dxa"/>
              <w:left w:w="20" w:type="dxa"/>
              <w:bottom w:w="0" w:type="dxa"/>
              <w:right w:w="20" w:type="dxa"/>
            </w:tcMar>
            <w:vAlign w:val="center"/>
            <w:hideMark/>
          </w:tcPr>
          <w:p w14:paraId="1EFC7D8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68C06B" w14:textId="77777777" w:rsidR="00000000" w:rsidRDefault="001A570A">
            <w:pPr>
              <w:jc w:val="center"/>
              <w:rPr>
                <w:rFonts w:eastAsia="Times New Roman"/>
              </w:rPr>
            </w:pPr>
            <w:r>
              <w:rPr>
                <w:rFonts w:eastAsia="Times New Roman"/>
                <w:b/>
                <w:bCs/>
                <w:color w:val="000000"/>
                <w:sz w:val="16"/>
                <w:szCs w:val="16"/>
              </w:rPr>
              <w:t xml:space="preserve">Years </w:t>
            </w:r>
          </w:p>
          <w:p w14:paraId="68AAA5EE" w14:textId="77777777" w:rsidR="00000000" w:rsidRDefault="001A570A">
            <w:pPr>
              <w:jc w:val="center"/>
              <w:rPr>
                <w:rFonts w:eastAsia="Times New Roman"/>
              </w:rPr>
            </w:pPr>
            <w:r>
              <w:rPr>
                <w:rFonts w:eastAsia="Times New Roman"/>
                <w:b/>
                <w:bCs/>
                <w:color w:val="000000"/>
                <w:sz w:val="16"/>
                <w:szCs w:val="16"/>
              </w:rPr>
              <w:t>1 -</w:t>
            </w:r>
            <w:r>
              <w:rPr>
                <w:rFonts w:eastAsia="Times New Roman"/>
                <w:color w:val="000000"/>
                <w:sz w:val="20"/>
                <w:szCs w:val="20"/>
              </w:rPr>
              <w:t xml:space="preserve"> </w:t>
            </w:r>
            <w:r>
              <w:rPr>
                <w:rFonts w:eastAsia="Times New Roman"/>
                <w:b/>
                <w:bCs/>
                <w:color w:val="000000"/>
                <w:sz w:val="16"/>
                <w:szCs w:val="16"/>
              </w:rPr>
              <w:t>3</w:t>
            </w:r>
          </w:p>
        </w:tc>
        <w:tc>
          <w:tcPr>
            <w:tcW w:w="0" w:type="auto"/>
            <w:gridSpan w:val="3"/>
            <w:tcBorders>
              <w:top w:val="single" w:sz="8" w:space="0" w:color="000000"/>
            </w:tcBorders>
            <w:tcMar>
              <w:top w:w="0" w:type="dxa"/>
              <w:left w:w="20" w:type="dxa"/>
              <w:bottom w:w="0" w:type="dxa"/>
              <w:right w:w="20" w:type="dxa"/>
            </w:tcMar>
            <w:vAlign w:val="center"/>
            <w:hideMark/>
          </w:tcPr>
          <w:p w14:paraId="75AC8C3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C7511" w14:textId="77777777" w:rsidR="00000000" w:rsidRDefault="001A570A">
            <w:pPr>
              <w:jc w:val="center"/>
              <w:rPr>
                <w:rFonts w:eastAsia="Times New Roman"/>
              </w:rPr>
            </w:pPr>
            <w:r>
              <w:rPr>
                <w:rFonts w:eastAsia="Times New Roman"/>
                <w:b/>
                <w:bCs/>
                <w:color w:val="000000"/>
                <w:sz w:val="16"/>
                <w:szCs w:val="16"/>
              </w:rPr>
              <w:t xml:space="preserve">Years </w:t>
            </w:r>
          </w:p>
          <w:p w14:paraId="627411DF" w14:textId="77777777" w:rsidR="00000000" w:rsidRDefault="001A570A">
            <w:pPr>
              <w:jc w:val="center"/>
              <w:rPr>
                <w:rFonts w:eastAsia="Times New Roman"/>
              </w:rPr>
            </w:pPr>
            <w:r>
              <w:rPr>
                <w:rFonts w:eastAsia="Times New Roman"/>
                <w:b/>
                <w:bCs/>
                <w:color w:val="000000"/>
                <w:sz w:val="16"/>
                <w:szCs w:val="16"/>
              </w:rPr>
              <w:t>3 -</w:t>
            </w:r>
            <w:r>
              <w:rPr>
                <w:rFonts w:eastAsia="Times New Roman"/>
                <w:color w:val="000000"/>
                <w:sz w:val="20"/>
                <w:szCs w:val="20"/>
              </w:rPr>
              <w:t xml:space="preserve"> </w:t>
            </w:r>
            <w:r>
              <w:rPr>
                <w:rFonts w:eastAsia="Times New Roman"/>
                <w:b/>
                <w:bCs/>
                <w:color w:val="000000"/>
                <w:sz w:val="16"/>
                <w:szCs w:val="16"/>
              </w:rPr>
              <w:t>5</w:t>
            </w:r>
          </w:p>
        </w:tc>
        <w:tc>
          <w:tcPr>
            <w:tcW w:w="0" w:type="auto"/>
            <w:gridSpan w:val="3"/>
            <w:tcBorders>
              <w:top w:val="single" w:sz="8" w:space="0" w:color="000000"/>
            </w:tcBorders>
            <w:tcMar>
              <w:top w:w="0" w:type="dxa"/>
              <w:left w:w="20" w:type="dxa"/>
              <w:bottom w:w="0" w:type="dxa"/>
              <w:right w:w="20" w:type="dxa"/>
            </w:tcMar>
            <w:vAlign w:val="center"/>
            <w:hideMark/>
          </w:tcPr>
          <w:p w14:paraId="19DE8C3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B65C59" w14:textId="77777777" w:rsidR="00000000" w:rsidRDefault="001A570A">
            <w:pPr>
              <w:jc w:val="center"/>
              <w:rPr>
                <w:rFonts w:eastAsia="Times New Roman"/>
              </w:rPr>
            </w:pPr>
            <w:r>
              <w:rPr>
                <w:rFonts w:eastAsia="Times New Roman"/>
                <w:b/>
                <w:bCs/>
                <w:color w:val="000000"/>
                <w:sz w:val="16"/>
                <w:szCs w:val="16"/>
              </w:rPr>
              <w:t>More than</w:t>
            </w:r>
            <w:r>
              <w:rPr>
                <w:rFonts w:eastAsia="Times New Roman"/>
                <w:b/>
                <w:bCs/>
                <w:color w:val="000000"/>
                <w:sz w:val="16"/>
                <w:szCs w:val="16"/>
              </w:rPr>
              <w:br/>
              <w:t>5 Years</w:t>
            </w:r>
          </w:p>
        </w:tc>
      </w:tr>
      <w:tr w:rsidR="00000000" w14:paraId="231977D3" w14:textId="77777777">
        <w:trPr>
          <w:divId w:val="934479025"/>
          <w:trHeight w:val="60"/>
        </w:trPr>
        <w:tc>
          <w:tcPr>
            <w:tcW w:w="0" w:type="auto"/>
            <w:gridSpan w:val="3"/>
            <w:tcMar>
              <w:top w:w="0" w:type="dxa"/>
              <w:left w:w="20" w:type="dxa"/>
              <w:bottom w:w="0" w:type="dxa"/>
              <w:right w:w="20" w:type="dxa"/>
            </w:tcMar>
            <w:vAlign w:val="center"/>
            <w:hideMark/>
          </w:tcPr>
          <w:p w14:paraId="38140C3C"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426198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4AF72E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D77D0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AE54F0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15FB0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84B8DC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8A4C5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5A002B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952783" w14:textId="77777777" w:rsidR="00000000" w:rsidRDefault="001A570A">
            <w:pPr>
              <w:rPr>
                <w:rFonts w:eastAsia="Times New Roman"/>
                <w:sz w:val="20"/>
                <w:szCs w:val="20"/>
              </w:rPr>
            </w:pPr>
          </w:p>
        </w:tc>
      </w:tr>
      <w:tr w:rsidR="00000000" w14:paraId="0F4A5E73" w14:textId="77777777">
        <w:trPr>
          <w:divId w:val="934479025"/>
        </w:trPr>
        <w:tc>
          <w:tcPr>
            <w:tcW w:w="0" w:type="auto"/>
            <w:gridSpan w:val="3"/>
            <w:shd w:val="clear" w:color="auto" w:fill="CCEEFF"/>
            <w:tcMar>
              <w:top w:w="30" w:type="dxa"/>
              <w:left w:w="20" w:type="dxa"/>
              <w:bottom w:w="30" w:type="dxa"/>
              <w:right w:w="20" w:type="dxa"/>
            </w:tcMar>
            <w:hideMark/>
          </w:tcPr>
          <w:p w14:paraId="2316AC13" w14:textId="77777777" w:rsidR="00000000" w:rsidRDefault="001A570A">
            <w:pPr>
              <w:rPr>
                <w:rFonts w:eastAsia="Times New Roman"/>
              </w:rPr>
            </w:pPr>
            <w:r>
              <w:rPr>
                <w:rFonts w:eastAsia="Times New Roman"/>
                <w:color w:val="000000"/>
                <w:sz w:val="20"/>
                <w:szCs w:val="20"/>
              </w:rPr>
              <w:t>Long-term debt</w:t>
            </w:r>
          </w:p>
        </w:tc>
        <w:tc>
          <w:tcPr>
            <w:tcW w:w="0" w:type="auto"/>
            <w:shd w:val="clear" w:color="auto" w:fill="CCEEFF"/>
            <w:tcMar>
              <w:top w:w="30" w:type="dxa"/>
              <w:left w:w="20" w:type="dxa"/>
              <w:bottom w:w="30" w:type="dxa"/>
              <w:right w:w="0" w:type="dxa"/>
            </w:tcMar>
            <w:vAlign w:val="bottom"/>
            <w:hideMark/>
          </w:tcPr>
          <w:p w14:paraId="37D4274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F28DA0" w14:textId="77777777" w:rsidR="00000000" w:rsidRDefault="001A570A">
            <w:pPr>
              <w:jc w:val="right"/>
              <w:rPr>
                <w:rFonts w:eastAsia="Times New Roman"/>
              </w:rPr>
            </w:pPr>
            <w:r>
              <w:rPr>
                <w:rFonts w:eastAsia="Times New Roman"/>
                <w:color w:val="000000"/>
                <w:sz w:val="20"/>
                <w:szCs w:val="20"/>
              </w:rPr>
              <w:t>6,832 </w:t>
            </w:r>
          </w:p>
        </w:tc>
        <w:tc>
          <w:tcPr>
            <w:tcW w:w="0" w:type="auto"/>
            <w:shd w:val="clear" w:color="auto" w:fill="CCEEFF"/>
            <w:tcMar>
              <w:top w:w="30" w:type="dxa"/>
              <w:left w:w="0" w:type="dxa"/>
              <w:bottom w:w="30" w:type="dxa"/>
              <w:right w:w="20" w:type="dxa"/>
            </w:tcMar>
            <w:vAlign w:val="bottom"/>
            <w:hideMark/>
          </w:tcPr>
          <w:p w14:paraId="543028F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1410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48C8E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50A043"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2220E95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52FA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232E6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B91458" w14:textId="77777777" w:rsidR="00000000" w:rsidRDefault="001A570A">
            <w:pPr>
              <w:jc w:val="right"/>
              <w:rPr>
                <w:rFonts w:eastAsia="Times New Roman"/>
              </w:rPr>
            </w:pPr>
            <w:r>
              <w:rPr>
                <w:rFonts w:eastAsia="Times New Roman"/>
                <w:color w:val="000000"/>
                <w:sz w:val="20"/>
                <w:szCs w:val="20"/>
              </w:rPr>
              <w:t>1,062 </w:t>
            </w:r>
          </w:p>
        </w:tc>
        <w:tc>
          <w:tcPr>
            <w:tcW w:w="0" w:type="auto"/>
            <w:shd w:val="clear" w:color="auto" w:fill="CCEEFF"/>
            <w:tcMar>
              <w:top w:w="30" w:type="dxa"/>
              <w:left w:w="0" w:type="dxa"/>
              <w:bottom w:w="30" w:type="dxa"/>
              <w:right w:w="20" w:type="dxa"/>
            </w:tcMar>
            <w:vAlign w:val="bottom"/>
            <w:hideMark/>
          </w:tcPr>
          <w:p w14:paraId="624E3A6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3515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F555B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E65446" w14:textId="77777777" w:rsidR="00000000" w:rsidRDefault="001A570A">
            <w:pPr>
              <w:jc w:val="right"/>
              <w:rPr>
                <w:rFonts w:eastAsia="Times New Roman"/>
              </w:rPr>
            </w:pPr>
            <w:r>
              <w:rPr>
                <w:rFonts w:eastAsia="Times New Roman"/>
                <w:color w:val="000000"/>
                <w:sz w:val="20"/>
                <w:szCs w:val="20"/>
              </w:rPr>
              <w:t>955 </w:t>
            </w:r>
          </w:p>
        </w:tc>
        <w:tc>
          <w:tcPr>
            <w:tcW w:w="0" w:type="auto"/>
            <w:shd w:val="clear" w:color="auto" w:fill="CCEEFF"/>
            <w:tcMar>
              <w:top w:w="30" w:type="dxa"/>
              <w:left w:w="0" w:type="dxa"/>
              <w:bottom w:w="30" w:type="dxa"/>
              <w:right w:w="20" w:type="dxa"/>
            </w:tcMar>
            <w:vAlign w:val="bottom"/>
            <w:hideMark/>
          </w:tcPr>
          <w:p w14:paraId="383BF8D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724C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DBC99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D1FFF9" w14:textId="77777777" w:rsidR="00000000" w:rsidRDefault="001A570A">
            <w:pPr>
              <w:jc w:val="right"/>
              <w:rPr>
                <w:rFonts w:eastAsia="Times New Roman"/>
              </w:rPr>
            </w:pPr>
            <w:r>
              <w:rPr>
                <w:rFonts w:eastAsia="Times New Roman"/>
                <w:color w:val="000000"/>
                <w:sz w:val="20"/>
                <w:szCs w:val="20"/>
              </w:rPr>
              <w:t>4,807 </w:t>
            </w:r>
          </w:p>
        </w:tc>
        <w:tc>
          <w:tcPr>
            <w:tcW w:w="0" w:type="auto"/>
            <w:shd w:val="clear" w:color="auto" w:fill="CCEEFF"/>
            <w:tcMar>
              <w:top w:w="30" w:type="dxa"/>
              <w:left w:w="0" w:type="dxa"/>
              <w:bottom w:w="30" w:type="dxa"/>
              <w:right w:w="20" w:type="dxa"/>
            </w:tcMar>
            <w:vAlign w:val="bottom"/>
            <w:hideMark/>
          </w:tcPr>
          <w:p w14:paraId="6255C3EE" w14:textId="77777777" w:rsidR="00000000" w:rsidRDefault="001A570A">
            <w:pPr>
              <w:jc w:val="right"/>
              <w:rPr>
                <w:rFonts w:eastAsia="Times New Roman"/>
              </w:rPr>
            </w:pPr>
          </w:p>
        </w:tc>
      </w:tr>
      <w:tr w:rsidR="00000000" w14:paraId="17D449B6" w14:textId="77777777">
        <w:trPr>
          <w:divId w:val="934479025"/>
        </w:trPr>
        <w:tc>
          <w:tcPr>
            <w:tcW w:w="0" w:type="auto"/>
            <w:gridSpan w:val="3"/>
            <w:shd w:val="clear" w:color="auto" w:fill="FFFFFF"/>
            <w:tcMar>
              <w:top w:w="30" w:type="dxa"/>
              <w:left w:w="20" w:type="dxa"/>
              <w:bottom w:w="30" w:type="dxa"/>
              <w:right w:w="20" w:type="dxa"/>
            </w:tcMar>
            <w:vAlign w:val="bottom"/>
            <w:hideMark/>
          </w:tcPr>
          <w:p w14:paraId="33162537" w14:textId="77777777" w:rsidR="00000000" w:rsidRDefault="001A570A">
            <w:pPr>
              <w:divId w:val="445471583"/>
              <w:rPr>
                <w:rFonts w:eastAsia="Times New Roman"/>
              </w:rPr>
            </w:pPr>
            <w:r>
              <w:rPr>
                <w:rFonts w:eastAsia="Times New Roman"/>
                <w:color w:val="000000"/>
                <w:sz w:val="20"/>
                <w:szCs w:val="20"/>
              </w:rPr>
              <w:t>Purchase obligations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739E74BC" w14:textId="77777777" w:rsidR="00000000" w:rsidRDefault="001A570A">
            <w:pPr>
              <w:jc w:val="right"/>
              <w:rPr>
                <w:rFonts w:eastAsia="Times New Roman"/>
              </w:rPr>
            </w:pPr>
            <w:r>
              <w:rPr>
                <w:rFonts w:eastAsia="Times New Roman"/>
                <w:color w:val="000000"/>
                <w:sz w:val="20"/>
                <w:szCs w:val="20"/>
              </w:rPr>
              <w:t>3,676 </w:t>
            </w:r>
          </w:p>
        </w:tc>
        <w:tc>
          <w:tcPr>
            <w:tcW w:w="0" w:type="auto"/>
            <w:shd w:val="clear" w:color="auto" w:fill="FFFFFF"/>
            <w:tcMar>
              <w:top w:w="30" w:type="dxa"/>
              <w:left w:w="0" w:type="dxa"/>
              <w:bottom w:w="30" w:type="dxa"/>
              <w:right w:w="20" w:type="dxa"/>
            </w:tcMar>
            <w:vAlign w:val="bottom"/>
            <w:hideMark/>
          </w:tcPr>
          <w:p w14:paraId="20F1549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8293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61C11B" w14:textId="77777777" w:rsidR="00000000" w:rsidRDefault="001A570A">
            <w:pPr>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14:paraId="6D39DD0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16CE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B8A18" w14:textId="77777777" w:rsidR="00000000" w:rsidRDefault="001A570A">
            <w:pPr>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14:paraId="498DB30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AEEF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F1DA8" w14:textId="77777777" w:rsidR="00000000" w:rsidRDefault="001A570A">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46315CE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C6879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4DE050"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33A33927" w14:textId="77777777" w:rsidR="00000000" w:rsidRDefault="001A570A">
            <w:pPr>
              <w:jc w:val="right"/>
              <w:rPr>
                <w:rFonts w:eastAsia="Times New Roman"/>
              </w:rPr>
            </w:pPr>
          </w:p>
        </w:tc>
      </w:tr>
      <w:tr w:rsidR="00000000" w14:paraId="540C953D" w14:textId="77777777">
        <w:trPr>
          <w:divId w:val="934479025"/>
        </w:trPr>
        <w:tc>
          <w:tcPr>
            <w:tcW w:w="0" w:type="auto"/>
            <w:gridSpan w:val="3"/>
            <w:shd w:val="clear" w:color="auto" w:fill="CCEEFF"/>
            <w:tcMar>
              <w:top w:w="30" w:type="dxa"/>
              <w:left w:w="20" w:type="dxa"/>
              <w:bottom w:w="30" w:type="dxa"/>
              <w:right w:w="20" w:type="dxa"/>
            </w:tcMar>
            <w:hideMark/>
          </w:tcPr>
          <w:p w14:paraId="461C9BF7" w14:textId="77777777" w:rsidR="00000000" w:rsidRDefault="001A570A">
            <w:pPr>
              <w:rPr>
                <w:rFonts w:eastAsia="Times New Roman"/>
              </w:rPr>
            </w:pPr>
            <w:r>
              <w:rPr>
                <w:rFonts w:eastAsia="Times New Roman"/>
                <w:color w:val="000000"/>
                <w:sz w:val="20"/>
                <w:szCs w:val="20"/>
              </w:rPr>
              <w:t>Operating lease commitments</w:t>
            </w:r>
          </w:p>
        </w:tc>
        <w:tc>
          <w:tcPr>
            <w:tcW w:w="0" w:type="auto"/>
            <w:gridSpan w:val="2"/>
            <w:shd w:val="clear" w:color="auto" w:fill="CCEEFF"/>
            <w:tcMar>
              <w:top w:w="30" w:type="dxa"/>
              <w:left w:w="20" w:type="dxa"/>
              <w:bottom w:w="30" w:type="dxa"/>
              <w:right w:w="0" w:type="dxa"/>
            </w:tcMar>
            <w:vAlign w:val="bottom"/>
            <w:hideMark/>
          </w:tcPr>
          <w:p w14:paraId="52982C32" w14:textId="77777777" w:rsidR="00000000" w:rsidRDefault="001A570A">
            <w:pPr>
              <w:jc w:val="right"/>
              <w:rPr>
                <w:rFonts w:eastAsia="Times New Roman"/>
              </w:rPr>
            </w:pPr>
            <w:r>
              <w:rPr>
                <w:rFonts w:eastAsia="Times New Roman"/>
                <w:color w:val="000000"/>
                <w:sz w:val="20"/>
                <w:szCs w:val="20"/>
              </w:rPr>
              <w:t>997 </w:t>
            </w:r>
          </w:p>
        </w:tc>
        <w:tc>
          <w:tcPr>
            <w:tcW w:w="0" w:type="auto"/>
            <w:shd w:val="clear" w:color="auto" w:fill="CCEEFF"/>
            <w:tcMar>
              <w:top w:w="30" w:type="dxa"/>
              <w:left w:w="0" w:type="dxa"/>
              <w:bottom w:w="30" w:type="dxa"/>
              <w:right w:w="20" w:type="dxa"/>
            </w:tcMar>
            <w:vAlign w:val="bottom"/>
            <w:hideMark/>
          </w:tcPr>
          <w:p w14:paraId="32E44F5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5440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09970" w14:textId="77777777" w:rsidR="00000000" w:rsidRDefault="001A570A">
            <w:pPr>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14:paraId="329B3B2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8018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9EAB9F" w14:textId="77777777" w:rsidR="00000000" w:rsidRDefault="001A570A">
            <w:pPr>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14:paraId="4D2AD2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C569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C40C7E" w14:textId="77777777" w:rsidR="00000000" w:rsidRDefault="001A570A">
            <w:pPr>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14:paraId="3B202BF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4908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98267" w14:textId="77777777" w:rsidR="00000000" w:rsidRDefault="001A570A">
            <w:pPr>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14:paraId="63BC90D1" w14:textId="77777777" w:rsidR="00000000" w:rsidRDefault="001A570A">
            <w:pPr>
              <w:jc w:val="right"/>
              <w:rPr>
                <w:rFonts w:eastAsia="Times New Roman"/>
              </w:rPr>
            </w:pPr>
          </w:p>
        </w:tc>
      </w:tr>
      <w:tr w:rsidR="00000000" w14:paraId="5275BEC2" w14:textId="77777777">
        <w:trPr>
          <w:divId w:val="934479025"/>
        </w:trPr>
        <w:tc>
          <w:tcPr>
            <w:tcW w:w="0" w:type="auto"/>
            <w:gridSpan w:val="3"/>
            <w:shd w:val="clear" w:color="auto" w:fill="FFFFFF"/>
            <w:tcMar>
              <w:top w:w="30" w:type="dxa"/>
              <w:left w:w="20" w:type="dxa"/>
              <w:bottom w:w="30" w:type="dxa"/>
              <w:right w:w="20" w:type="dxa"/>
            </w:tcMar>
            <w:hideMark/>
          </w:tcPr>
          <w:p w14:paraId="01C633E9" w14:textId="77777777" w:rsidR="00000000" w:rsidRDefault="001A570A">
            <w:pPr>
              <w:rPr>
                <w:rFonts w:eastAsia="Times New Roman"/>
              </w:rPr>
            </w:pPr>
            <w:r>
              <w:rPr>
                <w:rFonts w:eastAsia="Times New Roman"/>
                <w:color w:val="000000"/>
                <w:sz w:val="20"/>
                <w:szCs w:val="20"/>
              </w:rPr>
              <w:t>Interest on long-term debt</w:t>
            </w:r>
          </w:p>
        </w:tc>
        <w:tc>
          <w:tcPr>
            <w:tcW w:w="0" w:type="auto"/>
            <w:gridSpan w:val="2"/>
            <w:shd w:val="clear" w:color="auto" w:fill="FFFFFF"/>
            <w:tcMar>
              <w:top w:w="30" w:type="dxa"/>
              <w:left w:w="20" w:type="dxa"/>
              <w:bottom w:w="30" w:type="dxa"/>
              <w:right w:w="0" w:type="dxa"/>
            </w:tcMar>
            <w:vAlign w:val="bottom"/>
            <w:hideMark/>
          </w:tcPr>
          <w:p w14:paraId="2BC21097" w14:textId="77777777" w:rsidR="00000000" w:rsidRDefault="001A570A">
            <w:pPr>
              <w:jc w:val="right"/>
              <w:rPr>
                <w:rFonts w:eastAsia="Times New Roman"/>
              </w:rPr>
            </w:pPr>
            <w:r>
              <w:rPr>
                <w:rFonts w:eastAsia="Times New Roman"/>
                <w:color w:val="000000"/>
                <w:sz w:val="20"/>
                <w:szCs w:val="20"/>
              </w:rPr>
              <w:t>2,520 </w:t>
            </w:r>
          </w:p>
        </w:tc>
        <w:tc>
          <w:tcPr>
            <w:tcW w:w="0" w:type="auto"/>
            <w:shd w:val="clear" w:color="auto" w:fill="FFFFFF"/>
            <w:tcMar>
              <w:top w:w="30" w:type="dxa"/>
              <w:left w:w="0" w:type="dxa"/>
              <w:bottom w:w="30" w:type="dxa"/>
              <w:right w:w="20" w:type="dxa"/>
            </w:tcMar>
            <w:vAlign w:val="bottom"/>
            <w:hideMark/>
          </w:tcPr>
          <w:p w14:paraId="4F034B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F562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9CDF1" w14:textId="77777777" w:rsidR="00000000" w:rsidRDefault="001A570A">
            <w:pPr>
              <w:jc w:val="right"/>
              <w:rPr>
                <w:rFonts w:eastAsia="Times New Roman"/>
              </w:rPr>
            </w:pPr>
            <w:r>
              <w:rPr>
                <w:rFonts w:eastAsia="Times New Roman"/>
                <w:color w:val="000000"/>
                <w:sz w:val="20"/>
                <w:szCs w:val="20"/>
              </w:rPr>
              <w:t>268 </w:t>
            </w:r>
          </w:p>
        </w:tc>
        <w:tc>
          <w:tcPr>
            <w:tcW w:w="0" w:type="auto"/>
            <w:shd w:val="clear" w:color="auto" w:fill="FFFFFF"/>
            <w:tcMar>
              <w:top w:w="30" w:type="dxa"/>
              <w:left w:w="0" w:type="dxa"/>
              <w:bottom w:w="30" w:type="dxa"/>
              <w:right w:w="20" w:type="dxa"/>
            </w:tcMar>
            <w:vAlign w:val="bottom"/>
            <w:hideMark/>
          </w:tcPr>
          <w:p w14:paraId="386E8F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DA89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9743B" w14:textId="77777777" w:rsidR="00000000" w:rsidRDefault="001A570A">
            <w:pPr>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14:paraId="5CACF14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1BFB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1561F1" w14:textId="77777777" w:rsidR="00000000" w:rsidRDefault="001A570A">
            <w:pPr>
              <w:jc w:val="right"/>
              <w:rPr>
                <w:rFonts w:eastAsia="Times New Roman"/>
              </w:rPr>
            </w:pPr>
            <w:r>
              <w:rPr>
                <w:rFonts w:eastAsia="Times New Roman"/>
                <w:color w:val="000000"/>
                <w:sz w:val="20"/>
                <w:szCs w:val="20"/>
              </w:rPr>
              <w:t>433 </w:t>
            </w:r>
          </w:p>
        </w:tc>
        <w:tc>
          <w:tcPr>
            <w:tcW w:w="0" w:type="auto"/>
            <w:shd w:val="clear" w:color="auto" w:fill="FFFFFF"/>
            <w:tcMar>
              <w:top w:w="30" w:type="dxa"/>
              <w:left w:w="0" w:type="dxa"/>
              <w:bottom w:w="30" w:type="dxa"/>
              <w:right w:w="20" w:type="dxa"/>
            </w:tcMar>
            <w:vAlign w:val="bottom"/>
            <w:hideMark/>
          </w:tcPr>
          <w:p w14:paraId="0E5B41E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B1AB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CF7B6" w14:textId="77777777" w:rsidR="00000000" w:rsidRDefault="001A570A">
            <w:pPr>
              <w:jc w:val="right"/>
              <w:rPr>
                <w:rFonts w:eastAsia="Times New Roman"/>
              </w:rPr>
            </w:pPr>
            <w:r>
              <w:rPr>
                <w:rFonts w:eastAsia="Times New Roman"/>
                <w:color w:val="000000"/>
                <w:sz w:val="20"/>
                <w:szCs w:val="20"/>
              </w:rPr>
              <w:t>1,301 </w:t>
            </w:r>
          </w:p>
        </w:tc>
        <w:tc>
          <w:tcPr>
            <w:tcW w:w="0" w:type="auto"/>
            <w:shd w:val="clear" w:color="auto" w:fill="FFFFFF"/>
            <w:tcMar>
              <w:top w:w="30" w:type="dxa"/>
              <w:left w:w="0" w:type="dxa"/>
              <w:bottom w:w="30" w:type="dxa"/>
              <w:right w:w="20" w:type="dxa"/>
            </w:tcMar>
            <w:vAlign w:val="bottom"/>
            <w:hideMark/>
          </w:tcPr>
          <w:p w14:paraId="0EF7C60E" w14:textId="77777777" w:rsidR="00000000" w:rsidRDefault="001A570A">
            <w:pPr>
              <w:jc w:val="right"/>
              <w:rPr>
                <w:rFonts w:eastAsia="Times New Roman"/>
              </w:rPr>
            </w:pPr>
          </w:p>
        </w:tc>
      </w:tr>
      <w:tr w:rsidR="00000000" w14:paraId="0B4488A8" w14:textId="77777777">
        <w:trPr>
          <w:divId w:val="934479025"/>
        </w:trPr>
        <w:tc>
          <w:tcPr>
            <w:tcW w:w="0" w:type="auto"/>
            <w:gridSpan w:val="3"/>
            <w:shd w:val="clear" w:color="auto" w:fill="CCEEFF"/>
            <w:tcMar>
              <w:top w:w="30" w:type="dxa"/>
              <w:left w:w="20" w:type="dxa"/>
              <w:bottom w:w="30" w:type="dxa"/>
              <w:right w:w="20" w:type="dxa"/>
            </w:tcMar>
            <w:hideMark/>
          </w:tcPr>
          <w:p w14:paraId="0A23F0BF" w14:textId="77777777" w:rsidR="00000000" w:rsidRDefault="001A570A">
            <w:pPr>
              <w:divId w:val="1997492024"/>
              <w:rPr>
                <w:rFonts w:eastAsia="Times New Roman"/>
              </w:rPr>
            </w:pPr>
            <w:r>
              <w:rPr>
                <w:rFonts w:eastAsia="Times New Roman"/>
                <w:color w:val="000000"/>
                <w:sz w:val="20"/>
                <w:szCs w:val="20"/>
              </w:rPr>
              <w:t>Minimum pension contributions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1FD781D1"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299BEB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0AAE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9A0F14"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7A4148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8BEE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0DDA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A4A79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EF83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643E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A8E06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561D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7B5E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89F9E5" w14:textId="77777777" w:rsidR="00000000" w:rsidRDefault="001A570A">
            <w:pPr>
              <w:jc w:val="right"/>
              <w:rPr>
                <w:rFonts w:eastAsia="Times New Roman"/>
              </w:rPr>
            </w:pPr>
          </w:p>
        </w:tc>
      </w:tr>
      <w:tr w:rsidR="00000000" w14:paraId="7DEA167B" w14:textId="77777777">
        <w:trPr>
          <w:divId w:val="934479025"/>
        </w:trPr>
        <w:tc>
          <w:tcPr>
            <w:tcW w:w="0" w:type="auto"/>
            <w:gridSpan w:val="3"/>
            <w:shd w:val="clear" w:color="auto" w:fill="FFFFFF"/>
            <w:tcMar>
              <w:top w:w="30" w:type="dxa"/>
              <w:left w:w="20" w:type="dxa"/>
              <w:bottom w:w="30" w:type="dxa"/>
              <w:right w:w="20" w:type="dxa"/>
            </w:tcMar>
            <w:hideMark/>
          </w:tcPr>
          <w:p w14:paraId="5F3B4CED" w14:textId="77777777" w:rsidR="00000000" w:rsidRDefault="001A570A">
            <w:pPr>
              <w:divId w:val="853693547"/>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030D4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20DC7E" w14:textId="77777777" w:rsidR="00000000" w:rsidRDefault="001A570A">
            <w:pPr>
              <w:jc w:val="right"/>
              <w:rPr>
                <w:rFonts w:eastAsia="Times New Roman"/>
              </w:rPr>
            </w:pPr>
            <w:r>
              <w:rPr>
                <w:rFonts w:eastAsia="Times New Roman"/>
                <w:color w:val="000000"/>
                <w:sz w:val="20"/>
                <w:szCs w:val="20"/>
              </w:rPr>
              <w:t>14,031 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B7B21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87D3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2884C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7B231C" w14:textId="77777777" w:rsidR="00000000" w:rsidRDefault="001A570A">
            <w:pPr>
              <w:jc w:val="right"/>
              <w:rPr>
                <w:rFonts w:eastAsia="Times New Roman"/>
              </w:rPr>
            </w:pPr>
            <w:r>
              <w:rPr>
                <w:rFonts w:eastAsia="Times New Roman"/>
                <w:color w:val="000000"/>
                <w:sz w:val="20"/>
                <w:szCs w:val="20"/>
              </w:rPr>
              <w:t>3,481 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FEA7F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E6A7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C68EB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5D4976" w14:textId="77777777" w:rsidR="00000000" w:rsidRDefault="001A570A">
            <w:pPr>
              <w:jc w:val="right"/>
              <w:rPr>
                <w:rFonts w:eastAsia="Times New Roman"/>
              </w:rPr>
            </w:pPr>
            <w:r>
              <w:rPr>
                <w:rFonts w:eastAsia="Times New Roman"/>
                <w:color w:val="000000"/>
                <w:sz w:val="20"/>
                <w:szCs w:val="20"/>
              </w:rPr>
              <w:t>2,409 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D8050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5396D"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B8F5A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B590B2" w14:textId="77777777" w:rsidR="00000000" w:rsidRDefault="001A570A">
            <w:pPr>
              <w:jc w:val="right"/>
              <w:rPr>
                <w:rFonts w:eastAsia="Times New Roman"/>
              </w:rPr>
            </w:pPr>
            <w:r>
              <w:rPr>
                <w:rFonts w:eastAsia="Times New Roman"/>
                <w:color w:val="000000"/>
                <w:sz w:val="20"/>
                <w:szCs w:val="20"/>
              </w:rPr>
              <w:t>1,601 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7C9B9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A8A2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442E1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A91108" w14:textId="77777777" w:rsidR="00000000" w:rsidRDefault="001A570A">
            <w:pPr>
              <w:jc w:val="right"/>
              <w:rPr>
                <w:rFonts w:eastAsia="Times New Roman"/>
              </w:rPr>
            </w:pPr>
            <w:r>
              <w:rPr>
                <w:rFonts w:eastAsia="Times New Roman"/>
                <w:color w:val="000000"/>
                <w:sz w:val="20"/>
                <w:szCs w:val="20"/>
              </w:rPr>
              <w:t>6,540 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FF303A" w14:textId="77777777" w:rsidR="00000000" w:rsidRDefault="001A570A">
            <w:pPr>
              <w:jc w:val="right"/>
              <w:rPr>
                <w:rFonts w:eastAsia="Times New Roman"/>
              </w:rPr>
            </w:pPr>
          </w:p>
        </w:tc>
      </w:tr>
    </w:tbl>
    <w:p w14:paraId="186D5EBA" w14:textId="77777777" w:rsidR="00000000" w:rsidRDefault="001A570A">
      <w:pPr>
        <w:divId w:val="2142572222"/>
        <w:rPr>
          <w:rFonts w:eastAsia="Times New Roman"/>
        </w:rPr>
      </w:pPr>
      <w:r>
        <w:rPr>
          <w:rFonts w:eastAsia="Times New Roman"/>
          <w:color w:val="000000"/>
          <w:sz w:val="16"/>
          <w:szCs w:val="16"/>
        </w:rPr>
        <w:t>_______________</w:t>
      </w:r>
    </w:p>
    <w:p w14:paraId="36D7CABB" w14:textId="77777777" w:rsidR="00000000" w:rsidRDefault="001A570A">
      <w:pPr>
        <w:ind w:hanging="360"/>
        <w:divId w:val="400951036"/>
        <w:rPr>
          <w:rFonts w:eastAsia="Times New Roman"/>
        </w:rPr>
      </w:pPr>
      <w:r>
        <w:rPr>
          <w:rFonts w:eastAsia="Times New Roman"/>
          <w:color w:val="000000"/>
          <w:sz w:val="16"/>
          <w:szCs w:val="16"/>
        </w:rPr>
        <w:t>(1) The purchase obligations of $3.7 billion included $570 million of purchase obligations related to c</w:t>
      </w:r>
      <w:r>
        <w:rPr>
          <w:rFonts w:eastAsia="Times New Roman"/>
          <w:color w:val="000000"/>
          <w:sz w:val="16"/>
          <w:szCs w:val="16"/>
        </w:rPr>
        <w:t>ost-plus type contracts where our costs are fully reimbursable.</w:t>
      </w:r>
    </w:p>
    <w:p w14:paraId="0F893483" w14:textId="77777777" w:rsidR="00000000" w:rsidRDefault="001A570A">
      <w:pPr>
        <w:ind w:hanging="360"/>
        <w:divId w:val="2054573142"/>
        <w:rPr>
          <w:rFonts w:eastAsia="Times New Roman"/>
        </w:rPr>
      </w:pPr>
      <w:r>
        <w:rPr>
          <w:rFonts w:eastAsia="Times New Roman"/>
          <w:color w:val="000000"/>
          <w:sz w:val="16"/>
          <w:szCs w:val="16"/>
        </w:rPr>
        <w:t>(2) Amount includes fiscal 2021 minimum contributions to non-U.S. pension plans. Contributions beyond fiscal 2021 have not been determined. During the two quarters ended January 3, 2020, we ma</w:t>
      </w:r>
      <w:r>
        <w:rPr>
          <w:rFonts w:eastAsia="Times New Roman"/>
          <w:color w:val="000000"/>
          <w:sz w:val="16"/>
          <w:szCs w:val="16"/>
        </w:rPr>
        <w:t>de voluntary contributions of $302 million to our U.S. qualified defined benefit pension plans. As a result of this voluntary contribution, as well as $700 million of voluntary contributions made in fiscal 2018 and 2017, we made no material contributions t</w:t>
      </w:r>
      <w:r>
        <w:rPr>
          <w:rFonts w:eastAsia="Times New Roman"/>
          <w:color w:val="000000"/>
          <w:sz w:val="16"/>
          <w:szCs w:val="16"/>
        </w:rPr>
        <w:t>o our U.S. qualified defined benefit pension plans in fiscal 2020 and are not required to make any contributions to these plans during fiscal 2021.</w:t>
      </w:r>
    </w:p>
    <w:p w14:paraId="1DB0517F" w14:textId="77777777" w:rsidR="00000000" w:rsidRDefault="001A570A">
      <w:pPr>
        <w:ind w:hanging="360"/>
        <w:divId w:val="428737407"/>
        <w:rPr>
          <w:rFonts w:eastAsia="Times New Roman"/>
        </w:rPr>
      </w:pPr>
      <w:r>
        <w:rPr>
          <w:rFonts w:eastAsia="Times New Roman"/>
          <w:color w:val="000000"/>
          <w:sz w:val="16"/>
          <w:szCs w:val="16"/>
        </w:rPr>
        <w:t>(3) The above table does not include unrecognized tax benefits of $542 million.</w:t>
      </w:r>
    </w:p>
    <w:p w14:paraId="103328B1" w14:textId="77777777" w:rsidR="00000000" w:rsidRDefault="001A570A">
      <w:pPr>
        <w:divId w:val="842626338"/>
        <w:rPr>
          <w:rFonts w:eastAsia="Times New Roman"/>
        </w:rPr>
      </w:pPr>
      <w:r>
        <w:rPr>
          <w:rFonts w:eastAsia="Times New Roman"/>
          <w:b/>
          <w:bCs/>
          <w:color w:val="000000"/>
          <w:sz w:val="20"/>
          <w:szCs w:val="20"/>
        </w:rPr>
        <w:t>Off-Balance Sheet Arrangemen</w:t>
      </w:r>
      <w:r>
        <w:rPr>
          <w:rFonts w:eastAsia="Times New Roman"/>
          <w:b/>
          <w:bCs/>
          <w:color w:val="000000"/>
          <w:sz w:val="20"/>
          <w:szCs w:val="20"/>
        </w:rPr>
        <w:t>ts</w:t>
      </w:r>
    </w:p>
    <w:p w14:paraId="15ACC095" w14:textId="77777777" w:rsidR="00000000" w:rsidRDefault="001A570A">
      <w:pPr>
        <w:ind w:firstLine="450"/>
        <w:divId w:val="1191726039"/>
        <w:rPr>
          <w:rFonts w:eastAsia="Times New Roman"/>
        </w:rPr>
      </w:pPr>
      <w:r>
        <w:rPr>
          <w:rFonts w:eastAsia="Times New Roman"/>
          <w:color w:val="000000"/>
          <w:sz w:val="20"/>
          <w:szCs w:val="20"/>
        </w:rPr>
        <w:t>In accordance with the definition under SEC rules, any of the following qualify as off-balance sheet arrangements:</w:t>
      </w:r>
    </w:p>
    <w:p w14:paraId="1F64C309" w14:textId="77777777" w:rsidR="00000000" w:rsidRDefault="001A570A">
      <w:pPr>
        <w:ind w:firstLine="450"/>
        <w:jc w:val="center"/>
        <w:divId w:val="338234346"/>
        <w:rPr>
          <w:rFonts w:eastAsia="Times New Roman"/>
        </w:rPr>
      </w:pPr>
      <w:r>
        <w:rPr>
          <w:rFonts w:eastAsia="Times New Roman"/>
          <w:color w:val="000000"/>
          <w:sz w:val="20"/>
          <w:szCs w:val="20"/>
        </w:rPr>
        <w:t>59</w:t>
      </w:r>
    </w:p>
    <w:p w14:paraId="779AFEDE" w14:textId="77777777" w:rsidR="00000000" w:rsidRDefault="001A570A">
      <w:pPr>
        <w:rPr>
          <w:rFonts w:eastAsia="Times New Roman"/>
        </w:rPr>
      </w:pPr>
      <w:r>
        <w:rPr>
          <w:rFonts w:eastAsia="Times New Roman"/>
        </w:rPr>
        <w:pict w14:anchorId="168CC05C">
          <v:rect id="_x0000_i1087" style="width:0;height:1.5pt" o:hralign="center" o:hrstd="t" o:hr="t" fillcolor="#a0a0a0" stroked="f"/>
        </w:pict>
      </w:r>
    </w:p>
    <w:p w14:paraId="1030793F" w14:textId="77777777" w:rsidR="00000000" w:rsidRDefault="001A570A">
      <w:pPr>
        <w:ind w:firstLine="450"/>
        <w:divId w:val="556935293"/>
        <w:rPr>
          <w:rFonts w:eastAsia="Times New Roman"/>
        </w:rPr>
      </w:pPr>
    </w:p>
    <w:p w14:paraId="2EA81D43" w14:textId="77777777" w:rsidR="00000000" w:rsidRDefault="001A570A">
      <w:pPr>
        <w:ind w:hanging="360"/>
        <w:divId w:val="1798793369"/>
        <w:rPr>
          <w:rFonts w:eastAsia="Times New Roman"/>
        </w:rPr>
      </w:pPr>
      <w:r>
        <w:rPr>
          <w:rFonts w:eastAsia="Times New Roman"/>
          <w:color w:val="000000"/>
          <w:sz w:val="20"/>
          <w:szCs w:val="20"/>
        </w:rPr>
        <w:t>•Any obligation under certain guarantee contracts;</w:t>
      </w:r>
    </w:p>
    <w:p w14:paraId="02774FBC" w14:textId="77777777" w:rsidR="00000000" w:rsidRDefault="001A570A">
      <w:pPr>
        <w:ind w:hanging="360"/>
        <w:divId w:val="1532567622"/>
        <w:rPr>
          <w:rFonts w:eastAsia="Times New Roman"/>
        </w:rPr>
      </w:pPr>
      <w:r>
        <w:rPr>
          <w:rFonts w:eastAsia="Times New Roman"/>
          <w:color w:val="000000"/>
          <w:sz w:val="20"/>
          <w:szCs w:val="20"/>
        </w:rPr>
        <w:t xml:space="preserve">•A retained or contingent interest in assets transferred to an unconsolidated entity or similar arrangement that serves as credit, liquidity or market risk support to </w:t>
      </w:r>
      <w:r>
        <w:rPr>
          <w:rFonts w:eastAsia="Times New Roman"/>
          <w:color w:val="000000"/>
          <w:sz w:val="20"/>
          <w:szCs w:val="20"/>
        </w:rPr>
        <w:t>that entity for such assets;</w:t>
      </w:r>
    </w:p>
    <w:p w14:paraId="363AA235" w14:textId="77777777" w:rsidR="00000000" w:rsidRDefault="001A570A">
      <w:pPr>
        <w:ind w:hanging="360"/>
        <w:divId w:val="479661311"/>
        <w:rPr>
          <w:rFonts w:eastAsia="Times New Roman"/>
        </w:rPr>
      </w:pPr>
      <w:r>
        <w:rPr>
          <w:rFonts w:eastAsia="Times New Roman"/>
          <w:color w:val="000000"/>
          <w:sz w:val="20"/>
          <w:szCs w:val="20"/>
        </w:rPr>
        <w:t>•Any obligation, including a contingent obligation, under certain derivative instruments; and</w:t>
      </w:r>
    </w:p>
    <w:p w14:paraId="026DACF8" w14:textId="77777777" w:rsidR="00000000" w:rsidRDefault="001A570A">
      <w:pPr>
        <w:ind w:hanging="360"/>
        <w:divId w:val="638263928"/>
        <w:rPr>
          <w:rFonts w:eastAsia="Times New Roman"/>
        </w:rPr>
      </w:pPr>
      <w:r>
        <w:rPr>
          <w:rFonts w:eastAsia="Times New Roman"/>
          <w:color w:val="000000"/>
          <w:sz w:val="20"/>
          <w:szCs w:val="20"/>
        </w:rPr>
        <w:t>•Any obligation, including a contingent obligation, arising out of a variable interest in an unconsolidated entity that is held by, a</w:t>
      </w:r>
      <w:r>
        <w:rPr>
          <w:rFonts w:eastAsia="Times New Roman"/>
          <w:color w:val="000000"/>
          <w:sz w:val="20"/>
          <w:szCs w:val="20"/>
        </w:rPr>
        <w:t>nd material to, the registrant, where such entity provides financing, liquidity, market risk or credit risk support to the registrant, or engages in leasing, hedging or R&amp;D services with the registrant.</w:t>
      </w:r>
    </w:p>
    <w:p w14:paraId="449144D0" w14:textId="77777777" w:rsidR="00000000" w:rsidRDefault="001A570A">
      <w:pPr>
        <w:ind w:firstLine="450"/>
        <w:divId w:val="1575703126"/>
        <w:rPr>
          <w:rFonts w:eastAsia="Times New Roman"/>
        </w:rPr>
      </w:pPr>
      <w:r>
        <w:rPr>
          <w:rFonts w:eastAsia="Times New Roman"/>
          <w:color w:val="000000"/>
          <w:sz w:val="20"/>
          <w:szCs w:val="20"/>
        </w:rPr>
        <w:t>As of January 1, 2021, we were not participating in a</w:t>
      </w:r>
      <w:r>
        <w:rPr>
          <w:rFonts w:eastAsia="Times New Roman"/>
          <w:color w:val="000000"/>
          <w:sz w:val="20"/>
          <w:szCs w:val="20"/>
        </w:rPr>
        <w:t>ny material transactions that generated relationships with unconsolidated entities or financial partnerships, including variable interest entities, and we did not have any material retained or contingent interest in assets as defined above. As of January 1</w:t>
      </w:r>
      <w:r>
        <w:rPr>
          <w:rFonts w:eastAsia="Times New Roman"/>
          <w:color w:val="000000"/>
          <w:sz w:val="20"/>
          <w:szCs w:val="20"/>
        </w:rPr>
        <w:t>, 2021, we did not have material financial guarantees or other contractual commitments that are reasonably likely to adversely affect our financial condition, results of operations, cash flows or equity, and we were not a party to any related party transac</w:t>
      </w:r>
      <w:r>
        <w:rPr>
          <w:rFonts w:eastAsia="Times New Roman"/>
          <w:color w:val="000000"/>
          <w:sz w:val="20"/>
          <w:szCs w:val="20"/>
        </w:rPr>
        <w:t>tions that materially affect our financial condition, results of operations, cash flows or equity.</w:t>
      </w:r>
    </w:p>
    <w:p w14:paraId="1409CB8A" w14:textId="77777777" w:rsidR="00000000" w:rsidRDefault="001A570A">
      <w:pPr>
        <w:ind w:firstLine="450"/>
        <w:divId w:val="1414743315"/>
        <w:rPr>
          <w:rFonts w:eastAsia="Times New Roman"/>
        </w:rPr>
      </w:pPr>
      <w:r>
        <w:rPr>
          <w:rFonts w:eastAsia="Times New Roman"/>
          <w:color w:val="000000"/>
          <w:sz w:val="20"/>
          <w:szCs w:val="20"/>
        </w:rPr>
        <w:t>We have, from time to time, divested certain of our businesses and assets. In connection with these divestitures, we often provide representations, warrantie</w:t>
      </w:r>
      <w:r>
        <w:rPr>
          <w:rFonts w:eastAsia="Times New Roman"/>
          <w:color w:val="000000"/>
          <w:sz w:val="20"/>
          <w:szCs w:val="20"/>
        </w:rPr>
        <w:t>s and/or indemnities to cover various risks and unknown liabilities, such as environmental liabilities and tax liabilities. We cannot estimate the potential liability from such representations, warranties and indemnities because they relate to unknown cond</w:t>
      </w:r>
      <w:r>
        <w:rPr>
          <w:rFonts w:eastAsia="Times New Roman"/>
          <w:color w:val="000000"/>
          <w:sz w:val="20"/>
          <w:szCs w:val="20"/>
        </w:rPr>
        <w:t>itions. We do not believe, however, that the liabilities relating to these representations, warranties and indemnities will have a material adverse effect on our financial condition, results of operations, cash flows or equity.</w:t>
      </w:r>
    </w:p>
    <w:p w14:paraId="56D22DCB" w14:textId="77777777" w:rsidR="00000000" w:rsidRDefault="001A570A">
      <w:pPr>
        <w:ind w:firstLine="450"/>
        <w:divId w:val="1988315172"/>
        <w:rPr>
          <w:rFonts w:eastAsia="Times New Roman"/>
        </w:rPr>
      </w:pPr>
      <w:r>
        <w:rPr>
          <w:rFonts w:eastAsia="Times New Roman"/>
          <w:color w:val="000000"/>
          <w:sz w:val="20"/>
          <w:szCs w:val="20"/>
        </w:rPr>
        <w:t>Due to our downsizing of cer</w:t>
      </w:r>
      <w:r>
        <w:rPr>
          <w:rFonts w:eastAsia="Times New Roman"/>
          <w:color w:val="000000"/>
          <w:sz w:val="20"/>
          <w:szCs w:val="20"/>
        </w:rPr>
        <w:t>tain operations pursuant to acquisitions, divestitures, restructuring plans or otherwise, certain properties leased by us have been sublet to third parties. If any of these third parties vacates any of these premises, we would be legally obligated under ma</w:t>
      </w:r>
      <w:r>
        <w:rPr>
          <w:rFonts w:eastAsia="Times New Roman"/>
          <w:color w:val="000000"/>
          <w:sz w:val="20"/>
          <w:szCs w:val="20"/>
        </w:rPr>
        <w:t>ster lease arrangements. We believe that the financial risk of default by such sub lessees is individually and in the aggregate not material to our financial condition, results of operations, cash flows or equity.</w:t>
      </w:r>
    </w:p>
    <w:p w14:paraId="5833BB95" w14:textId="77777777" w:rsidR="00000000" w:rsidRDefault="001A570A">
      <w:pPr>
        <w:divId w:val="557740564"/>
        <w:rPr>
          <w:rFonts w:eastAsia="Times New Roman"/>
        </w:rPr>
      </w:pPr>
      <w:r>
        <w:rPr>
          <w:rFonts w:eastAsia="Times New Roman"/>
          <w:b/>
          <w:bCs/>
          <w:color w:val="000000"/>
          <w:sz w:val="20"/>
          <w:szCs w:val="20"/>
        </w:rPr>
        <w:t>Commercial Commitments</w:t>
      </w:r>
    </w:p>
    <w:p w14:paraId="53B0201D" w14:textId="77777777" w:rsidR="00000000" w:rsidRDefault="001A570A">
      <w:pPr>
        <w:ind w:firstLine="450"/>
        <w:divId w:val="616251559"/>
        <w:rPr>
          <w:rFonts w:eastAsia="Times New Roman"/>
        </w:rPr>
      </w:pPr>
      <w:r>
        <w:rPr>
          <w:rFonts w:eastAsia="Times New Roman"/>
          <w:color w:val="000000"/>
          <w:sz w:val="20"/>
          <w:szCs w:val="20"/>
        </w:rPr>
        <w:t>We have entered int</w:t>
      </w:r>
      <w:r>
        <w:rPr>
          <w:rFonts w:eastAsia="Times New Roman"/>
          <w:color w:val="000000"/>
          <w:sz w:val="20"/>
          <w:szCs w:val="20"/>
        </w:rPr>
        <w:t>o commercial commitments in the normal course of business including surety bonds, standby letter of credit agreements and other arrangements with financial institutions and customers primarily relating to the guarantee of future performance on certain cont</w:t>
      </w:r>
      <w:r>
        <w:rPr>
          <w:rFonts w:eastAsia="Times New Roman"/>
          <w:color w:val="000000"/>
          <w:sz w:val="20"/>
          <w:szCs w:val="20"/>
        </w:rPr>
        <w:t>racts to provide products and services to customers or to obtain insurance policies with our insurance carriers. At January 1, 2021, we had commercial commitments on outstanding surety bonds, standby letters of credit and other arrangements, as follows:</w:t>
      </w:r>
    </w:p>
    <w:tbl>
      <w:tblPr>
        <w:tblW w:w="4683" w:type="pct"/>
        <w:tblCellMar>
          <w:top w:w="15" w:type="dxa"/>
          <w:left w:w="15" w:type="dxa"/>
          <w:bottom w:w="15" w:type="dxa"/>
          <w:right w:w="15" w:type="dxa"/>
        </w:tblCellMar>
        <w:tblLook w:val="04A0" w:firstRow="1" w:lastRow="0" w:firstColumn="1" w:lastColumn="0" w:noHBand="0" w:noVBand="1"/>
      </w:tblPr>
      <w:tblGrid>
        <w:gridCol w:w="38"/>
        <w:gridCol w:w="3137"/>
        <w:gridCol w:w="37"/>
        <w:gridCol w:w="120"/>
        <w:gridCol w:w="706"/>
        <w:gridCol w:w="36"/>
        <w:gridCol w:w="36"/>
        <w:gridCol w:w="36"/>
        <w:gridCol w:w="36"/>
        <w:gridCol w:w="120"/>
        <w:gridCol w:w="659"/>
        <w:gridCol w:w="36"/>
        <w:gridCol w:w="36"/>
        <w:gridCol w:w="36"/>
        <w:gridCol w:w="36"/>
        <w:gridCol w:w="120"/>
        <w:gridCol w:w="635"/>
        <w:gridCol w:w="36"/>
        <w:gridCol w:w="36"/>
        <w:gridCol w:w="36"/>
        <w:gridCol w:w="36"/>
        <w:gridCol w:w="120"/>
        <w:gridCol w:w="671"/>
        <w:gridCol w:w="36"/>
        <w:gridCol w:w="36"/>
        <w:gridCol w:w="36"/>
        <w:gridCol w:w="36"/>
        <w:gridCol w:w="120"/>
        <w:gridCol w:w="684"/>
        <w:gridCol w:w="36"/>
      </w:tblGrid>
      <w:tr w:rsidR="00000000" w14:paraId="1037F308" w14:textId="77777777">
        <w:trPr>
          <w:divId w:val="994921199"/>
        </w:trPr>
        <w:tc>
          <w:tcPr>
            <w:tcW w:w="50" w:type="pct"/>
            <w:vAlign w:val="center"/>
            <w:hideMark/>
          </w:tcPr>
          <w:p w14:paraId="26CCE256" w14:textId="77777777" w:rsidR="00000000" w:rsidRDefault="001A570A">
            <w:pPr>
              <w:ind w:firstLine="450"/>
              <w:rPr>
                <w:rFonts w:eastAsia="Times New Roman"/>
              </w:rPr>
            </w:pPr>
          </w:p>
        </w:tc>
        <w:tc>
          <w:tcPr>
            <w:tcW w:w="2061" w:type="pct"/>
            <w:vAlign w:val="center"/>
            <w:hideMark/>
          </w:tcPr>
          <w:p w14:paraId="1D13C301" w14:textId="77777777" w:rsidR="00000000" w:rsidRDefault="001A570A">
            <w:pPr>
              <w:rPr>
                <w:rFonts w:eastAsia="Times New Roman"/>
                <w:sz w:val="20"/>
                <w:szCs w:val="20"/>
              </w:rPr>
            </w:pPr>
          </w:p>
        </w:tc>
        <w:tc>
          <w:tcPr>
            <w:tcW w:w="5" w:type="pct"/>
            <w:vAlign w:val="center"/>
            <w:hideMark/>
          </w:tcPr>
          <w:p w14:paraId="1A2CB4F6" w14:textId="77777777" w:rsidR="00000000" w:rsidRDefault="001A570A">
            <w:pPr>
              <w:rPr>
                <w:rFonts w:eastAsia="Times New Roman"/>
                <w:sz w:val="20"/>
                <w:szCs w:val="20"/>
              </w:rPr>
            </w:pPr>
          </w:p>
        </w:tc>
        <w:tc>
          <w:tcPr>
            <w:tcW w:w="50" w:type="pct"/>
            <w:vAlign w:val="center"/>
            <w:hideMark/>
          </w:tcPr>
          <w:p w14:paraId="402712AA" w14:textId="77777777" w:rsidR="00000000" w:rsidRDefault="001A570A">
            <w:pPr>
              <w:rPr>
                <w:rFonts w:eastAsia="Times New Roman"/>
                <w:sz w:val="20"/>
                <w:szCs w:val="20"/>
              </w:rPr>
            </w:pPr>
          </w:p>
        </w:tc>
        <w:tc>
          <w:tcPr>
            <w:tcW w:w="489" w:type="pct"/>
            <w:vAlign w:val="center"/>
            <w:hideMark/>
          </w:tcPr>
          <w:p w14:paraId="3603E0AB" w14:textId="77777777" w:rsidR="00000000" w:rsidRDefault="001A570A">
            <w:pPr>
              <w:rPr>
                <w:rFonts w:eastAsia="Times New Roman"/>
                <w:sz w:val="20"/>
                <w:szCs w:val="20"/>
              </w:rPr>
            </w:pPr>
          </w:p>
        </w:tc>
        <w:tc>
          <w:tcPr>
            <w:tcW w:w="5" w:type="pct"/>
            <w:vAlign w:val="center"/>
            <w:hideMark/>
          </w:tcPr>
          <w:p w14:paraId="4DCEE2F3" w14:textId="77777777" w:rsidR="00000000" w:rsidRDefault="001A570A">
            <w:pPr>
              <w:rPr>
                <w:rFonts w:eastAsia="Times New Roman"/>
                <w:sz w:val="20"/>
                <w:szCs w:val="20"/>
              </w:rPr>
            </w:pPr>
          </w:p>
        </w:tc>
        <w:tc>
          <w:tcPr>
            <w:tcW w:w="5" w:type="pct"/>
            <w:vAlign w:val="center"/>
            <w:hideMark/>
          </w:tcPr>
          <w:p w14:paraId="14E57486" w14:textId="77777777" w:rsidR="00000000" w:rsidRDefault="001A570A">
            <w:pPr>
              <w:rPr>
                <w:rFonts w:eastAsia="Times New Roman"/>
                <w:sz w:val="20"/>
                <w:szCs w:val="20"/>
              </w:rPr>
            </w:pPr>
          </w:p>
        </w:tc>
        <w:tc>
          <w:tcPr>
            <w:tcW w:w="28" w:type="pct"/>
            <w:vAlign w:val="center"/>
            <w:hideMark/>
          </w:tcPr>
          <w:p w14:paraId="41B3EFE7" w14:textId="77777777" w:rsidR="00000000" w:rsidRDefault="001A570A">
            <w:pPr>
              <w:rPr>
                <w:rFonts w:eastAsia="Times New Roman"/>
                <w:sz w:val="20"/>
                <w:szCs w:val="20"/>
              </w:rPr>
            </w:pPr>
          </w:p>
        </w:tc>
        <w:tc>
          <w:tcPr>
            <w:tcW w:w="5" w:type="pct"/>
            <w:vAlign w:val="center"/>
            <w:hideMark/>
          </w:tcPr>
          <w:p w14:paraId="2F0745BD" w14:textId="77777777" w:rsidR="00000000" w:rsidRDefault="001A570A">
            <w:pPr>
              <w:rPr>
                <w:rFonts w:eastAsia="Times New Roman"/>
                <w:sz w:val="20"/>
                <w:szCs w:val="20"/>
              </w:rPr>
            </w:pPr>
          </w:p>
        </w:tc>
        <w:tc>
          <w:tcPr>
            <w:tcW w:w="50" w:type="pct"/>
            <w:vAlign w:val="center"/>
            <w:hideMark/>
          </w:tcPr>
          <w:p w14:paraId="450B2ED0" w14:textId="77777777" w:rsidR="00000000" w:rsidRDefault="001A570A">
            <w:pPr>
              <w:rPr>
                <w:rFonts w:eastAsia="Times New Roman"/>
                <w:sz w:val="20"/>
                <w:szCs w:val="20"/>
              </w:rPr>
            </w:pPr>
          </w:p>
        </w:tc>
        <w:tc>
          <w:tcPr>
            <w:tcW w:w="489" w:type="pct"/>
            <w:vAlign w:val="center"/>
            <w:hideMark/>
          </w:tcPr>
          <w:p w14:paraId="590FC285" w14:textId="77777777" w:rsidR="00000000" w:rsidRDefault="001A570A">
            <w:pPr>
              <w:rPr>
                <w:rFonts w:eastAsia="Times New Roman"/>
                <w:sz w:val="20"/>
                <w:szCs w:val="20"/>
              </w:rPr>
            </w:pPr>
          </w:p>
        </w:tc>
        <w:tc>
          <w:tcPr>
            <w:tcW w:w="5" w:type="pct"/>
            <w:vAlign w:val="center"/>
            <w:hideMark/>
          </w:tcPr>
          <w:p w14:paraId="4CA643CE" w14:textId="77777777" w:rsidR="00000000" w:rsidRDefault="001A570A">
            <w:pPr>
              <w:rPr>
                <w:rFonts w:eastAsia="Times New Roman"/>
                <w:sz w:val="20"/>
                <w:szCs w:val="20"/>
              </w:rPr>
            </w:pPr>
          </w:p>
        </w:tc>
        <w:tc>
          <w:tcPr>
            <w:tcW w:w="5" w:type="pct"/>
            <w:vAlign w:val="center"/>
            <w:hideMark/>
          </w:tcPr>
          <w:p w14:paraId="2184075C" w14:textId="77777777" w:rsidR="00000000" w:rsidRDefault="001A570A">
            <w:pPr>
              <w:rPr>
                <w:rFonts w:eastAsia="Times New Roman"/>
                <w:sz w:val="20"/>
                <w:szCs w:val="20"/>
              </w:rPr>
            </w:pPr>
          </w:p>
        </w:tc>
        <w:tc>
          <w:tcPr>
            <w:tcW w:w="28" w:type="pct"/>
            <w:vAlign w:val="center"/>
            <w:hideMark/>
          </w:tcPr>
          <w:p w14:paraId="611B1FDF" w14:textId="77777777" w:rsidR="00000000" w:rsidRDefault="001A570A">
            <w:pPr>
              <w:rPr>
                <w:rFonts w:eastAsia="Times New Roman"/>
                <w:sz w:val="20"/>
                <w:szCs w:val="20"/>
              </w:rPr>
            </w:pPr>
          </w:p>
        </w:tc>
        <w:tc>
          <w:tcPr>
            <w:tcW w:w="5" w:type="pct"/>
            <w:vAlign w:val="center"/>
            <w:hideMark/>
          </w:tcPr>
          <w:p w14:paraId="68A2AAD7" w14:textId="77777777" w:rsidR="00000000" w:rsidRDefault="001A570A">
            <w:pPr>
              <w:rPr>
                <w:rFonts w:eastAsia="Times New Roman"/>
                <w:sz w:val="20"/>
                <w:szCs w:val="20"/>
              </w:rPr>
            </w:pPr>
          </w:p>
        </w:tc>
        <w:tc>
          <w:tcPr>
            <w:tcW w:w="50" w:type="pct"/>
            <w:vAlign w:val="center"/>
            <w:hideMark/>
          </w:tcPr>
          <w:p w14:paraId="4380EB79" w14:textId="77777777" w:rsidR="00000000" w:rsidRDefault="001A570A">
            <w:pPr>
              <w:rPr>
                <w:rFonts w:eastAsia="Times New Roman"/>
                <w:sz w:val="20"/>
                <w:szCs w:val="20"/>
              </w:rPr>
            </w:pPr>
          </w:p>
        </w:tc>
        <w:tc>
          <w:tcPr>
            <w:tcW w:w="474" w:type="pct"/>
            <w:vAlign w:val="center"/>
            <w:hideMark/>
          </w:tcPr>
          <w:p w14:paraId="43D653FA" w14:textId="77777777" w:rsidR="00000000" w:rsidRDefault="001A570A">
            <w:pPr>
              <w:rPr>
                <w:rFonts w:eastAsia="Times New Roman"/>
                <w:sz w:val="20"/>
                <w:szCs w:val="20"/>
              </w:rPr>
            </w:pPr>
          </w:p>
        </w:tc>
        <w:tc>
          <w:tcPr>
            <w:tcW w:w="5" w:type="pct"/>
            <w:vAlign w:val="center"/>
            <w:hideMark/>
          </w:tcPr>
          <w:p w14:paraId="1060818E" w14:textId="77777777" w:rsidR="00000000" w:rsidRDefault="001A570A">
            <w:pPr>
              <w:rPr>
                <w:rFonts w:eastAsia="Times New Roman"/>
                <w:sz w:val="20"/>
                <w:szCs w:val="20"/>
              </w:rPr>
            </w:pPr>
          </w:p>
        </w:tc>
        <w:tc>
          <w:tcPr>
            <w:tcW w:w="5" w:type="pct"/>
            <w:vAlign w:val="center"/>
            <w:hideMark/>
          </w:tcPr>
          <w:p w14:paraId="6156CEFE" w14:textId="77777777" w:rsidR="00000000" w:rsidRDefault="001A570A">
            <w:pPr>
              <w:rPr>
                <w:rFonts w:eastAsia="Times New Roman"/>
                <w:sz w:val="20"/>
                <w:szCs w:val="20"/>
              </w:rPr>
            </w:pPr>
          </w:p>
        </w:tc>
        <w:tc>
          <w:tcPr>
            <w:tcW w:w="28" w:type="pct"/>
            <w:vAlign w:val="center"/>
            <w:hideMark/>
          </w:tcPr>
          <w:p w14:paraId="5A4FDF22" w14:textId="77777777" w:rsidR="00000000" w:rsidRDefault="001A570A">
            <w:pPr>
              <w:rPr>
                <w:rFonts w:eastAsia="Times New Roman"/>
                <w:sz w:val="20"/>
                <w:szCs w:val="20"/>
              </w:rPr>
            </w:pPr>
          </w:p>
        </w:tc>
        <w:tc>
          <w:tcPr>
            <w:tcW w:w="5" w:type="pct"/>
            <w:vAlign w:val="center"/>
            <w:hideMark/>
          </w:tcPr>
          <w:p w14:paraId="452FF4AB" w14:textId="77777777" w:rsidR="00000000" w:rsidRDefault="001A570A">
            <w:pPr>
              <w:rPr>
                <w:rFonts w:eastAsia="Times New Roman"/>
                <w:sz w:val="20"/>
                <w:szCs w:val="20"/>
              </w:rPr>
            </w:pPr>
          </w:p>
        </w:tc>
        <w:tc>
          <w:tcPr>
            <w:tcW w:w="50" w:type="pct"/>
            <w:vAlign w:val="center"/>
            <w:hideMark/>
          </w:tcPr>
          <w:p w14:paraId="5BCA0B60" w14:textId="77777777" w:rsidR="00000000" w:rsidRDefault="001A570A">
            <w:pPr>
              <w:rPr>
                <w:rFonts w:eastAsia="Times New Roman"/>
                <w:sz w:val="20"/>
                <w:szCs w:val="20"/>
              </w:rPr>
            </w:pPr>
          </w:p>
        </w:tc>
        <w:tc>
          <w:tcPr>
            <w:tcW w:w="497" w:type="pct"/>
            <w:vAlign w:val="center"/>
            <w:hideMark/>
          </w:tcPr>
          <w:p w14:paraId="7123581C" w14:textId="77777777" w:rsidR="00000000" w:rsidRDefault="001A570A">
            <w:pPr>
              <w:rPr>
                <w:rFonts w:eastAsia="Times New Roman"/>
                <w:sz w:val="20"/>
                <w:szCs w:val="20"/>
              </w:rPr>
            </w:pPr>
          </w:p>
        </w:tc>
        <w:tc>
          <w:tcPr>
            <w:tcW w:w="5" w:type="pct"/>
            <w:vAlign w:val="center"/>
            <w:hideMark/>
          </w:tcPr>
          <w:p w14:paraId="73F81C23" w14:textId="77777777" w:rsidR="00000000" w:rsidRDefault="001A570A">
            <w:pPr>
              <w:rPr>
                <w:rFonts w:eastAsia="Times New Roman"/>
                <w:sz w:val="20"/>
                <w:szCs w:val="20"/>
              </w:rPr>
            </w:pPr>
          </w:p>
        </w:tc>
        <w:tc>
          <w:tcPr>
            <w:tcW w:w="5" w:type="pct"/>
            <w:vAlign w:val="center"/>
            <w:hideMark/>
          </w:tcPr>
          <w:p w14:paraId="105C4F32" w14:textId="77777777" w:rsidR="00000000" w:rsidRDefault="001A570A">
            <w:pPr>
              <w:rPr>
                <w:rFonts w:eastAsia="Times New Roman"/>
                <w:sz w:val="20"/>
                <w:szCs w:val="20"/>
              </w:rPr>
            </w:pPr>
          </w:p>
        </w:tc>
        <w:tc>
          <w:tcPr>
            <w:tcW w:w="28" w:type="pct"/>
            <w:vAlign w:val="center"/>
            <w:hideMark/>
          </w:tcPr>
          <w:p w14:paraId="4056FAF8" w14:textId="77777777" w:rsidR="00000000" w:rsidRDefault="001A570A">
            <w:pPr>
              <w:rPr>
                <w:rFonts w:eastAsia="Times New Roman"/>
                <w:sz w:val="20"/>
                <w:szCs w:val="20"/>
              </w:rPr>
            </w:pPr>
          </w:p>
        </w:tc>
        <w:tc>
          <w:tcPr>
            <w:tcW w:w="5" w:type="pct"/>
            <w:vAlign w:val="center"/>
            <w:hideMark/>
          </w:tcPr>
          <w:p w14:paraId="63E6D2B6" w14:textId="77777777" w:rsidR="00000000" w:rsidRDefault="001A570A">
            <w:pPr>
              <w:rPr>
                <w:rFonts w:eastAsia="Times New Roman"/>
                <w:sz w:val="20"/>
                <w:szCs w:val="20"/>
              </w:rPr>
            </w:pPr>
          </w:p>
        </w:tc>
        <w:tc>
          <w:tcPr>
            <w:tcW w:w="50" w:type="pct"/>
            <w:vAlign w:val="center"/>
            <w:hideMark/>
          </w:tcPr>
          <w:p w14:paraId="292E690F" w14:textId="77777777" w:rsidR="00000000" w:rsidRDefault="001A570A">
            <w:pPr>
              <w:rPr>
                <w:rFonts w:eastAsia="Times New Roman"/>
                <w:sz w:val="20"/>
                <w:szCs w:val="20"/>
              </w:rPr>
            </w:pPr>
          </w:p>
        </w:tc>
        <w:tc>
          <w:tcPr>
            <w:tcW w:w="505" w:type="pct"/>
            <w:vAlign w:val="center"/>
            <w:hideMark/>
          </w:tcPr>
          <w:p w14:paraId="74812F3A" w14:textId="77777777" w:rsidR="00000000" w:rsidRDefault="001A570A">
            <w:pPr>
              <w:rPr>
                <w:rFonts w:eastAsia="Times New Roman"/>
                <w:sz w:val="20"/>
                <w:szCs w:val="20"/>
              </w:rPr>
            </w:pPr>
          </w:p>
        </w:tc>
        <w:tc>
          <w:tcPr>
            <w:tcW w:w="5" w:type="pct"/>
            <w:vAlign w:val="center"/>
            <w:hideMark/>
          </w:tcPr>
          <w:p w14:paraId="1AFDA88D" w14:textId="77777777" w:rsidR="00000000" w:rsidRDefault="001A570A">
            <w:pPr>
              <w:rPr>
                <w:rFonts w:eastAsia="Times New Roman"/>
                <w:sz w:val="20"/>
                <w:szCs w:val="20"/>
              </w:rPr>
            </w:pPr>
          </w:p>
        </w:tc>
      </w:tr>
      <w:tr w:rsidR="00000000" w14:paraId="22DA9CEA" w14:textId="77777777">
        <w:trPr>
          <w:divId w:val="994921199"/>
        </w:trPr>
        <w:tc>
          <w:tcPr>
            <w:tcW w:w="0" w:type="auto"/>
            <w:gridSpan w:val="3"/>
            <w:tcMar>
              <w:top w:w="30" w:type="dxa"/>
              <w:left w:w="20" w:type="dxa"/>
              <w:bottom w:w="30" w:type="dxa"/>
              <w:right w:w="20" w:type="dxa"/>
            </w:tcMar>
            <w:vAlign w:val="bottom"/>
            <w:hideMark/>
          </w:tcPr>
          <w:p w14:paraId="4D732A29"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6253FD5"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E0EBF85" w14:textId="77777777" w:rsidR="00000000" w:rsidRDefault="001A570A">
            <w:pPr>
              <w:rPr>
                <w:rFonts w:eastAsia="Times New Roman"/>
              </w:rPr>
            </w:pPr>
          </w:p>
        </w:tc>
        <w:tc>
          <w:tcPr>
            <w:tcW w:w="0" w:type="auto"/>
            <w:gridSpan w:val="21"/>
            <w:tcMar>
              <w:top w:w="30" w:type="dxa"/>
              <w:left w:w="20" w:type="dxa"/>
              <w:bottom w:w="30" w:type="dxa"/>
              <w:right w:w="20" w:type="dxa"/>
            </w:tcMar>
            <w:vAlign w:val="bottom"/>
            <w:hideMark/>
          </w:tcPr>
          <w:p w14:paraId="46D635CC" w14:textId="77777777" w:rsidR="00000000" w:rsidRDefault="001A570A">
            <w:pPr>
              <w:jc w:val="center"/>
              <w:rPr>
                <w:rFonts w:eastAsia="Times New Roman"/>
              </w:rPr>
            </w:pPr>
            <w:r>
              <w:rPr>
                <w:rFonts w:eastAsia="Times New Roman"/>
                <w:b/>
                <w:bCs/>
                <w:color w:val="000000"/>
                <w:sz w:val="16"/>
                <w:szCs w:val="16"/>
              </w:rPr>
              <w:t>Expiration of Commitments</w:t>
            </w:r>
          </w:p>
        </w:tc>
      </w:tr>
      <w:tr w:rsidR="00000000" w14:paraId="117C08F3" w14:textId="77777777">
        <w:trPr>
          <w:divId w:val="994921199"/>
        </w:trPr>
        <w:tc>
          <w:tcPr>
            <w:tcW w:w="0" w:type="auto"/>
            <w:gridSpan w:val="3"/>
            <w:tcMar>
              <w:top w:w="30" w:type="dxa"/>
              <w:left w:w="20" w:type="dxa"/>
              <w:bottom w:w="30" w:type="dxa"/>
              <w:right w:w="20" w:type="dxa"/>
            </w:tcMar>
            <w:vAlign w:val="bottom"/>
            <w:hideMark/>
          </w:tcPr>
          <w:p w14:paraId="37C293A0"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EA63A11"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0A0E68F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DD3D1E" w14:textId="77777777" w:rsidR="00000000" w:rsidRDefault="001A570A">
            <w:pPr>
              <w:jc w:val="center"/>
              <w:rPr>
                <w:rFonts w:eastAsia="Times New Roman"/>
              </w:rPr>
            </w:pPr>
            <w:r>
              <w:rPr>
                <w:rFonts w:eastAsia="Times New Roman"/>
                <w:b/>
                <w:bCs/>
                <w:color w:val="000000"/>
                <w:sz w:val="16"/>
                <w:szCs w:val="16"/>
              </w:rPr>
              <w:t xml:space="preserve">Less than </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14:paraId="737E97F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99BAEC" w14:textId="77777777" w:rsidR="00000000" w:rsidRDefault="001A570A">
            <w:pPr>
              <w:jc w:val="center"/>
              <w:rPr>
                <w:rFonts w:eastAsia="Times New Roman"/>
              </w:rPr>
            </w:pPr>
            <w:r>
              <w:rPr>
                <w:rFonts w:eastAsia="Times New Roman"/>
                <w:b/>
                <w:bCs/>
                <w:color w:val="000000"/>
                <w:sz w:val="16"/>
                <w:szCs w:val="16"/>
              </w:rPr>
              <w:t>Year 2</w:t>
            </w:r>
          </w:p>
        </w:tc>
        <w:tc>
          <w:tcPr>
            <w:tcW w:w="0" w:type="auto"/>
            <w:gridSpan w:val="3"/>
            <w:tcBorders>
              <w:top w:val="single" w:sz="8" w:space="0" w:color="000000"/>
            </w:tcBorders>
            <w:tcMar>
              <w:top w:w="0" w:type="dxa"/>
              <w:left w:w="20" w:type="dxa"/>
              <w:bottom w:w="0" w:type="dxa"/>
              <w:right w:w="20" w:type="dxa"/>
            </w:tcMar>
            <w:vAlign w:val="center"/>
            <w:hideMark/>
          </w:tcPr>
          <w:p w14:paraId="56A4CCD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545863" w14:textId="77777777" w:rsidR="00000000" w:rsidRDefault="001A570A">
            <w:pPr>
              <w:jc w:val="center"/>
              <w:rPr>
                <w:rFonts w:eastAsia="Times New Roman"/>
              </w:rPr>
            </w:pPr>
            <w:r>
              <w:rPr>
                <w:rFonts w:eastAsia="Times New Roman"/>
                <w:b/>
                <w:bCs/>
                <w:color w:val="000000"/>
                <w:sz w:val="16"/>
                <w:szCs w:val="16"/>
              </w:rPr>
              <w:t>Year 3</w:t>
            </w:r>
          </w:p>
        </w:tc>
        <w:tc>
          <w:tcPr>
            <w:tcW w:w="0" w:type="auto"/>
            <w:gridSpan w:val="3"/>
            <w:tcBorders>
              <w:top w:val="single" w:sz="8" w:space="0" w:color="000000"/>
            </w:tcBorders>
            <w:tcMar>
              <w:top w:w="0" w:type="dxa"/>
              <w:left w:w="20" w:type="dxa"/>
              <w:bottom w:w="0" w:type="dxa"/>
              <w:right w:w="20" w:type="dxa"/>
            </w:tcMar>
            <w:vAlign w:val="center"/>
            <w:hideMark/>
          </w:tcPr>
          <w:p w14:paraId="3DCF8B7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26CC64" w14:textId="77777777" w:rsidR="00000000" w:rsidRDefault="001A570A">
            <w:pPr>
              <w:jc w:val="center"/>
              <w:rPr>
                <w:rFonts w:eastAsia="Times New Roman"/>
              </w:rPr>
            </w:pPr>
            <w:r>
              <w:rPr>
                <w:rFonts w:eastAsia="Times New Roman"/>
                <w:b/>
                <w:bCs/>
                <w:color w:val="000000"/>
                <w:sz w:val="16"/>
                <w:szCs w:val="16"/>
              </w:rPr>
              <w:t>After 3 years</w:t>
            </w:r>
          </w:p>
        </w:tc>
      </w:tr>
      <w:tr w:rsidR="00000000" w14:paraId="453DE517" w14:textId="77777777">
        <w:trPr>
          <w:divId w:val="994921199"/>
        </w:trPr>
        <w:tc>
          <w:tcPr>
            <w:tcW w:w="0" w:type="auto"/>
            <w:gridSpan w:val="3"/>
            <w:tcMar>
              <w:top w:w="30" w:type="dxa"/>
              <w:left w:w="20" w:type="dxa"/>
              <w:bottom w:w="30" w:type="dxa"/>
              <w:right w:w="20" w:type="dxa"/>
            </w:tcMar>
            <w:vAlign w:val="bottom"/>
            <w:hideMark/>
          </w:tcPr>
          <w:p w14:paraId="5E7005FA"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0AA22E67"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ADACC1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D410F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09C2E6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ABCD6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3F3A88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963C0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F88EC3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DA2157" w14:textId="77777777" w:rsidR="00000000" w:rsidRDefault="001A570A">
            <w:pPr>
              <w:rPr>
                <w:rFonts w:eastAsia="Times New Roman"/>
                <w:sz w:val="20"/>
                <w:szCs w:val="20"/>
              </w:rPr>
            </w:pPr>
          </w:p>
        </w:tc>
      </w:tr>
      <w:tr w:rsidR="00000000" w14:paraId="4FA4017F" w14:textId="77777777">
        <w:trPr>
          <w:divId w:val="994921199"/>
        </w:trPr>
        <w:tc>
          <w:tcPr>
            <w:tcW w:w="0" w:type="auto"/>
            <w:gridSpan w:val="3"/>
            <w:shd w:val="clear" w:color="auto" w:fill="CCEEFF"/>
            <w:tcMar>
              <w:top w:w="30" w:type="dxa"/>
              <w:left w:w="20" w:type="dxa"/>
              <w:bottom w:w="30" w:type="dxa"/>
              <w:right w:w="20" w:type="dxa"/>
            </w:tcMar>
            <w:hideMark/>
          </w:tcPr>
          <w:p w14:paraId="728A7F11" w14:textId="77777777" w:rsidR="00000000" w:rsidRDefault="001A570A">
            <w:pPr>
              <w:rPr>
                <w:rFonts w:eastAsia="Times New Roman"/>
              </w:rPr>
            </w:pPr>
            <w:r>
              <w:rPr>
                <w:rFonts w:eastAsia="Times New Roman"/>
                <w:color w:val="000000"/>
                <w:sz w:val="20"/>
                <w:szCs w:val="20"/>
              </w:rPr>
              <w:t>Surety bonds used for:</w:t>
            </w:r>
          </w:p>
        </w:tc>
        <w:tc>
          <w:tcPr>
            <w:tcW w:w="0" w:type="auto"/>
            <w:gridSpan w:val="3"/>
            <w:shd w:val="clear" w:color="auto" w:fill="CCEEFF"/>
            <w:tcMar>
              <w:top w:w="0" w:type="dxa"/>
              <w:left w:w="20" w:type="dxa"/>
              <w:bottom w:w="0" w:type="dxa"/>
              <w:right w:w="20" w:type="dxa"/>
            </w:tcMar>
            <w:vAlign w:val="center"/>
            <w:hideMark/>
          </w:tcPr>
          <w:p w14:paraId="4639959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D1A7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D728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F14A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C76D2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37D5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D069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51C1D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634C9" w14:textId="77777777" w:rsidR="00000000" w:rsidRDefault="001A570A">
            <w:pPr>
              <w:rPr>
                <w:rFonts w:eastAsia="Times New Roman"/>
                <w:sz w:val="20"/>
                <w:szCs w:val="20"/>
              </w:rPr>
            </w:pPr>
          </w:p>
        </w:tc>
      </w:tr>
      <w:tr w:rsidR="00000000" w14:paraId="51404DBE" w14:textId="77777777">
        <w:trPr>
          <w:divId w:val="994921199"/>
        </w:trPr>
        <w:tc>
          <w:tcPr>
            <w:tcW w:w="0" w:type="auto"/>
            <w:gridSpan w:val="3"/>
            <w:shd w:val="clear" w:color="auto" w:fill="FFFFFF"/>
            <w:tcMar>
              <w:top w:w="30" w:type="dxa"/>
              <w:left w:w="155" w:type="dxa"/>
              <w:bottom w:w="30" w:type="dxa"/>
              <w:right w:w="20" w:type="dxa"/>
            </w:tcMar>
            <w:hideMark/>
          </w:tcPr>
          <w:p w14:paraId="61DA565A" w14:textId="77777777" w:rsidR="00000000" w:rsidRDefault="001A570A">
            <w:pPr>
              <w:rPr>
                <w:rFonts w:eastAsia="Times New Roman"/>
              </w:rPr>
            </w:pPr>
            <w:r>
              <w:rPr>
                <w:rFonts w:eastAsia="Times New Roman"/>
                <w:color w:val="000000"/>
                <w:sz w:val="20"/>
                <w:szCs w:val="20"/>
              </w:rPr>
              <w:t>Bids</w:t>
            </w:r>
          </w:p>
        </w:tc>
        <w:tc>
          <w:tcPr>
            <w:tcW w:w="0" w:type="auto"/>
            <w:shd w:val="clear" w:color="auto" w:fill="FFFFFF"/>
            <w:tcMar>
              <w:top w:w="30" w:type="dxa"/>
              <w:left w:w="20" w:type="dxa"/>
              <w:bottom w:w="30" w:type="dxa"/>
              <w:right w:w="0" w:type="dxa"/>
            </w:tcMar>
            <w:vAlign w:val="bottom"/>
            <w:hideMark/>
          </w:tcPr>
          <w:p w14:paraId="102FA62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059F0E"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65B385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EC9E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F35654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7A7ED9"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3C613DE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1609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32B91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F2E77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A5B63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C1F7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60F18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1D955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F6FC4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9092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221E4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F13BB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8D1A8C" w14:textId="77777777" w:rsidR="00000000" w:rsidRDefault="001A570A">
            <w:pPr>
              <w:jc w:val="right"/>
              <w:rPr>
                <w:rFonts w:eastAsia="Times New Roman"/>
              </w:rPr>
            </w:pPr>
          </w:p>
        </w:tc>
      </w:tr>
      <w:tr w:rsidR="00000000" w14:paraId="3146A2D1" w14:textId="77777777">
        <w:trPr>
          <w:divId w:val="994921199"/>
        </w:trPr>
        <w:tc>
          <w:tcPr>
            <w:tcW w:w="0" w:type="auto"/>
            <w:gridSpan w:val="3"/>
            <w:shd w:val="clear" w:color="auto" w:fill="CCEEFF"/>
            <w:tcMar>
              <w:top w:w="30" w:type="dxa"/>
              <w:left w:w="155" w:type="dxa"/>
              <w:bottom w:w="30" w:type="dxa"/>
              <w:right w:w="20" w:type="dxa"/>
            </w:tcMar>
            <w:hideMark/>
          </w:tcPr>
          <w:p w14:paraId="2AF3468B" w14:textId="77777777" w:rsidR="00000000" w:rsidRDefault="001A570A">
            <w:pPr>
              <w:rPr>
                <w:rFonts w:eastAsia="Times New Roman"/>
              </w:rPr>
            </w:pPr>
            <w:r>
              <w:rPr>
                <w:rFonts w:eastAsia="Times New Roman"/>
                <w:color w:val="000000"/>
                <w:sz w:val="20"/>
                <w:szCs w:val="20"/>
              </w:rPr>
              <w:t>Performance</w:t>
            </w:r>
          </w:p>
        </w:tc>
        <w:tc>
          <w:tcPr>
            <w:tcW w:w="0" w:type="auto"/>
            <w:gridSpan w:val="2"/>
            <w:shd w:val="clear" w:color="auto" w:fill="CCEEFF"/>
            <w:tcMar>
              <w:top w:w="30" w:type="dxa"/>
              <w:left w:w="20" w:type="dxa"/>
              <w:bottom w:w="30" w:type="dxa"/>
              <w:right w:w="0" w:type="dxa"/>
            </w:tcMar>
            <w:vAlign w:val="bottom"/>
            <w:hideMark/>
          </w:tcPr>
          <w:p w14:paraId="51E61823" w14:textId="77777777" w:rsidR="00000000" w:rsidRDefault="001A570A">
            <w:pPr>
              <w:jc w:val="right"/>
              <w:rPr>
                <w:rFonts w:eastAsia="Times New Roman"/>
              </w:rPr>
            </w:pPr>
            <w:r>
              <w:rPr>
                <w:rFonts w:eastAsia="Times New Roman"/>
                <w:color w:val="000000"/>
                <w:sz w:val="20"/>
                <w:szCs w:val="20"/>
              </w:rPr>
              <w:t>488 </w:t>
            </w:r>
          </w:p>
        </w:tc>
        <w:tc>
          <w:tcPr>
            <w:tcW w:w="0" w:type="auto"/>
            <w:shd w:val="clear" w:color="auto" w:fill="CCEEFF"/>
            <w:tcMar>
              <w:top w:w="30" w:type="dxa"/>
              <w:left w:w="0" w:type="dxa"/>
              <w:bottom w:w="30" w:type="dxa"/>
              <w:right w:w="20" w:type="dxa"/>
            </w:tcMar>
            <w:vAlign w:val="bottom"/>
            <w:hideMark/>
          </w:tcPr>
          <w:p w14:paraId="0338E82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F208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FF6DED" w14:textId="77777777" w:rsidR="00000000" w:rsidRDefault="001A570A">
            <w:pPr>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14:paraId="6529053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B2E2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E6A06E"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0EA5650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1281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0CBC52"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14:paraId="34A1834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5634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E6EA4"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6A5746DE" w14:textId="77777777" w:rsidR="00000000" w:rsidRDefault="001A570A">
            <w:pPr>
              <w:jc w:val="right"/>
              <w:rPr>
                <w:rFonts w:eastAsia="Times New Roman"/>
              </w:rPr>
            </w:pPr>
          </w:p>
        </w:tc>
      </w:tr>
      <w:tr w:rsidR="00000000" w14:paraId="488864D9" w14:textId="77777777">
        <w:trPr>
          <w:divId w:val="994921199"/>
        </w:trPr>
        <w:tc>
          <w:tcPr>
            <w:tcW w:w="0" w:type="auto"/>
            <w:gridSpan w:val="3"/>
            <w:shd w:val="clear" w:color="auto" w:fill="FFFFFF"/>
            <w:tcMar>
              <w:top w:w="0" w:type="dxa"/>
              <w:left w:w="20" w:type="dxa"/>
              <w:bottom w:w="0" w:type="dxa"/>
              <w:right w:w="20" w:type="dxa"/>
            </w:tcMar>
            <w:vAlign w:val="center"/>
            <w:hideMark/>
          </w:tcPr>
          <w:p w14:paraId="7DE1028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2B6770" w14:textId="77777777" w:rsidR="00000000" w:rsidRDefault="001A570A">
            <w:pPr>
              <w:jc w:val="right"/>
              <w:rPr>
                <w:rFonts w:eastAsia="Times New Roman"/>
              </w:rPr>
            </w:pPr>
            <w:r>
              <w:rPr>
                <w:rFonts w:eastAsia="Times New Roman"/>
                <w:color w:val="000000"/>
                <w:sz w:val="20"/>
                <w:szCs w:val="20"/>
              </w:rPr>
              <w:t>491 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BFE8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0DF9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1E1CBD" w14:textId="77777777" w:rsidR="00000000" w:rsidRDefault="001A570A">
            <w:pPr>
              <w:jc w:val="right"/>
              <w:rPr>
                <w:rFonts w:eastAsia="Times New Roman"/>
              </w:rPr>
            </w:pPr>
            <w:r>
              <w:rPr>
                <w:rFonts w:eastAsia="Times New Roman"/>
                <w:color w:val="000000"/>
                <w:sz w:val="20"/>
                <w:szCs w:val="20"/>
              </w:rPr>
              <w:t>357 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414EC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748F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37C396" w14:textId="77777777" w:rsidR="00000000" w:rsidRDefault="001A570A">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573B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BB16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F0A968" w14:textId="77777777" w:rsidR="00000000" w:rsidRDefault="001A570A">
            <w:pPr>
              <w:jc w:val="right"/>
              <w:rPr>
                <w:rFonts w:eastAsia="Times New Roman"/>
              </w:rPr>
            </w:pPr>
            <w:r>
              <w:rPr>
                <w:rFonts w:eastAsia="Times New Roman"/>
                <w:color w:val="000000"/>
                <w:sz w:val="20"/>
                <w:szCs w:val="20"/>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9FEC7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EC04F"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6469F1" w14:textId="77777777" w:rsidR="00000000" w:rsidRDefault="001A570A">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413B30" w14:textId="77777777" w:rsidR="00000000" w:rsidRDefault="001A570A">
            <w:pPr>
              <w:jc w:val="right"/>
              <w:rPr>
                <w:rFonts w:eastAsia="Times New Roman"/>
              </w:rPr>
            </w:pPr>
          </w:p>
        </w:tc>
      </w:tr>
      <w:tr w:rsidR="00000000" w14:paraId="5205BE5D" w14:textId="77777777">
        <w:trPr>
          <w:divId w:val="994921199"/>
        </w:trPr>
        <w:tc>
          <w:tcPr>
            <w:tcW w:w="0" w:type="auto"/>
            <w:gridSpan w:val="3"/>
            <w:shd w:val="clear" w:color="auto" w:fill="CCEEFF"/>
            <w:tcMar>
              <w:top w:w="30" w:type="dxa"/>
              <w:left w:w="20" w:type="dxa"/>
              <w:bottom w:w="30" w:type="dxa"/>
              <w:right w:w="20" w:type="dxa"/>
            </w:tcMar>
            <w:hideMark/>
          </w:tcPr>
          <w:p w14:paraId="3391AC74" w14:textId="77777777" w:rsidR="00000000" w:rsidRDefault="001A570A">
            <w:pPr>
              <w:rPr>
                <w:rFonts w:eastAsia="Times New Roman"/>
              </w:rPr>
            </w:pPr>
            <w:r>
              <w:rPr>
                <w:rFonts w:eastAsia="Times New Roman"/>
                <w:color w:val="000000"/>
                <w:sz w:val="20"/>
                <w:szCs w:val="20"/>
              </w:rPr>
              <w:t>Standby letters of credit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91ACE3"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27CFF"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A2184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8A4D3B"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C1D0F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794E72"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C33B4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6517C"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30E674" w14:textId="77777777" w:rsidR="00000000" w:rsidRDefault="001A570A">
            <w:pPr>
              <w:rPr>
                <w:rFonts w:eastAsia="Times New Roman"/>
                <w:sz w:val="20"/>
                <w:szCs w:val="20"/>
              </w:rPr>
            </w:pPr>
          </w:p>
        </w:tc>
      </w:tr>
      <w:tr w:rsidR="00000000" w14:paraId="0197739E" w14:textId="77777777">
        <w:trPr>
          <w:divId w:val="994921199"/>
        </w:trPr>
        <w:tc>
          <w:tcPr>
            <w:tcW w:w="0" w:type="auto"/>
            <w:gridSpan w:val="3"/>
            <w:shd w:val="clear" w:color="auto" w:fill="FFFFFF"/>
            <w:tcMar>
              <w:top w:w="30" w:type="dxa"/>
              <w:left w:w="155" w:type="dxa"/>
              <w:bottom w:w="30" w:type="dxa"/>
              <w:right w:w="20" w:type="dxa"/>
            </w:tcMar>
            <w:hideMark/>
          </w:tcPr>
          <w:p w14:paraId="4164E7E7" w14:textId="77777777" w:rsidR="00000000" w:rsidRDefault="001A570A">
            <w:pPr>
              <w:rPr>
                <w:rFonts w:eastAsia="Times New Roman"/>
              </w:rPr>
            </w:pPr>
            <w:r>
              <w:rPr>
                <w:rFonts w:eastAsia="Times New Roman"/>
                <w:color w:val="000000"/>
                <w:sz w:val="20"/>
                <w:szCs w:val="20"/>
              </w:rPr>
              <w:t>Down payments</w:t>
            </w:r>
          </w:p>
        </w:tc>
        <w:tc>
          <w:tcPr>
            <w:tcW w:w="0" w:type="auto"/>
            <w:gridSpan w:val="2"/>
            <w:shd w:val="clear" w:color="auto" w:fill="FFFFFF"/>
            <w:tcMar>
              <w:top w:w="30" w:type="dxa"/>
              <w:left w:w="20" w:type="dxa"/>
              <w:bottom w:w="30" w:type="dxa"/>
              <w:right w:w="0" w:type="dxa"/>
            </w:tcMar>
            <w:vAlign w:val="bottom"/>
            <w:hideMark/>
          </w:tcPr>
          <w:p w14:paraId="572154E5" w14:textId="77777777" w:rsidR="00000000" w:rsidRDefault="001A570A">
            <w:pPr>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14:paraId="34C2B61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CFCB6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BC3E1" w14:textId="77777777" w:rsidR="00000000" w:rsidRDefault="001A570A">
            <w:pPr>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14:paraId="505659D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080E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E709E"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01D32E8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D7FD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0DF975"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4727B74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ED3F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78FC4" w14:textId="77777777" w:rsidR="00000000" w:rsidRDefault="001A570A">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14:paraId="74231988" w14:textId="77777777" w:rsidR="00000000" w:rsidRDefault="001A570A">
            <w:pPr>
              <w:jc w:val="right"/>
              <w:rPr>
                <w:rFonts w:eastAsia="Times New Roman"/>
              </w:rPr>
            </w:pPr>
          </w:p>
        </w:tc>
      </w:tr>
      <w:tr w:rsidR="00000000" w14:paraId="07274778" w14:textId="77777777">
        <w:trPr>
          <w:divId w:val="994921199"/>
        </w:trPr>
        <w:tc>
          <w:tcPr>
            <w:tcW w:w="0" w:type="auto"/>
            <w:gridSpan w:val="3"/>
            <w:shd w:val="clear" w:color="auto" w:fill="CCEEFF"/>
            <w:tcMar>
              <w:top w:w="30" w:type="dxa"/>
              <w:left w:w="155" w:type="dxa"/>
              <w:bottom w:w="30" w:type="dxa"/>
              <w:right w:w="20" w:type="dxa"/>
            </w:tcMar>
            <w:hideMark/>
          </w:tcPr>
          <w:p w14:paraId="2A3B1598" w14:textId="77777777" w:rsidR="00000000" w:rsidRDefault="001A570A">
            <w:pPr>
              <w:rPr>
                <w:rFonts w:eastAsia="Times New Roman"/>
              </w:rPr>
            </w:pPr>
            <w:r>
              <w:rPr>
                <w:rFonts w:eastAsia="Times New Roman"/>
                <w:color w:val="000000"/>
                <w:sz w:val="20"/>
                <w:szCs w:val="20"/>
              </w:rPr>
              <w:t>Performance</w:t>
            </w:r>
          </w:p>
        </w:tc>
        <w:tc>
          <w:tcPr>
            <w:tcW w:w="0" w:type="auto"/>
            <w:gridSpan w:val="2"/>
            <w:shd w:val="clear" w:color="auto" w:fill="CCEEFF"/>
            <w:tcMar>
              <w:top w:w="30" w:type="dxa"/>
              <w:left w:w="20" w:type="dxa"/>
              <w:bottom w:w="30" w:type="dxa"/>
              <w:right w:w="0" w:type="dxa"/>
            </w:tcMar>
            <w:vAlign w:val="bottom"/>
            <w:hideMark/>
          </w:tcPr>
          <w:p w14:paraId="37B82D9B" w14:textId="77777777" w:rsidR="00000000" w:rsidRDefault="001A570A">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14:paraId="2FBA59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8CDB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7A4B1" w14:textId="77777777" w:rsidR="00000000" w:rsidRDefault="001A570A">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14:paraId="5195E6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012A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94B5E" w14:textId="77777777" w:rsidR="00000000" w:rsidRDefault="001A570A">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14:paraId="1C5D2AC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F78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B10A4"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0E8A433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0599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B99E77" w14:textId="77777777" w:rsidR="00000000" w:rsidRDefault="001A570A">
            <w:pPr>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14:paraId="4001264E" w14:textId="77777777" w:rsidR="00000000" w:rsidRDefault="001A570A">
            <w:pPr>
              <w:jc w:val="right"/>
              <w:rPr>
                <w:rFonts w:eastAsia="Times New Roman"/>
              </w:rPr>
            </w:pPr>
          </w:p>
        </w:tc>
      </w:tr>
      <w:tr w:rsidR="00000000" w14:paraId="5DD536D0" w14:textId="77777777">
        <w:trPr>
          <w:divId w:val="994921199"/>
        </w:trPr>
        <w:tc>
          <w:tcPr>
            <w:tcW w:w="0" w:type="auto"/>
            <w:gridSpan w:val="3"/>
            <w:shd w:val="clear" w:color="auto" w:fill="FFFFFF"/>
            <w:tcMar>
              <w:top w:w="30" w:type="dxa"/>
              <w:left w:w="155" w:type="dxa"/>
              <w:bottom w:w="30" w:type="dxa"/>
              <w:right w:w="20" w:type="dxa"/>
            </w:tcMar>
            <w:hideMark/>
          </w:tcPr>
          <w:p w14:paraId="08ED84DD" w14:textId="77777777" w:rsidR="00000000" w:rsidRDefault="001A570A">
            <w:pPr>
              <w:rPr>
                <w:rFonts w:eastAsia="Times New Roman"/>
              </w:rPr>
            </w:pPr>
            <w:r>
              <w:rPr>
                <w:rFonts w:eastAsia="Times New Roman"/>
                <w:color w:val="000000"/>
                <w:sz w:val="20"/>
                <w:szCs w:val="20"/>
              </w:rPr>
              <w:t>Warranty</w:t>
            </w:r>
          </w:p>
        </w:tc>
        <w:tc>
          <w:tcPr>
            <w:tcW w:w="0" w:type="auto"/>
            <w:gridSpan w:val="2"/>
            <w:shd w:val="clear" w:color="auto" w:fill="FFFFFF"/>
            <w:tcMar>
              <w:top w:w="30" w:type="dxa"/>
              <w:left w:w="20" w:type="dxa"/>
              <w:bottom w:w="30" w:type="dxa"/>
              <w:right w:w="0" w:type="dxa"/>
            </w:tcMar>
            <w:vAlign w:val="bottom"/>
            <w:hideMark/>
          </w:tcPr>
          <w:p w14:paraId="1B0EC397" w14:textId="77777777" w:rsidR="00000000" w:rsidRDefault="001A570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20723F4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1CB2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B5A88" w14:textId="77777777" w:rsidR="00000000" w:rsidRDefault="001A570A">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4A9CD2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8AA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E803D0"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CE6FCA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6A3E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B9A1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D3E3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C37C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44247"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37F8319" w14:textId="77777777" w:rsidR="00000000" w:rsidRDefault="001A570A">
            <w:pPr>
              <w:jc w:val="right"/>
              <w:rPr>
                <w:rFonts w:eastAsia="Times New Roman"/>
              </w:rPr>
            </w:pPr>
          </w:p>
        </w:tc>
      </w:tr>
      <w:tr w:rsidR="00000000" w14:paraId="0C8DD1A6" w14:textId="77777777">
        <w:trPr>
          <w:divId w:val="994921199"/>
        </w:trPr>
        <w:tc>
          <w:tcPr>
            <w:tcW w:w="0" w:type="auto"/>
            <w:gridSpan w:val="3"/>
            <w:shd w:val="clear" w:color="auto" w:fill="CCEEFF"/>
            <w:tcMar>
              <w:top w:w="0" w:type="dxa"/>
              <w:left w:w="20" w:type="dxa"/>
              <w:bottom w:w="0" w:type="dxa"/>
              <w:right w:w="20" w:type="dxa"/>
            </w:tcMar>
            <w:vAlign w:val="center"/>
            <w:hideMark/>
          </w:tcPr>
          <w:p w14:paraId="57A4B68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FA771C" w14:textId="77777777" w:rsidR="00000000" w:rsidRDefault="001A570A">
            <w:pPr>
              <w:jc w:val="right"/>
              <w:rPr>
                <w:rFonts w:eastAsia="Times New Roman"/>
              </w:rPr>
            </w:pPr>
            <w:r>
              <w:rPr>
                <w:rFonts w:eastAsia="Times New Roman"/>
                <w:color w:val="000000"/>
                <w:sz w:val="20"/>
                <w:szCs w:val="20"/>
              </w:rPr>
              <w:t>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B85DD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5C85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12ADF5" w14:textId="77777777" w:rsidR="00000000" w:rsidRDefault="001A570A">
            <w:pPr>
              <w:jc w:val="right"/>
              <w:rPr>
                <w:rFonts w:eastAsia="Times New Roman"/>
              </w:rPr>
            </w:pPr>
            <w:r>
              <w:rPr>
                <w:rFonts w:eastAsia="Times New Roman"/>
                <w:color w:val="000000"/>
                <w:sz w:val="20"/>
                <w:szCs w:val="20"/>
              </w:rPr>
              <w:t>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A8647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25E7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8E5757" w14:textId="77777777" w:rsidR="00000000" w:rsidRDefault="001A570A">
            <w:pPr>
              <w:jc w:val="right"/>
              <w:rPr>
                <w:rFonts w:eastAsia="Times New Roman"/>
              </w:rPr>
            </w:pPr>
            <w:r>
              <w:rPr>
                <w:rFonts w:eastAsia="Times New Roman"/>
                <w:color w:val="000000"/>
                <w:sz w:val="20"/>
                <w:szCs w:val="20"/>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B97E3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C1BD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5A7E2" w14:textId="77777777" w:rsidR="00000000" w:rsidRDefault="001A570A">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763E3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E089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DC7AAB" w14:textId="77777777" w:rsidR="00000000" w:rsidRDefault="001A570A">
            <w:pPr>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5AEEF5" w14:textId="77777777" w:rsidR="00000000" w:rsidRDefault="001A570A">
            <w:pPr>
              <w:jc w:val="right"/>
              <w:rPr>
                <w:rFonts w:eastAsia="Times New Roman"/>
              </w:rPr>
            </w:pPr>
          </w:p>
        </w:tc>
      </w:tr>
      <w:tr w:rsidR="00000000" w14:paraId="7E90E759" w14:textId="77777777">
        <w:trPr>
          <w:divId w:val="994921199"/>
        </w:trPr>
        <w:tc>
          <w:tcPr>
            <w:tcW w:w="0" w:type="auto"/>
            <w:gridSpan w:val="3"/>
            <w:shd w:val="clear" w:color="auto" w:fill="FFFFFF"/>
            <w:tcMar>
              <w:top w:w="30" w:type="dxa"/>
              <w:left w:w="20" w:type="dxa"/>
              <w:bottom w:w="30" w:type="dxa"/>
              <w:right w:w="20" w:type="dxa"/>
            </w:tcMar>
            <w:hideMark/>
          </w:tcPr>
          <w:p w14:paraId="37B079F6" w14:textId="77777777" w:rsidR="00000000" w:rsidRDefault="001A570A">
            <w:pPr>
              <w:rPr>
                <w:rFonts w:eastAsia="Times New Roman"/>
              </w:rPr>
            </w:pPr>
            <w:r>
              <w:rPr>
                <w:rFonts w:eastAsia="Times New Roman"/>
                <w:color w:val="000000"/>
                <w:sz w:val="20"/>
                <w:szCs w:val="20"/>
              </w:rPr>
              <w:t>Total commitments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43B61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ADADDB" w14:textId="77777777" w:rsidR="00000000" w:rsidRDefault="001A570A">
            <w:pPr>
              <w:jc w:val="right"/>
              <w:rPr>
                <w:rFonts w:eastAsia="Times New Roman"/>
              </w:rPr>
            </w:pPr>
            <w:r>
              <w:rPr>
                <w:rFonts w:eastAsia="Times New Roman"/>
                <w:color w:val="000000"/>
                <w:sz w:val="20"/>
                <w:szCs w:val="20"/>
              </w:rPr>
              <w:t>1,219 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F37D0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15B6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EC45A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39CDCD" w14:textId="77777777" w:rsidR="00000000" w:rsidRDefault="001A570A">
            <w:pPr>
              <w:jc w:val="right"/>
              <w:rPr>
                <w:rFonts w:eastAsia="Times New Roman"/>
              </w:rPr>
            </w:pPr>
            <w:r>
              <w:rPr>
                <w:rFonts w:eastAsia="Times New Roman"/>
                <w:color w:val="000000"/>
                <w:sz w:val="20"/>
                <w:szCs w:val="20"/>
              </w:rPr>
              <w:t>743 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98DDA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D3C7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86974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6628AE" w14:textId="77777777" w:rsidR="00000000" w:rsidRDefault="001A570A">
            <w:pPr>
              <w:jc w:val="right"/>
              <w:rPr>
                <w:rFonts w:eastAsia="Times New Roman"/>
              </w:rPr>
            </w:pPr>
            <w:r>
              <w:rPr>
                <w:rFonts w:eastAsia="Times New Roman"/>
                <w:color w:val="000000"/>
                <w:sz w:val="20"/>
                <w:szCs w:val="20"/>
              </w:rPr>
              <w:t>169 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33634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5040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2904F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B16CCD" w14:textId="77777777" w:rsidR="00000000" w:rsidRDefault="001A570A">
            <w:pPr>
              <w:jc w:val="right"/>
              <w:rPr>
                <w:rFonts w:eastAsia="Times New Roman"/>
              </w:rPr>
            </w:pPr>
            <w:r>
              <w:rPr>
                <w:rFonts w:eastAsia="Times New Roman"/>
                <w:color w:val="000000"/>
                <w:sz w:val="20"/>
                <w:szCs w:val="20"/>
              </w:rPr>
              <w:t>160 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A7B6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EED3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7F21E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44B3B2" w14:textId="77777777" w:rsidR="00000000" w:rsidRDefault="001A570A">
            <w:pPr>
              <w:jc w:val="right"/>
              <w:rPr>
                <w:rFonts w:eastAsia="Times New Roman"/>
              </w:rPr>
            </w:pPr>
            <w:r>
              <w:rPr>
                <w:rFonts w:eastAsia="Times New Roman"/>
                <w:color w:val="000000"/>
                <w:sz w:val="20"/>
                <w:szCs w:val="20"/>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AE9B85" w14:textId="77777777" w:rsidR="00000000" w:rsidRDefault="001A570A">
            <w:pPr>
              <w:jc w:val="right"/>
              <w:rPr>
                <w:rFonts w:eastAsia="Times New Roman"/>
              </w:rPr>
            </w:pPr>
          </w:p>
        </w:tc>
      </w:tr>
    </w:tbl>
    <w:p w14:paraId="18083DB7" w14:textId="77777777" w:rsidR="00000000" w:rsidRDefault="001A570A">
      <w:pPr>
        <w:ind w:firstLine="450"/>
        <w:divId w:val="1583905389"/>
        <w:rPr>
          <w:rFonts w:eastAsia="Times New Roman"/>
        </w:rPr>
      </w:pPr>
      <w:r>
        <w:rPr>
          <w:rFonts w:eastAsia="Times New Roman"/>
          <w:color w:val="000000"/>
          <w:sz w:val="20"/>
          <w:szCs w:val="20"/>
        </w:rPr>
        <w:t>The suret</w:t>
      </w:r>
      <w:r>
        <w:rPr>
          <w:rFonts w:eastAsia="Times New Roman"/>
          <w:color w:val="000000"/>
          <w:sz w:val="20"/>
          <w:szCs w:val="20"/>
        </w:rPr>
        <w:t>y bonds and standby letters of credit used for performance are primarily related to our Public Safety business sector. As is customary in bidding for and completing network infrastructure projects for public safety systems, contractors are required to proc</w:t>
      </w:r>
      <w:r>
        <w:rPr>
          <w:rFonts w:eastAsia="Times New Roman"/>
          <w:color w:val="000000"/>
          <w:sz w:val="20"/>
          <w:szCs w:val="20"/>
        </w:rPr>
        <w:t>ure surety bonds and/or standby letters of credit for bids, performance, warranty and other purposes (collectively, “Performance Bonds”). Such Performance Bonds normally have maturities of up to three years and are standard in the industry as a way to prov</w:t>
      </w:r>
      <w:r>
        <w:rPr>
          <w:rFonts w:eastAsia="Times New Roman"/>
          <w:color w:val="000000"/>
          <w:sz w:val="20"/>
          <w:szCs w:val="20"/>
        </w:rPr>
        <w:t>ide customers a mechanism to seek redress if a contractor does not satisfy performance requirements under a contract. Typically, a customer is permitted to draw on a Performance Bond if we do not fulfill all terms of a project contract. In such an event, w</w:t>
      </w:r>
      <w:r>
        <w:rPr>
          <w:rFonts w:eastAsia="Times New Roman"/>
          <w:color w:val="000000"/>
          <w:sz w:val="20"/>
          <w:szCs w:val="20"/>
        </w:rPr>
        <w:t xml:space="preserve">e would be obligated to reimburse the financial institution that issued the Performance Bond for the amounts paid. It has been rare for our Public Safety business sector to have a Performance Bond drawn upon. In addition, pursuant to the terms under which </w:t>
      </w:r>
      <w:r>
        <w:rPr>
          <w:rFonts w:eastAsia="Times New Roman"/>
          <w:color w:val="000000"/>
          <w:sz w:val="20"/>
          <w:szCs w:val="20"/>
        </w:rPr>
        <w:t xml:space="preserve">we procure Performance Bonds, if our credit ratings are lowered to below “investment grade,” we may be required to provide collateral to support a portion of the outstanding amount of Performance Bonds. Such a downgrade could </w:t>
      </w:r>
    </w:p>
    <w:p w14:paraId="0F345D0A" w14:textId="77777777" w:rsidR="00000000" w:rsidRDefault="001A570A">
      <w:pPr>
        <w:ind w:firstLine="450"/>
        <w:jc w:val="center"/>
        <w:divId w:val="1182014709"/>
        <w:rPr>
          <w:rFonts w:eastAsia="Times New Roman"/>
        </w:rPr>
      </w:pPr>
      <w:r>
        <w:rPr>
          <w:rFonts w:eastAsia="Times New Roman"/>
          <w:color w:val="000000"/>
          <w:sz w:val="20"/>
          <w:szCs w:val="20"/>
        </w:rPr>
        <w:t>60</w:t>
      </w:r>
    </w:p>
    <w:p w14:paraId="66E20E04" w14:textId="77777777" w:rsidR="00000000" w:rsidRDefault="001A570A">
      <w:pPr>
        <w:rPr>
          <w:rFonts w:eastAsia="Times New Roman"/>
        </w:rPr>
      </w:pPr>
      <w:r>
        <w:rPr>
          <w:rFonts w:eastAsia="Times New Roman"/>
        </w:rPr>
        <w:pict w14:anchorId="30BC58EC">
          <v:rect id="_x0000_i1088" style="width:0;height:1.5pt" o:hralign="center" o:hrstd="t" o:hr="t" fillcolor="#a0a0a0" stroked="f"/>
        </w:pict>
      </w:r>
    </w:p>
    <w:p w14:paraId="094090F0" w14:textId="77777777" w:rsidR="00000000" w:rsidRDefault="001A570A">
      <w:pPr>
        <w:ind w:firstLine="450"/>
        <w:divId w:val="1677877325"/>
        <w:rPr>
          <w:rFonts w:eastAsia="Times New Roman"/>
        </w:rPr>
      </w:pPr>
    </w:p>
    <w:p w14:paraId="0D0506BB" w14:textId="77777777" w:rsidR="00000000" w:rsidRDefault="001A570A">
      <w:pPr>
        <w:divId w:val="43529894"/>
        <w:rPr>
          <w:rFonts w:eastAsia="Times New Roman"/>
        </w:rPr>
      </w:pPr>
      <w:r>
        <w:rPr>
          <w:rFonts w:eastAsia="Times New Roman"/>
          <w:color w:val="000000"/>
          <w:sz w:val="20"/>
          <w:szCs w:val="20"/>
        </w:rPr>
        <w:t>increase the cost of the issuance of Performance Bonds and could make it more difficult to procure Performance Bonds, which would adversely impact our ability to compete for contract awards. Such collateral requirement</w:t>
      </w:r>
      <w:r>
        <w:rPr>
          <w:rFonts w:eastAsia="Times New Roman"/>
          <w:color w:val="000000"/>
          <w:sz w:val="20"/>
          <w:szCs w:val="20"/>
        </w:rPr>
        <w:t>s could also result in less liquidity for other operational needs or corporate purposes. In addition, any future disruptions, uncertainty or volatility in financial and insurance markets could also adversely affect our ability to obtain Performance Bonds a</w:t>
      </w:r>
      <w:r>
        <w:rPr>
          <w:rFonts w:eastAsia="Times New Roman"/>
          <w:color w:val="000000"/>
          <w:sz w:val="20"/>
          <w:szCs w:val="20"/>
        </w:rPr>
        <w:t>nd may result in higher funding costs.</w:t>
      </w:r>
    </w:p>
    <w:p w14:paraId="14DFE89C" w14:textId="77777777" w:rsidR="00000000" w:rsidRDefault="001A570A">
      <w:pPr>
        <w:divId w:val="394744967"/>
        <w:rPr>
          <w:rFonts w:eastAsia="Times New Roman"/>
        </w:rPr>
      </w:pPr>
      <w:r>
        <w:rPr>
          <w:rFonts w:eastAsia="Times New Roman"/>
          <w:b/>
          <w:bCs/>
          <w:color w:val="000000"/>
          <w:sz w:val="20"/>
          <w:szCs w:val="20"/>
        </w:rPr>
        <w:t>Financial Risk Management</w:t>
      </w:r>
    </w:p>
    <w:p w14:paraId="6CEB76BF" w14:textId="77777777" w:rsidR="00000000" w:rsidRDefault="001A570A">
      <w:pPr>
        <w:ind w:firstLine="450"/>
        <w:divId w:val="1430589334"/>
        <w:rPr>
          <w:rFonts w:eastAsia="Times New Roman"/>
        </w:rPr>
      </w:pPr>
      <w:r>
        <w:rPr>
          <w:rFonts w:eastAsia="Times New Roman"/>
          <w:color w:val="000000"/>
          <w:sz w:val="20"/>
          <w:szCs w:val="20"/>
        </w:rPr>
        <w:t>In the normal course of business, we are exposed to risks associated with foreign currency exchange rates and changes in interest rates. We employ established policies and procedures governing the use of financial instruments to manage our exposure to such</w:t>
      </w:r>
      <w:r>
        <w:rPr>
          <w:rFonts w:eastAsia="Times New Roman"/>
          <w:color w:val="000000"/>
          <w:sz w:val="20"/>
          <w:szCs w:val="20"/>
        </w:rPr>
        <w:t xml:space="preserve"> risks.</w:t>
      </w:r>
    </w:p>
    <w:p w14:paraId="20376191" w14:textId="77777777" w:rsidR="00000000" w:rsidRDefault="001A570A">
      <w:pPr>
        <w:ind w:firstLine="450"/>
        <w:divId w:val="1886330588"/>
        <w:rPr>
          <w:rFonts w:eastAsia="Times New Roman"/>
        </w:rPr>
      </w:pPr>
      <w:r>
        <w:rPr>
          <w:rFonts w:eastAsia="Times New Roman"/>
          <w:b/>
          <w:bCs/>
          <w:i/>
          <w:iCs/>
          <w:color w:val="000000"/>
          <w:sz w:val="20"/>
          <w:szCs w:val="20"/>
        </w:rPr>
        <w:t>Foreign Exchange and Currency:</w:t>
      </w:r>
      <w:r>
        <w:rPr>
          <w:rFonts w:eastAsia="Times New Roman"/>
          <w:color w:val="000000"/>
          <w:sz w:val="20"/>
          <w:szCs w:val="20"/>
        </w:rPr>
        <w:t> Our U.S. and foreign businesses enter into contracts with customers, subcontractors or vendors that are denominated in currencies other than functional currencies of such businesses. We use foreign currency forward co</w:t>
      </w:r>
      <w:r>
        <w:rPr>
          <w:rFonts w:eastAsia="Times New Roman"/>
          <w:color w:val="000000"/>
          <w:sz w:val="20"/>
          <w:szCs w:val="20"/>
        </w:rPr>
        <w:t xml:space="preserve">ntracts and options to hedge both balance sheet and off-balance sheet future foreign currency commitments. Factors that could impact the effectiveness of our hedging programs for foreign currency include accuracy of sales estimates, volatility of currency </w:t>
      </w:r>
      <w:r>
        <w:rPr>
          <w:rFonts w:eastAsia="Times New Roman"/>
          <w:color w:val="000000"/>
          <w:sz w:val="20"/>
          <w:szCs w:val="20"/>
        </w:rPr>
        <w:t>markets and the cost and availability of hedging instruments. A 10 percent change in currency exchange rates for our foreign currency derivatives held at January 1, 2021 would not have had a material impact on the fair value of such instruments or our resu</w:t>
      </w:r>
      <w:r>
        <w:rPr>
          <w:rFonts w:eastAsia="Times New Roman"/>
          <w:color w:val="000000"/>
          <w:sz w:val="20"/>
          <w:szCs w:val="20"/>
        </w:rPr>
        <w:t>lts of operations or cash flows. This quantification of exposure to the market risk associated with foreign currency financial instruments does not take into account the offsetting impact of changes in the fair value of our foreign denominated assets, liab</w:t>
      </w:r>
      <w:r>
        <w:rPr>
          <w:rFonts w:eastAsia="Times New Roman"/>
          <w:color w:val="000000"/>
          <w:sz w:val="20"/>
          <w:szCs w:val="20"/>
        </w:rPr>
        <w:t xml:space="preserve">ilities and firm commitments. See </w:t>
      </w:r>
      <w:r>
        <w:rPr>
          <w:rFonts w:eastAsia="Times New Roman"/>
          <w:i/>
          <w:iCs/>
          <w:color w:val="000000"/>
          <w:sz w:val="20"/>
          <w:szCs w:val="20"/>
        </w:rPr>
        <w:t>Note 20: Derivative Instruments and Hedging Activities</w:t>
      </w:r>
      <w:r>
        <w:rPr>
          <w:rFonts w:eastAsia="Times New Roman"/>
          <w:color w:val="000000"/>
          <w:sz w:val="20"/>
          <w:szCs w:val="20"/>
        </w:rPr>
        <w:t xml:space="preserve"> in the Notes for additional information.</w:t>
      </w:r>
    </w:p>
    <w:p w14:paraId="07A6CBF9" w14:textId="77777777" w:rsidR="00000000" w:rsidRDefault="001A570A">
      <w:pPr>
        <w:ind w:firstLine="450"/>
        <w:divId w:val="1935941582"/>
        <w:rPr>
          <w:rFonts w:eastAsia="Times New Roman"/>
        </w:rPr>
      </w:pPr>
      <w:r>
        <w:rPr>
          <w:rFonts w:eastAsia="Times New Roman"/>
          <w:b/>
          <w:bCs/>
          <w:i/>
          <w:iCs/>
          <w:color w:val="000000"/>
          <w:sz w:val="20"/>
          <w:szCs w:val="20"/>
        </w:rPr>
        <w:t>Interest Rates:</w:t>
      </w:r>
      <w:r>
        <w:rPr>
          <w:rFonts w:eastAsia="Times New Roman"/>
          <w:color w:val="000000"/>
          <w:sz w:val="20"/>
          <w:szCs w:val="20"/>
        </w:rPr>
        <w:t> As of January 1, 2021, we had long-term fixed-rate debt obligations. The fair value of these obligations is im</w:t>
      </w:r>
      <w:r>
        <w:rPr>
          <w:rFonts w:eastAsia="Times New Roman"/>
          <w:color w:val="000000"/>
          <w:sz w:val="20"/>
          <w:szCs w:val="20"/>
        </w:rPr>
        <w:t>pacted by changes in interest rates; however, a 10 percent change in interest rates for our long-term fixed-rate debt obligations at January 1, 2021 would not have had a material impact on the fair value of these obligations. There is no interest-rate risk</w:t>
      </w:r>
      <w:r>
        <w:rPr>
          <w:rFonts w:eastAsia="Times New Roman"/>
          <w:color w:val="000000"/>
          <w:sz w:val="20"/>
          <w:szCs w:val="20"/>
        </w:rPr>
        <w:t xml:space="preserve"> associated with long-term fixed-rate debt obligations on our results of operations and cash flows unless existing obligations are refinanced upon maturity at then-current interest rates, because the interest rates are fixed until maturity, and because our</w:t>
      </w:r>
      <w:r>
        <w:rPr>
          <w:rFonts w:eastAsia="Times New Roman"/>
          <w:color w:val="000000"/>
          <w:sz w:val="20"/>
          <w:szCs w:val="20"/>
        </w:rPr>
        <w:t xml:space="preserve"> long-term fixed-rate debt is not putable to us (i.e., not required to be redeemed by us prior to maturity). We can give no assurances, however, that interest rates will not change significantly or have a material effect on the fair value of our long-term </w:t>
      </w:r>
      <w:r>
        <w:rPr>
          <w:rFonts w:eastAsia="Times New Roman"/>
          <w:color w:val="000000"/>
          <w:sz w:val="20"/>
          <w:szCs w:val="20"/>
        </w:rPr>
        <w:t xml:space="preserve">fixed-rate debt obligations over the next twelve months. See </w:t>
      </w:r>
      <w:r>
        <w:rPr>
          <w:rFonts w:eastAsia="Times New Roman"/>
          <w:i/>
          <w:iCs/>
          <w:color w:val="000000"/>
          <w:sz w:val="20"/>
          <w:szCs w:val="20"/>
        </w:rPr>
        <w:t>Note 14: Debt</w:t>
      </w:r>
      <w:r>
        <w:rPr>
          <w:rFonts w:eastAsia="Times New Roman"/>
          <w:color w:val="000000"/>
          <w:sz w:val="20"/>
          <w:szCs w:val="20"/>
        </w:rPr>
        <w:t xml:space="preserve"> in the Notes for information regarding the maturities of our long-term fixed-rate debt obligations. </w:t>
      </w:r>
    </w:p>
    <w:p w14:paraId="24EBD032" w14:textId="77777777" w:rsidR="00000000" w:rsidRDefault="001A570A">
      <w:pPr>
        <w:ind w:firstLine="450"/>
        <w:divId w:val="613904862"/>
        <w:rPr>
          <w:rFonts w:eastAsia="Times New Roman"/>
        </w:rPr>
      </w:pPr>
      <w:r>
        <w:rPr>
          <w:rFonts w:eastAsia="Times New Roman"/>
          <w:color w:val="000000"/>
          <w:sz w:val="20"/>
          <w:szCs w:val="20"/>
        </w:rPr>
        <w:t>We use derivative instruments from time to time to manage our exposure to intere</w:t>
      </w:r>
      <w:r>
        <w:rPr>
          <w:rFonts w:eastAsia="Times New Roman"/>
          <w:color w:val="000000"/>
          <w:sz w:val="20"/>
          <w:szCs w:val="20"/>
        </w:rPr>
        <w:t xml:space="preserve">st rate risk associated with our anticipated issuance of new long-term fixed-rate notes to repay at maturity our existing long-term fixed-rate debt obligations. If the derivative instrument is designated as a cash flow hedge, gains and losses from changes </w:t>
      </w:r>
      <w:r>
        <w:rPr>
          <w:rFonts w:eastAsia="Times New Roman"/>
          <w:color w:val="000000"/>
          <w:sz w:val="20"/>
          <w:szCs w:val="20"/>
        </w:rPr>
        <w:t xml:space="preserve">in the fair value of such instrument are deferred and included as a component of accumulated other comprehensive loss and reclassified to interest expense in the period in which the hedged transaction affects earnings. See </w:t>
      </w:r>
      <w:r>
        <w:rPr>
          <w:rFonts w:eastAsia="Times New Roman"/>
          <w:i/>
          <w:iCs/>
          <w:color w:val="000000"/>
          <w:sz w:val="20"/>
          <w:szCs w:val="20"/>
        </w:rPr>
        <w:t>Note 20: Derivative Instruments a</w:t>
      </w:r>
      <w:r>
        <w:rPr>
          <w:rFonts w:eastAsia="Times New Roman"/>
          <w:i/>
          <w:iCs/>
          <w:color w:val="000000"/>
          <w:sz w:val="20"/>
          <w:szCs w:val="20"/>
        </w:rPr>
        <w:t>nd Hedging Activities</w:t>
      </w:r>
      <w:r>
        <w:rPr>
          <w:rFonts w:eastAsia="Times New Roman"/>
          <w:color w:val="000000"/>
          <w:sz w:val="20"/>
          <w:szCs w:val="20"/>
        </w:rPr>
        <w:t xml:space="preserve"> in the Notes for additional information.</w:t>
      </w:r>
    </w:p>
    <w:p w14:paraId="059EE59C" w14:textId="77777777" w:rsidR="00000000" w:rsidRDefault="001A570A">
      <w:pPr>
        <w:ind w:firstLine="450"/>
        <w:divId w:val="175458618"/>
        <w:rPr>
          <w:rFonts w:eastAsia="Times New Roman"/>
        </w:rPr>
      </w:pPr>
      <w:r>
        <w:rPr>
          <w:rFonts w:eastAsia="Times New Roman"/>
          <w:color w:val="000000"/>
          <w:sz w:val="20"/>
          <w:szCs w:val="20"/>
        </w:rPr>
        <w:t>At January 1, 2021, we had no outstanding treasury lock agreements (“treasury locks”). In connection with the L3Harris Merger, we assumed two treasury locks that had been initiated in January 2</w:t>
      </w:r>
      <w:r>
        <w:rPr>
          <w:rFonts w:eastAsia="Times New Roman"/>
          <w:color w:val="000000"/>
          <w:sz w:val="20"/>
          <w:szCs w:val="20"/>
        </w:rPr>
        <w:t>019 to hedge against fluctuations in interest payments due to changes in the benchmark interest rate (10-year U.S. Treasury rate) associated with the anticipated issuance of debt to redeem or repay our 4.95% 2021 Notes. These treasury locks were terminated</w:t>
      </w:r>
      <w:r>
        <w:rPr>
          <w:rFonts w:eastAsia="Times New Roman"/>
          <w:color w:val="000000"/>
          <w:sz w:val="20"/>
          <w:szCs w:val="20"/>
        </w:rPr>
        <w:t xml:space="preserve"> as planned in connection with our issuance of our 1.80% 2031 Notes during the fourth quarter of 2020, and because interest rates decreased during the period of the treasury locks, we made a $113 million cash payment to our counterparty and recorded an aft</w:t>
      </w:r>
      <w:r>
        <w:rPr>
          <w:rFonts w:eastAsia="Times New Roman"/>
          <w:color w:val="000000"/>
          <w:sz w:val="20"/>
          <w:szCs w:val="20"/>
        </w:rPr>
        <w:t>er-tax loss of $58 million in the “Accumulated other comprehensive loss” line item of our Consolidated Balance Sheet. The accumulated other comprehensive loss balance will be amortized to interest expense over the life of the 1.80% 2031 Notes. We classifie</w:t>
      </w:r>
      <w:r>
        <w:rPr>
          <w:rFonts w:eastAsia="Times New Roman"/>
          <w:color w:val="000000"/>
          <w:sz w:val="20"/>
          <w:szCs w:val="20"/>
        </w:rPr>
        <w:t xml:space="preserve">d the cash outflow from the termination of these treasury locks as cash used in financing activities in our Consolidated Statement of Cash Flows. See </w:t>
      </w:r>
      <w:r>
        <w:rPr>
          <w:rFonts w:eastAsia="Times New Roman"/>
          <w:i/>
          <w:iCs/>
          <w:color w:val="000000"/>
          <w:sz w:val="20"/>
          <w:szCs w:val="20"/>
        </w:rPr>
        <w:t>Note 20: Derivative Instruments and Hedging Activities</w:t>
      </w:r>
      <w:r>
        <w:rPr>
          <w:rFonts w:eastAsia="Times New Roman"/>
          <w:color w:val="000000"/>
          <w:sz w:val="20"/>
          <w:szCs w:val="20"/>
        </w:rPr>
        <w:t xml:space="preserve"> in the Notes for additional information.</w:t>
      </w:r>
    </w:p>
    <w:p w14:paraId="3BDB442D" w14:textId="77777777" w:rsidR="00000000" w:rsidRDefault="001A570A">
      <w:pPr>
        <w:ind w:firstLine="450"/>
        <w:divId w:val="1724910665"/>
        <w:rPr>
          <w:rFonts w:eastAsia="Times New Roman"/>
        </w:rPr>
      </w:pPr>
      <w:r>
        <w:rPr>
          <w:rFonts w:eastAsia="Times New Roman"/>
          <w:color w:val="000000"/>
          <w:sz w:val="20"/>
          <w:szCs w:val="20"/>
        </w:rPr>
        <w:t>At January</w:t>
      </w:r>
      <w:r>
        <w:rPr>
          <w:rFonts w:eastAsia="Times New Roman"/>
          <w:color w:val="000000"/>
          <w:sz w:val="20"/>
          <w:szCs w:val="20"/>
        </w:rPr>
        <w:t> 1, 2021, we also had long-term variable-rate debt obligations of $250 million of Floating Rate Notes due March 10, 2023. These debt obligations bear interest that is variable based on certain short-term indices, thus exposing us to interest-rate risk; how</w:t>
      </w:r>
      <w:r>
        <w:rPr>
          <w:rFonts w:eastAsia="Times New Roman"/>
          <w:color w:val="000000"/>
          <w:sz w:val="20"/>
          <w:szCs w:val="20"/>
        </w:rPr>
        <w:t xml:space="preserve">ever, a 10 percent change in interest rates for these debt obligations at January 1, 2021 would not have had a material impact on our results of operations or cash flows. See </w:t>
      </w:r>
      <w:r>
        <w:rPr>
          <w:rFonts w:eastAsia="Times New Roman"/>
          <w:i/>
          <w:iCs/>
          <w:color w:val="000000"/>
          <w:sz w:val="20"/>
          <w:szCs w:val="20"/>
        </w:rPr>
        <w:t xml:space="preserve">Note 14: Debt </w:t>
      </w:r>
      <w:r>
        <w:rPr>
          <w:rFonts w:eastAsia="Times New Roman"/>
          <w:color w:val="000000"/>
          <w:sz w:val="20"/>
          <w:szCs w:val="20"/>
        </w:rPr>
        <w:t>in the Notes</w:t>
      </w:r>
      <w:r>
        <w:rPr>
          <w:rFonts w:eastAsia="Times New Roman"/>
          <w:i/>
          <w:iCs/>
          <w:color w:val="000000"/>
          <w:sz w:val="20"/>
          <w:szCs w:val="20"/>
        </w:rPr>
        <w:t xml:space="preserve"> </w:t>
      </w:r>
      <w:r>
        <w:rPr>
          <w:rFonts w:eastAsia="Times New Roman"/>
          <w:color w:val="000000"/>
          <w:sz w:val="20"/>
          <w:szCs w:val="20"/>
        </w:rPr>
        <w:t>for further information.</w:t>
      </w:r>
    </w:p>
    <w:p w14:paraId="65D33628" w14:textId="77777777" w:rsidR="00000000" w:rsidRDefault="001A570A">
      <w:pPr>
        <w:ind w:firstLine="450"/>
        <w:divId w:val="1435831074"/>
        <w:rPr>
          <w:rFonts w:eastAsia="Times New Roman"/>
        </w:rPr>
      </w:pPr>
      <w:r>
        <w:rPr>
          <w:rFonts w:eastAsia="Times New Roman"/>
          <w:color w:val="000000"/>
          <w:sz w:val="20"/>
          <w:szCs w:val="20"/>
        </w:rPr>
        <w:t xml:space="preserve">We have also used short-term </w:t>
      </w:r>
      <w:r>
        <w:rPr>
          <w:rFonts w:eastAsia="Times New Roman"/>
          <w:color w:val="000000"/>
          <w:sz w:val="20"/>
          <w:szCs w:val="20"/>
        </w:rPr>
        <w:t>variable-rate debt borrowings, primarily under our commercial paper program, which are subject to interest rate risk. We utilize our commercial paper program to satisfy short-term cash requirements, including bridge financing for strategic acquisitions unt</w:t>
      </w:r>
      <w:r>
        <w:rPr>
          <w:rFonts w:eastAsia="Times New Roman"/>
          <w:color w:val="000000"/>
          <w:sz w:val="20"/>
          <w:szCs w:val="20"/>
        </w:rPr>
        <w:t xml:space="preserve">il longer-term financing arrangements are put in place, temporarily funding repurchases under our share repurchase programs and temporarily funding redemption of long-term debt. The interest rate risk associated with such debt on our results of operations </w:t>
      </w:r>
      <w:r>
        <w:rPr>
          <w:rFonts w:eastAsia="Times New Roman"/>
          <w:color w:val="000000"/>
          <w:sz w:val="20"/>
          <w:szCs w:val="20"/>
        </w:rPr>
        <w:t>and cash flows is not material due to its temporary nature.</w:t>
      </w:r>
    </w:p>
    <w:p w14:paraId="72D18521" w14:textId="77777777" w:rsidR="00000000" w:rsidRDefault="001A570A">
      <w:pPr>
        <w:ind w:firstLine="450"/>
        <w:jc w:val="center"/>
        <w:divId w:val="712969073"/>
        <w:rPr>
          <w:rFonts w:eastAsia="Times New Roman"/>
        </w:rPr>
      </w:pPr>
      <w:r>
        <w:rPr>
          <w:rFonts w:eastAsia="Times New Roman"/>
          <w:color w:val="000000"/>
          <w:sz w:val="20"/>
          <w:szCs w:val="20"/>
        </w:rPr>
        <w:t>61</w:t>
      </w:r>
    </w:p>
    <w:p w14:paraId="6AED32B4" w14:textId="77777777" w:rsidR="00000000" w:rsidRDefault="001A570A">
      <w:pPr>
        <w:rPr>
          <w:rFonts w:eastAsia="Times New Roman"/>
        </w:rPr>
      </w:pPr>
      <w:r>
        <w:rPr>
          <w:rFonts w:eastAsia="Times New Roman"/>
        </w:rPr>
        <w:pict w14:anchorId="44AC24DC">
          <v:rect id="_x0000_i1089" style="width:0;height:1.5pt" o:hralign="center" o:hrstd="t" o:hr="t" fillcolor="#a0a0a0" stroked="f"/>
        </w:pict>
      </w:r>
    </w:p>
    <w:p w14:paraId="28BF1D00" w14:textId="77777777" w:rsidR="00000000" w:rsidRDefault="001A570A">
      <w:pPr>
        <w:ind w:firstLine="450"/>
        <w:divId w:val="1185483858"/>
        <w:rPr>
          <w:rFonts w:eastAsia="Times New Roman"/>
        </w:rPr>
      </w:pPr>
    </w:p>
    <w:p w14:paraId="46C85B59" w14:textId="77777777" w:rsidR="00000000" w:rsidRDefault="001A570A">
      <w:pPr>
        <w:divId w:val="1690831766"/>
        <w:rPr>
          <w:rFonts w:eastAsia="Times New Roman"/>
        </w:rPr>
      </w:pPr>
      <w:r>
        <w:rPr>
          <w:rFonts w:eastAsia="Times New Roman"/>
          <w:b/>
          <w:bCs/>
          <w:color w:val="000000"/>
          <w:sz w:val="20"/>
          <w:szCs w:val="20"/>
        </w:rPr>
        <w:t>Impact of Foreign Exchange</w:t>
      </w:r>
    </w:p>
    <w:p w14:paraId="0F6530B7" w14:textId="77777777" w:rsidR="00000000" w:rsidRDefault="001A570A">
      <w:pPr>
        <w:ind w:firstLine="450"/>
        <w:divId w:val="2016492202"/>
        <w:rPr>
          <w:rFonts w:eastAsia="Times New Roman"/>
        </w:rPr>
      </w:pPr>
      <w:r>
        <w:rPr>
          <w:rFonts w:eastAsia="Times New Roman"/>
          <w:color w:val="000000"/>
          <w:sz w:val="20"/>
          <w:szCs w:val="20"/>
        </w:rPr>
        <w:t>In fiscal 2020, 32 percent of our international business was transacted in local currency environments compared with 40 percent</w:t>
      </w:r>
      <w:r>
        <w:rPr>
          <w:rFonts w:eastAsia="Times New Roman"/>
          <w:color w:val="000000"/>
          <w:sz w:val="20"/>
          <w:szCs w:val="20"/>
        </w:rPr>
        <w:t xml:space="preserve"> in the two quarters ended January 3, 2020, 18 percent in fiscal 2019 and 22 percent in fiscal 2018. The impact of translating the assets and liabilities of these operations to U.S. Dollars is included as a component of shareholders’ equity. As of January </w:t>
      </w:r>
      <w:r>
        <w:rPr>
          <w:rFonts w:eastAsia="Times New Roman"/>
          <w:color w:val="000000"/>
          <w:sz w:val="20"/>
          <w:szCs w:val="20"/>
        </w:rPr>
        <w:t>1, 2021, the cumulative foreign currency translation adjustment included in shareholders’ equity was a $58 million loss compared with a $81 million loss at January 3, 2020. We utilize foreign currency hedging instruments to minimize the currency risk of in</w:t>
      </w:r>
      <w:r>
        <w:rPr>
          <w:rFonts w:eastAsia="Times New Roman"/>
          <w:color w:val="000000"/>
          <w:sz w:val="20"/>
          <w:szCs w:val="20"/>
        </w:rPr>
        <w:t>ternational transactions. Gains and losses resulting from currency rate fluctuations did not have a material effect on our results in fiscal 2020, the two quarters ended January 3, 2020 or fiscal 2019 or 2018.</w:t>
      </w:r>
    </w:p>
    <w:p w14:paraId="380A859E" w14:textId="77777777" w:rsidR="00000000" w:rsidRDefault="001A570A">
      <w:pPr>
        <w:divId w:val="320160320"/>
        <w:rPr>
          <w:rFonts w:eastAsia="Times New Roman"/>
        </w:rPr>
      </w:pPr>
      <w:r>
        <w:rPr>
          <w:rFonts w:eastAsia="Times New Roman"/>
          <w:b/>
          <w:bCs/>
          <w:color w:val="000000"/>
          <w:sz w:val="20"/>
          <w:szCs w:val="20"/>
        </w:rPr>
        <w:t>Impact of Inflation</w:t>
      </w:r>
    </w:p>
    <w:p w14:paraId="06B4CD87" w14:textId="77777777" w:rsidR="00000000" w:rsidRDefault="001A570A">
      <w:pPr>
        <w:ind w:firstLine="450"/>
        <w:divId w:val="867915105"/>
        <w:rPr>
          <w:rFonts w:eastAsia="Times New Roman"/>
        </w:rPr>
      </w:pPr>
      <w:r>
        <w:rPr>
          <w:rFonts w:eastAsia="Times New Roman"/>
          <w:color w:val="000000"/>
          <w:sz w:val="20"/>
          <w:szCs w:val="20"/>
        </w:rPr>
        <w:t>To the extent feasible, we</w:t>
      </w:r>
      <w:r>
        <w:rPr>
          <w:rFonts w:eastAsia="Times New Roman"/>
          <w:color w:val="000000"/>
          <w:sz w:val="20"/>
          <w:szCs w:val="20"/>
        </w:rPr>
        <w:t xml:space="preserve"> have consistently followed the practice of adjusting our prices to reflect the impact of inflation on salaries and fringe benefits for employees and the cost of purchased materials and services. Inflation and changing prices did not materially adversely i</w:t>
      </w:r>
      <w:r>
        <w:rPr>
          <w:rFonts w:eastAsia="Times New Roman"/>
          <w:color w:val="000000"/>
          <w:sz w:val="20"/>
          <w:szCs w:val="20"/>
        </w:rPr>
        <w:t>mpact our gross margin, revenue or operating income in fiscal 2020, the two quarters ended January 3, 2020 or fiscal 2019 or 2018.</w:t>
      </w:r>
    </w:p>
    <w:p w14:paraId="613D6053" w14:textId="77777777" w:rsidR="00000000" w:rsidRDefault="001A570A">
      <w:pPr>
        <w:divId w:val="74209917"/>
        <w:rPr>
          <w:rFonts w:eastAsia="Times New Roman"/>
        </w:rPr>
      </w:pPr>
      <w:r>
        <w:rPr>
          <w:rFonts w:eastAsia="Times New Roman"/>
          <w:b/>
          <w:bCs/>
          <w:color w:val="000000"/>
          <w:sz w:val="20"/>
          <w:szCs w:val="20"/>
        </w:rPr>
        <w:t>CRITICAL ACCOUNTING POLICIES AND ESTIMATES</w:t>
      </w:r>
    </w:p>
    <w:p w14:paraId="0AA53768" w14:textId="77777777" w:rsidR="00000000" w:rsidRDefault="001A570A">
      <w:pPr>
        <w:ind w:firstLine="450"/>
        <w:divId w:val="473331738"/>
        <w:rPr>
          <w:rFonts w:eastAsia="Times New Roman"/>
        </w:rPr>
      </w:pPr>
      <w:r>
        <w:rPr>
          <w:rFonts w:eastAsia="Times New Roman"/>
          <w:color w:val="000000"/>
          <w:sz w:val="20"/>
          <w:szCs w:val="20"/>
        </w:rPr>
        <w:t>The following is not intended to be a comprehensive list of our accounting policie</w:t>
      </w:r>
      <w:r>
        <w:rPr>
          <w:rFonts w:eastAsia="Times New Roman"/>
          <w:color w:val="000000"/>
          <w:sz w:val="20"/>
          <w:szCs w:val="20"/>
        </w:rPr>
        <w:t xml:space="preserve">s or estimates. Our significant accounting policies are more fully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In preparing our financial statements and accounting for the underlying transactions and balances, we apply our accounting</w:t>
      </w:r>
      <w:r>
        <w:rPr>
          <w:rFonts w:eastAsia="Times New Roman"/>
          <w:color w:val="000000"/>
          <w:sz w:val="20"/>
          <w:szCs w:val="20"/>
        </w:rPr>
        <w:t xml:space="preserve"> policies and estimates as disclosed in the Notes. We consider the policies and estimates discussed below as critical to an understanding of our financial statements because their application places the most significant demands on our judgment, with financ</w:t>
      </w:r>
      <w:r>
        <w:rPr>
          <w:rFonts w:eastAsia="Times New Roman"/>
          <w:color w:val="000000"/>
          <w:sz w:val="20"/>
          <w:szCs w:val="20"/>
        </w:rPr>
        <w:t>ial reporting results dependent on estimates about the effect of matters that are inherently uncertain and may change in subsequent periods. Specific risks for these critical accounting estimates are described in the following paragraphs. The impact and an</w:t>
      </w:r>
      <w:r>
        <w:rPr>
          <w:rFonts w:eastAsia="Times New Roman"/>
          <w:color w:val="000000"/>
          <w:sz w:val="20"/>
          <w:szCs w:val="20"/>
        </w:rPr>
        <w:t>y associated risks related to these estimates on our business operations are discussed throughout this MD&amp;A where such estimates affect our reported and expected financial results. Senior management has discussed the development and selection of the critic</w:t>
      </w:r>
      <w:r>
        <w:rPr>
          <w:rFonts w:eastAsia="Times New Roman"/>
          <w:color w:val="000000"/>
          <w:sz w:val="20"/>
          <w:szCs w:val="20"/>
        </w:rPr>
        <w:t>al accounting policies and estimates and the related disclosure included herein with the Audit Committee of our Board of Directors. Preparation of this Report requires us to make estimates and assumptions that affect the reported amount of assets, liabilit</w:t>
      </w:r>
      <w:r>
        <w:rPr>
          <w:rFonts w:eastAsia="Times New Roman"/>
          <w:color w:val="000000"/>
          <w:sz w:val="20"/>
          <w:szCs w:val="20"/>
        </w:rPr>
        <w:t>ies, revenue, expenses and backlog as well as disclosure of contingent assets and liabilities. Actual results may differ from those estimates.</w:t>
      </w:r>
    </w:p>
    <w:p w14:paraId="7F4B4FCB" w14:textId="77777777" w:rsidR="00000000" w:rsidRDefault="001A570A">
      <w:pPr>
        <w:ind w:firstLine="450"/>
        <w:divId w:val="788206948"/>
        <w:rPr>
          <w:rFonts w:eastAsia="Times New Roman"/>
        </w:rPr>
      </w:pPr>
      <w:r>
        <w:rPr>
          <w:rFonts w:eastAsia="Times New Roman"/>
          <w:color w:val="000000"/>
          <w:sz w:val="20"/>
          <w:szCs w:val="20"/>
        </w:rPr>
        <w:t xml:space="preserve">Besides estimates that meet the “critical” accounting estimate criteria, we make many other accounting estimates </w:t>
      </w:r>
      <w:r>
        <w:rPr>
          <w:rFonts w:eastAsia="Times New Roman"/>
          <w:color w:val="000000"/>
          <w:sz w:val="20"/>
          <w:szCs w:val="20"/>
        </w:rPr>
        <w:t xml:space="preserve">in preparing our financial statements and related disclosures. All estimates, whether or not deemed “critical,” affect reported amounts of assets, liabilities, revenue and expenses as well as disclosures of contingent assets and liabilities. Estimates are </w:t>
      </w:r>
      <w:r>
        <w:rPr>
          <w:rFonts w:eastAsia="Times New Roman"/>
          <w:color w:val="000000"/>
          <w:sz w:val="20"/>
          <w:szCs w:val="20"/>
        </w:rPr>
        <w:t>based on experience and other information available prior to the issuance of the financial statements. Materially different results can occur as circumstances change and additional information becomes known, including for estimates that we do not deem “cri</w:t>
      </w:r>
      <w:r>
        <w:rPr>
          <w:rFonts w:eastAsia="Times New Roman"/>
          <w:color w:val="000000"/>
          <w:sz w:val="20"/>
          <w:szCs w:val="20"/>
        </w:rPr>
        <w:t>tical.”</w:t>
      </w:r>
    </w:p>
    <w:p w14:paraId="074115BC" w14:textId="77777777" w:rsidR="00000000" w:rsidRDefault="001A570A">
      <w:pPr>
        <w:divId w:val="638538025"/>
        <w:rPr>
          <w:rFonts w:eastAsia="Times New Roman"/>
        </w:rPr>
      </w:pPr>
      <w:r>
        <w:rPr>
          <w:rFonts w:eastAsia="Times New Roman"/>
          <w:b/>
          <w:bCs/>
          <w:color w:val="000000"/>
          <w:sz w:val="20"/>
          <w:szCs w:val="20"/>
        </w:rPr>
        <w:t>Revenue Recognition</w:t>
      </w:r>
    </w:p>
    <w:p w14:paraId="66EB91DB" w14:textId="77777777" w:rsidR="00000000" w:rsidRDefault="001A570A">
      <w:pPr>
        <w:ind w:firstLine="450"/>
        <w:divId w:val="964193974"/>
        <w:rPr>
          <w:rFonts w:eastAsia="Times New Roman"/>
        </w:rPr>
      </w:pPr>
      <w:r>
        <w:rPr>
          <w:rFonts w:eastAsia="Times New Roman"/>
          <w:color w:val="000000"/>
          <w:sz w:val="20"/>
          <w:szCs w:val="20"/>
        </w:rPr>
        <w:t>A significant portion of our business is derived from development and production contracts. Revenue and profit related to development and production contracts are generally recognized over time, typically using the percentage of</w:t>
      </w:r>
      <w:r>
        <w:rPr>
          <w:rFonts w:eastAsia="Times New Roman"/>
          <w:color w:val="000000"/>
          <w:sz w:val="20"/>
          <w:szCs w:val="20"/>
        </w:rPr>
        <w:t xml:space="preserve"> completion (“POC”) cost-to-cost method of revenue recognition, whereby we measure our progress towards completion of the performance obligation based on the ratio of costs incurred to date to estimated costs at completion under the contract. Because costs</w:t>
      </w:r>
      <w:r>
        <w:rPr>
          <w:rFonts w:eastAsia="Times New Roman"/>
          <w:color w:val="000000"/>
          <w:sz w:val="20"/>
          <w:szCs w:val="20"/>
        </w:rPr>
        <w:t xml:space="preserve"> incurred represent work performed, we believe this method best depicts the transfer of control of the asset to the customer. Under the POC cost-to-cost method of revenue recognition, a single estimated profit margin is used to recognize profit for each pe</w:t>
      </w:r>
      <w:r>
        <w:rPr>
          <w:rFonts w:eastAsia="Times New Roman"/>
          <w:color w:val="000000"/>
          <w:sz w:val="20"/>
          <w:szCs w:val="20"/>
        </w:rPr>
        <w:t>rformance obligation over its period of performance. Recognition of profit on a contract requires estimates of the total cost at completion and transaction price and the measurement of progress towards completion. Due to the long-term nature of many of our</w:t>
      </w:r>
      <w:r>
        <w:rPr>
          <w:rFonts w:eastAsia="Times New Roman"/>
          <w:color w:val="000000"/>
          <w:sz w:val="20"/>
          <w:szCs w:val="20"/>
        </w:rPr>
        <w:t xml:space="preserve"> contracts, developing the estimated total cost at completion and total transaction price often requires judgment. Factors that must be considered in estimating the cost of the work to be completed include: the nature and complexity of the work to be perfo</w:t>
      </w:r>
      <w:r>
        <w:rPr>
          <w:rFonts w:eastAsia="Times New Roman"/>
          <w:color w:val="000000"/>
          <w:sz w:val="20"/>
          <w:szCs w:val="20"/>
        </w:rPr>
        <w:t xml:space="preserve">rmed, subcontractor performance and the risk and impact of delayed performance. Factors that must be considered in estimating the total transaction price include contractual cost or performance incentives (such as incentive fees, award fees and penalties) </w:t>
      </w:r>
      <w:r>
        <w:rPr>
          <w:rFonts w:eastAsia="Times New Roman"/>
          <w:color w:val="000000"/>
          <w:sz w:val="20"/>
          <w:szCs w:val="20"/>
        </w:rPr>
        <w:t xml:space="preserve">and other forms of variable consideration as well as our historical experience and our expectation for performance on the contract. These variable amounts generally are awarded upon achievement of certain negotiated performance metrics, program milestones </w:t>
      </w:r>
      <w:r>
        <w:rPr>
          <w:rFonts w:eastAsia="Times New Roman"/>
          <w:color w:val="000000"/>
          <w:sz w:val="20"/>
          <w:szCs w:val="20"/>
        </w:rPr>
        <w:t>or cost targets and can be based upon customer discretion. We include such estimated amounts in the transaction price to the extent it is probable that a significant reversal of cumulative revenue recognized will not occur when the uncertainty associated w</w:t>
      </w:r>
      <w:r>
        <w:rPr>
          <w:rFonts w:eastAsia="Times New Roman"/>
          <w:color w:val="000000"/>
          <w:sz w:val="20"/>
          <w:szCs w:val="20"/>
        </w:rPr>
        <w:t>ith the variable consideration is resolved.</w:t>
      </w:r>
    </w:p>
    <w:p w14:paraId="7647601D" w14:textId="77777777" w:rsidR="00000000" w:rsidRDefault="001A570A">
      <w:pPr>
        <w:ind w:firstLine="450"/>
        <w:divId w:val="1378238524"/>
        <w:rPr>
          <w:rFonts w:eastAsia="Times New Roman"/>
        </w:rPr>
      </w:pPr>
      <w:r>
        <w:rPr>
          <w:rFonts w:eastAsia="Times New Roman"/>
          <w:color w:val="000000"/>
          <w:sz w:val="20"/>
          <w:szCs w:val="20"/>
        </w:rPr>
        <w:t>At the outset of each contract, we gauge its complexity and perceived risks and establish an estimated total cost at completion in line with these expectations. After establishing the estimated total cost at comp</w:t>
      </w:r>
      <w:r>
        <w:rPr>
          <w:rFonts w:eastAsia="Times New Roman"/>
          <w:color w:val="000000"/>
          <w:sz w:val="20"/>
          <w:szCs w:val="20"/>
        </w:rPr>
        <w:t>letion, we follow a standard estimate at completion (“EAC”) process in which we review the progress and performance on our ongoing contracts at least quarterly and, in many cases, more frequently. If we successfully retire risks associated with the technic</w:t>
      </w:r>
      <w:r>
        <w:rPr>
          <w:rFonts w:eastAsia="Times New Roman"/>
          <w:color w:val="000000"/>
          <w:sz w:val="20"/>
          <w:szCs w:val="20"/>
        </w:rPr>
        <w:t xml:space="preserve">al, schedule and cost aspects of a contract, we may lower our estimated total cost at completion commensurate with the retirement of these risks. Conversely, if we </w:t>
      </w:r>
    </w:p>
    <w:p w14:paraId="2B3F2568" w14:textId="77777777" w:rsidR="00000000" w:rsidRDefault="001A570A">
      <w:pPr>
        <w:ind w:firstLine="450"/>
        <w:jc w:val="center"/>
        <w:divId w:val="1349453772"/>
        <w:rPr>
          <w:rFonts w:eastAsia="Times New Roman"/>
        </w:rPr>
      </w:pPr>
      <w:r>
        <w:rPr>
          <w:rFonts w:eastAsia="Times New Roman"/>
          <w:color w:val="000000"/>
          <w:sz w:val="20"/>
          <w:szCs w:val="20"/>
        </w:rPr>
        <w:t>62</w:t>
      </w:r>
    </w:p>
    <w:p w14:paraId="308ADDC6" w14:textId="77777777" w:rsidR="00000000" w:rsidRDefault="001A570A">
      <w:pPr>
        <w:rPr>
          <w:rFonts w:eastAsia="Times New Roman"/>
        </w:rPr>
      </w:pPr>
      <w:r>
        <w:rPr>
          <w:rFonts w:eastAsia="Times New Roman"/>
        </w:rPr>
        <w:pict w14:anchorId="1B0EDE92">
          <v:rect id="_x0000_i1090" style="width:0;height:1.5pt" o:hralign="center" o:hrstd="t" o:hr="t" fillcolor="#a0a0a0" stroked="f"/>
        </w:pict>
      </w:r>
    </w:p>
    <w:p w14:paraId="5A6ACA59" w14:textId="77777777" w:rsidR="00000000" w:rsidRDefault="001A570A">
      <w:pPr>
        <w:ind w:firstLine="450"/>
        <w:divId w:val="183980418"/>
        <w:rPr>
          <w:rFonts w:eastAsia="Times New Roman"/>
        </w:rPr>
      </w:pPr>
    </w:p>
    <w:p w14:paraId="4DE194DE" w14:textId="77777777" w:rsidR="00000000" w:rsidRDefault="001A570A">
      <w:pPr>
        <w:divId w:val="920599888"/>
        <w:rPr>
          <w:rFonts w:eastAsia="Times New Roman"/>
        </w:rPr>
      </w:pPr>
      <w:r>
        <w:rPr>
          <w:rFonts w:eastAsia="Times New Roman"/>
          <w:color w:val="000000"/>
          <w:sz w:val="20"/>
          <w:szCs w:val="20"/>
        </w:rPr>
        <w:t xml:space="preserve">are not successful in retiring these risks, we may increase our estimated total cost at completion. Additionally, as the contract progresses, our estimates of total transaction price may increase or decrease if, for example, we receive award fees that are </w:t>
      </w:r>
      <w:r>
        <w:rPr>
          <w:rFonts w:eastAsia="Times New Roman"/>
          <w:color w:val="000000"/>
          <w:sz w:val="20"/>
          <w:szCs w:val="20"/>
        </w:rPr>
        <w:t>higher or lower than expected. When adjustments in estimated total costs at completion or in estimated total transaction price are determined, the related impact on operating income is recognized using the cumulative catch-up method, which recognizes in th</w:t>
      </w:r>
      <w:r>
        <w:rPr>
          <w:rFonts w:eastAsia="Times New Roman"/>
          <w:color w:val="000000"/>
          <w:sz w:val="20"/>
          <w:szCs w:val="20"/>
        </w:rPr>
        <w:t>e current period the cumulative effect of such adjustments for all prior periods. Any anticipated losses on these contracts are fully recognized in the period in which the losses become evident.</w:t>
      </w:r>
    </w:p>
    <w:p w14:paraId="6218EF00" w14:textId="77777777" w:rsidR="00000000" w:rsidRDefault="001A570A">
      <w:pPr>
        <w:ind w:firstLine="450"/>
        <w:divId w:val="851803254"/>
        <w:rPr>
          <w:rFonts w:eastAsia="Times New Roman"/>
        </w:rPr>
      </w:pPr>
      <w:r>
        <w:rPr>
          <w:rFonts w:eastAsia="Times New Roman"/>
          <w:color w:val="000000"/>
          <w:sz w:val="20"/>
          <w:szCs w:val="20"/>
        </w:rPr>
        <w:t>EAC adjustments had the following impacts to operating income</w:t>
      </w:r>
      <w:r>
        <w:rPr>
          <w:rFonts w:eastAsia="Times New Roman"/>
          <w:color w:val="000000"/>
          <w:sz w:val="20"/>
          <w:szCs w:val="20"/>
        </w:rPr>
        <w:t xml:space="preserve"> for the periods presented:</w:t>
      </w:r>
    </w:p>
    <w:tbl>
      <w:tblPr>
        <w:tblW w:w="4741" w:type="pct"/>
        <w:tblCellMar>
          <w:top w:w="15" w:type="dxa"/>
          <w:left w:w="15" w:type="dxa"/>
          <w:bottom w:w="15" w:type="dxa"/>
          <w:right w:w="15" w:type="dxa"/>
        </w:tblCellMar>
        <w:tblLook w:val="04A0" w:firstRow="1" w:lastRow="0" w:firstColumn="1" w:lastColumn="0" w:noHBand="0" w:noVBand="1"/>
      </w:tblPr>
      <w:tblGrid>
        <w:gridCol w:w="38"/>
        <w:gridCol w:w="3490"/>
        <w:gridCol w:w="36"/>
        <w:gridCol w:w="121"/>
        <w:gridCol w:w="874"/>
        <w:gridCol w:w="37"/>
        <w:gridCol w:w="36"/>
        <w:gridCol w:w="36"/>
        <w:gridCol w:w="36"/>
        <w:gridCol w:w="121"/>
        <w:gridCol w:w="828"/>
        <w:gridCol w:w="36"/>
        <w:gridCol w:w="36"/>
        <w:gridCol w:w="36"/>
        <w:gridCol w:w="36"/>
        <w:gridCol w:w="120"/>
        <w:gridCol w:w="829"/>
        <w:gridCol w:w="36"/>
        <w:gridCol w:w="36"/>
        <w:gridCol w:w="36"/>
        <w:gridCol w:w="36"/>
        <w:gridCol w:w="120"/>
        <w:gridCol w:w="830"/>
        <w:gridCol w:w="36"/>
      </w:tblGrid>
      <w:tr w:rsidR="00000000" w14:paraId="32E96088" w14:textId="77777777">
        <w:trPr>
          <w:divId w:val="730083737"/>
        </w:trPr>
        <w:tc>
          <w:tcPr>
            <w:tcW w:w="50" w:type="pct"/>
            <w:vAlign w:val="center"/>
            <w:hideMark/>
          </w:tcPr>
          <w:p w14:paraId="7195B17B" w14:textId="77777777" w:rsidR="00000000" w:rsidRDefault="001A570A">
            <w:pPr>
              <w:ind w:firstLine="450"/>
              <w:rPr>
                <w:rFonts w:eastAsia="Times New Roman"/>
              </w:rPr>
            </w:pPr>
          </w:p>
        </w:tc>
        <w:tc>
          <w:tcPr>
            <w:tcW w:w="2255" w:type="pct"/>
            <w:vAlign w:val="center"/>
            <w:hideMark/>
          </w:tcPr>
          <w:p w14:paraId="16C6BDC3" w14:textId="77777777" w:rsidR="00000000" w:rsidRDefault="001A570A">
            <w:pPr>
              <w:rPr>
                <w:rFonts w:eastAsia="Times New Roman"/>
                <w:sz w:val="20"/>
                <w:szCs w:val="20"/>
              </w:rPr>
            </w:pPr>
          </w:p>
        </w:tc>
        <w:tc>
          <w:tcPr>
            <w:tcW w:w="5" w:type="pct"/>
            <w:vAlign w:val="center"/>
            <w:hideMark/>
          </w:tcPr>
          <w:p w14:paraId="616AA1E7" w14:textId="77777777" w:rsidR="00000000" w:rsidRDefault="001A570A">
            <w:pPr>
              <w:rPr>
                <w:rFonts w:eastAsia="Times New Roman"/>
                <w:sz w:val="20"/>
                <w:szCs w:val="20"/>
              </w:rPr>
            </w:pPr>
          </w:p>
        </w:tc>
        <w:tc>
          <w:tcPr>
            <w:tcW w:w="50" w:type="pct"/>
            <w:vAlign w:val="center"/>
            <w:hideMark/>
          </w:tcPr>
          <w:p w14:paraId="52D2005F" w14:textId="77777777" w:rsidR="00000000" w:rsidRDefault="001A570A">
            <w:pPr>
              <w:rPr>
                <w:rFonts w:eastAsia="Times New Roman"/>
                <w:sz w:val="20"/>
                <w:szCs w:val="20"/>
              </w:rPr>
            </w:pPr>
          </w:p>
        </w:tc>
        <w:tc>
          <w:tcPr>
            <w:tcW w:w="588" w:type="pct"/>
            <w:vAlign w:val="center"/>
            <w:hideMark/>
          </w:tcPr>
          <w:p w14:paraId="5D65141A" w14:textId="77777777" w:rsidR="00000000" w:rsidRDefault="001A570A">
            <w:pPr>
              <w:rPr>
                <w:rFonts w:eastAsia="Times New Roman"/>
                <w:sz w:val="20"/>
                <w:szCs w:val="20"/>
              </w:rPr>
            </w:pPr>
          </w:p>
        </w:tc>
        <w:tc>
          <w:tcPr>
            <w:tcW w:w="5" w:type="pct"/>
            <w:vAlign w:val="center"/>
            <w:hideMark/>
          </w:tcPr>
          <w:p w14:paraId="09C11040" w14:textId="77777777" w:rsidR="00000000" w:rsidRDefault="001A570A">
            <w:pPr>
              <w:rPr>
                <w:rFonts w:eastAsia="Times New Roman"/>
                <w:sz w:val="20"/>
                <w:szCs w:val="20"/>
              </w:rPr>
            </w:pPr>
          </w:p>
        </w:tc>
        <w:tc>
          <w:tcPr>
            <w:tcW w:w="5" w:type="pct"/>
            <w:vAlign w:val="center"/>
            <w:hideMark/>
          </w:tcPr>
          <w:p w14:paraId="4E9922D1" w14:textId="77777777" w:rsidR="00000000" w:rsidRDefault="001A570A">
            <w:pPr>
              <w:rPr>
                <w:rFonts w:eastAsia="Times New Roman"/>
                <w:sz w:val="20"/>
                <w:szCs w:val="20"/>
              </w:rPr>
            </w:pPr>
          </w:p>
        </w:tc>
        <w:tc>
          <w:tcPr>
            <w:tcW w:w="27" w:type="pct"/>
            <w:vAlign w:val="center"/>
            <w:hideMark/>
          </w:tcPr>
          <w:p w14:paraId="63D99546" w14:textId="77777777" w:rsidR="00000000" w:rsidRDefault="001A570A">
            <w:pPr>
              <w:rPr>
                <w:rFonts w:eastAsia="Times New Roman"/>
                <w:sz w:val="20"/>
                <w:szCs w:val="20"/>
              </w:rPr>
            </w:pPr>
          </w:p>
        </w:tc>
        <w:tc>
          <w:tcPr>
            <w:tcW w:w="5" w:type="pct"/>
            <w:vAlign w:val="center"/>
            <w:hideMark/>
          </w:tcPr>
          <w:p w14:paraId="2D40871B" w14:textId="77777777" w:rsidR="00000000" w:rsidRDefault="001A570A">
            <w:pPr>
              <w:rPr>
                <w:rFonts w:eastAsia="Times New Roman"/>
                <w:sz w:val="20"/>
                <w:szCs w:val="20"/>
              </w:rPr>
            </w:pPr>
          </w:p>
        </w:tc>
        <w:tc>
          <w:tcPr>
            <w:tcW w:w="50" w:type="pct"/>
            <w:vAlign w:val="center"/>
            <w:hideMark/>
          </w:tcPr>
          <w:p w14:paraId="1F8BE722" w14:textId="77777777" w:rsidR="00000000" w:rsidRDefault="001A570A">
            <w:pPr>
              <w:rPr>
                <w:rFonts w:eastAsia="Times New Roman"/>
                <w:sz w:val="20"/>
                <w:szCs w:val="20"/>
              </w:rPr>
            </w:pPr>
          </w:p>
        </w:tc>
        <w:tc>
          <w:tcPr>
            <w:tcW w:w="588" w:type="pct"/>
            <w:vAlign w:val="center"/>
            <w:hideMark/>
          </w:tcPr>
          <w:p w14:paraId="552ED266" w14:textId="77777777" w:rsidR="00000000" w:rsidRDefault="001A570A">
            <w:pPr>
              <w:rPr>
                <w:rFonts w:eastAsia="Times New Roman"/>
                <w:sz w:val="20"/>
                <w:szCs w:val="20"/>
              </w:rPr>
            </w:pPr>
          </w:p>
        </w:tc>
        <w:tc>
          <w:tcPr>
            <w:tcW w:w="5" w:type="pct"/>
            <w:vAlign w:val="center"/>
            <w:hideMark/>
          </w:tcPr>
          <w:p w14:paraId="004A851A" w14:textId="77777777" w:rsidR="00000000" w:rsidRDefault="001A570A">
            <w:pPr>
              <w:rPr>
                <w:rFonts w:eastAsia="Times New Roman"/>
                <w:sz w:val="20"/>
                <w:szCs w:val="20"/>
              </w:rPr>
            </w:pPr>
          </w:p>
        </w:tc>
        <w:tc>
          <w:tcPr>
            <w:tcW w:w="5" w:type="pct"/>
            <w:vAlign w:val="center"/>
            <w:hideMark/>
          </w:tcPr>
          <w:p w14:paraId="45E0D517" w14:textId="77777777" w:rsidR="00000000" w:rsidRDefault="001A570A">
            <w:pPr>
              <w:rPr>
                <w:rFonts w:eastAsia="Times New Roman"/>
                <w:sz w:val="20"/>
                <w:szCs w:val="20"/>
              </w:rPr>
            </w:pPr>
          </w:p>
        </w:tc>
        <w:tc>
          <w:tcPr>
            <w:tcW w:w="27" w:type="pct"/>
            <w:vAlign w:val="center"/>
            <w:hideMark/>
          </w:tcPr>
          <w:p w14:paraId="5D5BB85C" w14:textId="77777777" w:rsidR="00000000" w:rsidRDefault="001A570A">
            <w:pPr>
              <w:rPr>
                <w:rFonts w:eastAsia="Times New Roman"/>
                <w:sz w:val="20"/>
                <w:szCs w:val="20"/>
              </w:rPr>
            </w:pPr>
          </w:p>
        </w:tc>
        <w:tc>
          <w:tcPr>
            <w:tcW w:w="5" w:type="pct"/>
            <w:vAlign w:val="center"/>
            <w:hideMark/>
          </w:tcPr>
          <w:p w14:paraId="22BC83F4" w14:textId="77777777" w:rsidR="00000000" w:rsidRDefault="001A570A">
            <w:pPr>
              <w:rPr>
                <w:rFonts w:eastAsia="Times New Roman"/>
                <w:sz w:val="20"/>
                <w:szCs w:val="20"/>
              </w:rPr>
            </w:pPr>
          </w:p>
        </w:tc>
        <w:tc>
          <w:tcPr>
            <w:tcW w:w="50" w:type="pct"/>
            <w:vAlign w:val="center"/>
            <w:hideMark/>
          </w:tcPr>
          <w:p w14:paraId="351EFC03" w14:textId="77777777" w:rsidR="00000000" w:rsidRDefault="001A570A">
            <w:pPr>
              <w:rPr>
                <w:rFonts w:eastAsia="Times New Roman"/>
                <w:sz w:val="20"/>
                <w:szCs w:val="20"/>
              </w:rPr>
            </w:pPr>
          </w:p>
        </w:tc>
        <w:tc>
          <w:tcPr>
            <w:tcW w:w="588" w:type="pct"/>
            <w:vAlign w:val="center"/>
            <w:hideMark/>
          </w:tcPr>
          <w:p w14:paraId="00B6C6CD" w14:textId="77777777" w:rsidR="00000000" w:rsidRDefault="001A570A">
            <w:pPr>
              <w:rPr>
                <w:rFonts w:eastAsia="Times New Roman"/>
                <w:sz w:val="20"/>
                <w:szCs w:val="20"/>
              </w:rPr>
            </w:pPr>
          </w:p>
        </w:tc>
        <w:tc>
          <w:tcPr>
            <w:tcW w:w="5" w:type="pct"/>
            <w:vAlign w:val="center"/>
            <w:hideMark/>
          </w:tcPr>
          <w:p w14:paraId="7EF5536D" w14:textId="77777777" w:rsidR="00000000" w:rsidRDefault="001A570A">
            <w:pPr>
              <w:rPr>
                <w:rFonts w:eastAsia="Times New Roman"/>
                <w:sz w:val="20"/>
                <w:szCs w:val="20"/>
              </w:rPr>
            </w:pPr>
          </w:p>
        </w:tc>
        <w:tc>
          <w:tcPr>
            <w:tcW w:w="5" w:type="pct"/>
            <w:vAlign w:val="center"/>
            <w:hideMark/>
          </w:tcPr>
          <w:p w14:paraId="248E7C34" w14:textId="77777777" w:rsidR="00000000" w:rsidRDefault="001A570A">
            <w:pPr>
              <w:rPr>
                <w:rFonts w:eastAsia="Times New Roman"/>
                <w:sz w:val="20"/>
                <w:szCs w:val="20"/>
              </w:rPr>
            </w:pPr>
          </w:p>
        </w:tc>
        <w:tc>
          <w:tcPr>
            <w:tcW w:w="27" w:type="pct"/>
            <w:vAlign w:val="center"/>
            <w:hideMark/>
          </w:tcPr>
          <w:p w14:paraId="093FA2CC" w14:textId="77777777" w:rsidR="00000000" w:rsidRDefault="001A570A">
            <w:pPr>
              <w:rPr>
                <w:rFonts w:eastAsia="Times New Roman"/>
                <w:sz w:val="20"/>
                <w:szCs w:val="20"/>
              </w:rPr>
            </w:pPr>
          </w:p>
        </w:tc>
        <w:tc>
          <w:tcPr>
            <w:tcW w:w="5" w:type="pct"/>
            <w:vAlign w:val="center"/>
            <w:hideMark/>
          </w:tcPr>
          <w:p w14:paraId="69551FA8" w14:textId="77777777" w:rsidR="00000000" w:rsidRDefault="001A570A">
            <w:pPr>
              <w:rPr>
                <w:rFonts w:eastAsia="Times New Roman"/>
                <w:sz w:val="20"/>
                <w:szCs w:val="20"/>
              </w:rPr>
            </w:pPr>
          </w:p>
        </w:tc>
        <w:tc>
          <w:tcPr>
            <w:tcW w:w="50" w:type="pct"/>
            <w:vAlign w:val="center"/>
            <w:hideMark/>
          </w:tcPr>
          <w:p w14:paraId="01AC6F0A" w14:textId="77777777" w:rsidR="00000000" w:rsidRDefault="001A570A">
            <w:pPr>
              <w:rPr>
                <w:rFonts w:eastAsia="Times New Roman"/>
                <w:sz w:val="20"/>
                <w:szCs w:val="20"/>
              </w:rPr>
            </w:pPr>
          </w:p>
        </w:tc>
        <w:tc>
          <w:tcPr>
            <w:tcW w:w="589" w:type="pct"/>
            <w:vAlign w:val="center"/>
            <w:hideMark/>
          </w:tcPr>
          <w:p w14:paraId="4F2C818A" w14:textId="77777777" w:rsidR="00000000" w:rsidRDefault="001A570A">
            <w:pPr>
              <w:rPr>
                <w:rFonts w:eastAsia="Times New Roman"/>
                <w:sz w:val="20"/>
                <w:szCs w:val="20"/>
              </w:rPr>
            </w:pPr>
          </w:p>
        </w:tc>
        <w:tc>
          <w:tcPr>
            <w:tcW w:w="5" w:type="pct"/>
            <w:vAlign w:val="center"/>
            <w:hideMark/>
          </w:tcPr>
          <w:p w14:paraId="797259BB" w14:textId="77777777" w:rsidR="00000000" w:rsidRDefault="001A570A">
            <w:pPr>
              <w:rPr>
                <w:rFonts w:eastAsia="Times New Roman"/>
                <w:sz w:val="20"/>
                <w:szCs w:val="20"/>
              </w:rPr>
            </w:pPr>
          </w:p>
        </w:tc>
      </w:tr>
      <w:tr w:rsidR="00000000" w14:paraId="4E31D6E5" w14:textId="77777777">
        <w:trPr>
          <w:divId w:val="730083737"/>
        </w:trPr>
        <w:tc>
          <w:tcPr>
            <w:tcW w:w="0" w:type="auto"/>
            <w:gridSpan w:val="3"/>
            <w:tcMar>
              <w:top w:w="0" w:type="dxa"/>
              <w:left w:w="20" w:type="dxa"/>
              <w:bottom w:w="0" w:type="dxa"/>
              <w:right w:w="20" w:type="dxa"/>
            </w:tcMar>
            <w:vAlign w:val="center"/>
            <w:hideMark/>
          </w:tcPr>
          <w:p w14:paraId="3E291627"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49439A5A"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418553C6"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2EBAE0B"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1680B10B"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214ACB0"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3D9E490D" w14:textId="77777777">
        <w:trPr>
          <w:divId w:val="730083737"/>
        </w:trPr>
        <w:tc>
          <w:tcPr>
            <w:tcW w:w="0" w:type="auto"/>
            <w:gridSpan w:val="3"/>
            <w:tcMar>
              <w:top w:w="30" w:type="dxa"/>
              <w:left w:w="20" w:type="dxa"/>
              <w:bottom w:w="30" w:type="dxa"/>
              <w:right w:w="20" w:type="dxa"/>
            </w:tcMar>
            <w:vAlign w:val="bottom"/>
            <w:hideMark/>
          </w:tcPr>
          <w:p w14:paraId="690DEBCD"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61C04CB"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0BF0BA1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20A043"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57B0E6E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963CF3"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6AD0FB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41C137" w14:textId="77777777" w:rsidR="00000000" w:rsidRDefault="001A570A">
            <w:pPr>
              <w:jc w:val="center"/>
              <w:rPr>
                <w:rFonts w:eastAsia="Times New Roman"/>
              </w:rPr>
            </w:pPr>
            <w:r>
              <w:rPr>
                <w:rFonts w:eastAsia="Times New Roman"/>
                <w:b/>
                <w:bCs/>
                <w:color w:val="000000"/>
                <w:sz w:val="16"/>
                <w:szCs w:val="16"/>
              </w:rPr>
              <w:t>June 29, 2018</w:t>
            </w:r>
          </w:p>
        </w:tc>
      </w:tr>
      <w:tr w:rsidR="00000000" w14:paraId="3268E678" w14:textId="77777777">
        <w:trPr>
          <w:divId w:val="730083737"/>
          <w:trHeight w:val="60"/>
        </w:trPr>
        <w:tc>
          <w:tcPr>
            <w:tcW w:w="0" w:type="auto"/>
            <w:gridSpan w:val="3"/>
            <w:tcMar>
              <w:top w:w="0" w:type="dxa"/>
              <w:left w:w="20" w:type="dxa"/>
              <w:bottom w:w="0" w:type="dxa"/>
              <w:right w:w="20" w:type="dxa"/>
            </w:tcMar>
            <w:vAlign w:val="center"/>
            <w:hideMark/>
          </w:tcPr>
          <w:p w14:paraId="7C654B0A"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4FCBE3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F1AEA8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A3F1A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A7A0E3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7F8A6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2ED5D0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166D38" w14:textId="77777777" w:rsidR="00000000" w:rsidRDefault="001A570A">
            <w:pPr>
              <w:rPr>
                <w:rFonts w:eastAsia="Times New Roman"/>
                <w:sz w:val="20"/>
                <w:szCs w:val="20"/>
              </w:rPr>
            </w:pPr>
          </w:p>
        </w:tc>
      </w:tr>
      <w:tr w:rsidR="00000000" w14:paraId="62ED4F77" w14:textId="77777777">
        <w:trPr>
          <w:divId w:val="730083737"/>
        </w:trPr>
        <w:tc>
          <w:tcPr>
            <w:tcW w:w="0" w:type="auto"/>
            <w:gridSpan w:val="3"/>
            <w:shd w:val="clear" w:color="auto" w:fill="CCEEFF"/>
            <w:tcMar>
              <w:top w:w="30" w:type="dxa"/>
              <w:left w:w="20" w:type="dxa"/>
              <w:bottom w:w="30" w:type="dxa"/>
              <w:right w:w="20" w:type="dxa"/>
            </w:tcMar>
            <w:hideMark/>
          </w:tcPr>
          <w:p w14:paraId="7D5E5D6F" w14:textId="77777777" w:rsidR="00000000" w:rsidRDefault="001A570A">
            <w:pPr>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bottom"/>
            <w:hideMark/>
          </w:tcPr>
          <w:p w14:paraId="2833755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297AEC" w14:textId="77777777" w:rsidR="00000000" w:rsidRDefault="001A570A">
            <w:pPr>
              <w:jc w:val="right"/>
              <w:rPr>
                <w:rFonts w:eastAsia="Times New Roman"/>
              </w:rPr>
            </w:pPr>
            <w:r>
              <w:rPr>
                <w:rFonts w:eastAsia="Times New Roman"/>
                <w:color w:val="000000"/>
                <w:sz w:val="20"/>
                <w:szCs w:val="20"/>
              </w:rPr>
              <w:t>714 </w:t>
            </w:r>
          </w:p>
        </w:tc>
        <w:tc>
          <w:tcPr>
            <w:tcW w:w="0" w:type="auto"/>
            <w:shd w:val="clear" w:color="auto" w:fill="CCEEFF"/>
            <w:tcMar>
              <w:top w:w="30" w:type="dxa"/>
              <w:left w:w="0" w:type="dxa"/>
              <w:bottom w:w="30" w:type="dxa"/>
              <w:right w:w="20" w:type="dxa"/>
            </w:tcMar>
            <w:vAlign w:val="bottom"/>
            <w:hideMark/>
          </w:tcPr>
          <w:p w14:paraId="275D94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EAB9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9D93EA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459077" w14:textId="77777777" w:rsidR="00000000" w:rsidRDefault="001A570A">
            <w:pPr>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14:paraId="5DC4127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5A5B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B33DB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526B78" w14:textId="77777777" w:rsidR="00000000" w:rsidRDefault="001A570A">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14:paraId="58F1AEF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2017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8DF90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969AF7" w14:textId="77777777" w:rsidR="00000000" w:rsidRDefault="001A570A">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14:paraId="46C3DC75" w14:textId="77777777" w:rsidR="00000000" w:rsidRDefault="001A570A">
            <w:pPr>
              <w:jc w:val="right"/>
              <w:rPr>
                <w:rFonts w:eastAsia="Times New Roman"/>
              </w:rPr>
            </w:pPr>
          </w:p>
        </w:tc>
      </w:tr>
      <w:tr w:rsidR="00000000" w14:paraId="031F4999" w14:textId="77777777">
        <w:trPr>
          <w:divId w:val="730083737"/>
        </w:trPr>
        <w:tc>
          <w:tcPr>
            <w:tcW w:w="0" w:type="auto"/>
            <w:gridSpan w:val="3"/>
            <w:tcMar>
              <w:top w:w="30" w:type="dxa"/>
              <w:left w:w="20" w:type="dxa"/>
              <w:bottom w:w="30" w:type="dxa"/>
              <w:right w:w="20" w:type="dxa"/>
            </w:tcMar>
            <w:hideMark/>
          </w:tcPr>
          <w:p w14:paraId="450E75B3" w14:textId="77777777" w:rsidR="00000000" w:rsidRDefault="001A570A">
            <w:pPr>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bottom"/>
            <w:hideMark/>
          </w:tcPr>
          <w:p w14:paraId="56C63C54" w14:textId="77777777" w:rsidR="00000000" w:rsidRDefault="001A570A">
            <w:pPr>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14:paraId="0E05365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34B1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40813" w14:textId="77777777" w:rsidR="00000000" w:rsidRDefault="001A570A">
            <w:pPr>
              <w:jc w:val="right"/>
              <w:rPr>
                <w:rFonts w:eastAsia="Times New Roman"/>
              </w:rPr>
            </w:pPr>
            <w:r>
              <w:rPr>
                <w:rFonts w:eastAsia="Times New Roman"/>
                <w:color w:val="000000"/>
                <w:sz w:val="20"/>
                <w:szCs w:val="20"/>
              </w:rPr>
              <w:t>(166)</w:t>
            </w:r>
          </w:p>
        </w:tc>
        <w:tc>
          <w:tcPr>
            <w:tcW w:w="0" w:type="auto"/>
            <w:shd w:val="clear" w:color="auto" w:fill="FFFFFF"/>
            <w:tcMar>
              <w:top w:w="30" w:type="dxa"/>
              <w:left w:w="0" w:type="dxa"/>
              <w:bottom w:w="30" w:type="dxa"/>
              <w:right w:w="20" w:type="dxa"/>
            </w:tcMar>
            <w:vAlign w:val="bottom"/>
            <w:hideMark/>
          </w:tcPr>
          <w:p w14:paraId="2E96713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2C45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32AA1" w14:textId="77777777" w:rsidR="00000000" w:rsidRDefault="001A570A">
            <w:pPr>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14:paraId="377720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903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43F4BC" w14:textId="77777777" w:rsidR="00000000" w:rsidRDefault="001A570A">
            <w:pPr>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14:paraId="0810AF3C" w14:textId="77777777" w:rsidR="00000000" w:rsidRDefault="001A570A">
            <w:pPr>
              <w:jc w:val="right"/>
              <w:rPr>
                <w:rFonts w:eastAsia="Times New Roman"/>
              </w:rPr>
            </w:pPr>
          </w:p>
        </w:tc>
      </w:tr>
      <w:tr w:rsidR="00000000" w14:paraId="599E050E" w14:textId="77777777">
        <w:trPr>
          <w:divId w:val="730083737"/>
        </w:trPr>
        <w:tc>
          <w:tcPr>
            <w:tcW w:w="0" w:type="auto"/>
            <w:gridSpan w:val="3"/>
            <w:shd w:val="clear" w:color="auto" w:fill="CCEEFF"/>
            <w:tcMar>
              <w:top w:w="30" w:type="dxa"/>
              <w:left w:w="20" w:type="dxa"/>
              <w:bottom w:w="30" w:type="dxa"/>
              <w:right w:w="20" w:type="dxa"/>
            </w:tcMar>
            <w:hideMark/>
          </w:tcPr>
          <w:p w14:paraId="625719EB" w14:textId="77777777" w:rsidR="00000000" w:rsidRDefault="001A570A">
            <w:pPr>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8A341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FC965E" w14:textId="77777777" w:rsidR="00000000" w:rsidRDefault="001A570A">
            <w:pPr>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21695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31C9A"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FD0C4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CD9CF8" w14:textId="77777777" w:rsidR="00000000" w:rsidRDefault="001A570A">
            <w:pPr>
              <w:jc w:val="right"/>
              <w:rPr>
                <w:rFonts w:eastAsia="Times New Roman"/>
              </w:rPr>
            </w:pPr>
            <w:r>
              <w:rPr>
                <w:rFonts w:eastAsia="Times New Roman"/>
                <w:color w:val="000000"/>
                <w:sz w:val="20"/>
                <w:szCs w:val="20"/>
              </w:rPr>
              <w:t>137 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0BBC6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6600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DECC6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5364EE" w14:textId="77777777" w:rsidR="00000000" w:rsidRDefault="001A570A">
            <w:pPr>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53C11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2BBB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89003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DA7E52" w14:textId="77777777" w:rsidR="00000000" w:rsidRDefault="001A570A">
            <w:pPr>
              <w:jc w:val="right"/>
              <w:rPr>
                <w:rFonts w:eastAsia="Times New Roman"/>
              </w:rPr>
            </w:pPr>
            <w:r>
              <w:rPr>
                <w:rFonts w:eastAsia="Times New Roman"/>
                <w:color w:val="000000"/>
                <w:sz w:val="20"/>
                <w:szCs w:val="20"/>
              </w:rPr>
              <w:t>(19)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2CF41E" w14:textId="77777777" w:rsidR="00000000" w:rsidRDefault="001A570A">
            <w:pPr>
              <w:jc w:val="right"/>
              <w:rPr>
                <w:rFonts w:eastAsia="Times New Roman"/>
              </w:rPr>
            </w:pPr>
          </w:p>
        </w:tc>
      </w:tr>
    </w:tbl>
    <w:p w14:paraId="1E34C1FB" w14:textId="77777777" w:rsidR="00000000" w:rsidRDefault="001A570A">
      <w:pPr>
        <w:ind w:firstLine="450"/>
        <w:divId w:val="1638023739"/>
        <w:rPr>
          <w:rFonts w:eastAsia="Times New Roman"/>
        </w:rPr>
      </w:pPr>
      <w:r>
        <w:rPr>
          <w:rFonts w:eastAsia="Times New Roman"/>
          <w:color w:val="000000"/>
          <w:sz w:val="20"/>
          <w:szCs w:val="20"/>
        </w:rPr>
        <w:t>There were no individual impacts to operating income due to EAC adjustments in fiscal 2020, the two quarters ended January 3, 2020 or fiscal 2019 or 2018 that were material to our result</w:t>
      </w:r>
      <w:r>
        <w:rPr>
          <w:rFonts w:eastAsia="Times New Roman"/>
          <w:color w:val="000000"/>
          <w:sz w:val="20"/>
          <w:szCs w:val="20"/>
        </w:rPr>
        <w:t>s of operations on a consolidated or segment basis for such periods.</w:t>
      </w:r>
    </w:p>
    <w:p w14:paraId="69027021" w14:textId="77777777" w:rsidR="00000000" w:rsidRDefault="001A570A">
      <w:pPr>
        <w:ind w:firstLine="450"/>
        <w:divId w:val="1991056063"/>
        <w:rPr>
          <w:rFonts w:eastAsia="Times New Roman"/>
        </w:rPr>
      </w:pPr>
      <w:r>
        <w:rPr>
          <w:rFonts w:eastAsia="Times New Roman"/>
          <w:color w:val="000000"/>
          <w:sz w:val="20"/>
          <w:szCs w:val="20"/>
        </w:rPr>
        <w:t>We recognize revenue from numerous contracts with multiple performance obligations. For these contracts, we allocate the transaction price to each performance obligation based on the rela</w:t>
      </w:r>
      <w:r>
        <w:rPr>
          <w:rFonts w:eastAsia="Times New Roman"/>
          <w:color w:val="000000"/>
          <w:sz w:val="20"/>
          <w:szCs w:val="20"/>
        </w:rPr>
        <w:t xml:space="preserve">tive standalone selling price of the good or service underlying each performance obligation. The standalone selling price represents the amount for which we would sell the good or service to a customer on a standalone basis (i.e., not sold as bundled sale </w:t>
      </w:r>
      <w:r>
        <w:rPr>
          <w:rFonts w:eastAsia="Times New Roman"/>
          <w:color w:val="000000"/>
          <w:sz w:val="20"/>
          <w:szCs w:val="20"/>
        </w:rPr>
        <w:t xml:space="preserve">with any other products or services). The allocation of transaction price among separate performance obligations may impact the timing of revenue recognition but will not change the total revenue recognized on the contract. </w:t>
      </w:r>
    </w:p>
    <w:p w14:paraId="1D9499CD" w14:textId="77777777" w:rsidR="00000000" w:rsidRDefault="001A570A">
      <w:pPr>
        <w:ind w:firstLine="450"/>
        <w:divId w:val="335885753"/>
        <w:rPr>
          <w:rFonts w:eastAsia="Times New Roman"/>
        </w:rPr>
      </w:pPr>
      <w:r>
        <w:rPr>
          <w:rFonts w:eastAsia="Times New Roman"/>
          <w:color w:val="000000"/>
          <w:sz w:val="20"/>
          <w:szCs w:val="20"/>
        </w:rPr>
        <w:t>A substantial majority of our revenue is derived from contracts with the U.S. Government, including foreign military sales contracts. These contracts are subject to the FAR and the prices of our contract deliverables are typically based on our estimated or</w:t>
      </w:r>
      <w:r>
        <w:rPr>
          <w:rFonts w:eastAsia="Times New Roman"/>
          <w:color w:val="000000"/>
          <w:sz w:val="20"/>
          <w:szCs w:val="20"/>
        </w:rPr>
        <w:t xml:space="preserve"> actual costs plus a reasonable profit margin. As a result, the standalone selling prices of the goods and services in these contracts are typically equal to the selling prices stated in the contract, thereby eliminating the need to allocate (or reallocate</w:t>
      </w:r>
      <w:r>
        <w:rPr>
          <w:rFonts w:eastAsia="Times New Roman"/>
          <w:color w:val="000000"/>
          <w:sz w:val="20"/>
          <w:szCs w:val="20"/>
        </w:rPr>
        <w:t>) the transaction price to the multiple performance obligations. In our non-U.S. Government contracts, when standalone selling prices are not directly observable, we also generally use the expected cost plus a margin approach to determine standalone sellin</w:t>
      </w:r>
      <w:r>
        <w:rPr>
          <w:rFonts w:eastAsia="Times New Roman"/>
          <w:color w:val="000000"/>
          <w:sz w:val="20"/>
          <w:szCs w:val="20"/>
        </w:rPr>
        <w:t>g price. In determining the appropriate margin under the cost plus margin approach, we consider historical margins on similar products sold to similar customers or within similar geographies where objective evidence is available. We may also consider our c</w:t>
      </w:r>
      <w:r>
        <w:rPr>
          <w:rFonts w:eastAsia="Times New Roman"/>
          <w:color w:val="000000"/>
          <w:sz w:val="20"/>
          <w:szCs w:val="20"/>
        </w:rPr>
        <w:t xml:space="preserve">ost structure and profit objectives, the nature of the proposal, the effects of customization of pricing, our practices used to establish pricing of bundled products, the expected technological life of the product, margins earned on similar contracts with </w:t>
      </w:r>
      <w:r>
        <w:rPr>
          <w:rFonts w:eastAsia="Times New Roman"/>
          <w:color w:val="000000"/>
          <w:sz w:val="20"/>
          <w:szCs w:val="20"/>
        </w:rPr>
        <w:t xml:space="preserve">different customers and other factors to determine the appropriate margin. </w:t>
      </w:r>
    </w:p>
    <w:p w14:paraId="68DD11F4" w14:textId="77777777" w:rsidR="00000000" w:rsidRDefault="001A570A">
      <w:pPr>
        <w:divId w:val="215898887"/>
        <w:rPr>
          <w:rFonts w:eastAsia="Times New Roman"/>
        </w:rPr>
      </w:pPr>
      <w:r>
        <w:rPr>
          <w:rFonts w:eastAsia="Times New Roman"/>
          <w:b/>
          <w:bCs/>
          <w:color w:val="000000"/>
          <w:sz w:val="20"/>
          <w:szCs w:val="20"/>
        </w:rPr>
        <w:t>Postretirement Benefit Plans</w:t>
      </w:r>
    </w:p>
    <w:p w14:paraId="0406BE99" w14:textId="77777777" w:rsidR="00000000" w:rsidRDefault="001A570A">
      <w:pPr>
        <w:ind w:firstLine="450"/>
        <w:divId w:val="1167744983"/>
        <w:rPr>
          <w:rFonts w:eastAsia="Times New Roman"/>
        </w:rPr>
      </w:pPr>
      <w:r>
        <w:rPr>
          <w:rFonts w:eastAsia="Times New Roman"/>
          <w:color w:val="000000"/>
          <w:sz w:val="20"/>
          <w:szCs w:val="20"/>
        </w:rPr>
        <w:t>Certain of our current and former employees participate in defined benefit pension and other postretirement defined benefit plans (collectively, referr</w:t>
      </w:r>
      <w:r>
        <w:rPr>
          <w:rFonts w:eastAsia="Times New Roman"/>
          <w:color w:val="000000"/>
          <w:sz w:val="20"/>
          <w:szCs w:val="20"/>
        </w:rPr>
        <w:t>ed to as “defined benefit plans”) in the United States, Canada, United Kingdom and Germany, which are sponsored by L3Harris. The determination of projected benefit obligations and the recognition of expenses related to defined benefit plans are dependent o</w:t>
      </w:r>
      <w:r>
        <w:rPr>
          <w:rFonts w:eastAsia="Times New Roman"/>
          <w:color w:val="000000"/>
          <w:sz w:val="20"/>
          <w:szCs w:val="20"/>
        </w:rPr>
        <w:t xml:space="preserve">n various assumptions. These major assumptions primarily relate to discount rates, long-term expected rates of return on plan assets, rate of future compensation increases, mortality, termination and other factors (some of which are disclosed in </w:t>
      </w:r>
      <w:r>
        <w:rPr>
          <w:rFonts w:eastAsia="Times New Roman"/>
          <w:i/>
          <w:iCs/>
          <w:color w:val="000000"/>
          <w:sz w:val="20"/>
          <w:szCs w:val="20"/>
        </w:rPr>
        <w:t>Note 15: P</w:t>
      </w:r>
      <w:r>
        <w:rPr>
          <w:rFonts w:eastAsia="Times New Roman"/>
          <w:i/>
          <w:iCs/>
          <w:color w:val="000000"/>
          <w:sz w:val="20"/>
          <w:szCs w:val="20"/>
        </w:rPr>
        <w:t>ension and Other Postretirement Benefits</w:t>
      </w:r>
      <w:r>
        <w:rPr>
          <w:rFonts w:eastAsia="Times New Roman"/>
          <w:color w:val="000000"/>
          <w:sz w:val="20"/>
          <w:szCs w:val="20"/>
        </w:rPr>
        <w:t xml:space="preserve"> in the Notes). Actual results that differ from our assumptions are accumulated and generally amortized for each plan to the extent required over the estimated future life expectancy or, if applicable, the future wor</w:t>
      </w:r>
      <w:r>
        <w:rPr>
          <w:rFonts w:eastAsia="Times New Roman"/>
          <w:color w:val="000000"/>
          <w:sz w:val="20"/>
          <w:szCs w:val="20"/>
        </w:rPr>
        <w:t xml:space="preserve">king lifetime of the plan’s active participants. </w:t>
      </w:r>
    </w:p>
    <w:p w14:paraId="11CA97DA" w14:textId="77777777" w:rsidR="00000000" w:rsidRDefault="001A570A">
      <w:pPr>
        <w:ind w:firstLine="450"/>
        <w:divId w:val="1706759191"/>
        <w:rPr>
          <w:rFonts w:eastAsia="Times New Roman"/>
        </w:rPr>
      </w:pPr>
      <w:r>
        <w:rPr>
          <w:rFonts w:eastAsia="Times New Roman"/>
          <w:color w:val="000000"/>
          <w:sz w:val="20"/>
          <w:szCs w:val="20"/>
        </w:rPr>
        <w:t>As part of our accounting for the L3Harris Merger, we completed a valuation and re-measurement of all L3 pension and other postretirement benefit (“OPEB”) plans as of the June 29, 2019 closing date of the L</w:t>
      </w:r>
      <w:r>
        <w:rPr>
          <w:rFonts w:eastAsia="Times New Roman"/>
          <w:color w:val="000000"/>
          <w:sz w:val="20"/>
          <w:szCs w:val="20"/>
        </w:rPr>
        <w:t>3Harris Merger and we recorded a $233 million increase to L3’s pension and OPEB liability as of June 29, 2019 based on the results of this valuation. The total L3 pension and OPEB liability assumed by L3Harris was $1.4 billion at June 29, 2019. The discoun</w:t>
      </w:r>
      <w:r>
        <w:rPr>
          <w:rFonts w:eastAsia="Times New Roman"/>
          <w:color w:val="000000"/>
          <w:sz w:val="20"/>
          <w:szCs w:val="20"/>
        </w:rPr>
        <w:t xml:space="preserve">t rate assumption used was a yield curve rather than a single interest rate. For the pension plans, the average June 29, 2019 discount rate used was 3.54 percent for U.S. plans and 2.95 percent for Canadian plans. For OPEB plans, the average June 29, 2019 </w:t>
      </w:r>
      <w:r>
        <w:rPr>
          <w:rFonts w:eastAsia="Times New Roman"/>
          <w:color w:val="000000"/>
          <w:sz w:val="20"/>
          <w:szCs w:val="20"/>
        </w:rPr>
        <w:t xml:space="preserve">discount rate used was 3.31 percent for U.S. plans and 2.92 percent for Canadian plans. </w:t>
      </w:r>
    </w:p>
    <w:p w14:paraId="24303660" w14:textId="77777777" w:rsidR="00000000" w:rsidRDefault="001A570A">
      <w:pPr>
        <w:ind w:firstLine="450"/>
        <w:divId w:val="944532897"/>
        <w:rPr>
          <w:rFonts w:eastAsia="Times New Roman"/>
        </w:rPr>
      </w:pPr>
      <w:r>
        <w:rPr>
          <w:rFonts w:eastAsia="Times New Roman"/>
          <w:b/>
          <w:bCs/>
          <w:i/>
          <w:iCs/>
          <w:color w:val="000000"/>
          <w:sz w:val="20"/>
          <w:szCs w:val="20"/>
        </w:rPr>
        <w:t xml:space="preserve">Significant Assumptions. </w:t>
      </w:r>
      <w:r>
        <w:rPr>
          <w:rFonts w:eastAsia="Times New Roman"/>
          <w:color w:val="000000"/>
          <w:sz w:val="20"/>
          <w:szCs w:val="20"/>
        </w:rPr>
        <w:t>We develop assumptions using relevant experience, in conjunction with market-related data for each plan. Assumptions are reviewed annually wit</w:t>
      </w:r>
      <w:r>
        <w:rPr>
          <w:rFonts w:eastAsia="Times New Roman"/>
          <w:color w:val="000000"/>
          <w:sz w:val="20"/>
          <w:szCs w:val="20"/>
        </w:rPr>
        <w:t>h third party consultants and adjusted as appropriate. The table included below provides the weighted average assumptions used to estimate projected benefit obligations and net periodic benefit cost as they pertain to our defined benefit pension plans.</w:t>
      </w:r>
    </w:p>
    <w:p w14:paraId="68A2D2D8" w14:textId="77777777" w:rsidR="00000000" w:rsidRDefault="001A570A">
      <w:pPr>
        <w:ind w:firstLine="450"/>
        <w:jc w:val="center"/>
        <w:divId w:val="1596817198"/>
        <w:rPr>
          <w:rFonts w:eastAsia="Times New Roman"/>
        </w:rPr>
      </w:pPr>
      <w:r>
        <w:rPr>
          <w:rFonts w:eastAsia="Times New Roman"/>
          <w:color w:val="000000"/>
          <w:sz w:val="20"/>
          <w:szCs w:val="20"/>
        </w:rPr>
        <w:t>63</w:t>
      </w:r>
    </w:p>
    <w:p w14:paraId="497F9DBB" w14:textId="77777777" w:rsidR="00000000" w:rsidRDefault="001A570A">
      <w:pPr>
        <w:rPr>
          <w:rFonts w:eastAsia="Times New Roman"/>
        </w:rPr>
      </w:pPr>
      <w:r>
        <w:rPr>
          <w:rFonts w:eastAsia="Times New Roman"/>
        </w:rPr>
        <w:pict w14:anchorId="247D47EE">
          <v:rect id="_x0000_i1091" style="width:0;height:1.5pt" o:hralign="center" o:hrstd="t" o:hr="t" fillcolor="#a0a0a0" stroked="f"/>
        </w:pict>
      </w:r>
    </w:p>
    <w:p w14:paraId="3FD2F30A" w14:textId="77777777" w:rsidR="00000000" w:rsidRDefault="001A570A">
      <w:pPr>
        <w:ind w:firstLine="450"/>
        <w:divId w:val="203055390"/>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61"/>
        <w:gridCol w:w="5237"/>
        <w:gridCol w:w="37"/>
        <w:gridCol w:w="61"/>
        <w:gridCol w:w="1228"/>
        <w:gridCol w:w="36"/>
        <w:gridCol w:w="36"/>
        <w:gridCol w:w="36"/>
        <w:gridCol w:w="36"/>
        <w:gridCol w:w="46"/>
        <w:gridCol w:w="1228"/>
        <w:gridCol w:w="36"/>
        <w:gridCol w:w="36"/>
        <w:gridCol w:w="36"/>
      </w:tblGrid>
      <w:tr w:rsidR="00000000" w14:paraId="6EEB21A7" w14:textId="77777777">
        <w:trPr>
          <w:divId w:val="898786336"/>
        </w:trPr>
        <w:tc>
          <w:tcPr>
            <w:tcW w:w="50" w:type="pct"/>
            <w:vAlign w:val="center"/>
            <w:hideMark/>
          </w:tcPr>
          <w:p w14:paraId="1AC293E3" w14:textId="77777777" w:rsidR="00000000" w:rsidRDefault="001A570A">
            <w:pPr>
              <w:ind w:firstLine="450"/>
              <w:rPr>
                <w:rFonts w:eastAsia="Times New Roman"/>
              </w:rPr>
            </w:pPr>
          </w:p>
        </w:tc>
        <w:tc>
          <w:tcPr>
            <w:tcW w:w="3253" w:type="pct"/>
            <w:vAlign w:val="center"/>
            <w:hideMark/>
          </w:tcPr>
          <w:p w14:paraId="35B0295B" w14:textId="77777777" w:rsidR="00000000" w:rsidRDefault="001A570A">
            <w:pPr>
              <w:rPr>
                <w:rFonts w:eastAsia="Times New Roman"/>
                <w:sz w:val="20"/>
                <w:szCs w:val="20"/>
              </w:rPr>
            </w:pPr>
          </w:p>
        </w:tc>
        <w:tc>
          <w:tcPr>
            <w:tcW w:w="5" w:type="pct"/>
            <w:vAlign w:val="center"/>
            <w:hideMark/>
          </w:tcPr>
          <w:p w14:paraId="422F633F" w14:textId="77777777" w:rsidR="00000000" w:rsidRDefault="001A570A">
            <w:pPr>
              <w:rPr>
                <w:rFonts w:eastAsia="Times New Roman"/>
                <w:sz w:val="20"/>
                <w:szCs w:val="20"/>
              </w:rPr>
            </w:pPr>
          </w:p>
        </w:tc>
        <w:tc>
          <w:tcPr>
            <w:tcW w:w="50" w:type="pct"/>
            <w:vAlign w:val="center"/>
            <w:hideMark/>
          </w:tcPr>
          <w:p w14:paraId="2EFF43E6" w14:textId="77777777" w:rsidR="00000000" w:rsidRDefault="001A570A">
            <w:pPr>
              <w:rPr>
                <w:rFonts w:eastAsia="Times New Roman"/>
                <w:sz w:val="20"/>
                <w:szCs w:val="20"/>
              </w:rPr>
            </w:pPr>
          </w:p>
        </w:tc>
        <w:tc>
          <w:tcPr>
            <w:tcW w:w="772" w:type="pct"/>
            <w:vAlign w:val="center"/>
            <w:hideMark/>
          </w:tcPr>
          <w:p w14:paraId="11DCAA7F" w14:textId="77777777" w:rsidR="00000000" w:rsidRDefault="001A570A">
            <w:pPr>
              <w:rPr>
                <w:rFonts w:eastAsia="Times New Roman"/>
                <w:sz w:val="20"/>
                <w:szCs w:val="20"/>
              </w:rPr>
            </w:pPr>
          </w:p>
        </w:tc>
        <w:tc>
          <w:tcPr>
            <w:tcW w:w="5" w:type="pct"/>
            <w:vAlign w:val="center"/>
            <w:hideMark/>
          </w:tcPr>
          <w:p w14:paraId="598578BE" w14:textId="77777777" w:rsidR="00000000" w:rsidRDefault="001A570A">
            <w:pPr>
              <w:rPr>
                <w:rFonts w:eastAsia="Times New Roman"/>
                <w:sz w:val="20"/>
                <w:szCs w:val="20"/>
              </w:rPr>
            </w:pPr>
          </w:p>
        </w:tc>
        <w:tc>
          <w:tcPr>
            <w:tcW w:w="5" w:type="pct"/>
            <w:vAlign w:val="center"/>
            <w:hideMark/>
          </w:tcPr>
          <w:p w14:paraId="7075EA1C" w14:textId="77777777" w:rsidR="00000000" w:rsidRDefault="001A570A">
            <w:pPr>
              <w:rPr>
                <w:rFonts w:eastAsia="Times New Roman"/>
                <w:sz w:val="20"/>
                <w:szCs w:val="20"/>
              </w:rPr>
            </w:pPr>
          </w:p>
        </w:tc>
        <w:tc>
          <w:tcPr>
            <w:tcW w:w="26" w:type="pct"/>
            <w:vAlign w:val="center"/>
            <w:hideMark/>
          </w:tcPr>
          <w:p w14:paraId="76A3333F" w14:textId="77777777" w:rsidR="00000000" w:rsidRDefault="001A570A">
            <w:pPr>
              <w:rPr>
                <w:rFonts w:eastAsia="Times New Roman"/>
                <w:sz w:val="20"/>
                <w:szCs w:val="20"/>
              </w:rPr>
            </w:pPr>
          </w:p>
        </w:tc>
        <w:tc>
          <w:tcPr>
            <w:tcW w:w="5" w:type="pct"/>
            <w:vAlign w:val="center"/>
            <w:hideMark/>
          </w:tcPr>
          <w:p w14:paraId="6DF1FA7C" w14:textId="77777777" w:rsidR="00000000" w:rsidRDefault="001A570A">
            <w:pPr>
              <w:rPr>
                <w:rFonts w:eastAsia="Times New Roman"/>
                <w:sz w:val="20"/>
                <w:szCs w:val="20"/>
              </w:rPr>
            </w:pPr>
          </w:p>
        </w:tc>
        <w:tc>
          <w:tcPr>
            <w:tcW w:w="50" w:type="pct"/>
            <w:vAlign w:val="center"/>
            <w:hideMark/>
          </w:tcPr>
          <w:p w14:paraId="772357F6" w14:textId="77777777" w:rsidR="00000000" w:rsidRDefault="001A570A">
            <w:pPr>
              <w:rPr>
                <w:rFonts w:eastAsia="Times New Roman"/>
                <w:sz w:val="20"/>
                <w:szCs w:val="20"/>
              </w:rPr>
            </w:pPr>
          </w:p>
        </w:tc>
        <w:tc>
          <w:tcPr>
            <w:tcW w:w="772" w:type="pct"/>
            <w:vAlign w:val="center"/>
            <w:hideMark/>
          </w:tcPr>
          <w:p w14:paraId="21F26E62" w14:textId="77777777" w:rsidR="00000000" w:rsidRDefault="001A570A">
            <w:pPr>
              <w:rPr>
                <w:rFonts w:eastAsia="Times New Roman"/>
                <w:sz w:val="20"/>
                <w:szCs w:val="20"/>
              </w:rPr>
            </w:pPr>
          </w:p>
        </w:tc>
        <w:tc>
          <w:tcPr>
            <w:tcW w:w="5" w:type="pct"/>
            <w:vAlign w:val="center"/>
            <w:hideMark/>
          </w:tcPr>
          <w:p w14:paraId="6C815C5F" w14:textId="77777777" w:rsidR="00000000" w:rsidRDefault="001A570A">
            <w:pPr>
              <w:rPr>
                <w:rFonts w:eastAsia="Times New Roman"/>
                <w:sz w:val="20"/>
                <w:szCs w:val="20"/>
              </w:rPr>
            </w:pPr>
          </w:p>
        </w:tc>
        <w:tc>
          <w:tcPr>
            <w:tcW w:w="0" w:type="auto"/>
            <w:vAlign w:val="center"/>
            <w:hideMark/>
          </w:tcPr>
          <w:p w14:paraId="39C1A03F" w14:textId="77777777" w:rsidR="00000000" w:rsidRDefault="001A570A">
            <w:pPr>
              <w:rPr>
                <w:rFonts w:eastAsia="Times New Roman"/>
                <w:sz w:val="20"/>
                <w:szCs w:val="20"/>
              </w:rPr>
            </w:pPr>
          </w:p>
        </w:tc>
        <w:tc>
          <w:tcPr>
            <w:tcW w:w="0" w:type="auto"/>
            <w:vAlign w:val="center"/>
            <w:hideMark/>
          </w:tcPr>
          <w:p w14:paraId="542D74EA" w14:textId="77777777" w:rsidR="00000000" w:rsidRDefault="001A570A">
            <w:pPr>
              <w:rPr>
                <w:rFonts w:eastAsia="Times New Roman"/>
                <w:sz w:val="20"/>
                <w:szCs w:val="20"/>
              </w:rPr>
            </w:pPr>
          </w:p>
        </w:tc>
      </w:tr>
      <w:tr w:rsidR="00000000" w14:paraId="0B122AD1" w14:textId="77777777">
        <w:trPr>
          <w:divId w:val="898786336"/>
        </w:trPr>
        <w:tc>
          <w:tcPr>
            <w:tcW w:w="0" w:type="auto"/>
            <w:gridSpan w:val="3"/>
            <w:tcMar>
              <w:top w:w="30" w:type="dxa"/>
              <w:left w:w="20" w:type="dxa"/>
              <w:bottom w:w="30" w:type="dxa"/>
              <w:right w:w="20" w:type="dxa"/>
            </w:tcMar>
            <w:vAlign w:val="bottom"/>
            <w:hideMark/>
          </w:tcPr>
          <w:p w14:paraId="4D76EC0B" w14:textId="77777777" w:rsidR="00000000" w:rsidRDefault="001A570A">
            <w:pPr>
              <w:rPr>
                <w:rFonts w:eastAsia="Times New Roman"/>
              </w:rPr>
            </w:pPr>
            <w:r>
              <w:rPr>
                <w:rFonts w:eastAsia="Times New Roman"/>
                <w:color w:val="000000"/>
                <w:sz w:val="20"/>
                <w:szCs w:val="20"/>
              </w:rPr>
              <w:t>Obligation assumptions as of:</w:t>
            </w:r>
          </w:p>
        </w:tc>
        <w:tc>
          <w:tcPr>
            <w:tcW w:w="0" w:type="auto"/>
            <w:gridSpan w:val="3"/>
            <w:tcMar>
              <w:top w:w="30" w:type="dxa"/>
              <w:left w:w="20" w:type="dxa"/>
              <w:bottom w:w="30" w:type="dxa"/>
              <w:right w:w="20" w:type="dxa"/>
            </w:tcMar>
            <w:vAlign w:val="bottom"/>
            <w:hideMark/>
          </w:tcPr>
          <w:p w14:paraId="664A3CE2"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490E909A"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ECE505E"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5BEDF99E" w14:textId="77777777" w:rsidR="00000000" w:rsidRDefault="001A570A">
            <w:pPr>
              <w:jc w:val="center"/>
              <w:rPr>
                <w:rFonts w:eastAsia="Times New Roman"/>
              </w:rPr>
            </w:pPr>
          </w:p>
        </w:tc>
        <w:tc>
          <w:tcPr>
            <w:tcW w:w="0" w:type="auto"/>
            <w:vAlign w:val="center"/>
            <w:hideMark/>
          </w:tcPr>
          <w:p w14:paraId="538E0993" w14:textId="77777777" w:rsidR="00000000" w:rsidRDefault="001A570A">
            <w:pPr>
              <w:rPr>
                <w:rFonts w:eastAsia="Times New Roman"/>
                <w:sz w:val="20"/>
                <w:szCs w:val="20"/>
              </w:rPr>
            </w:pPr>
          </w:p>
        </w:tc>
      </w:tr>
      <w:tr w:rsidR="00000000" w14:paraId="3D8960E5" w14:textId="77777777">
        <w:trPr>
          <w:divId w:val="898786336"/>
        </w:trPr>
        <w:tc>
          <w:tcPr>
            <w:tcW w:w="0" w:type="auto"/>
            <w:gridSpan w:val="3"/>
            <w:shd w:val="clear" w:color="auto" w:fill="CCEEFF"/>
            <w:tcMar>
              <w:top w:w="30" w:type="dxa"/>
              <w:left w:w="155" w:type="dxa"/>
              <w:bottom w:w="30" w:type="dxa"/>
              <w:right w:w="20" w:type="dxa"/>
            </w:tcMar>
            <w:vAlign w:val="bottom"/>
            <w:hideMark/>
          </w:tcPr>
          <w:p w14:paraId="5301424E" w14:textId="77777777" w:rsidR="00000000" w:rsidRDefault="001A570A">
            <w:pPr>
              <w:rPr>
                <w:rFonts w:eastAsia="Times New Roman"/>
              </w:rPr>
            </w:pPr>
            <w:r>
              <w:rPr>
                <w:rFonts w:eastAsia="Times New Roman"/>
                <w:color w:val="000000"/>
                <w:sz w:val="20"/>
                <w:szCs w:val="20"/>
              </w:rPr>
              <w:t>Discount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5994E2" w14:textId="77777777" w:rsidR="00000000" w:rsidRDefault="001A570A">
            <w:pPr>
              <w:jc w:val="center"/>
              <w:rPr>
                <w:rFonts w:eastAsia="Times New Roman"/>
              </w:rPr>
            </w:pPr>
            <w:r>
              <w:rPr>
                <w:rFonts w:eastAsia="Times New Roman"/>
                <w:color w:val="000000"/>
                <w:sz w:val="20"/>
                <w:szCs w:val="20"/>
              </w:rPr>
              <w:t>2.31%</w:t>
            </w:r>
          </w:p>
        </w:tc>
        <w:tc>
          <w:tcPr>
            <w:tcW w:w="0" w:type="auto"/>
            <w:gridSpan w:val="3"/>
            <w:shd w:val="clear" w:color="auto" w:fill="CCEEFF"/>
            <w:tcMar>
              <w:top w:w="0" w:type="dxa"/>
              <w:left w:w="20" w:type="dxa"/>
              <w:bottom w:w="0" w:type="dxa"/>
              <w:right w:w="20" w:type="dxa"/>
            </w:tcMar>
            <w:vAlign w:val="center"/>
            <w:hideMark/>
          </w:tcPr>
          <w:p w14:paraId="71B1872D" w14:textId="77777777" w:rsidR="00000000" w:rsidRDefault="001A570A">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9BCAE6" w14:textId="77777777" w:rsidR="00000000" w:rsidRDefault="001A570A">
            <w:pPr>
              <w:jc w:val="center"/>
              <w:rPr>
                <w:rFonts w:eastAsia="Times New Roman"/>
              </w:rPr>
            </w:pPr>
            <w:r>
              <w:rPr>
                <w:rFonts w:eastAsia="Times New Roman"/>
                <w:color w:val="000000"/>
                <w:sz w:val="20"/>
                <w:szCs w:val="20"/>
              </w:rPr>
              <w:t>3.14%</w:t>
            </w:r>
          </w:p>
        </w:tc>
        <w:tc>
          <w:tcPr>
            <w:tcW w:w="0" w:type="auto"/>
            <w:vAlign w:val="center"/>
            <w:hideMark/>
          </w:tcPr>
          <w:p w14:paraId="6DC3B5A4" w14:textId="77777777" w:rsidR="00000000" w:rsidRDefault="001A570A">
            <w:pPr>
              <w:jc w:val="center"/>
              <w:rPr>
                <w:rFonts w:eastAsia="Times New Roman"/>
              </w:rPr>
            </w:pPr>
          </w:p>
        </w:tc>
        <w:tc>
          <w:tcPr>
            <w:tcW w:w="0" w:type="auto"/>
            <w:vAlign w:val="center"/>
            <w:hideMark/>
          </w:tcPr>
          <w:p w14:paraId="081C377D" w14:textId="77777777" w:rsidR="00000000" w:rsidRDefault="001A570A">
            <w:pPr>
              <w:rPr>
                <w:rFonts w:eastAsia="Times New Roman"/>
                <w:sz w:val="20"/>
                <w:szCs w:val="20"/>
              </w:rPr>
            </w:pPr>
          </w:p>
        </w:tc>
      </w:tr>
      <w:tr w:rsidR="00000000" w14:paraId="6B09E6B7" w14:textId="77777777">
        <w:trPr>
          <w:divId w:val="898786336"/>
        </w:trPr>
        <w:tc>
          <w:tcPr>
            <w:tcW w:w="0" w:type="auto"/>
            <w:gridSpan w:val="3"/>
            <w:shd w:val="clear" w:color="auto" w:fill="FFFFFF"/>
            <w:tcMar>
              <w:top w:w="30" w:type="dxa"/>
              <w:left w:w="155" w:type="dxa"/>
              <w:bottom w:w="30" w:type="dxa"/>
              <w:right w:w="20" w:type="dxa"/>
            </w:tcMar>
            <w:vAlign w:val="bottom"/>
            <w:hideMark/>
          </w:tcPr>
          <w:p w14:paraId="5A570AA8" w14:textId="77777777" w:rsidR="00000000" w:rsidRDefault="001A570A">
            <w:pPr>
              <w:rPr>
                <w:rFonts w:eastAsia="Times New Roman"/>
              </w:rPr>
            </w:pPr>
            <w:r>
              <w:rPr>
                <w:rFonts w:eastAsia="Times New Roman"/>
                <w:color w:val="000000"/>
                <w:sz w:val="20"/>
                <w:szCs w:val="20"/>
              </w:rPr>
              <w:t>Rate of future compensation increase</w:t>
            </w:r>
          </w:p>
        </w:tc>
        <w:tc>
          <w:tcPr>
            <w:tcW w:w="0" w:type="auto"/>
            <w:gridSpan w:val="3"/>
            <w:shd w:val="clear" w:color="auto" w:fill="FFFFFF"/>
            <w:tcMar>
              <w:top w:w="30" w:type="dxa"/>
              <w:left w:w="20" w:type="dxa"/>
              <w:bottom w:w="30" w:type="dxa"/>
              <w:right w:w="20" w:type="dxa"/>
            </w:tcMar>
            <w:vAlign w:val="bottom"/>
            <w:hideMark/>
          </w:tcPr>
          <w:p w14:paraId="5840A439" w14:textId="77777777" w:rsidR="00000000" w:rsidRDefault="001A570A">
            <w:pPr>
              <w:jc w:val="center"/>
              <w:rPr>
                <w:rFonts w:eastAsia="Times New Roman"/>
              </w:rPr>
            </w:pPr>
            <w:r>
              <w:rPr>
                <w:rFonts w:eastAsia="Times New Roman"/>
                <w:color w:val="000000"/>
                <w:sz w:val="20"/>
                <w:szCs w:val="20"/>
              </w:rPr>
              <w:t>3.01%</w:t>
            </w:r>
          </w:p>
        </w:tc>
        <w:tc>
          <w:tcPr>
            <w:tcW w:w="0" w:type="auto"/>
            <w:gridSpan w:val="3"/>
            <w:shd w:val="clear" w:color="auto" w:fill="FFFFFF"/>
            <w:tcMar>
              <w:top w:w="0" w:type="dxa"/>
              <w:left w:w="20" w:type="dxa"/>
              <w:bottom w:w="0" w:type="dxa"/>
              <w:right w:w="20" w:type="dxa"/>
            </w:tcMar>
            <w:vAlign w:val="center"/>
            <w:hideMark/>
          </w:tcPr>
          <w:p w14:paraId="42E90CB4"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9921BF" w14:textId="77777777" w:rsidR="00000000" w:rsidRDefault="001A570A">
            <w:pPr>
              <w:jc w:val="center"/>
              <w:rPr>
                <w:rFonts w:eastAsia="Times New Roman"/>
              </w:rPr>
            </w:pPr>
            <w:r>
              <w:rPr>
                <w:rFonts w:eastAsia="Times New Roman"/>
                <w:color w:val="000000"/>
                <w:sz w:val="20"/>
                <w:szCs w:val="20"/>
              </w:rPr>
              <w:t>2.80%</w:t>
            </w:r>
          </w:p>
        </w:tc>
        <w:tc>
          <w:tcPr>
            <w:tcW w:w="0" w:type="auto"/>
            <w:vAlign w:val="center"/>
            <w:hideMark/>
          </w:tcPr>
          <w:p w14:paraId="6AB05362" w14:textId="77777777" w:rsidR="00000000" w:rsidRDefault="001A570A">
            <w:pPr>
              <w:jc w:val="center"/>
              <w:rPr>
                <w:rFonts w:eastAsia="Times New Roman"/>
              </w:rPr>
            </w:pPr>
          </w:p>
        </w:tc>
        <w:tc>
          <w:tcPr>
            <w:tcW w:w="0" w:type="auto"/>
            <w:vAlign w:val="center"/>
            <w:hideMark/>
          </w:tcPr>
          <w:p w14:paraId="097BBCE2" w14:textId="77777777" w:rsidR="00000000" w:rsidRDefault="001A570A">
            <w:pPr>
              <w:rPr>
                <w:rFonts w:eastAsia="Times New Roman"/>
                <w:sz w:val="20"/>
                <w:szCs w:val="20"/>
              </w:rPr>
            </w:pPr>
          </w:p>
        </w:tc>
      </w:tr>
      <w:tr w:rsidR="00000000" w14:paraId="7A85A233" w14:textId="77777777">
        <w:trPr>
          <w:divId w:val="898786336"/>
        </w:trPr>
        <w:tc>
          <w:tcPr>
            <w:tcW w:w="0" w:type="auto"/>
            <w:gridSpan w:val="3"/>
            <w:shd w:val="clear" w:color="auto" w:fill="CCEEFF"/>
            <w:tcMar>
              <w:top w:w="30" w:type="dxa"/>
              <w:left w:w="140" w:type="dxa"/>
              <w:bottom w:w="30" w:type="dxa"/>
              <w:right w:w="20" w:type="dxa"/>
            </w:tcMar>
            <w:vAlign w:val="bottom"/>
            <w:hideMark/>
          </w:tcPr>
          <w:p w14:paraId="75E4F8A8" w14:textId="77777777" w:rsidR="00000000" w:rsidRDefault="001A570A">
            <w:pPr>
              <w:rPr>
                <w:rFonts w:eastAsia="Times New Roman"/>
              </w:rPr>
            </w:pPr>
            <w:r>
              <w:rPr>
                <w:rFonts w:eastAsia="Times New Roman"/>
                <w:color w:val="000000"/>
                <w:sz w:val="20"/>
                <w:szCs w:val="20"/>
              </w:rPr>
              <w:t>Cash balance interest crediting rate</w:t>
            </w:r>
          </w:p>
        </w:tc>
        <w:tc>
          <w:tcPr>
            <w:tcW w:w="0" w:type="auto"/>
            <w:gridSpan w:val="3"/>
            <w:shd w:val="clear" w:color="auto" w:fill="CCEEFF"/>
            <w:tcMar>
              <w:top w:w="30" w:type="dxa"/>
              <w:left w:w="20" w:type="dxa"/>
              <w:bottom w:w="30" w:type="dxa"/>
              <w:right w:w="20" w:type="dxa"/>
            </w:tcMar>
            <w:vAlign w:val="bottom"/>
            <w:hideMark/>
          </w:tcPr>
          <w:p w14:paraId="6C2440BC" w14:textId="77777777" w:rsidR="00000000" w:rsidRDefault="001A570A">
            <w:pPr>
              <w:jc w:val="center"/>
              <w:rPr>
                <w:rFonts w:eastAsia="Times New Roman"/>
              </w:rPr>
            </w:pPr>
            <w:r>
              <w:rPr>
                <w:rFonts w:eastAsia="Times New Roman"/>
                <w:color w:val="000000"/>
                <w:sz w:val="20"/>
                <w:szCs w:val="20"/>
              </w:rPr>
              <w:t>3.50%</w:t>
            </w:r>
          </w:p>
        </w:tc>
        <w:tc>
          <w:tcPr>
            <w:tcW w:w="0" w:type="auto"/>
            <w:gridSpan w:val="3"/>
            <w:shd w:val="clear" w:color="auto" w:fill="CCEEFF"/>
            <w:tcMar>
              <w:top w:w="0" w:type="dxa"/>
              <w:left w:w="20" w:type="dxa"/>
              <w:bottom w:w="0" w:type="dxa"/>
              <w:right w:w="20" w:type="dxa"/>
            </w:tcMar>
            <w:vAlign w:val="center"/>
            <w:hideMark/>
          </w:tcPr>
          <w:p w14:paraId="45D4684E"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B2437E" w14:textId="77777777" w:rsidR="00000000" w:rsidRDefault="001A570A">
            <w:pPr>
              <w:jc w:val="center"/>
              <w:rPr>
                <w:rFonts w:eastAsia="Times New Roman"/>
              </w:rPr>
            </w:pPr>
            <w:r>
              <w:rPr>
                <w:rFonts w:eastAsia="Times New Roman"/>
                <w:color w:val="000000"/>
                <w:sz w:val="20"/>
                <w:szCs w:val="20"/>
              </w:rPr>
              <w:t>3.50%</w:t>
            </w:r>
          </w:p>
        </w:tc>
        <w:tc>
          <w:tcPr>
            <w:tcW w:w="0" w:type="auto"/>
            <w:vAlign w:val="center"/>
            <w:hideMark/>
          </w:tcPr>
          <w:p w14:paraId="51D3F35E" w14:textId="77777777" w:rsidR="00000000" w:rsidRDefault="001A570A">
            <w:pPr>
              <w:jc w:val="center"/>
              <w:rPr>
                <w:rFonts w:eastAsia="Times New Roman"/>
              </w:rPr>
            </w:pPr>
          </w:p>
        </w:tc>
        <w:tc>
          <w:tcPr>
            <w:tcW w:w="0" w:type="auto"/>
            <w:vAlign w:val="center"/>
            <w:hideMark/>
          </w:tcPr>
          <w:p w14:paraId="4B2C38A3" w14:textId="77777777" w:rsidR="00000000" w:rsidRDefault="001A570A">
            <w:pPr>
              <w:rPr>
                <w:rFonts w:eastAsia="Times New Roman"/>
                <w:sz w:val="20"/>
                <w:szCs w:val="20"/>
              </w:rPr>
            </w:pPr>
          </w:p>
        </w:tc>
      </w:tr>
      <w:tr w:rsidR="00000000" w14:paraId="3F2EC1B2" w14:textId="77777777">
        <w:trPr>
          <w:divId w:val="898786336"/>
          <w:trHeight w:val="300"/>
        </w:trPr>
        <w:tc>
          <w:tcPr>
            <w:tcW w:w="0" w:type="auto"/>
            <w:gridSpan w:val="3"/>
            <w:shd w:val="clear" w:color="auto" w:fill="FFFFFF"/>
            <w:tcMar>
              <w:top w:w="0" w:type="dxa"/>
              <w:left w:w="20" w:type="dxa"/>
              <w:bottom w:w="0" w:type="dxa"/>
              <w:right w:w="20" w:type="dxa"/>
            </w:tcMar>
            <w:vAlign w:val="center"/>
            <w:hideMark/>
          </w:tcPr>
          <w:p w14:paraId="73AC685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2B244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1B6F7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0007F" w14:textId="77777777" w:rsidR="00000000" w:rsidRDefault="001A570A">
            <w:pPr>
              <w:rPr>
                <w:rFonts w:eastAsia="Times New Roman"/>
                <w:sz w:val="20"/>
                <w:szCs w:val="20"/>
              </w:rPr>
            </w:pPr>
          </w:p>
        </w:tc>
        <w:tc>
          <w:tcPr>
            <w:tcW w:w="0" w:type="auto"/>
            <w:vAlign w:val="center"/>
            <w:hideMark/>
          </w:tcPr>
          <w:p w14:paraId="646FE0ED" w14:textId="77777777" w:rsidR="00000000" w:rsidRDefault="001A570A">
            <w:pPr>
              <w:rPr>
                <w:rFonts w:eastAsia="Times New Roman"/>
                <w:sz w:val="20"/>
                <w:szCs w:val="20"/>
              </w:rPr>
            </w:pPr>
          </w:p>
        </w:tc>
        <w:tc>
          <w:tcPr>
            <w:tcW w:w="0" w:type="auto"/>
            <w:vAlign w:val="center"/>
            <w:hideMark/>
          </w:tcPr>
          <w:p w14:paraId="3314C74E" w14:textId="77777777" w:rsidR="00000000" w:rsidRDefault="001A570A">
            <w:pPr>
              <w:rPr>
                <w:rFonts w:eastAsia="Times New Roman"/>
                <w:sz w:val="20"/>
                <w:szCs w:val="20"/>
              </w:rPr>
            </w:pPr>
          </w:p>
        </w:tc>
      </w:tr>
      <w:tr w:rsidR="00000000" w14:paraId="161214BD" w14:textId="77777777">
        <w:trPr>
          <w:divId w:val="898786336"/>
        </w:trPr>
        <w:tc>
          <w:tcPr>
            <w:tcW w:w="0" w:type="auto"/>
            <w:gridSpan w:val="3"/>
            <w:shd w:val="clear" w:color="auto" w:fill="CCEEFF"/>
            <w:tcMar>
              <w:top w:w="30" w:type="dxa"/>
              <w:left w:w="20" w:type="dxa"/>
              <w:bottom w:w="30" w:type="dxa"/>
              <w:right w:w="20" w:type="dxa"/>
            </w:tcMar>
            <w:vAlign w:val="bottom"/>
            <w:hideMark/>
          </w:tcPr>
          <w:p w14:paraId="7FC992A4" w14:textId="77777777" w:rsidR="00000000" w:rsidRDefault="001A570A">
            <w:pPr>
              <w:rPr>
                <w:rFonts w:eastAsia="Times New Roman"/>
              </w:rPr>
            </w:pPr>
            <w:r>
              <w:rPr>
                <w:rFonts w:eastAsia="Times New Roman"/>
                <w:color w:val="000000"/>
                <w:sz w:val="20"/>
                <w:szCs w:val="20"/>
              </w:rPr>
              <w:t>Cost assumptions for fiscal periods ended:</w:t>
            </w:r>
          </w:p>
        </w:tc>
        <w:tc>
          <w:tcPr>
            <w:tcW w:w="0" w:type="auto"/>
            <w:gridSpan w:val="3"/>
            <w:shd w:val="clear" w:color="auto" w:fill="CCEEFF"/>
            <w:tcMar>
              <w:top w:w="30" w:type="dxa"/>
              <w:left w:w="20" w:type="dxa"/>
              <w:bottom w:w="30" w:type="dxa"/>
              <w:right w:w="20" w:type="dxa"/>
            </w:tcMar>
            <w:vAlign w:val="bottom"/>
            <w:hideMark/>
          </w:tcPr>
          <w:p w14:paraId="730B9AA1"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shd w:val="clear" w:color="auto" w:fill="CCEEFF"/>
            <w:tcMar>
              <w:top w:w="0" w:type="dxa"/>
              <w:left w:w="20" w:type="dxa"/>
              <w:bottom w:w="0" w:type="dxa"/>
              <w:right w:w="20" w:type="dxa"/>
            </w:tcMar>
            <w:vAlign w:val="center"/>
            <w:hideMark/>
          </w:tcPr>
          <w:p w14:paraId="1F3818D6"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1D9771"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7847B1C0" w14:textId="77777777" w:rsidR="00000000" w:rsidRDefault="001A570A">
            <w:pPr>
              <w:jc w:val="center"/>
              <w:rPr>
                <w:rFonts w:eastAsia="Times New Roman"/>
              </w:rPr>
            </w:pPr>
          </w:p>
        </w:tc>
        <w:tc>
          <w:tcPr>
            <w:tcW w:w="0" w:type="auto"/>
            <w:vAlign w:val="center"/>
            <w:hideMark/>
          </w:tcPr>
          <w:p w14:paraId="717AFB92" w14:textId="77777777" w:rsidR="00000000" w:rsidRDefault="001A570A">
            <w:pPr>
              <w:rPr>
                <w:rFonts w:eastAsia="Times New Roman"/>
                <w:sz w:val="20"/>
                <w:szCs w:val="20"/>
              </w:rPr>
            </w:pPr>
          </w:p>
        </w:tc>
      </w:tr>
      <w:tr w:rsidR="00000000" w14:paraId="5C32CBE7" w14:textId="77777777">
        <w:trPr>
          <w:divId w:val="898786336"/>
        </w:trPr>
        <w:tc>
          <w:tcPr>
            <w:tcW w:w="0" w:type="auto"/>
            <w:gridSpan w:val="3"/>
            <w:shd w:val="clear" w:color="auto" w:fill="FFFFFF"/>
            <w:tcMar>
              <w:top w:w="30" w:type="dxa"/>
              <w:left w:w="155" w:type="dxa"/>
              <w:bottom w:w="30" w:type="dxa"/>
              <w:right w:w="20" w:type="dxa"/>
            </w:tcMar>
            <w:vAlign w:val="bottom"/>
            <w:hideMark/>
          </w:tcPr>
          <w:p w14:paraId="4EB26483" w14:textId="77777777" w:rsidR="00000000" w:rsidRDefault="001A570A">
            <w:pPr>
              <w:rPr>
                <w:rFonts w:eastAsia="Times New Roman"/>
              </w:rPr>
            </w:pPr>
            <w:r>
              <w:rPr>
                <w:rFonts w:eastAsia="Times New Roman"/>
                <w:color w:val="000000"/>
                <w:sz w:val="20"/>
                <w:szCs w:val="20"/>
              </w:rPr>
              <w:t xml:space="preserve">Discount rate to determine service cost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C6C4DE" w14:textId="77777777" w:rsidR="00000000" w:rsidRDefault="001A570A">
            <w:pPr>
              <w:jc w:val="center"/>
              <w:rPr>
                <w:rFonts w:eastAsia="Times New Roman"/>
              </w:rPr>
            </w:pPr>
            <w:r>
              <w:rPr>
                <w:rFonts w:eastAsia="Times New Roman"/>
                <w:color w:val="000000"/>
                <w:sz w:val="20"/>
                <w:szCs w:val="20"/>
              </w:rPr>
              <w:t>2.87%</w:t>
            </w:r>
          </w:p>
        </w:tc>
        <w:tc>
          <w:tcPr>
            <w:tcW w:w="0" w:type="auto"/>
            <w:gridSpan w:val="3"/>
            <w:shd w:val="clear" w:color="auto" w:fill="FFFFFF"/>
            <w:tcMar>
              <w:top w:w="0" w:type="dxa"/>
              <w:left w:w="20" w:type="dxa"/>
              <w:bottom w:w="0" w:type="dxa"/>
              <w:right w:w="20" w:type="dxa"/>
            </w:tcMar>
            <w:vAlign w:val="center"/>
            <w:hideMark/>
          </w:tcPr>
          <w:p w14:paraId="607B32DE" w14:textId="77777777" w:rsidR="00000000" w:rsidRDefault="001A570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15B4DA8" w14:textId="77777777" w:rsidR="00000000" w:rsidRDefault="001A570A">
            <w:pPr>
              <w:jc w:val="center"/>
              <w:rPr>
                <w:rFonts w:eastAsia="Times New Roman"/>
              </w:rPr>
            </w:pPr>
            <w:r>
              <w:rPr>
                <w:rFonts w:eastAsia="Times New Roman"/>
                <w:color w:val="000000"/>
                <w:sz w:val="20"/>
                <w:szCs w:val="20"/>
              </w:rPr>
              <w:t>3.11%</w:t>
            </w:r>
          </w:p>
        </w:tc>
        <w:tc>
          <w:tcPr>
            <w:tcW w:w="0" w:type="auto"/>
            <w:vAlign w:val="center"/>
            <w:hideMark/>
          </w:tcPr>
          <w:p w14:paraId="56BF0C28" w14:textId="77777777" w:rsidR="00000000" w:rsidRDefault="001A570A">
            <w:pPr>
              <w:jc w:val="center"/>
              <w:rPr>
                <w:rFonts w:eastAsia="Times New Roman"/>
              </w:rPr>
            </w:pPr>
          </w:p>
        </w:tc>
        <w:tc>
          <w:tcPr>
            <w:tcW w:w="0" w:type="auto"/>
            <w:vAlign w:val="center"/>
            <w:hideMark/>
          </w:tcPr>
          <w:p w14:paraId="7A424A8C" w14:textId="77777777" w:rsidR="00000000" w:rsidRDefault="001A570A">
            <w:pPr>
              <w:rPr>
                <w:rFonts w:eastAsia="Times New Roman"/>
                <w:sz w:val="20"/>
                <w:szCs w:val="20"/>
              </w:rPr>
            </w:pPr>
          </w:p>
        </w:tc>
      </w:tr>
      <w:tr w:rsidR="00000000" w14:paraId="057810A4" w14:textId="77777777">
        <w:trPr>
          <w:divId w:val="898786336"/>
        </w:trPr>
        <w:tc>
          <w:tcPr>
            <w:tcW w:w="0" w:type="auto"/>
            <w:gridSpan w:val="3"/>
            <w:shd w:val="clear" w:color="auto" w:fill="CCEEFF"/>
            <w:tcMar>
              <w:top w:w="30" w:type="dxa"/>
              <w:left w:w="155" w:type="dxa"/>
              <w:bottom w:w="30" w:type="dxa"/>
              <w:right w:w="20" w:type="dxa"/>
            </w:tcMar>
            <w:vAlign w:val="bottom"/>
            <w:hideMark/>
          </w:tcPr>
          <w:p w14:paraId="23C53E40" w14:textId="77777777" w:rsidR="00000000" w:rsidRDefault="001A570A">
            <w:pPr>
              <w:rPr>
                <w:rFonts w:eastAsia="Times New Roman"/>
              </w:rPr>
            </w:pPr>
            <w:r>
              <w:rPr>
                <w:rFonts w:eastAsia="Times New Roman"/>
                <w:color w:val="000000"/>
                <w:sz w:val="20"/>
                <w:szCs w:val="20"/>
              </w:rPr>
              <w:t>Discount rate to determine interest cost</w:t>
            </w:r>
          </w:p>
        </w:tc>
        <w:tc>
          <w:tcPr>
            <w:tcW w:w="0" w:type="auto"/>
            <w:gridSpan w:val="3"/>
            <w:shd w:val="clear" w:color="auto" w:fill="CCEEFF"/>
            <w:tcMar>
              <w:top w:w="30" w:type="dxa"/>
              <w:left w:w="20" w:type="dxa"/>
              <w:bottom w:w="30" w:type="dxa"/>
              <w:right w:w="20" w:type="dxa"/>
            </w:tcMar>
            <w:vAlign w:val="bottom"/>
            <w:hideMark/>
          </w:tcPr>
          <w:p w14:paraId="60F1F537" w14:textId="77777777" w:rsidR="00000000" w:rsidRDefault="001A570A">
            <w:pPr>
              <w:jc w:val="center"/>
              <w:rPr>
                <w:rFonts w:eastAsia="Times New Roman"/>
              </w:rPr>
            </w:pPr>
            <w:r>
              <w:rPr>
                <w:rFonts w:eastAsia="Times New Roman"/>
                <w:color w:val="000000"/>
                <w:sz w:val="20"/>
                <w:szCs w:val="20"/>
              </w:rPr>
              <w:t>2.74%</w:t>
            </w:r>
          </w:p>
        </w:tc>
        <w:tc>
          <w:tcPr>
            <w:tcW w:w="0" w:type="auto"/>
            <w:gridSpan w:val="3"/>
            <w:shd w:val="clear" w:color="auto" w:fill="CCEEFF"/>
            <w:tcMar>
              <w:top w:w="0" w:type="dxa"/>
              <w:left w:w="20" w:type="dxa"/>
              <w:bottom w:w="0" w:type="dxa"/>
              <w:right w:w="20" w:type="dxa"/>
            </w:tcMar>
            <w:vAlign w:val="center"/>
            <w:hideMark/>
          </w:tcPr>
          <w:p w14:paraId="3D592243"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F8431AB" w14:textId="77777777" w:rsidR="00000000" w:rsidRDefault="001A570A">
            <w:pPr>
              <w:jc w:val="center"/>
              <w:rPr>
                <w:rFonts w:eastAsia="Times New Roman"/>
              </w:rPr>
            </w:pPr>
            <w:r>
              <w:rPr>
                <w:rFonts w:eastAsia="Times New Roman"/>
                <w:color w:val="000000"/>
                <w:sz w:val="20"/>
                <w:szCs w:val="20"/>
              </w:rPr>
              <w:t>2.94%</w:t>
            </w:r>
          </w:p>
        </w:tc>
        <w:tc>
          <w:tcPr>
            <w:tcW w:w="0" w:type="auto"/>
            <w:vAlign w:val="center"/>
            <w:hideMark/>
          </w:tcPr>
          <w:p w14:paraId="2D7231FB" w14:textId="77777777" w:rsidR="00000000" w:rsidRDefault="001A570A">
            <w:pPr>
              <w:jc w:val="center"/>
              <w:rPr>
                <w:rFonts w:eastAsia="Times New Roman"/>
              </w:rPr>
            </w:pPr>
          </w:p>
        </w:tc>
        <w:tc>
          <w:tcPr>
            <w:tcW w:w="0" w:type="auto"/>
            <w:vAlign w:val="center"/>
            <w:hideMark/>
          </w:tcPr>
          <w:p w14:paraId="10F44141" w14:textId="77777777" w:rsidR="00000000" w:rsidRDefault="001A570A">
            <w:pPr>
              <w:rPr>
                <w:rFonts w:eastAsia="Times New Roman"/>
                <w:sz w:val="20"/>
                <w:szCs w:val="20"/>
              </w:rPr>
            </w:pPr>
          </w:p>
        </w:tc>
      </w:tr>
      <w:tr w:rsidR="00000000" w14:paraId="0BB765AE" w14:textId="77777777">
        <w:trPr>
          <w:divId w:val="898786336"/>
        </w:trPr>
        <w:tc>
          <w:tcPr>
            <w:tcW w:w="0" w:type="auto"/>
            <w:gridSpan w:val="3"/>
            <w:shd w:val="clear" w:color="auto" w:fill="FFFFFF"/>
            <w:tcMar>
              <w:top w:w="30" w:type="dxa"/>
              <w:left w:w="155" w:type="dxa"/>
              <w:bottom w:w="30" w:type="dxa"/>
              <w:right w:w="20" w:type="dxa"/>
            </w:tcMar>
            <w:vAlign w:val="bottom"/>
            <w:hideMark/>
          </w:tcPr>
          <w:p w14:paraId="6A2315A1" w14:textId="77777777" w:rsidR="00000000" w:rsidRDefault="001A570A">
            <w:pPr>
              <w:rPr>
                <w:rFonts w:eastAsia="Times New Roman"/>
              </w:rPr>
            </w:pPr>
            <w:r>
              <w:rPr>
                <w:rFonts w:eastAsia="Times New Roman"/>
                <w:color w:val="000000"/>
                <w:sz w:val="20"/>
                <w:szCs w:val="20"/>
              </w:rPr>
              <w:t>Expected return on plan assets</w:t>
            </w:r>
          </w:p>
        </w:tc>
        <w:tc>
          <w:tcPr>
            <w:tcW w:w="0" w:type="auto"/>
            <w:gridSpan w:val="3"/>
            <w:shd w:val="clear" w:color="auto" w:fill="FFFFFF"/>
            <w:tcMar>
              <w:top w:w="30" w:type="dxa"/>
              <w:left w:w="20" w:type="dxa"/>
              <w:bottom w:w="30" w:type="dxa"/>
              <w:right w:w="20" w:type="dxa"/>
            </w:tcMar>
            <w:vAlign w:val="bottom"/>
            <w:hideMark/>
          </w:tcPr>
          <w:p w14:paraId="5F01A837" w14:textId="77777777" w:rsidR="00000000" w:rsidRDefault="001A570A">
            <w:pPr>
              <w:jc w:val="center"/>
              <w:rPr>
                <w:rFonts w:eastAsia="Times New Roman"/>
              </w:rPr>
            </w:pPr>
            <w:r>
              <w:rPr>
                <w:rFonts w:eastAsia="Times New Roman"/>
                <w:color w:val="000000"/>
                <w:sz w:val="20"/>
                <w:szCs w:val="20"/>
              </w:rPr>
              <w:t>7.68%</w:t>
            </w:r>
          </w:p>
        </w:tc>
        <w:tc>
          <w:tcPr>
            <w:tcW w:w="0" w:type="auto"/>
            <w:gridSpan w:val="3"/>
            <w:shd w:val="clear" w:color="auto" w:fill="FFFFFF"/>
            <w:tcMar>
              <w:top w:w="0" w:type="dxa"/>
              <w:left w:w="20" w:type="dxa"/>
              <w:bottom w:w="0" w:type="dxa"/>
              <w:right w:w="20" w:type="dxa"/>
            </w:tcMar>
            <w:vAlign w:val="center"/>
            <w:hideMark/>
          </w:tcPr>
          <w:p w14:paraId="5D9F20F1"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CBFAB06" w14:textId="77777777" w:rsidR="00000000" w:rsidRDefault="001A570A">
            <w:pPr>
              <w:jc w:val="center"/>
              <w:rPr>
                <w:rFonts w:eastAsia="Times New Roman"/>
              </w:rPr>
            </w:pPr>
            <w:r>
              <w:rPr>
                <w:rFonts w:eastAsia="Times New Roman"/>
                <w:color w:val="000000"/>
                <w:sz w:val="20"/>
                <w:szCs w:val="20"/>
              </w:rPr>
              <w:t>7.68%</w:t>
            </w:r>
          </w:p>
        </w:tc>
        <w:tc>
          <w:tcPr>
            <w:tcW w:w="0" w:type="auto"/>
            <w:vAlign w:val="center"/>
            <w:hideMark/>
          </w:tcPr>
          <w:p w14:paraId="2010C71E" w14:textId="77777777" w:rsidR="00000000" w:rsidRDefault="001A570A">
            <w:pPr>
              <w:jc w:val="center"/>
              <w:rPr>
                <w:rFonts w:eastAsia="Times New Roman"/>
              </w:rPr>
            </w:pPr>
          </w:p>
        </w:tc>
        <w:tc>
          <w:tcPr>
            <w:tcW w:w="0" w:type="auto"/>
            <w:vAlign w:val="center"/>
            <w:hideMark/>
          </w:tcPr>
          <w:p w14:paraId="3EB39DBE" w14:textId="77777777" w:rsidR="00000000" w:rsidRDefault="001A570A">
            <w:pPr>
              <w:rPr>
                <w:rFonts w:eastAsia="Times New Roman"/>
                <w:sz w:val="20"/>
                <w:szCs w:val="20"/>
              </w:rPr>
            </w:pPr>
          </w:p>
        </w:tc>
      </w:tr>
      <w:tr w:rsidR="00000000" w14:paraId="21DC4669" w14:textId="77777777">
        <w:trPr>
          <w:divId w:val="898786336"/>
        </w:trPr>
        <w:tc>
          <w:tcPr>
            <w:tcW w:w="0" w:type="auto"/>
            <w:gridSpan w:val="3"/>
            <w:shd w:val="clear" w:color="auto" w:fill="CCEEFF"/>
            <w:tcMar>
              <w:top w:w="30" w:type="dxa"/>
              <w:left w:w="155" w:type="dxa"/>
              <w:bottom w:w="30" w:type="dxa"/>
              <w:right w:w="20" w:type="dxa"/>
            </w:tcMar>
            <w:vAlign w:val="bottom"/>
            <w:hideMark/>
          </w:tcPr>
          <w:p w14:paraId="15C48E05" w14:textId="77777777" w:rsidR="00000000" w:rsidRDefault="001A570A">
            <w:pPr>
              <w:rPr>
                <w:rFonts w:eastAsia="Times New Roman"/>
              </w:rPr>
            </w:pPr>
            <w:r>
              <w:rPr>
                <w:rFonts w:eastAsia="Times New Roman"/>
                <w:color w:val="000000"/>
                <w:sz w:val="20"/>
                <w:szCs w:val="20"/>
              </w:rPr>
              <w:t>Rate of future compensation increase</w:t>
            </w:r>
          </w:p>
        </w:tc>
        <w:tc>
          <w:tcPr>
            <w:tcW w:w="0" w:type="auto"/>
            <w:gridSpan w:val="3"/>
            <w:shd w:val="clear" w:color="auto" w:fill="CCEEFF"/>
            <w:tcMar>
              <w:top w:w="30" w:type="dxa"/>
              <w:left w:w="20" w:type="dxa"/>
              <w:bottom w:w="30" w:type="dxa"/>
              <w:right w:w="20" w:type="dxa"/>
            </w:tcMar>
            <w:vAlign w:val="bottom"/>
            <w:hideMark/>
          </w:tcPr>
          <w:p w14:paraId="30890612" w14:textId="77777777" w:rsidR="00000000" w:rsidRDefault="001A570A">
            <w:pPr>
              <w:jc w:val="center"/>
              <w:rPr>
                <w:rFonts w:eastAsia="Times New Roman"/>
              </w:rPr>
            </w:pPr>
            <w:r>
              <w:rPr>
                <w:rFonts w:eastAsia="Times New Roman"/>
                <w:color w:val="000000"/>
                <w:sz w:val="20"/>
                <w:szCs w:val="20"/>
              </w:rPr>
              <w:t>2.80%</w:t>
            </w:r>
          </w:p>
        </w:tc>
        <w:tc>
          <w:tcPr>
            <w:tcW w:w="0" w:type="auto"/>
            <w:gridSpan w:val="3"/>
            <w:shd w:val="clear" w:color="auto" w:fill="CCEEFF"/>
            <w:tcMar>
              <w:top w:w="0" w:type="dxa"/>
              <w:left w:w="20" w:type="dxa"/>
              <w:bottom w:w="0" w:type="dxa"/>
              <w:right w:w="20" w:type="dxa"/>
            </w:tcMar>
            <w:vAlign w:val="center"/>
            <w:hideMark/>
          </w:tcPr>
          <w:p w14:paraId="13BAB97B"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D6A6E75" w14:textId="77777777" w:rsidR="00000000" w:rsidRDefault="001A570A">
            <w:pPr>
              <w:jc w:val="center"/>
              <w:rPr>
                <w:rFonts w:eastAsia="Times New Roman"/>
              </w:rPr>
            </w:pPr>
            <w:r>
              <w:rPr>
                <w:rFonts w:eastAsia="Times New Roman"/>
                <w:color w:val="000000"/>
                <w:sz w:val="20"/>
                <w:szCs w:val="20"/>
              </w:rPr>
              <w:t>2.97%</w:t>
            </w:r>
          </w:p>
        </w:tc>
        <w:tc>
          <w:tcPr>
            <w:tcW w:w="0" w:type="auto"/>
            <w:vAlign w:val="center"/>
            <w:hideMark/>
          </w:tcPr>
          <w:p w14:paraId="771C8958" w14:textId="77777777" w:rsidR="00000000" w:rsidRDefault="001A570A">
            <w:pPr>
              <w:jc w:val="center"/>
              <w:rPr>
                <w:rFonts w:eastAsia="Times New Roman"/>
              </w:rPr>
            </w:pPr>
          </w:p>
        </w:tc>
        <w:tc>
          <w:tcPr>
            <w:tcW w:w="0" w:type="auto"/>
            <w:vAlign w:val="center"/>
            <w:hideMark/>
          </w:tcPr>
          <w:p w14:paraId="1CCDE524" w14:textId="77777777" w:rsidR="00000000" w:rsidRDefault="001A570A">
            <w:pPr>
              <w:rPr>
                <w:rFonts w:eastAsia="Times New Roman"/>
                <w:sz w:val="20"/>
                <w:szCs w:val="20"/>
              </w:rPr>
            </w:pPr>
          </w:p>
        </w:tc>
      </w:tr>
      <w:tr w:rsidR="00000000" w14:paraId="5022A949" w14:textId="77777777">
        <w:trPr>
          <w:divId w:val="898786336"/>
        </w:trPr>
        <w:tc>
          <w:tcPr>
            <w:tcW w:w="0" w:type="auto"/>
            <w:gridSpan w:val="3"/>
            <w:shd w:val="clear" w:color="auto" w:fill="FFFFFF"/>
            <w:tcMar>
              <w:top w:w="30" w:type="dxa"/>
              <w:left w:w="155" w:type="dxa"/>
              <w:bottom w:w="30" w:type="dxa"/>
              <w:right w:w="20" w:type="dxa"/>
            </w:tcMar>
            <w:vAlign w:val="bottom"/>
            <w:hideMark/>
          </w:tcPr>
          <w:p w14:paraId="1A85E3B1" w14:textId="77777777" w:rsidR="00000000" w:rsidRDefault="001A570A">
            <w:pPr>
              <w:rPr>
                <w:rFonts w:eastAsia="Times New Roman"/>
              </w:rPr>
            </w:pPr>
            <w:r>
              <w:rPr>
                <w:rFonts w:eastAsia="Times New Roman"/>
                <w:color w:val="000000"/>
                <w:sz w:val="20"/>
                <w:szCs w:val="20"/>
              </w:rPr>
              <w:t>Cash balance interest crediting rate</w:t>
            </w:r>
          </w:p>
        </w:tc>
        <w:tc>
          <w:tcPr>
            <w:tcW w:w="0" w:type="auto"/>
            <w:gridSpan w:val="3"/>
            <w:shd w:val="clear" w:color="auto" w:fill="FFFFFF"/>
            <w:tcMar>
              <w:top w:w="30" w:type="dxa"/>
              <w:left w:w="20" w:type="dxa"/>
              <w:bottom w:w="30" w:type="dxa"/>
              <w:right w:w="20" w:type="dxa"/>
            </w:tcMar>
            <w:vAlign w:val="bottom"/>
            <w:hideMark/>
          </w:tcPr>
          <w:p w14:paraId="1D7CC3F6" w14:textId="77777777" w:rsidR="00000000" w:rsidRDefault="001A570A">
            <w:pPr>
              <w:jc w:val="center"/>
              <w:rPr>
                <w:rFonts w:eastAsia="Times New Roman"/>
              </w:rPr>
            </w:pPr>
            <w:r>
              <w:rPr>
                <w:rFonts w:eastAsia="Times New Roman"/>
                <w:color w:val="000000"/>
                <w:sz w:val="20"/>
                <w:szCs w:val="20"/>
              </w:rPr>
              <w:t>3.50%</w:t>
            </w:r>
          </w:p>
        </w:tc>
        <w:tc>
          <w:tcPr>
            <w:tcW w:w="0" w:type="auto"/>
            <w:gridSpan w:val="3"/>
            <w:shd w:val="clear" w:color="auto" w:fill="FFFFFF"/>
            <w:tcMar>
              <w:top w:w="0" w:type="dxa"/>
              <w:left w:w="20" w:type="dxa"/>
              <w:bottom w:w="0" w:type="dxa"/>
              <w:right w:w="20" w:type="dxa"/>
            </w:tcMar>
            <w:vAlign w:val="center"/>
            <w:hideMark/>
          </w:tcPr>
          <w:p w14:paraId="567672DB" w14:textId="77777777" w:rsidR="00000000" w:rsidRDefault="001A570A">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212822" w14:textId="77777777" w:rsidR="00000000" w:rsidRDefault="001A570A">
            <w:pPr>
              <w:jc w:val="center"/>
              <w:rPr>
                <w:rFonts w:eastAsia="Times New Roman"/>
              </w:rPr>
            </w:pPr>
            <w:r>
              <w:rPr>
                <w:rFonts w:eastAsia="Times New Roman"/>
                <w:color w:val="000000"/>
                <w:sz w:val="20"/>
                <w:szCs w:val="20"/>
              </w:rPr>
              <w:t>3.50%</w:t>
            </w:r>
          </w:p>
        </w:tc>
        <w:tc>
          <w:tcPr>
            <w:tcW w:w="0" w:type="auto"/>
            <w:vAlign w:val="center"/>
            <w:hideMark/>
          </w:tcPr>
          <w:p w14:paraId="280D5B66" w14:textId="77777777" w:rsidR="00000000" w:rsidRDefault="001A570A">
            <w:pPr>
              <w:jc w:val="center"/>
              <w:rPr>
                <w:rFonts w:eastAsia="Times New Roman"/>
              </w:rPr>
            </w:pPr>
          </w:p>
        </w:tc>
        <w:tc>
          <w:tcPr>
            <w:tcW w:w="0" w:type="auto"/>
            <w:vAlign w:val="center"/>
            <w:hideMark/>
          </w:tcPr>
          <w:p w14:paraId="237810A1" w14:textId="77777777" w:rsidR="00000000" w:rsidRDefault="001A570A">
            <w:pPr>
              <w:rPr>
                <w:rFonts w:eastAsia="Times New Roman"/>
                <w:sz w:val="20"/>
                <w:szCs w:val="20"/>
              </w:rPr>
            </w:pPr>
          </w:p>
        </w:tc>
      </w:tr>
    </w:tbl>
    <w:p w14:paraId="5CC52338" w14:textId="77777777" w:rsidR="00000000" w:rsidRDefault="001A570A">
      <w:pPr>
        <w:ind w:firstLine="450"/>
        <w:divId w:val="1173761833"/>
        <w:rPr>
          <w:rFonts w:eastAsia="Times New Roman"/>
        </w:rPr>
      </w:pPr>
      <w:r>
        <w:rPr>
          <w:rFonts w:eastAsia="Times New Roman"/>
          <w:color w:val="000000"/>
          <w:sz w:val="20"/>
          <w:szCs w:val="20"/>
        </w:rPr>
        <w:t xml:space="preserve">Key assumptions for the Salaried Pension Plan (our largest defined benefit plan, with 85% of the total projected benefit obligation as of January 1, 2021) included a discount rate for obligation assumptions of 2.32%, a cash balance interest crediting rate </w:t>
      </w:r>
      <w:r>
        <w:rPr>
          <w:rFonts w:eastAsia="Times New Roman"/>
          <w:color w:val="000000"/>
          <w:sz w:val="20"/>
          <w:szCs w:val="20"/>
        </w:rPr>
        <w:t>of 3.50% and expected return on plan assets of 7.75% for fiscal 2020, which is being decreased to 7.50% for fiscal 2021. There is also a frozen pension equity benefit that assumes a 3.25% interest crediting rate.</w:t>
      </w:r>
    </w:p>
    <w:p w14:paraId="11E5030C" w14:textId="77777777" w:rsidR="00000000" w:rsidRDefault="001A570A">
      <w:pPr>
        <w:ind w:firstLine="450"/>
        <w:divId w:val="1320378458"/>
        <w:rPr>
          <w:rFonts w:eastAsia="Times New Roman"/>
        </w:rPr>
      </w:pPr>
      <w:r>
        <w:rPr>
          <w:rFonts w:eastAsia="Times New Roman"/>
          <w:b/>
          <w:bCs/>
          <w:i/>
          <w:iCs/>
          <w:color w:val="000000"/>
          <w:sz w:val="20"/>
          <w:szCs w:val="20"/>
        </w:rPr>
        <w:t>Expected Return on Plan Assets.</w:t>
      </w:r>
      <w:r>
        <w:rPr>
          <w:rFonts w:eastAsia="Times New Roman"/>
          <w:i/>
          <w:iCs/>
          <w:color w:val="000000"/>
          <w:sz w:val="20"/>
          <w:szCs w:val="20"/>
        </w:rPr>
        <w:t xml:space="preserve"> </w:t>
      </w:r>
      <w:r>
        <w:rPr>
          <w:rFonts w:eastAsia="Times New Roman"/>
          <w:color w:val="000000"/>
          <w:sz w:val="20"/>
          <w:szCs w:val="20"/>
        </w:rPr>
        <w:t>Substantial</w:t>
      </w:r>
      <w:r>
        <w:rPr>
          <w:rFonts w:eastAsia="Times New Roman"/>
          <w:color w:val="000000"/>
          <w:sz w:val="20"/>
          <w:szCs w:val="20"/>
        </w:rPr>
        <w:t>ly all of our plan assets are managed on a commingled basis in a master investment trust. We determine our expected return on plan assets by evaluating both historical returns and estimates of future returns. Specifically, we consider the plan’s actual his</w:t>
      </w:r>
      <w:r>
        <w:rPr>
          <w:rFonts w:eastAsia="Times New Roman"/>
          <w:color w:val="000000"/>
          <w:sz w:val="20"/>
          <w:szCs w:val="20"/>
        </w:rPr>
        <w:t xml:space="preserve">torical annual return on assets over the past 15, 20 and 25 years and historical broad market returns over long-term time frames based on our strategic allocation, which is detailed in </w:t>
      </w:r>
      <w:r>
        <w:rPr>
          <w:rFonts w:eastAsia="Times New Roman"/>
          <w:i/>
          <w:iCs/>
          <w:color w:val="000000"/>
          <w:sz w:val="20"/>
          <w:szCs w:val="20"/>
        </w:rPr>
        <w:t>Note 15: Pension and Other Postretirement Benefits</w:t>
      </w:r>
      <w:r>
        <w:rPr>
          <w:rFonts w:eastAsia="Times New Roman"/>
          <w:color w:val="000000"/>
          <w:sz w:val="20"/>
          <w:szCs w:val="20"/>
        </w:rPr>
        <w:t xml:space="preserve"> in the Notes. Future</w:t>
      </w:r>
      <w:r>
        <w:rPr>
          <w:rFonts w:eastAsia="Times New Roman"/>
          <w:color w:val="000000"/>
          <w:sz w:val="20"/>
          <w:szCs w:val="20"/>
        </w:rPr>
        <w:t xml:space="preserve"> returns are based on independent estimates of long-term asset class returns. Based on this approach, the weighted average long-term annual rate of return on assets was estimated to be 7.68% for fiscal 2020 and is estimated to be 25 basis points lower for </w:t>
      </w:r>
      <w:r>
        <w:rPr>
          <w:rFonts w:eastAsia="Times New Roman"/>
          <w:color w:val="000000"/>
          <w:sz w:val="20"/>
          <w:szCs w:val="20"/>
        </w:rPr>
        <w:t xml:space="preserve">fiscal 2021. </w:t>
      </w:r>
    </w:p>
    <w:p w14:paraId="19B2A5D3" w14:textId="77777777" w:rsidR="00000000" w:rsidRDefault="001A570A">
      <w:pPr>
        <w:ind w:firstLine="450"/>
        <w:divId w:val="262231606"/>
        <w:rPr>
          <w:rFonts w:eastAsia="Times New Roman"/>
        </w:rPr>
      </w:pPr>
      <w:r>
        <w:rPr>
          <w:rFonts w:eastAsia="Times New Roman"/>
          <w:b/>
          <w:bCs/>
          <w:i/>
          <w:iCs/>
          <w:color w:val="000000"/>
          <w:sz w:val="20"/>
          <w:szCs w:val="20"/>
        </w:rPr>
        <w:t>Discount Rate.</w:t>
      </w:r>
      <w:r>
        <w:rPr>
          <w:rFonts w:eastAsia="Times New Roman"/>
          <w:i/>
          <w:iCs/>
          <w:color w:val="000000"/>
          <w:sz w:val="20"/>
          <w:szCs w:val="20"/>
        </w:rPr>
        <w:t xml:space="preserve"> </w:t>
      </w:r>
      <w:r>
        <w:rPr>
          <w:rFonts w:eastAsia="Times New Roman"/>
          <w:color w:val="000000"/>
          <w:sz w:val="20"/>
          <w:szCs w:val="20"/>
        </w:rPr>
        <w:t>The discount rate is used to calculate the present value of expected future benefit payments at the measurement date. A decrease in the discount rate increases the present value of benefit obligations and generally decreases pe</w:t>
      </w:r>
      <w:r>
        <w:rPr>
          <w:rFonts w:eastAsia="Times New Roman"/>
          <w:color w:val="000000"/>
          <w:sz w:val="20"/>
          <w:szCs w:val="20"/>
        </w:rPr>
        <w:t>nsion expense. The discount rate assumption is based on current investment yields of high-quality fixed income investments during the retirement benefits maturity period. The pension discount rate is determined by considering an interest rate yield curve c</w:t>
      </w:r>
      <w:r>
        <w:rPr>
          <w:rFonts w:eastAsia="Times New Roman"/>
          <w:color w:val="000000"/>
          <w:sz w:val="20"/>
          <w:szCs w:val="20"/>
        </w:rPr>
        <w:t>omprising AAA/AA bonds, with maturities between zero and thirty years, developed by the plan’s actuaries. Annual benefit payments are then discounted to present value using this yield curve to develop a single discount rate matching the plan’s characterist</w:t>
      </w:r>
      <w:r>
        <w:rPr>
          <w:rFonts w:eastAsia="Times New Roman"/>
          <w:color w:val="000000"/>
          <w:sz w:val="20"/>
          <w:szCs w:val="20"/>
        </w:rPr>
        <w:t xml:space="preserve">ics. </w:t>
      </w:r>
    </w:p>
    <w:p w14:paraId="7590478C" w14:textId="77777777" w:rsidR="00000000" w:rsidRDefault="001A570A">
      <w:pPr>
        <w:ind w:firstLine="450"/>
        <w:divId w:val="1869370702"/>
        <w:rPr>
          <w:rFonts w:eastAsia="Times New Roman"/>
        </w:rPr>
      </w:pPr>
      <w:r>
        <w:rPr>
          <w:rFonts w:eastAsia="Times New Roman"/>
          <w:b/>
          <w:bCs/>
          <w:i/>
          <w:iCs/>
          <w:color w:val="000000"/>
          <w:sz w:val="20"/>
          <w:szCs w:val="20"/>
        </w:rPr>
        <w:t>Sensitivity Analysis</w:t>
      </w:r>
    </w:p>
    <w:p w14:paraId="3B15B308" w14:textId="77777777" w:rsidR="00000000" w:rsidRDefault="001A570A">
      <w:pPr>
        <w:ind w:firstLine="450"/>
        <w:divId w:val="944120699"/>
        <w:rPr>
          <w:rFonts w:eastAsia="Times New Roman"/>
        </w:rPr>
      </w:pPr>
      <w:r>
        <w:rPr>
          <w:rFonts w:eastAsia="Times New Roman"/>
          <w:b/>
          <w:bCs/>
          <w:i/>
          <w:iCs/>
          <w:color w:val="000000"/>
          <w:sz w:val="20"/>
          <w:szCs w:val="20"/>
        </w:rPr>
        <w:t>Pension Expense.</w:t>
      </w:r>
      <w:r>
        <w:rPr>
          <w:rFonts w:eastAsia="Times New Roman"/>
          <w:i/>
          <w:iCs/>
          <w:color w:val="000000"/>
          <w:sz w:val="20"/>
          <w:szCs w:val="20"/>
        </w:rPr>
        <w:t xml:space="preserve"> </w:t>
      </w:r>
      <w:r>
        <w:rPr>
          <w:rFonts w:eastAsia="Times New Roman"/>
          <w:color w:val="000000"/>
          <w:sz w:val="20"/>
          <w:szCs w:val="20"/>
        </w:rPr>
        <w:t>A 25 basis point change in the long-term expected rate of return on plan assets and discount rate would have the following effect on the combined U.S. defined benefit pension plans’ pension expense for the next t</w:t>
      </w:r>
      <w:r>
        <w:rPr>
          <w:rFonts w:eastAsia="Times New Roman"/>
          <w:color w:val="000000"/>
          <w:sz w:val="20"/>
          <w:szCs w:val="20"/>
        </w:rPr>
        <w:t>welve months:</w:t>
      </w:r>
    </w:p>
    <w:tbl>
      <w:tblPr>
        <w:tblW w:w="5000" w:type="pct"/>
        <w:tblCellMar>
          <w:top w:w="15" w:type="dxa"/>
          <w:left w:w="15" w:type="dxa"/>
          <w:bottom w:w="15" w:type="dxa"/>
          <w:right w:w="15" w:type="dxa"/>
        </w:tblCellMar>
        <w:tblLook w:val="04A0" w:firstRow="1" w:lastRow="0" w:firstColumn="1" w:lastColumn="0" w:noHBand="0" w:noVBand="1"/>
      </w:tblPr>
      <w:tblGrid>
        <w:gridCol w:w="39"/>
        <w:gridCol w:w="5749"/>
        <w:gridCol w:w="37"/>
        <w:gridCol w:w="122"/>
        <w:gridCol w:w="1046"/>
        <w:gridCol w:w="37"/>
        <w:gridCol w:w="37"/>
        <w:gridCol w:w="37"/>
        <w:gridCol w:w="36"/>
        <w:gridCol w:w="121"/>
        <w:gridCol w:w="1009"/>
        <w:gridCol w:w="36"/>
      </w:tblGrid>
      <w:tr w:rsidR="00000000" w14:paraId="523E47E2" w14:textId="77777777">
        <w:trPr>
          <w:divId w:val="776682775"/>
        </w:trPr>
        <w:tc>
          <w:tcPr>
            <w:tcW w:w="50" w:type="pct"/>
            <w:vAlign w:val="center"/>
            <w:hideMark/>
          </w:tcPr>
          <w:p w14:paraId="4A820668" w14:textId="77777777" w:rsidR="00000000" w:rsidRDefault="001A570A">
            <w:pPr>
              <w:ind w:firstLine="450"/>
              <w:rPr>
                <w:rFonts w:eastAsia="Times New Roman"/>
              </w:rPr>
            </w:pPr>
          </w:p>
        </w:tc>
        <w:tc>
          <w:tcPr>
            <w:tcW w:w="3486" w:type="pct"/>
            <w:vAlign w:val="center"/>
            <w:hideMark/>
          </w:tcPr>
          <w:p w14:paraId="793CAF13" w14:textId="77777777" w:rsidR="00000000" w:rsidRDefault="001A570A">
            <w:pPr>
              <w:rPr>
                <w:rFonts w:eastAsia="Times New Roman"/>
                <w:sz w:val="20"/>
                <w:szCs w:val="20"/>
              </w:rPr>
            </w:pPr>
          </w:p>
        </w:tc>
        <w:tc>
          <w:tcPr>
            <w:tcW w:w="5" w:type="pct"/>
            <w:vAlign w:val="center"/>
            <w:hideMark/>
          </w:tcPr>
          <w:p w14:paraId="2815704D" w14:textId="77777777" w:rsidR="00000000" w:rsidRDefault="001A570A">
            <w:pPr>
              <w:rPr>
                <w:rFonts w:eastAsia="Times New Roman"/>
                <w:sz w:val="20"/>
                <w:szCs w:val="20"/>
              </w:rPr>
            </w:pPr>
          </w:p>
        </w:tc>
        <w:tc>
          <w:tcPr>
            <w:tcW w:w="50" w:type="pct"/>
            <w:vAlign w:val="center"/>
            <w:hideMark/>
          </w:tcPr>
          <w:p w14:paraId="59821250" w14:textId="77777777" w:rsidR="00000000" w:rsidRDefault="001A570A">
            <w:pPr>
              <w:rPr>
                <w:rFonts w:eastAsia="Times New Roman"/>
                <w:sz w:val="20"/>
                <w:szCs w:val="20"/>
              </w:rPr>
            </w:pPr>
          </w:p>
        </w:tc>
        <w:tc>
          <w:tcPr>
            <w:tcW w:w="656" w:type="pct"/>
            <w:vAlign w:val="center"/>
            <w:hideMark/>
          </w:tcPr>
          <w:p w14:paraId="6E0566D2" w14:textId="77777777" w:rsidR="00000000" w:rsidRDefault="001A570A">
            <w:pPr>
              <w:rPr>
                <w:rFonts w:eastAsia="Times New Roman"/>
                <w:sz w:val="20"/>
                <w:szCs w:val="20"/>
              </w:rPr>
            </w:pPr>
          </w:p>
        </w:tc>
        <w:tc>
          <w:tcPr>
            <w:tcW w:w="5" w:type="pct"/>
            <w:vAlign w:val="center"/>
            <w:hideMark/>
          </w:tcPr>
          <w:p w14:paraId="6046655F" w14:textId="77777777" w:rsidR="00000000" w:rsidRDefault="001A570A">
            <w:pPr>
              <w:rPr>
                <w:rFonts w:eastAsia="Times New Roman"/>
                <w:sz w:val="20"/>
                <w:szCs w:val="20"/>
              </w:rPr>
            </w:pPr>
          </w:p>
        </w:tc>
        <w:tc>
          <w:tcPr>
            <w:tcW w:w="5" w:type="pct"/>
            <w:vAlign w:val="center"/>
            <w:hideMark/>
          </w:tcPr>
          <w:p w14:paraId="07ABDAB0" w14:textId="77777777" w:rsidR="00000000" w:rsidRDefault="001A570A">
            <w:pPr>
              <w:rPr>
                <w:rFonts w:eastAsia="Times New Roman"/>
                <w:sz w:val="20"/>
                <w:szCs w:val="20"/>
              </w:rPr>
            </w:pPr>
          </w:p>
        </w:tc>
        <w:tc>
          <w:tcPr>
            <w:tcW w:w="25" w:type="pct"/>
            <w:vAlign w:val="center"/>
            <w:hideMark/>
          </w:tcPr>
          <w:p w14:paraId="66F13800" w14:textId="77777777" w:rsidR="00000000" w:rsidRDefault="001A570A">
            <w:pPr>
              <w:rPr>
                <w:rFonts w:eastAsia="Times New Roman"/>
                <w:sz w:val="20"/>
                <w:szCs w:val="20"/>
              </w:rPr>
            </w:pPr>
          </w:p>
        </w:tc>
        <w:tc>
          <w:tcPr>
            <w:tcW w:w="5" w:type="pct"/>
            <w:vAlign w:val="center"/>
            <w:hideMark/>
          </w:tcPr>
          <w:p w14:paraId="4EFE3C54" w14:textId="77777777" w:rsidR="00000000" w:rsidRDefault="001A570A">
            <w:pPr>
              <w:rPr>
                <w:rFonts w:eastAsia="Times New Roman"/>
                <w:sz w:val="20"/>
                <w:szCs w:val="20"/>
              </w:rPr>
            </w:pPr>
          </w:p>
        </w:tc>
        <w:tc>
          <w:tcPr>
            <w:tcW w:w="50" w:type="pct"/>
            <w:vAlign w:val="center"/>
            <w:hideMark/>
          </w:tcPr>
          <w:p w14:paraId="0A5D44AD" w14:textId="77777777" w:rsidR="00000000" w:rsidRDefault="001A570A">
            <w:pPr>
              <w:rPr>
                <w:rFonts w:eastAsia="Times New Roman"/>
                <w:sz w:val="20"/>
                <w:szCs w:val="20"/>
              </w:rPr>
            </w:pPr>
          </w:p>
        </w:tc>
        <w:tc>
          <w:tcPr>
            <w:tcW w:w="656" w:type="pct"/>
            <w:vAlign w:val="center"/>
            <w:hideMark/>
          </w:tcPr>
          <w:p w14:paraId="37205260" w14:textId="77777777" w:rsidR="00000000" w:rsidRDefault="001A570A">
            <w:pPr>
              <w:rPr>
                <w:rFonts w:eastAsia="Times New Roman"/>
                <w:sz w:val="20"/>
                <w:szCs w:val="20"/>
              </w:rPr>
            </w:pPr>
          </w:p>
        </w:tc>
        <w:tc>
          <w:tcPr>
            <w:tcW w:w="5" w:type="pct"/>
            <w:vAlign w:val="center"/>
            <w:hideMark/>
          </w:tcPr>
          <w:p w14:paraId="6E05092F" w14:textId="77777777" w:rsidR="00000000" w:rsidRDefault="001A570A">
            <w:pPr>
              <w:rPr>
                <w:rFonts w:eastAsia="Times New Roman"/>
                <w:sz w:val="20"/>
                <w:szCs w:val="20"/>
              </w:rPr>
            </w:pPr>
          </w:p>
        </w:tc>
      </w:tr>
      <w:tr w:rsidR="00000000" w14:paraId="1B84982C" w14:textId="77777777">
        <w:trPr>
          <w:divId w:val="776682775"/>
        </w:trPr>
        <w:tc>
          <w:tcPr>
            <w:tcW w:w="0" w:type="auto"/>
            <w:gridSpan w:val="3"/>
            <w:tcMar>
              <w:top w:w="30" w:type="dxa"/>
              <w:left w:w="20" w:type="dxa"/>
              <w:bottom w:w="30" w:type="dxa"/>
              <w:right w:w="20" w:type="dxa"/>
            </w:tcMar>
            <w:vAlign w:val="bottom"/>
            <w:hideMark/>
          </w:tcPr>
          <w:p w14:paraId="3A589406" w14:textId="77777777" w:rsidR="00000000" w:rsidRDefault="001A570A">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3338BBC" w14:textId="77777777" w:rsidR="00000000" w:rsidRDefault="001A570A">
            <w:pPr>
              <w:jc w:val="center"/>
              <w:rPr>
                <w:rFonts w:eastAsia="Times New Roman"/>
              </w:rPr>
            </w:pPr>
            <w:r>
              <w:rPr>
                <w:rFonts w:eastAsia="Times New Roman"/>
                <w:b/>
                <w:bCs/>
                <w:color w:val="000000"/>
                <w:sz w:val="16"/>
                <w:szCs w:val="16"/>
              </w:rPr>
              <w:t>Increase/(Decrease)</w:t>
            </w:r>
            <w:r>
              <w:rPr>
                <w:rFonts w:eastAsia="Times New Roman"/>
                <w:b/>
                <w:bCs/>
                <w:color w:val="000000"/>
                <w:sz w:val="16"/>
                <w:szCs w:val="16"/>
              </w:rPr>
              <w:br/>
              <w:t>in Pension Expense</w:t>
            </w:r>
          </w:p>
        </w:tc>
      </w:tr>
      <w:tr w:rsidR="00000000" w14:paraId="65B22429" w14:textId="77777777">
        <w:trPr>
          <w:divId w:val="776682775"/>
        </w:trPr>
        <w:tc>
          <w:tcPr>
            <w:tcW w:w="0" w:type="auto"/>
            <w:gridSpan w:val="3"/>
            <w:tcMar>
              <w:top w:w="30" w:type="dxa"/>
              <w:left w:w="20" w:type="dxa"/>
              <w:bottom w:w="30" w:type="dxa"/>
              <w:right w:w="20" w:type="dxa"/>
            </w:tcMar>
            <w:vAlign w:val="bottom"/>
            <w:hideMark/>
          </w:tcPr>
          <w:p w14:paraId="48CE809D"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528DC74" w14:textId="77777777" w:rsidR="00000000" w:rsidRDefault="001A570A">
            <w:pPr>
              <w:jc w:val="center"/>
              <w:rPr>
                <w:rFonts w:eastAsia="Times New Roman"/>
              </w:rPr>
            </w:pPr>
            <w:r>
              <w:rPr>
                <w:rFonts w:eastAsia="Times New Roman"/>
                <w:b/>
                <w:bCs/>
                <w:color w:val="000000"/>
                <w:sz w:val="16"/>
                <w:szCs w:val="16"/>
              </w:rPr>
              <w:t>25 Basis</w:t>
            </w:r>
            <w:r>
              <w:rPr>
                <w:rFonts w:eastAsia="Times New Roman"/>
                <w:b/>
                <w:bCs/>
                <w:color w:val="000000"/>
                <w:sz w:val="16"/>
                <w:szCs w:val="16"/>
              </w:rPr>
              <w:br/>
              <w:t>Point Increase</w:t>
            </w:r>
          </w:p>
        </w:tc>
        <w:tc>
          <w:tcPr>
            <w:tcW w:w="0" w:type="auto"/>
            <w:gridSpan w:val="3"/>
            <w:tcBorders>
              <w:top w:val="single" w:sz="8" w:space="0" w:color="000000"/>
            </w:tcBorders>
            <w:tcMar>
              <w:top w:w="0" w:type="dxa"/>
              <w:left w:w="20" w:type="dxa"/>
              <w:bottom w:w="0" w:type="dxa"/>
              <w:right w:w="20" w:type="dxa"/>
            </w:tcMar>
            <w:vAlign w:val="center"/>
            <w:hideMark/>
          </w:tcPr>
          <w:p w14:paraId="7B9E2AA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D81532" w14:textId="77777777" w:rsidR="00000000" w:rsidRDefault="001A570A">
            <w:pPr>
              <w:jc w:val="center"/>
              <w:rPr>
                <w:rFonts w:eastAsia="Times New Roman"/>
              </w:rPr>
            </w:pPr>
            <w:r>
              <w:rPr>
                <w:rFonts w:eastAsia="Times New Roman"/>
                <w:b/>
                <w:bCs/>
                <w:color w:val="000000"/>
                <w:sz w:val="16"/>
                <w:szCs w:val="16"/>
              </w:rPr>
              <w:t>25 Basis</w:t>
            </w:r>
            <w:r>
              <w:rPr>
                <w:rFonts w:eastAsia="Times New Roman"/>
                <w:b/>
                <w:bCs/>
                <w:color w:val="000000"/>
                <w:sz w:val="16"/>
                <w:szCs w:val="16"/>
              </w:rPr>
              <w:br/>
              <w:t>Point Decrease</w:t>
            </w:r>
          </w:p>
        </w:tc>
      </w:tr>
      <w:tr w:rsidR="00000000" w14:paraId="7EF14C22" w14:textId="77777777">
        <w:trPr>
          <w:divId w:val="776682775"/>
          <w:trHeight w:val="60"/>
        </w:trPr>
        <w:tc>
          <w:tcPr>
            <w:tcW w:w="0" w:type="auto"/>
            <w:gridSpan w:val="3"/>
            <w:tcMar>
              <w:top w:w="0" w:type="dxa"/>
              <w:left w:w="20" w:type="dxa"/>
              <w:bottom w:w="0" w:type="dxa"/>
              <w:right w:w="20" w:type="dxa"/>
            </w:tcMar>
            <w:vAlign w:val="center"/>
            <w:hideMark/>
          </w:tcPr>
          <w:p w14:paraId="7E22229D"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E96EC8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EFDBF7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A6A413" w14:textId="77777777" w:rsidR="00000000" w:rsidRDefault="001A570A">
            <w:pPr>
              <w:rPr>
                <w:rFonts w:eastAsia="Times New Roman"/>
                <w:sz w:val="20"/>
                <w:szCs w:val="20"/>
              </w:rPr>
            </w:pPr>
          </w:p>
        </w:tc>
      </w:tr>
      <w:tr w:rsidR="00000000" w14:paraId="052D42C5" w14:textId="77777777">
        <w:trPr>
          <w:divId w:val="776682775"/>
        </w:trPr>
        <w:tc>
          <w:tcPr>
            <w:tcW w:w="0" w:type="auto"/>
            <w:gridSpan w:val="3"/>
            <w:shd w:val="clear" w:color="auto" w:fill="CCEEFF"/>
            <w:tcMar>
              <w:top w:w="30" w:type="dxa"/>
              <w:left w:w="20" w:type="dxa"/>
              <w:bottom w:w="30" w:type="dxa"/>
              <w:right w:w="20" w:type="dxa"/>
            </w:tcMar>
            <w:hideMark/>
          </w:tcPr>
          <w:p w14:paraId="0A02AF63" w14:textId="77777777" w:rsidR="00000000" w:rsidRDefault="001A570A">
            <w:pPr>
              <w:rPr>
                <w:rFonts w:eastAsia="Times New Roman"/>
              </w:rPr>
            </w:pPr>
            <w:r>
              <w:rPr>
                <w:rFonts w:eastAsia="Times New Roman"/>
                <w:color w:val="000000"/>
                <w:sz w:val="20"/>
                <w:szCs w:val="20"/>
              </w:rPr>
              <w:t>Long-term rate of return on assets used to determine net periodic benefit cost</w:t>
            </w:r>
          </w:p>
        </w:tc>
        <w:tc>
          <w:tcPr>
            <w:tcW w:w="0" w:type="auto"/>
            <w:shd w:val="clear" w:color="auto" w:fill="CCEEFF"/>
            <w:tcMar>
              <w:top w:w="30" w:type="dxa"/>
              <w:left w:w="20" w:type="dxa"/>
              <w:bottom w:w="30" w:type="dxa"/>
              <w:right w:w="0" w:type="dxa"/>
            </w:tcMar>
            <w:vAlign w:val="bottom"/>
            <w:hideMark/>
          </w:tcPr>
          <w:p w14:paraId="240F265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3E5BA6" w14:textId="77777777" w:rsidR="00000000" w:rsidRDefault="001A570A">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14:paraId="174EE82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D6CA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ADEA8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0B2F29" w14:textId="77777777" w:rsidR="00000000" w:rsidRDefault="001A570A">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451D03F2" w14:textId="77777777" w:rsidR="00000000" w:rsidRDefault="001A570A">
            <w:pPr>
              <w:jc w:val="right"/>
              <w:rPr>
                <w:rFonts w:eastAsia="Times New Roman"/>
              </w:rPr>
            </w:pPr>
          </w:p>
        </w:tc>
      </w:tr>
      <w:tr w:rsidR="00000000" w14:paraId="5B21AEDE" w14:textId="77777777">
        <w:trPr>
          <w:divId w:val="776682775"/>
        </w:trPr>
        <w:tc>
          <w:tcPr>
            <w:tcW w:w="0" w:type="auto"/>
            <w:gridSpan w:val="3"/>
            <w:shd w:val="clear" w:color="auto" w:fill="FFFFFF"/>
            <w:tcMar>
              <w:top w:w="30" w:type="dxa"/>
              <w:left w:w="20" w:type="dxa"/>
              <w:bottom w:w="30" w:type="dxa"/>
              <w:right w:w="20" w:type="dxa"/>
            </w:tcMar>
            <w:hideMark/>
          </w:tcPr>
          <w:p w14:paraId="3467299A" w14:textId="77777777" w:rsidR="00000000" w:rsidRDefault="001A570A">
            <w:pPr>
              <w:rPr>
                <w:rFonts w:eastAsia="Times New Roman"/>
              </w:rPr>
            </w:pPr>
            <w:r>
              <w:rPr>
                <w:rFonts w:eastAsia="Times New Roman"/>
                <w:color w:val="000000"/>
                <w:sz w:val="20"/>
                <w:szCs w:val="20"/>
              </w:rPr>
              <w:t>Discount rate used to determine net periodic benefit cost</w:t>
            </w:r>
          </w:p>
        </w:tc>
        <w:tc>
          <w:tcPr>
            <w:tcW w:w="0" w:type="auto"/>
            <w:shd w:val="clear" w:color="auto" w:fill="FFFFFF"/>
            <w:tcMar>
              <w:top w:w="30" w:type="dxa"/>
              <w:left w:w="20" w:type="dxa"/>
              <w:bottom w:w="30" w:type="dxa"/>
              <w:right w:w="0" w:type="dxa"/>
            </w:tcMar>
            <w:vAlign w:val="bottom"/>
            <w:hideMark/>
          </w:tcPr>
          <w:p w14:paraId="74B3CEF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17A14A"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729359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7470F"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CDC60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3270CD"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391E514C" w14:textId="77777777" w:rsidR="00000000" w:rsidRDefault="001A570A">
            <w:pPr>
              <w:jc w:val="right"/>
              <w:rPr>
                <w:rFonts w:eastAsia="Times New Roman"/>
              </w:rPr>
            </w:pPr>
          </w:p>
        </w:tc>
      </w:tr>
    </w:tbl>
    <w:p w14:paraId="363E67D2" w14:textId="77777777" w:rsidR="00000000" w:rsidRDefault="001A570A">
      <w:pPr>
        <w:ind w:firstLine="450"/>
        <w:divId w:val="1165778266"/>
        <w:rPr>
          <w:rFonts w:eastAsia="Times New Roman"/>
        </w:rPr>
      </w:pPr>
      <w:r>
        <w:rPr>
          <w:rFonts w:eastAsia="Times New Roman"/>
          <w:b/>
          <w:bCs/>
          <w:i/>
          <w:iCs/>
          <w:color w:val="000000"/>
          <w:sz w:val="20"/>
          <w:szCs w:val="20"/>
        </w:rPr>
        <w:t>Projected Benefit Obligation.</w:t>
      </w:r>
      <w:r>
        <w:rPr>
          <w:rFonts w:eastAsia="Times New Roman"/>
          <w:i/>
          <w:iCs/>
          <w:color w:val="000000"/>
          <w:sz w:val="20"/>
          <w:szCs w:val="20"/>
        </w:rPr>
        <w:t xml:space="preserve"> </w:t>
      </w:r>
      <w:r>
        <w:rPr>
          <w:rFonts w:eastAsia="Times New Roman"/>
          <w:color w:val="000000"/>
          <w:sz w:val="20"/>
          <w:szCs w:val="20"/>
        </w:rPr>
        <w:t>Funded status is derived by subtracting the respective year-end values of the projected benefit obligations (“PBO”) from the fair value of plan assets. The sensitivity of the PBO to changes in the discount rate varies depending on the magnitude and directi</w:t>
      </w:r>
      <w:r>
        <w:rPr>
          <w:rFonts w:eastAsia="Times New Roman"/>
          <w:color w:val="000000"/>
          <w:sz w:val="20"/>
          <w:szCs w:val="20"/>
        </w:rPr>
        <w:t>on of the change in the discount rate. We estimate that a decrease of 25 basis points in the discount rate of the combined U.S. defined benefit pension plans would increase the PBO by approximately $320 million and an increase of 25 basis points would decr</w:t>
      </w:r>
      <w:r>
        <w:rPr>
          <w:rFonts w:eastAsia="Times New Roman"/>
          <w:color w:val="000000"/>
          <w:sz w:val="20"/>
          <w:szCs w:val="20"/>
        </w:rPr>
        <w:t>ease the PBO by approximately $303 million.</w:t>
      </w:r>
    </w:p>
    <w:p w14:paraId="1321AFB8" w14:textId="77777777" w:rsidR="00000000" w:rsidRDefault="001A570A">
      <w:pPr>
        <w:ind w:firstLine="450"/>
        <w:divId w:val="1703362953"/>
        <w:rPr>
          <w:rFonts w:eastAsia="Times New Roman"/>
        </w:rPr>
      </w:pPr>
      <w:r>
        <w:rPr>
          <w:rFonts w:eastAsia="Times New Roman"/>
          <w:b/>
          <w:bCs/>
          <w:i/>
          <w:iCs/>
          <w:color w:val="000000"/>
          <w:sz w:val="20"/>
          <w:szCs w:val="20"/>
        </w:rPr>
        <w:t xml:space="preserve">Fair Value of Plan Assets. </w:t>
      </w:r>
      <w:r>
        <w:rPr>
          <w:rFonts w:eastAsia="Times New Roman"/>
          <w:color w:val="000000"/>
          <w:sz w:val="20"/>
          <w:szCs w:val="20"/>
        </w:rPr>
        <w:t>The plan assets of our defined benefit plans comprise a broad range of investments, including domestic and international equity securities, fixed income investments, interests in privat</w:t>
      </w:r>
      <w:r>
        <w:rPr>
          <w:rFonts w:eastAsia="Times New Roman"/>
          <w:color w:val="000000"/>
          <w:sz w:val="20"/>
          <w:szCs w:val="20"/>
        </w:rPr>
        <w:t>e equity and hedge funds and cash and cash equivalents.</w:t>
      </w:r>
    </w:p>
    <w:p w14:paraId="0E5EE3D0" w14:textId="77777777" w:rsidR="00000000" w:rsidRDefault="001A570A">
      <w:pPr>
        <w:ind w:firstLine="450"/>
        <w:divId w:val="1225330601"/>
        <w:rPr>
          <w:rFonts w:eastAsia="Times New Roman"/>
        </w:rPr>
      </w:pPr>
      <w:r>
        <w:rPr>
          <w:rFonts w:eastAsia="Times New Roman"/>
          <w:color w:val="000000"/>
          <w:sz w:val="20"/>
          <w:szCs w:val="20"/>
        </w:rPr>
        <w:t>A portion of our defined benefit plans asset portfolio is comprised of investments in private equity and hedge funds. The private equity and hedge fund investments are generally measured using the val</w:t>
      </w:r>
      <w:r>
        <w:rPr>
          <w:rFonts w:eastAsia="Times New Roman"/>
          <w:color w:val="000000"/>
          <w:sz w:val="20"/>
          <w:szCs w:val="20"/>
        </w:rPr>
        <w:t>uation of the underlying investments or at net asset value. However, in certain instances, the values reported by the asset managers were not current at the measurement date. Consequently, we have estimated adjustments to the last reported value where nece</w:t>
      </w:r>
      <w:r>
        <w:rPr>
          <w:rFonts w:eastAsia="Times New Roman"/>
          <w:color w:val="000000"/>
          <w:sz w:val="20"/>
          <w:szCs w:val="20"/>
        </w:rPr>
        <w:t xml:space="preserve">ssary to measure the assets at fair value at the </w:t>
      </w:r>
    </w:p>
    <w:p w14:paraId="69565E5A" w14:textId="77777777" w:rsidR="00000000" w:rsidRDefault="001A570A">
      <w:pPr>
        <w:ind w:firstLine="450"/>
        <w:jc w:val="center"/>
        <w:divId w:val="1383749217"/>
        <w:rPr>
          <w:rFonts w:eastAsia="Times New Roman"/>
        </w:rPr>
      </w:pPr>
      <w:r>
        <w:rPr>
          <w:rFonts w:eastAsia="Times New Roman"/>
          <w:color w:val="000000"/>
          <w:sz w:val="20"/>
          <w:szCs w:val="20"/>
        </w:rPr>
        <w:t>64</w:t>
      </w:r>
    </w:p>
    <w:p w14:paraId="316EA0F3" w14:textId="77777777" w:rsidR="00000000" w:rsidRDefault="001A570A">
      <w:pPr>
        <w:rPr>
          <w:rFonts w:eastAsia="Times New Roman"/>
        </w:rPr>
      </w:pPr>
      <w:r>
        <w:rPr>
          <w:rFonts w:eastAsia="Times New Roman"/>
        </w:rPr>
        <w:pict w14:anchorId="753D3479">
          <v:rect id="_x0000_i1092" style="width:0;height:1.5pt" o:hralign="center" o:hrstd="t" o:hr="t" fillcolor="#a0a0a0" stroked="f"/>
        </w:pict>
      </w:r>
    </w:p>
    <w:p w14:paraId="7C216696" w14:textId="77777777" w:rsidR="00000000" w:rsidRDefault="001A570A">
      <w:pPr>
        <w:ind w:firstLine="450"/>
        <w:divId w:val="2041658284"/>
        <w:rPr>
          <w:rFonts w:eastAsia="Times New Roman"/>
        </w:rPr>
      </w:pPr>
    </w:p>
    <w:p w14:paraId="2869804E" w14:textId="77777777" w:rsidR="00000000" w:rsidRDefault="001A570A">
      <w:pPr>
        <w:divId w:val="1871406120"/>
        <w:rPr>
          <w:rFonts w:eastAsia="Times New Roman"/>
        </w:rPr>
      </w:pPr>
      <w:r>
        <w:rPr>
          <w:rFonts w:eastAsia="Times New Roman"/>
          <w:color w:val="000000"/>
          <w:sz w:val="20"/>
          <w:szCs w:val="20"/>
        </w:rPr>
        <w:t>measurement date. These adjustments consider information received from the asset managers, as well as general market information. Asset values for other positions were generally measured using market observable prices.</w:t>
      </w:r>
      <w:r>
        <w:rPr>
          <w:rFonts w:eastAsia="Times New Roman"/>
          <w:color w:val="000000"/>
          <w:sz w:val="20"/>
          <w:szCs w:val="20"/>
        </w:rPr>
        <w:t xml:space="preserve"> See </w:t>
      </w:r>
      <w:r>
        <w:rPr>
          <w:rFonts w:eastAsia="Times New Roman"/>
          <w:i/>
          <w:iCs/>
          <w:color w:val="000000"/>
          <w:sz w:val="20"/>
          <w:szCs w:val="20"/>
        </w:rPr>
        <w:t>Note 15: Pension and Other Postretirement Benefits</w:t>
      </w:r>
      <w:r>
        <w:rPr>
          <w:rFonts w:eastAsia="Times New Roman"/>
          <w:color w:val="000000"/>
          <w:sz w:val="20"/>
          <w:szCs w:val="20"/>
        </w:rPr>
        <w:t xml:space="preserve"> in the Notes for further information.</w:t>
      </w:r>
    </w:p>
    <w:p w14:paraId="726BF4E4" w14:textId="77777777" w:rsidR="00000000" w:rsidRDefault="001A570A">
      <w:pPr>
        <w:divId w:val="2043625323"/>
        <w:rPr>
          <w:rFonts w:eastAsia="Times New Roman"/>
        </w:rPr>
      </w:pPr>
      <w:r>
        <w:rPr>
          <w:rFonts w:eastAsia="Times New Roman"/>
          <w:b/>
          <w:bCs/>
          <w:color w:val="000000"/>
          <w:sz w:val="20"/>
          <w:szCs w:val="20"/>
        </w:rPr>
        <w:t>Goodwill</w:t>
      </w:r>
    </w:p>
    <w:p w14:paraId="329ED6C0" w14:textId="77777777" w:rsidR="00000000" w:rsidRDefault="001A570A">
      <w:pPr>
        <w:ind w:firstLine="450"/>
        <w:divId w:val="341589045"/>
        <w:rPr>
          <w:rFonts w:eastAsia="Times New Roman"/>
        </w:rPr>
      </w:pPr>
      <w:r>
        <w:rPr>
          <w:rFonts w:eastAsia="Times New Roman"/>
          <w:color w:val="000000"/>
          <w:sz w:val="20"/>
          <w:szCs w:val="20"/>
        </w:rPr>
        <w:t>Goodwill in our Consolidated Balance Sheet as of January 1, 2021 and January 3, 2020 was $18.9 billion and $20.0 billion, respectively. Goodwill is not a</w:t>
      </w:r>
      <w:r>
        <w:rPr>
          <w:rFonts w:eastAsia="Times New Roman"/>
          <w:color w:val="000000"/>
          <w:sz w:val="20"/>
          <w:szCs w:val="20"/>
        </w:rPr>
        <w:t>mortized. We perform annual (or under certain circumstances, more frequent) impairment tests of our goodwill. We identify potential impairment by comparing the fair value of each of our reporting units with its carrying amount, including goodwill, which is</w:t>
      </w:r>
      <w:r>
        <w:rPr>
          <w:rFonts w:eastAsia="Times New Roman"/>
          <w:color w:val="000000"/>
          <w:sz w:val="20"/>
          <w:szCs w:val="20"/>
        </w:rPr>
        <w:t xml:space="preserve"> adjusted for allocations of Corporate assets and liabilities as appropriate. If the fair value of a reporting unit exceeds its carrying amount, goodwill of the reporting unit is considered not impaired. If the carrying amount of a reporting unit exceeds i</w:t>
      </w:r>
      <w:r>
        <w:rPr>
          <w:rFonts w:eastAsia="Times New Roman"/>
          <w:color w:val="000000"/>
          <w:sz w:val="20"/>
          <w:szCs w:val="20"/>
        </w:rPr>
        <w:t xml:space="preserve">ts fair value, an impairment loss is recognized in an amount equal to that excess. </w:t>
      </w:r>
    </w:p>
    <w:p w14:paraId="12A14A69" w14:textId="77777777" w:rsidR="00000000" w:rsidRDefault="001A570A">
      <w:pPr>
        <w:ind w:firstLine="450"/>
        <w:divId w:val="1353459054"/>
        <w:rPr>
          <w:rFonts w:eastAsia="Times New Roman"/>
        </w:rPr>
      </w:pPr>
      <w:r>
        <w:rPr>
          <w:rFonts w:eastAsia="Times New Roman"/>
          <w:i/>
          <w:iCs/>
          <w:color w:val="000000"/>
          <w:sz w:val="20"/>
          <w:szCs w:val="20"/>
        </w:rPr>
        <w:t>L3Harris Merger Goodwill Allocation</w:t>
      </w:r>
      <w:r>
        <w:rPr>
          <w:rFonts w:eastAsia="Times New Roman"/>
          <w:b/>
          <w:bCs/>
          <w:i/>
          <w:iCs/>
          <w:color w:val="000000"/>
          <w:sz w:val="20"/>
          <w:szCs w:val="20"/>
        </w:rPr>
        <w:t xml:space="preserve">. </w:t>
      </w:r>
      <w:r>
        <w:rPr>
          <w:rFonts w:eastAsia="Times New Roman"/>
          <w:color w:val="000000"/>
          <w:sz w:val="20"/>
          <w:szCs w:val="20"/>
        </w:rPr>
        <w:t xml:space="preserve">As discussed in more detail in </w:t>
      </w:r>
      <w:r>
        <w:rPr>
          <w:rFonts w:eastAsia="Times New Roman"/>
          <w:i/>
          <w:iCs/>
          <w:color w:val="000000"/>
          <w:sz w:val="20"/>
          <w:szCs w:val="20"/>
        </w:rPr>
        <w:t>Note 25: Business Segments</w:t>
      </w:r>
      <w:r>
        <w:rPr>
          <w:rFonts w:eastAsia="Times New Roman"/>
          <w:color w:val="000000"/>
          <w:sz w:val="20"/>
          <w:szCs w:val="20"/>
        </w:rPr>
        <w:t xml:space="preserve"> in the Notes, after the completion of the L3Harris Merger, we adjusted our se</w:t>
      </w:r>
      <w:r>
        <w:rPr>
          <w:rFonts w:eastAsia="Times New Roman"/>
          <w:color w:val="000000"/>
          <w:sz w:val="20"/>
          <w:szCs w:val="20"/>
        </w:rPr>
        <w:t>gment reporting to reflect our new organizational structure effective June 29, 2019. Immediately before and after our goodwill assignments, we completed an assessment of any potential goodwill impairment under our former and new segment reporting structure</w:t>
      </w:r>
      <w:r>
        <w:rPr>
          <w:rFonts w:eastAsia="Times New Roman"/>
          <w:color w:val="000000"/>
          <w:sz w:val="20"/>
          <w:szCs w:val="20"/>
        </w:rPr>
        <w:t xml:space="preserve"> and determined that no impairment existed. See </w:t>
      </w:r>
      <w:r>
        <w:rPr>
          <w:rFonts w:eastAsia="Times New Roman"/>
          <w:i/>
          <w:iCs/>
          <w:color w:val="000000"/>
          <w:sz w:val="20"/>
          <w:szCs w:val="20"/>
        </w:rPr>
        <w:t>Note 5: Business Combination</w:t>
      </w:r>
      <w:r>
        <w:rPr>
          <w:rFonts w:eastAsia="Times New Roman"/>
          <w:color w:val="000000"/>
          <w:sz w:val="20"/>
          <w:szCs w:val="20"/>
        </w:rPr>
        <w:t xml:space="preserve"> and </w:t>
      </w:r>
      <w:r>
        <w:rPr>
          <w:rFonts w:eastAsia="Times New Roman"/>
          <w:i/>
          <w:iCs/>
          <w:color w:val="000000"/>
          <w:sz w:val="20"/>
          <w:szCs w:val="20"/>
        </w:rPr>
        <w:t>Note 10: Goodwill</w:t>
      </w:r>
      <w:r>
        <w:rPr>
          <w:rFonts w:eastAsia="Times New Roman"/>
          <w:color w:val="000000"/>
          <w:sz w:val="20"/>
          <w:szCs w:val="20"/>
        </w:rPr>
        <w:t xml:space="preserve"> in the Notes for additional information. </w:t>
      </w:r>
    </w:p>
    <w:p w14:paraId="50B05CA2" w14:textId="77777777" w:rsidR="00000000" w:rsidRDefault="001A570A">
      <w:pPr>
        <w:ind w:firstLine="450"/>
        <w:divId w:val="213542665"/>
        <w:rPr>
          <w:rFonts w:eastAsia="Times New Roman"/>
        </w:rPr>
      </w:pPr>
      <w:r>
        <w:rPr>
          <w:rFonts w:eastAsia="Times New Roman"/>
          <w:i/>
          <w:iCs/>
          <w:color w:val="000000"/>
          <w:sz w:val="20"/>
          <w:szCs w:val="20"/>
        </w:rPr>
        <w:t xml:space="preserve">Airport Security and Automation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3: Business Divestitures and Asset Sales</w:t>
      </w:r>
      <w:r>
        <w:rPr>
          <w:rFonts w:eastAsia="Times New Roman"/>
          <w:color w:val="000000"/>
          <w:sz w:val="20"/>
          <w:szCs w:val="20"/>
        </w:rPr>
        <w:t xml:space="preserve"> in the Notes, we entered into a definitive agreement to sell our airport security and automation business on February 4, 2020 and completed the sale on May 4, 2020. Because the divestiture of the airport securi</w:t>
      </w:r>
      <w:r>
        <w:rPr>
          <w:rFonts w:eastAsia="Times New Roman"/>
          <w:color w:val="000000"/>
          <w:sz w:val="20"/>
          <w:szCs w:val="20"/>
        </w:rPr>
        <w:t>ty and automation business represented the disposal of a portion of a reporting unit within our Aviation Systems segment, we assigned $531 million of goodwill to the airport security and automation business disposal group on a relative fair value basis. In</w:t>
      </w:r>
      <w:r>
        <w:rPr>
          <w:rFonts w:eastAsia="Times New Roman"/>
          <w:color w:val="000000"/>
          <w:sz w:val="20"/>
          <w:szCs w:val="20"/>
        </w:rPr>
        <w:t xml:space="preserve"> conjunction with the relative fair value allocation, we tested goodwill assigned to the airport security and automation business disposal group and goodwill assigned to the retained businesses of the reporting unit for impairment and concluded that no goo</w:t>
      </w:r>
      <w:r>
        <w:rPr>
          <w:rFonts w:eastAsia="Times New Roman"/>
          <w:color w:val="000000"/>
          <w:sz w:val="20"/>
          <w:szCs w:val="20"/>
        </w:rPr>
        <w:t xml:space="preserve">dwill impairment existed at the time the held for sale criteria were met in late January 2020. </w:t>
      </w:r>
    </w:p>
    <w:p w14:paraId="18DE9F6D" w14:textId="77777777" w:rsidR="00000000" w:rsidRDefault="001A570A">
      <w:pPr>
        <w:ind w:firstLine="450"/>
        <w:divId w:val="1984000775"/>
        <w:rPr>
          <w:rFonts w:eastAsia="Times New Roman"/>
        </w:rPr>
      </w:pPr>
      <w:r>
        <w:rPr>
          <w:rFonts w:eastAsia="Times New Roman"/>
          <w:i/>
          <w:iCs/>
          <w:color w:val="000000"/>
          <w:sz w:val="20"/>
          <w:szCs w:val="20"/>
        </w:rPr>
        <w:t xml:space="preserve">EOTech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3: Business Divestitures and Asset Sales</w:t>
      </w:r>
      <w:r>
        <w:rPr>
          <w:rFonts w:eastAsia="Times New Roman"/>
          <w:color w:val="000000"/>
          <w:sz w:val="20"/>
          <w:szCs w:val="20"/>
        </w:rPr>
        <w:t xml:space="preserve"> in the Notes, we entered into a definitive agr</w:t>
      </w:r>
      <w:r>
        <w:rPr>
          <w:rFonts w:eastAsia="Times New Roman"/>
          <w:color w:val="000000"/>
          <w:sz w:val="20"/>
          <w:szCs w:val="20"/>
        </w:rPr>
        <w:t>eement to sell our EOTech business on March 20, 2020 and completed the sale on July 31, 2020. Because the divestiture of the EOTech business represented the disposal of a portion of a reporting unit within our Communication Systems segment, we assigned $9 </w:t>
      </w:r>
      <w:r>
        <w:rPr>
          <w:rFonts w:eastAsia="Times New Roman"/>
          <w:color w:val="000000"/>
          <w:sz w:val="20"/>
          <w:szCs w:val="20"/>
        </w:rPr>
        <w:t>million of goodwill to the EOTech business disposal group on a relative fair value basis. In conjunction with the relative fair value allocation, we tested goodwill assigned to the EOTech business disposal group and goodwill assigned to the retained busine</w:t>
      </w:r>
      <w:r>
        <w:rPr>
          <w:rFonts w:eastAsia="Times New Roman"/>
          <w:color w:val="000000"/>
          <w:sz w:val="20"/>
          <w:szCs w:val="20"/>
        </w:rPr>
        <w:t>sses of the reporting unit for impairment and concluded that no goodwill impairment existed.</w:t>
      </w:r>
    </w:p>
    <w:p w14:paraId="2F96D3A4" w14:textId="77777777" w:rsidR="00000000" w:rsidRDefault="001A570A">
      <w:pPr>
        <w:ind w:firstLine="450"/>
        <w:divId w:val="2066833361"/>
        <w:rPr>
          <w:rFonts w:eastAsia="Times New Roman"/>
        </w:rPr>
      </w:pPr>
      <w:r>
        <w:rPr>
          <w:rFonts w:eastAsia="Times New Roman"/>
          <w:i/>
          <w:iCs/>
          <w:color w:val="000000"/>
          <w:sz w:val="20"/>
          <w:szCs w:val="20"/>
        </w:rPr>
        <w:t>VSE Disposal Group Goodwill Allocation and Impairment</w:t>
      </w:r>
      <w:r>
        <w:rPr>
          <w:rFonts w:eastAsia="Times New Roman"/>
          <w:color w:val="000000"/>
          <w:sz w:val="20"/>
          <w:szCs w:val="20"/>
        </w:rPr>
        <w:t xml:space="preserve">. As described in more detail in </w:t>
      </w:r>
      <w:r>
        <w:rPr>
          <w:rFonts w:eastAsia="Times New Roman"/>
          <w:i/>
          <w:iCs/>
          <w:color w:val="000000"/>
          <w:sz w:val="20"/>
          <w:szCs w:val="20"/>
        </w:rPr>
        <w:t>Note 3: Business Divestitures and Asset Sales</w:t>
      </w:r>
      <w:r>
        <w:rPr>
          <w:rFonts w:eastAsia="Times New Roman"/>
          <w:color w:val="000000"/>
          <w:sz w:val="20"/>
          <w:szCs w:val="20"/>
        </w:rPr>
        <w:t xml:space="preserve"> in the Notes, during the second</w:t>
      </w:r>
      <w:r>
        <w:rPr>
          <w:rFonts w:eastAsia="Times New Roman"/>
          <w:color w:val="000000"/>
          <w:sz w:val="20"/>
          <w:szCs w:val="20"/>
        </w:rPr>
        <w:t xml:space="preserve"> quarter of fiscal 2020, we determined the criteria to be classified as held for sale were met with respect to certain portions of our Voice Switch Enterprise business that we planned to divest (“VSE disposal group”). The income before income taxes of the </w:t>
      </w:r>
      <w:r>
        <w:rPr>
          <w:rFonts w:eastAsia="Times New Roman"/>
          <w:color w:val="000000"/>
          <w:sz w:val="20"/>
          <w:szCs w:val="20"/>
        </w:rPr>
        <w:t>VSE disposal group was not material for fiscal 2020. Because the divestiture of the VSE disposal group represented the disposal of a portion of a reporting unit within our Aviation Systems segment, we assigned $14 million of goodwill to the VSE disposal gr</w:t>
      </w:r>
      <w:r>
        <w:rPr>
          <w:rFonts w:eastAsia="Times New Roman"/>
          <w:color w:val="000000"/>
          <w:sz w:val="20"/>
          <w:szCs w:val="20"/>
        </w:rPr>
        <w:t>oup on a relative fair value basis. In conjunction with the relative fair value allocation, we tested goodwill assigned to the VSE disposal group and goodwill assigned to the retained businesses of the reporting unit for impairment and concluded that goodw</w:t>
      </w:r>
      <w:r>
        <w:rPr>
          <w:rFonts w:eastAsia="Times New Roman"/>
          <w:color w:val="000000"/>
          <w:sz w:val="20"/>
          <w:szCs w:val="20"/>
        </w:rPr>
        <w:t>ill related to the VSE disposal group was impaired. As a result, we recorded a non-cash impairment charge of $14 million, which is included in the “Impairment of goodwill and other assets” line item in our Consolidated Statement of Income for fiscal 2020.</w:t>
      </w:r>
    </w:p>
    <w:p w14:paraId="48421983" w14:textId="77777777" w:rsidR="00000000" w:rsidRDefault="001A570A">
      <w:pPr>
        <w:ind w:firstLine="450"/>
        <w:divId w:val="1872450839"/>
        <w:rPr>
          <w:rFonts w:eastAsia="Times New Roman"/>
        </w:rPr>
      </w:pPr>
      <w:r>
        <w:rPr>
          <w:rFonts w:eastAsia="Times New Roman"/>
          <w:i/>
          <w:iCs/>
          <w:color w:val="000000"/>
          <w:sz w:val="20"/>
          <w:szCs w:val="20"/>
        </w:rPr>
        <w:t>Harris Night Vision Goodwill Allocation.</w:t>
      </w:r>
      <w:r>
        <w:rPr>
          <w:rFonts w:eastAsia="Times New Roman"/>
          <w:b/>
          <w:bCs/>
          <w:i/>
          <w:iCs/>
          <w:color w:val="000000"/>
          <w:sz w:val="20"/>
          <w:szCs w:val="20"/>
        </w:rPr>
        <w:t xml:space="preserve"> </w:t>
      </w:r>
      <w:r>
        <w:rPr>
          <w:rFonts w:eastAsia="Times New Roman"/>
          <w:color w:val="000000"/>
          <w:sz w:val="20"/>
          <w:szCs w:val="20"/>
        </w:rPr>
        <w:t xml:space="preserve">As described in more detail in </w:t>
      </w:r>
      <w:r>
        <w:rPr>
          <w:rFonts w:eastAsia="Times New Roman"/>
          <w:i/>
          <w:iCs/>
          <w:color w:val="000000"/>
          <w:sz w:val="20"/>
          <w:szCs w:val="20"/>
        </w:rPr>
        <w:t>Note 3: Business Divestitures and Asset Sales</w:t>
      </w:r>
      <w:r>
        <w:rPr>
          <w:rFonts w:eastAsia="Times New Roman"/>
          <w:color w:val="000000"/>
          <w:sz w:val="20"/>
          <w:szCs w:val="20"/>
        </w:rPr>
        <w:t xml:space="preserve"> in the Notes, we entered into a definitive agreement to sell the Harris Night Vision business on April 4, 2019 and completed the sale on S</w:t>
      </w:r>
      <w:r>
        <w:rPr>
          <w:rFonts w:eastAsia="Times New Roman"/>
          <w:color w:val="000000"/>
          <w:sz w:val="20"/>
          <w:szCs w:val="20"/>
        </w:rPr>
        <w:t>eptember 13, 2019. Because the divestiture of the Harris Night Vision business represented the disposal of a portion of a reporting unit within our former Communication System segment, we assigned $30 million of goodwill to the Harris Night Vision business</w:t>
      </w:r>
      <w:r>
        <w:rPr>
          <w:rFonts w:eastAsia="Times New Roman"/>
          <w:color w:val="000000"/>
          <w:sz w:val="20"/>
          <w:szCs w:val="20"/>
        </w:rPr>
        <w:t xml:space="preserve"> disposal group on a relative fair value basis. In conjunction with the relative fair value allocation, we tested goodwill assigned to the Harris Night Vision business disposal group and goodwill assigned to the retained businesses of the reporting unit fo</w:t>
      </w:r>
      <w:r>
        <w:rPr>
          <w:rFonts w:eastAsia="Times New Roman"/>
          <w:color w:val="000000"/>
          <w:sz w:val="20"/>
          <w:szCs w:val="20"/>
        </w:rPr>
        <w:t>r impairment and concluded that no goodwill impairment existed.</w:t>
      </w:r>
    </w:p>
    <w:p w14:paraId="2AD995C0" w14:textId="77777777" w:rsidR="00000000" w:rsidRDefault="001A570A">
      <w:pPr>
        <w:ind w:firstLine="450"/>
        <w:divId w:val="1897276370"/>
        <w:rPr>
          <w:rFonts w:eastAsia="Times New Roman"/>
        </w:rPr>
      </w:pPr>
      <w:r>
        <w:rPr>
          <w:rFonts w:eastAsia="Times New Roman"/>
          <w:color w:val="000000"/>
          <w:sz w:val="20"/>
          <w:szCs w:val="20"/>
        </w:rPr>
        <w:t>For purposes of allocating goodwill to the disposal groups above, we determined the fair value of each disposal group based on the respective negotiated selling price (or estimated net cash pr</w:t>
      </w:r>
      <w:r>
        <w:rPr>
          <w:rFonts w:eastAsia="Times New Roman"/>
          <w:color w:val="000000"/>
          <w:sz w:val="20"/>
          <w:szCs w:val="20"/>
        </w:rPr>
        <w:t>oceeds, in the case of no negotiated selling price), and the fair value of the retained businesses of the respective reporting unit based on a combination of market-based valuation techniques, utilizing quoted market prices and comparable publicly reported</w:t>
      </w:r>
      <w:r>
        <w:rPr>
          <w:rFonts w:eastAsia="Times New Roman"/>
          <w:color w:val="000000"/>
          <w:sz w:val="20"/>
          <w:szCs w:val="20"/>
        </w:rPr>
        <w:t xml:space="preserve"> transactions, and projected discounted cash flows. These fair value determinations are categorized as Level 3 in the fair value hierarchy due to their use of internal projections and unobservable measurement inputs. See </w:t>
      </w:r>
      <w:r>
        <w:rPr>
          <w:rFonts w:eastAsia="Times New Roman"/>
          <w:i/>
          <w:iCs/>
          <w:color w:val="000000"/>
          <w:sz w:val="20"/>
          <w:szCs w:val="20"/>
        </w:rPr>
        <w:t>Note 1: Significant Accounting Poli</w:t>
      </w:r>
      <w:r>
        <w:rPr>
          <w:rFonts w:eastAsia="Times New Roman"/>
          <w:i/>
          <w:iCs/>
          <w:color w:val="000000"/>
          <w:sz w:val="20"/>
          <w:szCs w:val="20"/>
        </w:rPr>
        <w:t>cies</w:t>
      </w:r>
      <w:r>
        <w:rPr>
          <w:rFonts w:eastAsia="Times New Roman"/>
          <w:color w:val="000000"/>
          <w:sz w:val="20"/>
          <w:szCs w:val="20"/>
        </w:rPr>
        <w:t xml:space="preserve"> in the Notes for additional information regarding the fair value hierarchy.</w:t>
      </w:r>
    </w:p>
    <w:p w14:paraId="7852B473" w14:textId="77777777" w:rsidR="00000000" w:rsidRDefault="001A570A">
      <w:pPr>
        <w:ind w:firstLine="450"/>
        <w:jc w:val="center"/>
        <w:divId w:val="880745766"/>
        <w:rPr>
          <w:rFonts w:eastAsia="Times New Roman"/>
        </w:rPr>
      </w:pPr>
      <w:r>
        <w:rPr>
          <w:rFonts w:eastAsia="Times New Roman"/>
          <w:color w:val="000000"/>
          <w:sz w:val="20"/>
          <w:szCs w:val="20"/>
        </w:rPr>
        <w:t>65</w:t>
      </w:r>
    </w:p>
    <w:p w14:paraId="17E1877B" w14:textId="77777777" w:rsidR="00000000" w:rsidRDefault="001A570A">
      <w:pPr>
        <w:rPr>
          <w:rFonts w:eastAsia="Times New Roman"/>
        </w:rPr>
      </w:pPr>
      <w:r>
        <w:rPr>
          <w:rFonts w:eastAsia="Times New Roman"/>
        </w:rPr>
        <w:pict w14:anchorId="4812FCF1">
          <v:rect id="_x0000_i1093" style="width:0;height:1.5pt" o:hralign="center" o:hrstd="t" o:hr="t" fillcolor="#a0a0a0" stroked="f"/>
        </w:pict>
      </w:r>
    </w:p>
    <w:p w14:paraId="42173C25" w14:textId="77777777" w:rsidR="00000000" w:rsidRDefault="001A570A">
      <w:pPr>
        <w:ind w:firstLine="450"/>
        <w:divId w:val="234701623"/>
        <w:rPr>
          <w:rFonts w:eastAsia="Times New Roman"/>
        </w:rPr>
      </w:pPr>
    </w:p>
    <w:p w14:paraId="106B35B4" w14:textId="77777777" w:rsidR="00000000" w:rsidRDefault="001A570A">
      <w:pPr>
        <w:ind w:firstLine="450"/>
        <w:divId w:val="1309169846"/>
        <w:rPr>
          <w:rFonts w:eastAsia="Times New Roman"/>
        </w:rPr>
      </w:pPr>
      <w:r>
        <w:rPr>
          <w:rFonts w:eastAsia="Times New Roman"/>
          <w:b/>
          <w:bCs/>
          <w:i/>
          <w:iCs/>
          <w:color w:val="000000"/>
          <w:sz w:val="20"/>
          <w:szCs w:val="20"/>
        </w:rPr>
        <w:t>Fiscal 2020 Impairment Tests.</w:t>
      </w:r>
      <w:r>
        <w:rPr>
          <w:rFonts w:eastAsia="Times New Roman"/>
          <w:i/>
          <w:iCs/>
          <w:color w:val="000000"/>
          <w:sz w:val="20"/>
          <w:szCs w:val="20"/>
        </w:rPr>
        <w:t xml:space="preserve"> </w:t>
      </w:r>
      <w:r>
        <w:rPr>
          <w:rFonts w:eastAsia="Times New Roman"/>
          <w:color w:val="000000"/>
          <w:sz w:val="20"/>
          <w:szCs w:val="20"/>
        </w:rPr>
        <w:t>We perform an annual impairment test of our goodwill as of the first day of our fourth quarter of each f</w:t>
      </w:r>
      <w:r>
        <w:rPr>
          <w:rFonts w:eastAsia="Times New Roman"/>
          <w:color w:val="000000"/>
          <w:sz w:val="20"/>
          <w:szCs w:val="20"/>
        </w:rPr>
        <w:t>iscal year, and more frequently if we believe indicators of impairment exist. Following our fiscal year end change, we made a corresponding change to our annual impairment assessment date and continued to perform our annual impairment test on the first day</w:t>
      </w:r>
      <w:r>
        <w:rPr>
          <w:rFonts w:eastAsia="Times New Roman"/>
          <w:color w:val="000000"/>
          <w:sz w:val="20"/>
          <w:szCs w:val="20"/>
        </w:rPr>
        <w:t xml:space="preserve"> of our fourth quarter, which for the Fiscal Transition Period was September 28, 2019 (the first day of the last quarter of the Fiscal Transition Period) and was October 3, 2020 for fiscal 2020. </w:t>
      </w:r>
    </w:p>
    <w:p w14:paraId="7BF80132" w14:textId="77777777" w:rsidR="00000000" w:rsidRDefault="001A570A">
      <w:pPr>
        <w:ind w:firstLine="450"/>
        <w:divId w:val="1541353723"/>
        <w:rPr>
          <w:rFonts w:eastAsia="Times New Roman"/>
        </w:rPr>
      </w:pPr>
      <w:r>
        <w:rPr>
          <w:rFonts w:eastAsia="Times New Roman"/>
          <w:color w:val="000000"/>
          <w:sz w:val="20"/>
          <w:szCs w:val="20"/>
        </w:rPr>
        <w:t>We test goodwill for impairment at a level within the Compan</w:t>
      </w:r>
      <w:r>
        <w:rPr>
          <w:rFonts w:eastAsia="Times New Roman"/>
          <w:color w:val="000000"/>
          <w:sz w:val="20"/>
          <w:szCs w:val="20"/>
        </w:rPr>
        <w:t>y referred to as the reporting unit, which is our business segment level or one level below the business segment. Some of our segments are comprised of several reporting units. Allocation of goodwill to several reporting units could make it more likely tha</w:t>
      </w:r>
      <w:r>
        <w:rPr>
          <w:rFonts w:eastAsia="Times New Roman"/>
          <w:color w:val="000000"/>
          <w:sz w:val="20"/>
          <w:szCs w:val="20"/>
        </w:rPr>
        <w:t>t we will have an impairment charge in the future. An impairment charge to one of our reporting units could have a material impact on our financial condition and results of operations.</w:t>
      </w:r>
    </w:p>
    <w:p w14:paraId="7452CDF4" w14:textId="77777777" w:rsidR="00000000" w:rsidRDefault="001A570A">
      <w:pPr>
        <w:ind w:firstLine="450"/>
        <w:divId w:val="413162399"/>
        <w:rPr>
          <w:rFonts w:eastAsia="Times New Roman"/>
        </w:rPr>
      </w:pPr>
      <w:r>
        <w:rPr>
          <w:rFonts w:eastAsia="Times New Roman"/>
          <w:color w:val="000000"/>
          <w:sz w:val="20"/>
          <w:szCs w:val="20"/>
        </w:rPr>
        <w:t>The process of evaluating the potential impairment of goodwill is highl</w:t>
      </w:r>
      <w:r>
        <w:rPr>
          <w:rFonts w:eastAsia="Times New Roman"/>
          <w:color w:val="000000"/>
          <w:sz w:val="20"/>
          <w:szCs w:val="20"/>
        </w:rPr>
        <w:t>y subjective and requires significant judgment. To test goodwill for impairment, we may perform both qualitative and quantitative assessments. If we elect to perform a qualitative assessment for a certain reporting unit, we evaluate events and circumstance</w:t>
      </w:r>
      <w:r>
        <w:rPr>
          <w:rFonts w:eastAsia="Times New Roman"/>
          <w:color w:val="000000"/>
          <w:sz w:val="20"/>
          <w:szCs w:val="20"/>
        </w:rPr>
        <w:t xml:space="preserve">s impacting the reporting unit to determine the probability that goodwill is impaired. If we determine it is more-likely-than-not that the fair value of the reporting unit is less than its carrying amount, we perform a quantitative assessment. </w:t>
      </w:r>
    </w:p>
    <w:p w14:paraId="27B3EDF9" w14:textId="77777777" w:rsidR="00000000" w:rsidRDefault="001A570A">
      <w:pPr>
        <w:ind w:firstLine="450"/>
        <w:divId w:val="230506559"/>
        <w:rPr>
          <w:rFonts w:eastAsia="Times New Roman"/>
        </w:rPr>
      </w:pPr>
      <w:r>
        <w:rPr>
          <w:rFonts w:eastAsia="Times New Roman"/>
          <w:color w:val="000000"/>
          <w:sz w:val="20"/>
          <w:szCs w:val="20"/>
        </w:rPr>
        <w:t>Our qualita</w:t>
      </w:r>
      <w:r>
        <w:rPr>
          <w:rFonts w:eastAsia="Times New Roman"/>
          <w:color w:val="000000"/>
          <w:sz w:val="20"/>
          <w:szCs w:val="20"/>
        </w:rPr>
        <w:t>tive assessment of the recoverability of goodwill, whether performed annually or based on specific events or circumstances, considers various macroeconomic, industry-specific and company-specific factors. These factors include: (i) deterioration in the gen</w:t>
      </w:r>
      <w:r>
        <w:rPr>
          <w:rFonts w:eastAsia="Times New Roman"/>
          <w:color w:val="000000"/>
          <w:sz w:val="20"/>
          <w:szCs w:val="20"/>
        </w:rPr>
        <w:t>eral economy; (ii) deterioration in the environment in which the company operates; (iii) increase in raw materials, labor or other costs; (iv) negative or declining cash flows; (v) changes in management, changes in strategy, or significant litigation; (vi)</w:t>
      </w:r>
      <w:r>
        <w:rPr>
          <w:rFonts w:eastAsia="Times New Roman"/>
          <w:color w:val="000000"/>
          <w:sz w:val="20"/>
          <w:szCs w:val="20"/>
        </w:rPr>
        <w:t xml:space="preserve"> change in the composition or carrying amount of net assets or an expectation of disposing all or a portion of the reporting unit; or (vii) a sustained decrease in share price. </w:t>
      </w:r>
    </w:p>
    <w:p w14:paraId="3CBD2553" w14:textId="77777777" w:rsidR="00000000" w:rsidRDefault="001A570A">
      <w:pPr>
        <w:ind w:firstLine="450"/>
        <w:divId w:val="1084909944"/>
        <w:rPr>
          <w:rFonts w:eastAsia="Times New Roman"/>
        </w:rPr>
      </w:pPr>
      <w:r>
        <w:rPr>
          <w:rFonts w:eastAsia="Times New Roman"/>
          <w:color w:val="000000"/>
          <w:sz w:val="20"/>
          <w:szCs w:val="20"/>
        </w:rPr>
        <w:t>If we perform a quantitative assessment for a certain reporting unit, we calcu</w:t>
      </w:r>
      <w:r>
        <w:rPr>
          <w:rFonts w:eastAsia="Times New Roman"/>
          <w:color w:val="000000"/>
          <w:sz w:val="20"/>
          <w:szCs w:val="20"/>
        </w:rPr>
        <w:t>late the fair value of that reporting unit and compare the fair value to the reporting unit’s net book value. We estimate fair values of our reporting units based on projected cash flows, and sales and/or earnings multiples applied to the latest twelve mon</w:t>
      </w:r>
      <w:r>
        <w:rPr>
          <w:rFonts w:eastAsia="Times New Roman"/>
          <w:color w:val="000000"/>
          <w:sz w:val="20"/>
          <w:szCs w:val="20"/>
        </w:rPr>
        <w:t>ths’ sales and earnings of our reporting units. Projected cash flows are based on our best estimate of future sales, operating costs and balance sheet metrics reflecting our view of the financial and market conditions of the underlying business; and the re</w:t>
      </w:r>
      <w:r>
        <w:rPr>
          <w:rFonts w:eastAsia="Times New Roman"/>
          <w:color w:val="000000"/>
          <w:sz w:val="20"/>
          <w:szCs w:val="20"/>
        </w:rPr>
        <w:t xml:space="preserve">sulting cash flows are discounted using an appropriate discount rate that reflects the risk in the forecasted cash flows. The sales and earnings multiples applied to the sales and earnings of our reporting units are based on current multiples of sales and </w:t>
      </w:r>
      <w:r>
        <w:rPr>
          <w:rFonts w:eastAsia="Times New Roman"/>
          <w:color w:val="000000"/>
          <w:sz w:val="20"/>
          <w:szCs w:val="20"/>
        </w:rPr>
        <w:t>earnings for similar businesses, and based on sales and earnings multiples paid for recent acquisitions of similar businesses made in the marketplace. We then assess whether any implied control premium, based on a comparison of fair value based purely on o</w:t>
      </w:r>
      <w:r>
        <w:rPr>
          <w:rFonts w:eastAsia="Times New Roman"/>
          <w:color w:val="000000"/>
          <w:sz w:val="20"/>
          <w:szCs w:val="20"/>
        </w:rPr>
        <w:t>ur stock price and outstanding shares with fair value determined by using all of the above-described models, is reasonable.</w:t>
      </w:r>
    </w:p>
    <w:p w14:paraId="3F4DC003" w14:textId="77777777" w:rsidR="00000000" w:rsidRDefault="001A570A">
      <w:pPr>
        <w:ind w:firstLine="450"/>
        <w:divId w:val="1503086985"/>
        <w:rPr>
          <w:rFonts w:eastAsia="Times New Roman"/>
        </w:rPr>
      </w:pPr>
      <w:r>
        <w:rPr>
          <w:rFonts w:eastAsia="Times New Roman"/>
          <w:color w:val="000000"/>
          <w:sz w:val="20"/>
          <w:szCs w:val="20"/>
        </w:rPr>
        <w:t>Indications of potential impairment of goodwill related to our Commercial Aviation Solutions reporting unit (which is part of our Av</w:t>
      </w:r>
      <w:r>
        <w:rPr>
          <w:rFonts w:eastAsia="Times New Roman"/>
          <w:color w:val="000000"/>
          <w:sz w:val="20"/>
          <w:szCs w:val="20"/>
        </w:rPr>
        <w:t>iation Systems segment) were present at April 3, 2020 due to COVID and its impact on global air traffic and customer operations, resulting in a decrease in fiscal 2020 outlook for the reporting unit, which we considered to be a triggering event requiring a</w:t>
      </w:r>
      <w:r>
        <w:rPr>
          <w:rFonts w:eastAsia="Times New Roman"/>
          <w:color w:val="000000"/>
          <w:sz w:val="20"/>
          <w:szCs w:val="20"/>
        </w:rPr>
        <w:t>n interim impairment test. Consequently, in connection with the preparation of our financial statements for the quarter ended April 3, 2020, we performed a quantitative impairment test. To test for potential impairment of goodwill related to our Commercial</w:t>
      </w:r>
      <w:r>
        <w:rPr>
          <w:rFonts w:eastAsia="Times New Roman"/>
          <w:color w:val="000000"/>
          <w:sz w:val="20"/>
          <w:szCs w:val="20"/>
        </w:rPr>
        <w:t xml:space="preserve"> Aviation Solutions reporting unit, we prepared an estimate of the fair value of the reporting unit based on a combination of market-based valuation techniques, utilizing quoted market prices and comparable publicly reported transactions, and projected dis</w:t>
      </w:r>
      <w:r>
        <w:rPr>
          <w:rFonts w:eastAsia="Times New Roman"/>
          <w:color w:val="000000"/>
          <w:sz w:val="20"/>
          <w:szCs w:val="20"/>
        </w:rPr>
        <w:t>counted cash flows. Given the level of uncertainty in the outlook for the commercial aviation industry caused by the impact of COVID on global air traffic, our methodology for determining the fair value of the reporting unit placed the greatest weight on t</w:t>
      </w:r>
      <w:r>
        <w:rPr>
          <w:rFonts w:eastAsia="Times New Roman"/>
          <w:color w:val="000000"/>
          <w:sz w:val="20"/>
          <w:szCs w:val="20"/>
        </w:rPr>
        <w:t>he expected fair value technique, and was dependent on our best estimates of future sales, operating costs and balance sheet metrics under a range of scenarios for future economic conditions. We assigned a probability to each scenario to calculate a set of</w:t>
      </w:r>
      <w:r>
        <w:rPr>
          <w:rFonts w:eastAsia="Times New Roman"/>
          <w:color w:val="000000"/>
          <w:sz w:val="20"/>
          <w:szCs w:val="20"/>
        </w:rPr>
        <w:t xml:space="preserve"> probability-weighted projected cash flows, and an appropriate discount rate reflecting the risk in the projected cash flows was used to discount the expected cash flows to present value.</w:t>
      </w:r>
    </w:p>
    <w:p w14:paraId="24CC0B48" w14:textId="77777777" w:rsidR="00000000" w:rsidRDefault="001A570A">
      <w:pPr>
        <w:ind w:firstLine="450"/>
        <w:divId w:val="803162336"/>
        <w:rPr>
          <w:rFonts w:eastAsia="Times New Roman"/>
        </w:rPr>
      </w:pPr>
      <w:r>
        <w:rPr>
          <w:rFonts w:eastAsia="Times New Roman"/>
          <w:color w:val="000000"/>
          <w:sz w:val="20"/>
          <w:szCs w:val="20"/>
        </w:rPr>
        <w:t>As a result of this impairment test, we concluded that goodwill rela</w:t>
      </w:r>
      <w:r>
        <w:rPr>
          <w:rFonts w:eastAsia="Times New Roman"/>
          <w:color w:val="000000"/>
          <w:sz w:val="20"/>
          <w:szCs w:val="20"/>
        </w:rPr>
        <w:t xml:space="preserve">ted to our Commercial Aviation Solutions reporting unit was impaired as of April 3, 2020 and recorded non-cash goodwill impairment charges of $296 million in the first quarter of 2020. </w:t>
      </w:r>
    </w:p>
    <w:p w14:paraId="42D99AFA" w14:textId="77777777" w:rsidR="00000000" w:rsidRDefault="001A570A">
      <w:pPr>
        <w:ind w:firstLine="450"/>
        <w:divId w:val="1777015903"/>
        <w:rPr>
          <w:rFonts w:eastAsia="Times New Roman"/>
        </w:rPr>
      </w:pPr>
      <w:r>
        <w:rPr>
          <w:rFonts w:eastAsia="Times New Roman"/>
          <w:color w:val="000000"/>
          <w:sz w:val="20"/>
          <w:szCs w:val="20"/>
        </w:rPr>
        <w:t>As adverse global economic and market conditions attributable to COVID</w:t>
      </w:r>
      <w:r>
        <w:rPr>
          <w:rFonts w:eastAsia="Times New Roman"/>
          <w:color w:val="000000"/>
          <w:sz w:val="20"/>
          <w:szCs w:val="20"/>
        </w:rPr>
        <w:t>, including projected declines and subsequent recovery in commercial air traffic and original equipment manufacturer production volumes, continued to develop during fiscal 2020, we continued to monitor for facts and circumstances that could negatively impa</w:t>
      </w:r>
      <w:r>
        <w:rPr>
          <w:rFonts w:eastAsia="Times New Roman"/>
          <w:color w:val="000000"/>
          <w:sz w:val="20"/>
          <w:szCs w:val="20"/>
        </w:rPr>
        <w:t>ct key valuation assumptions in determining the fair value of our Commercial Aviation Solutions reporting unit, including recent valuations, expectations regarding the timing of a return to pre-COVID commercial flight activity and the associated level of u</w:t>
      </w:r>
      <w:r>
        <w:rPr>
          <w:rFonts w:eastAsia="Times New Roman"/>
          <w:color w:val="000000"/>
          <w:sz w:val="20"/>
          <w:szCs w:val="20"/>
        </w:rPr>
        <w:t>ncertainty, long-term revenue and profitability projections, discount rates and general industry, market and macroeconomic conditions. As a result, we determined indications of further impairment of assets related to our Commercial Aviation Solutions repor</w:t>
      </w:r>
      <w:r>
        <w:rPr>
          <w:rFonts w:eastAsia="Times New Roman"/>
          <w:color w:val="000000"/>
          <w:sz w:val="20"/>
          <w:szCs w:val="20"/>
        </w:rPr>
        <w:t>ting unit existed as of July 3, 2020 and again as of early December 2020 and recorded $54 million and $368 million of additional non-cash charges for the impairment of goodwill and other assets during the second and fourth quarters of 2020, respectively. T</w:t>
      </w:r>
      <w:r>
        <w:rPr>
          <w:rFonts w:eastAsia="Times New Roman"/>
          <w:color w:val="000000"/>
          <w:sz w:val="20"/>
          <w:szCs w:val="20"/>
        </w:rPr>
        <w:t xml:space="preserve">hese charges are included in the “Impairment of goodwill and other assets” line item in our Consolidated Statement of Income for fiscal 2020 and are primarily not deductible for </w:t>
      </w:r>
    </w:p>
    <w:p w14:paraId="311B5026" w14:textId="77777777" w:rsidR="00000000" w:rsidRDefault="001A570A">
      <w:pPr>
        <w:ind w:firstLine="450"/>
        <w:jc w:val="center"/>
        <w:divId w:val="1981494759"/>
        <w:rPr>
          <w:rFonts w:eastAsia="Times New Roman"/>
        </w:rPr>
      </w:pPr>
      <w:r>
        <w:rPr>
          <w:rFonts w:eastAsia="Times New Roman"/>
          <w:color w:val="000000"/>
          <w:sz w:val="20"/>
          <w:szCs w:val="20"/>
        </w:rPr>
        <w:t>66</w:t>
      </w:r>
    </w:p>
    <w:p w14:paraId="7FDE87C9" w14:textId="77777777" w:rsidR="00000000" w:rsidRDefault="001A570A">
      <w:pPr>
        <w:rPr>
          <w:rFonts w:eastAsia="Times New Roman"/>
        </w:rPr>
      </w:pPr>
      <w:r>
        <w:rPr>
          <w:rFonts w:eastAsia="Times New Roman"/>
        </w:rPr>
        <w:pict w14:anchorId="1B7E947A">
          <v:rect id="_x0000_i1094" style="width:0;height:1.5pt" o:hralign="center" o:hrstd="t" o:hr="t" fillcolor="#a0a0a0" stroked="f"/>
        </w:pict>
      </w:r>
    </w:p>
    <w:p w14:paraId="170C1CE3" w14:textId="77777777" w:rsidR="00000000" w:rsidRDefault="001A570A">
      <w:pPr>
        <w:ind w:firstLine="450"/>
        <w:divId w:val="1792742721"/>
        <w:rPr>
          <w:rFonts w:eastAsia="Times New Roman"/>
        </w:rPr>
      </w:pPr>
    </w:p>
    <w:p w14:paraId="46BCF579" w14:textId="77777777" w:rsidR="00000000" w:rsidRDefault="001A570A">
      <w:pPr>
        <w:divId w:val="430509674"/>
        <w:rPr>
          <w:rFonts w:eastAsia="Times New Roman"/>
        </w:rPr>
      </w:pPr>
      <w:r>
        <w:rPr>
          <w:rFonts w:eastAsia="Times New Roman"/>
          <w:color w:val="000000"/>
          <w:sz w:val="20"/>
          <w:szCs w:val="20"/>
        </w:rPr>
        <w:t>tax purposes.</w:t>
      </w:r>
    </w:p>
    <w:p w14:paraId="5A2207F6" w14:textId="77777777" w:rsidR="00000000" w:rsidRDefault="001A570A">
      <w:pPr>
        <w:ind w:firstLine="450"/>
        <w:divId w:val="1975207876"/>
        <w:rPr>
          <w:rFonts w:eastAsia="Times New Roman"/>
        </w:rPr>
      </w:pPr>
      <w:r>
        <w:rPr>
          <w:rFonts w:eastAsia="Times New Roman"/>
          <w:color w:val="000000"/>
          <w:sz w:val="20"/>
          <w:szCs w:val="20"/>
        </w:rPr>
        <w:t xml:space="preserve">We also performed our </w:t>
      </w:r>
      <w:r>
        <w:rPr>
          <w:rFonts w:eastAsia="Times New Roman"/>
          <w:color w:val="000000"/>
          <w:sz w:val="20"/>
          <w:szCs w:val="20"/>
        </w:rPr>
        <w:t>annual impairment test of all of our other reporting units goodwill as of October 3, 2020 and concluded that the estimated fair values for each of our other reporting units exceeded their carrying values by greater than 10 percent. As of January 1, 2021, t</w:t>
      </w:r>
      <w:r>
        <w:rPr>
          <w:rFonts w:eastAsia="Times New Roman"/>
          <w:color w:val="000000"/>
          <w:sz w:val="20"/>
          <w:szCs w:val="20"/>
        </w:rPr>
        <w:t xml:space="preserve">he Commercial Aviation Solutions reporting unit has $847 million of goodwill and the estimated fair value approximates the carrying value of the reporting unit. </w:t>
      </w:r>
    </w:p>
    <w:p w14:paraId="66983C82" w14:textId="77777777" w:rsidR="00000000" w:rsidRDefault="001A570A">
      <w:pPr>
        <w:ind w:firstLine="450"/>
        <w:divId w:val="1395591164"/>
        <w:rPr>
          <w:rFonts w:eastAsia="Times New Roman"/>
        </w:rPr>
      </w:pPr>
      <w:r>
        <w:rPr>
          <w:rFonts w:eastAsia="Times New Roman"/>
          <w:color w:val="000000"/>
          <w:sz w:val="20"/>
          <w:szCs w:val="20"/>
        </w:rPr>
        <w:t xml:space="preserve">We are continuing to monitor the impacts of COVID on the fair value of our reporting units and do not currently anticipate any further material goodwill impairment charges as a result of COVID. However, an impairment of goodwill could result from a number </w:t>
      </w:r>
      <w:r>
        <w:rPr>
          <w:rFonts w:eastAsia="Times New Roman"/>
          <w:color w:val="000000"/>
          <w:sz w:val="20"/>
          <w:szCs w:val="20"/>
        </w:rPr>
        <w:t>of circumstances, including different assumptions used in determining the fair value of the reporting units, future deterioration in the business, including from the impact of COVID, or a sharp increase in interest rates without a corresponding increase in</w:t>
      </w:r>
      <w:r>
        <w:rPr>
          <w:rFonts w:eastAsia="Times New Roman"/>
          <w:color w:val="000000"/>
          <w:sz w:val="20"/>
          <w:szCs w:val="20"/>
        </w:rPr>
        <w:t xml:space="preserve"> future revenue.</w:t>
      </w:r>
    </w:p>
    <w:p w14:paraId="795646C0" w14:textId="77777777" w:rsidR="00000000" w:rsidRDefault="001A570A">
      <w:pPr>
        <w:ind w:firstLine="450"/>
        <w:divId w:val="1491944656"/>
        <w:rPr>
          <w:rFonts w:eastAsia="Times New Roman"/>
        </w:rPr>
      </w:pPr>
      <w:r>
        <w:rPr>
          <w:rFonts w:eastAsia="Times New Roman"/>
          <w:color w:val="000000"/>
          <w:sz w:val="20"/>
          <w:szCs w:val="20"/>
        </w:rPr>
        <w:t xml:space="preserve">See </w:t>
      </w:r>
      <w:r>
        <w:rPr>
          <w:rFonts w:eastAsia="Times New Roman"/>
          <w:i/>
          <w:iCs/>
          <w:color w:val="000000"/>
          <w:sz w:val="20"/>
          <w:szCs w:val="20"/>
        </w:rPr>
        <w:t>Note 10: Goodwill</w:t>
      </w:r>
      <w:r>
        <w:rPr>
          <w:rFonts w:eastAsia="Times New Roman"/>
          <w:color w:val="000000"/>
          <w:sz w:val="20"/>
          <w:szCs w:val="20"/>
        </w:rPr>
        <w:t xml:space="preserve"> in the Notes for additional information. </w:t>
      </w:r>
    </w:p>
    <w:p w14:paraId="7DE539CB" w14:textId="77777777" w:rsidR="00000000" w:rsidRDefault="001A570A">
      <w:pPr>
        <w:divId w:val="138965783"/>
        <w:rPr>
          <w:rFonts w:eastAsia="Times New Roman"/>
        </w:rPr>
      </w:pPr>
      <w:r>
        <w:rPr>
          <w:rFonts w:eastAsia="Times New Roman"/>
          <w:b/>
          <w:bCs/>
          <w:color w:val="000000"/>
          <w:sz w:val="20"/>
          <w:szCs w:val="20"/>
        </w:rPr>
        <w:t>Accounting for Business Combinations</w:t>
      </w:r>
    </w:p>
    <w:p w14:paraId="5DE71F4C" w14:textId="77777777" w:rsidR="00000000" w:rsidRDefault="001A570A">
      <w:pPr>
        <w:ind w:firstLine="450"/>
        <w:divId w:val="1834877023"/>
        <w:rPr>
          <w:rFonts w:eastAsia="Times New Roman"/>
        </w:rPr>
      </w:pPr>
      <w:r>
        <w:rPr>
          <w:rFonts w:eastAsia="Times New Roman"/>
          <w:color w:val="000000"/>
          <w:sz w:val="20"/>
          <w:szCs w:val="20"/>
        </w:rPr>
        <w:t>We follow the acquisition method of accounting to record identifiable assets acquired, liabilities assumed and noncontrolling interests re</w:t>
      </w:r>
      <w:r>
        <w:rPr>
          <w:rFonts w:eastAsia="Times New Roman"/>
          <w:color w:val="000000"/>
          <w:sz w:val="20"/>
          <w:szCs w:val="20"/>
        </w:rPr>
        <w:t>cognized in connection with acquired businesses at their estimated fair value as of the date of acquisition.</w:t>
      </w:r>
    </w:p>
    <w:p w14:paraId="06A89EE0" w14:textId="77777777" w:rsidR="00000000" w:rsidRDefault="001A570A">
      <w:pPr>
        <w:ind w:firstLine="450"/>
        <w:divId w:val="1350524042"/>
        <w:rPr>
          <w:rFonts w:eastAsia="Times New Roman"/>
        </w:rPr>
      </w:pPr>
      <w:r>
        <w:rPr>
          <w:rFonts w:eastAsia="Times New Roman"/>
          <w:color w:val="000000"/>
          <w:sz w:val="20"/>
          <w:szCs w:val="20"/>
        </w:rPr>
        <w:t>Identifiable intangible assets from business combinations are recognized at their estimated fair values as of the date of acquisition and generally</w:t>
      </w:r>
      <w:r>
        <w:rPr>
          <w:rFonts w:eastAsia="Times New Roman"/>
          <w:color w:val="000000"/>
          <w:sz w:val="20"/>
          <w:szCs w:val="20"/>
        </w:rPr>
        <w:t xml:space="preserve"> consist of customer relationships, trade names, developed technology and in-process R&amp;D. Determination of the estimated fair value of identifiable intangible assets requires judgment. The fair value of customer contractual relationships is determined base</w:t>
      </w:r>
      <w:r>
        <w:rPr>
          <w:rFonts w:eastAsia="Times New Roman"/>
          <w:color w:val="000000"/>
          <w:sz w:val="20"/>
          <w:szCs w:val="20"/>
        </w:rPr>
        <w:t>d on estimates and judgments regarding future after-tax earnings and cash flows arising from follow-on sales on contract renewals expected from customer contractual relationships over their estimated lives, including the probability of expected future cont</w:t>
      </w:r>
      <w:r>
        <w:rPr>
          <w:rFonts w:eastAsia="Times New Roman"/>
          <w:color w:val="000000"/>
          <w:sz w:val="20"/>
          <w:szCs w:val="20"/>
        </w:rPr>
        <w:t>ract renewals and sales, less a contributory asset charge, all of which is discounted to present value. The fair value of trade name identifiable intangible assets is determined utilizing the relief from royalty method. Under this form of the income approa</w:t>
      </w:r>
      <w:r>
        <w:rPr>
          <w:rFonts w:eastAsia="Times New Roman"/>
          <w:color w:val="000000"/>
          <w:sz w:val="20"/>
          <w:szCs w:val="20"/>
        </w:rPr>
        <w:t>ch, a royalty rate based on observed market royalties is applied to projected revenue supporting the trade name and discounted to present value using an appropriate discount rate. Identifiable intangible assets deemed to have indefinite lives are not amort</w:t>
      </w:r>
      <w:r>
        <w:rPr>
          <w:rFonts w:eastAsia="Times New Roman"/>
          <w:color w:val="000000"/>
          <w:sz w:val="20"/>
          <w:szCs w:val="20"/>
        </w:rPr>
        <w:t>ized, but are subject to annual impairment testing. Finite-lived identifiable intangible assets are amortized to expense over their useful lives, generally ranging from three to twenty years. The fair value of identifiable intangible assets acquired in con</w:t>
      </w:r>
      <w:r>
        <w:rPr>
          <w:rFonts w:eastAsia="Times New Roman"/>
          <w:color w:val="000000"/>
          <w:sz w:val="20"/>
          <w:szCs w:val="20"/>
        </w:rPr>
        <w:t xml:space="preserve">nection with the L3Harris Merger was $8.5 billion. </w:t>
      </w:r>
    </w:p>
    <w:p w14:paraId="0DE398F2" w14:textId="77777777" w:rsidR="00000000" w:rsidRDefault="001A570A">
      <w:pPr>
        <w:ind w:firstLine="450"/>
        <w:divId w:val="781535692"/>
        <w:rPr>
          <w:rFonts w:eastAsia="Times New Roman"/>
        </w:rPr>
      </w:pPr>
      <w:r>
        <w:rPr>
          <w:rFonts w:eastAsia="Times New Roman"/>
          <w:color w:val="000000"/>
          <w:sz w:val="20"/>
          <w:szCs w:val="20"/>
        </w:rPr>
        <w:t>We assess the recoverability of finite-lived identifiable intangible assets whenever events or changes in circumstances indicate the carrying amount of the assets may not be recoverable. We evaluate the r</w:t>
      </w:r>
      <w:r>
        <w:rPr>
          <w:rFonts w:eastAsia="Times New Roman"/>
          <w:color w:val="000000"/>
          <w:sz w:val="20"/>
          <w:szCs w:val="20"/>
        </w:rPr>
        <w:t>ecoverability of such assets based on the expectations of undiscounted cash flows of the assets. If the sum of expected future undiscounted cash flows were less than the carrying amount of the asset, a loss would be recognized for the difference between th</w:t>
      </w:r>
      <w:r>
        <w:rPr>
          <w:rFonts w:eastAsia="Times New Roman"/>
          <w:color w:val="000000"/>
          <w:sz w:val="20"/>
          <w:szCs w:val="20"/>
        </w:rPr>
        <w:t xml:space="preserve">e fair value and the carrying amount. See </w:t>
      </w:r>
      <w:r>
        <w:rPr>
          <w:rFonts w:eastAsia="Times New Roman"/>
          <w:i/>
          <w:iCs/>
          <w:color w:val="000000"/>
          <w:sz w:val="20"/>
          <w:szCs w:val="20"/>
        </w:rPr>
        <w:t>Note 5: Business Combination</w:t>
      </w:r>
      <w:r>
        <w:rPr>
          <w:rFonts w:eastAsia="Times New Roman"/>
          <w:color w:val="000000"/>
          <w:sz w:val="20"/>
          <w:szCs w:val="20"/>
        </w:rPr>
        <w:t xml:space="preserve"> and </w:t>
      </w:r>
      <w:r>
        <w:rPr>
          <w:rFonts w:eastAsia="Times New Roman"/>
          <w:i/>
          <w:iCs/>
          <w:color w:val="000000"/>
          <w:sz w:val="20"/>
          <w:szCs w:val="20"/>
        </w:rPr>
        <w:t>Note 11: Intangible Assets</w:t>
      </w:r>
      <w:r>
        <w:rPr>
          <w:rFonts w:eastAsia="Times New Roman"/>
          <w:color w:val="000000"/>
          <w:sz w:val="20"/>
          <w:szCs w:val="20"/>
        </w:rPr>
        <w:t xml:space="preserve"> in the Notes for additional information. </w:t>
      </w:r>
    </w:p>
    <w:p w14:paraId="6F6F3DC6" w14:textId="77777777" w:rsidR="00000000" w:rsidRDefault="001A570A">
      <w:pPr>
        <w:divId w:val="1097360324"/>
        <w:rPr>
          <w:rFonts w:eastAsia="Times New Roman"/>
        </w:rPr>
      </w:pPr>
      <w:r>
        <w:rPr>
          <w:rFonts w:eastAsia="Times New Roman"/>
          <w:b/>
          <w:bCs/>
          <w:color w:val="000000"/>
          <w:sz w:val="20"/>
          <w:szCs w:val="20"/>
        </w:rPr>
        <w:t xml:space="preserve">Income Taxes </w:t>
      </w:r>
    </w:p>
    <w:p w14:paraId="19A1C82C" w14:textId="77777777" w:rsidR="00000000" w:rsidRDefault="001A570A">
      <w:pPr>
        <w:ind w:firstLine="450"/>
        <w:divId w:val="2103602268"/>
        <w:rPr>
          <w:rFonts w:eastAsia="Times New Roman"/>
        </w:rPr>
      </w:pPr>
      <w:r>
        <w:rPr>
          <w:rFonts w:eastAsia="Times New Roman"/>
          <w:color w:val="000000"/>
          <w:sz w:val="20"/>
          <w:szCs w:val="20"/>
        </w:rPr>
        <w:t xml:space="preserve">We record the estimated future tax effects of temporary differences between the tax basis of assets and liabilities and amounts reported in our Consolidated Balance Sheet, as well as operating loss and tax credit carryforwards. We follow very specific and </w:t>
      </w:r>
      <w:r>
        <w:rPr>
          <w:rFonts w:eastAsia="Times New Roman"/>
          <w:color w:val="000000"/>
          <w:sz w:val="20"/>
          <w:szCs w:val="20"/>
        </w:rPr>
        <w:t xml:space="preserve">detailed guidelines in each tax jurisdiction regarding the recoverability of any tax assets recorded on the balance sheet and provide necessary valuation allowances as required. Future realization of deferred tax assets ultimately depends on the existence </w:t>
      </w:r>
      <w:r>
        <w:rPr>
          <w:rFonts w:eastAsia="Times New Roman"/>
          <w:color w:val="000000"/>
          <w:sz w:val="20"/>
          <w:szCs w:val="20"/>
        </w:rPr>
        <w:t>of sufficient taxable income of the appropriate character (for example, ordinary income or capital gain) within the carryback or carryforward periods available under the tax law. We regularly review our deferred tax assets for recoverability based on histo</w:t>
      </w:r>
      <w:r>
        <w:rPr>
          <w:rFonts w:eastAsia="Times New Roman"/>
          <w:color w:val="000000"/>
          <w:sz w:val="20"/>
          <w:szCs w:val="20"/>
        </w:rPr>
        <w:t>rical taxable income, projected future taxable income, the expected timing of the reversals of existing temporary differences and tax planning strategies. We have not made any material changes in the methodologies used to determine our tax valuation allowa</w:t>
      </w:r>
      <w:r>
        <w:rPr>
          <w:rFonts w:eastAsia="Times New Roman"/>
          <w:color w:val="000000"/>
          <w:sz w:val="20"/>
          <w:szCs w:val="20"/>
        </w:rPr>
        <w:t>nces during fiscal 2020, the Fiscal Transition Period or the previous two fiscal years.</w:t>
      </w:r>
    </w:p>
    <w:p w14:paraId="6E89018B" w14:textId="77777777" w:rsidR="00000000" w:rsidRDefault="001A570A">
      <w:pPr>
        <w:ind w:firstLine="450"/>
        <w:divId w:val="1089237630"/>
        <w:rPr>
          <w:rFonts w:eastAsia="Times New Roman"/>
        </w:rPr>
      </w:pPr>
      <w:r>
        <w:rPr>
          <w:rFonts w:eastAsia="Times New Roman"/>
          <w:color w:val="000000"/>
          <w:sz w:val="20"/>
          <w:szCs w:val="20"/>
        </w:rPr>
        <w:t>Our Consolidated Balance Sheet as of January 1, 2021 included deferred tax assets of $119 million and deferred tax liabilities of $1.24 billion. This compares with defe</w:t>
      </w:r>
      <w:r>
        <w:rPr>
          <w:rFonts w:eastAsia="Times New Roman"/>
          <w:color w:val="000000"/>
          <w:sz w:val="20"/>
          <w:szCs w:val="20"/>
        </w:rPr>
        <w:t>rred tax assets of $102 million and deferred tax liabilities of $1.48 billion as of January 3, 2020. For all jurisdictions for which we have net deferred tax assets, we expect that our existing levels of pre-tax earnings are sufficient to generate the amou</w:t>
      </w:r>
      <w:r>
        <w:rPr>
          <w:rFonts w:eastAsia="Times New Roman"/>
          <w:color w:val="000000"/>
          <w:sz w:val="20"/>
          <w:szCs w:val="20"/>
        </w:rPr>
        <w:t>nt of future taxable income needed to realize these tax assets. Our valuation allowance related to deferred income taxes, which is reflected in our Consolidated Balance Sheet, was $165 million as of January 1, 2021 compared with $185 million as of January </w:t>
      </w:r>
      <w:r>
        <w:rPr>
          <w:rFonts w:eastAsia="Times New Roman"/>
          <w:color w:val="000000"/>
          <w:sz w:val="20"/>
          <w:szCs w:val="20"/>
        </w:rPr>
        <w:t>3, 2020. Although we make reasonable efforts to ensure the accuracy of our deferred tax assets, if we continue to operate at a loss in certain jurisdictions or are unable to generate sufficient future taxable income, or if there is a material change in the</w:t>
      </w:r>
      <w:r>
        <w:rPr>
          <w:rFonts w:eastAsia="Times New Roman"/>
          <w:color w:val="000000"/>
          <w:sz w:val="20"/>
          <w:szCs w:val="20"/>
        </w:rPr>
        <w:t xml:space="preserve"> actual effective tax rates or time period within which the underlying temporary differences become taxable or deductible, or if the potential impact of tax planning strategies changes, we could be required to increase the valuation allowance against all o</w:t>
      </w:r>
      <w:r>
        <w:rPr>
          <w:rFonts w:eastAsia="Times New Roman"/>
          <w:color w:val="000000"/>
          <w:sz w:val="20"/>
          <w:szCs w:val="20"/>
        </w:rPr>
        <w:t>r a significant portion of our deferred tax assets resulting in a substantial increase in our effective tax rate and a material adverse impact on our operating results.</w:t>
      </w:r>
    </w:p>
    <w:p w14:paraId="190D2F3A" w14:textId="77777777" w:rsidR="00000000" w:rsidRDefault="001A570A">
      <w:pPr>
        <w:ind w:firstLine="450"/>
        <w:divId w:val="11224959"/>
        <w:rPr>
          <w:rFonts w:eastAsia="Times New Roman"/>
        </w:rPr>
      </w:pPr>
      <w:r>
        <w:rPr>
          <w:rFonts w:eastAsia="Times New Roman"/>
          <w:color w:val="000000"/>
          <w:sz w:val="20"/>
          <w:szCs w:val="20"/>
        </w:rPr>
        <w:t xml:space="preserve">The evaluation of tax positions taken in a filed tax return, or planned to be taken in </w:t>
      </w:r>
      <w:r>
        <w:rPr>
          <w:rFonts w:eastAsia="Times New Roman"/>
          <w:color w:val="000000"/>
          <w:sz w:val="20"/>
          <w:szCs w:val="20"/>
        </w:rPr>
        <w:t xml:space="preserve">a future tax return or claim, involves inherent uncertainty and requires the use of judgment. We evaluate our income tax positions and record tax benefits for all years </w:t>
      </w:r>
    </w:p>
    <w:p w14:paraId="29D9961E" w14:textId="77777777" w:rsidR="00000000" w:rsidRDefault="001A570A">
      <w:pPr>
        <w:ind w:firstLine="450"/>
        <w:jc w:val="center"/>
        <w:divId w:val="22217846"/>
        <w:rPr>
          <w:rFonts w:eastAsia="Times New Roman"/>
        </w:rPr>
      </w:pPr>
      <w:r>
        <w:rPr>
          <w:rFonts w:eastAsia="Times New Roman"/>
          <w:color w:val="000000"/>
          <w:sz w:val="20"/>
          <w:szCs w:val="20"/>
        </w:rPr>
        <w:t>67</w:t>
      </w:r>
    </w:p>
    <w:p w14:paraId="1B60D2C5" w14:textId="77777777" w:rsidR="00000000" w:rsidRDefault="001A570A">
      <w:pPr>
        <w:rPr>
          <w:rFonts w:eastAsia="Times New Roman"/>
        </w:rPr>
      </w:pPr>
      <w:r>
        <w:rPr>
          <w:rFonts w:eastAsia="Times New Roman"/>
        </w:rPr>
        <w:pict w14:anchorId="6212C783">
          <v:rect id="_x0000_i1095" style="width:0;height:1.5pt" o:hralign="center" o:hrstd="t" o:hr="t" fillcolor="#a0a0a0" stroked="f"/>
        </w:pict>
      </w:r>
    </w:p>
    <w:p w14:paraId="6C82892F" w14:textId="77777777" w:rsidR="00000000" w:rsidRDefault="001A570A">
      <w:pPr>
        <w:ind w:firstLine="450"/>
        <w:divId w:val="47456454"/>
        <w:rPr>
          <w:rFonts w:eastAsia="Times New Roman"/>
        </w:rPr>
      </w:pPr>
    </w:p>
    <w:p w14:paraId="66D5C410" w14:textId="77777777" w:rsidR="00000000" w:rsidRDefault="001A570A">
      <w:pPr>
        <w:divId w:val="1290630736"/>
        <w:rPr>
          <w:rFonts w:eastAsia="Times New Roman"/>
        </w:rPr>
      </w:pPr>
      <w:r>
        <w:rPr>
          <w:rFonts w:eastAsia="Times New Roman"/>
          <w:color w:val="000000"/>
          <w:sz w:val="20"/>
          <w:szCs w:val="20"/>
        </w:rPr>
        <w:t>subject to examination based on our assessme</w:t>
      </w:r>
      <w:r>
        <w:rPr>
          <w:rFonts w:eastAsia="Times New Roman"/>
          <w:color w:val="000000"/>
          <w:sz w:val="20"/>
          <w:szCs w:val="20"/>
        </w:rPr>
        <w:t>nt of the facts and circumstances as of the reporting date. For tax positions where it is more likely than not that a tax benefit will be realized, we record the largest amount of tax benefit with a greater than 50 percent probability of being realized upo</w:t>
      </w:r>
      <w:r>
        <w:rPr>
          <w:rFonts w:eastAsia="Times New Roman"/>
          <w:color w:val="000000"/>
          <w:sz w:val="20"/>
          <w:szCs w:val="20"/>
        </w:rPr>
        <w:t>n ultimate settlement with the applicable taxing authority, assuming the taxing authority has full knowledge of all relevant information. For income tax positions where it is not more likely than not that a tax benefit will be realized, we do not recognize</w:t>
      </w:r>
      <w:r>
        <w:rPr>
          <w:rFonts w:eastAsia="Times New Roman"/>
          <w:color w:val="000000"/>
          <w:sz w:val="20"/>
          <w:szCs w:val="20"/>
        </w:rPr>
        <w:t xml:space="preserve"> a tax benefit in our Consolidated Financial Statements.</w:t>
      </w:r>
    </w:p>
    <w:p w14:paraId="31CF7A8C" w14:textId="77777777" w:rsidR="00000000" w:rsidRDefault="001A570A">
      <w:pPr>
        <w:ind w:firstLine="450"/>
        <w:divId w:val="1947930385"/>
        <w:rPr>
          <w:rFonts w:eastAsia="Times New Roman"/>
        </w:rPr>
      </w:pPr>
      <w:r>
        <w:rPr>
          <w:rFonts w:eastAsia="Times New Roman"/>
          <w:color w:val="000000"/>
          <w:sz w:val="20"/>
          <w:szCs w:val="20"/>
        </w:rPr>
        <w:t>As of January 1, 2021, we had $542 million of unrecognized tax benefits, of which $453 million would favorably impact our future tax rates in the event that the tax benefits are eventually recognized</w:t>
      </w:r>
      <w:r>
        <w:rPr>
          <w:rFonts w:eastAsia="Times New Roman"/>
          <w:color w:val="000000"/>
          <w:sz w:val="20"/>
          <w:szCs w:val="20"/>
        </w:rPr>
        <w:t xml:space="preserve">. As of January 3, 2020, we had $438 million of unrecognized tax benefits, of which $313 million would favorably impact our future tax rates in the event that the tax benefits are eventually recognized. </w:t>
      </w:r>
    </w:p>
    <w:p w14:paraId="7F9D1370" w14:textId="77777777" w:rsidR="00000000" w:rsidRDefault="001A570A">
      <w:pPr>
        <w:ind w:firstLine="450"/>
        <w:divId w:val="9724478"/>
        <w:rPr>
          <w:rFonts w:eastAsia="Times New Roman"/>
        </w:rPr>
      </w:pPr>
      <w:r>
        <w:rPr>
          <w:rFonts w:eastAsia="Times New Roman"/>
          <w:color w:val="000000"/>
          <w:sz w:val="20"/>
          <w:szCs w:val="20"/>
        </w:rPr>
        <w:t>It is reasonably possible that there could be a sign</w:t>
      </w:r>
      <w:r>
        <w:rPr>
          <w:rFonts w:eastAsia="Times New Roman"/>
          <w:color w:val="000000"/>
          <w:sz w:val="20"/>
          <w:szCs w:val="20"/>
        </w:rPr>
        <w:t xml:space="preserve">ificant decrease or increase to our unrecognized tax benefits during the course of the next twelve months as ongoing tax examinations continue, other tax examinations commence or various statutes of limitations expire. However, an estimate of the range of </w:t>
      </w:r>
      <w:r>
        <w:rPr>
          <w:rFonts w:eastAsia="Times New Roman"/>
          <w:color w:val="000000"/>
          <w:sz w:val="20"/>
          <w:szCs w:val="20"/>
        </w:rPr>
        <w:t xml:space="preserve">possible changes cannot be made for remaining unrecognized tax benefits because of the significant number of jurisdictions in which we do business and the number of open tax periods. See </w:t>
      </w:r>
      <w:r>
        <w:rPr>
          <w:rFonts w:eastAsia="Times New Roman"/>
          <w:i/>
          <w:iCs/>
          <w:color w:val="000000"/>
          <w:sz w:val="20"/>
          <w:szCs w:val="20"/>
        </w:rPr>
        <w:t>Note 23: Income Taxes</w:t>
      </w:r>
      <w:r>
        <w:rPr>
          <w:rFonts w:eastAsia="Times New Roman"/>
          <w:color w:val="000000"/>
          <w:sz w:val="20"/>
          <w:szCs w:val="20"/>
        </w:rPr>
        <w:t xml:space="preserve"> in the Notes for additional information. </w:t>
      </w:r>
    </w:p>
    <w:p w14:paraId="47FFB3F0" w14:textId="77777777" w:rsidR="00000000" w:rsidRDefault="001A570A">
      <w:pPr>
        <w:divId w:val="220822955"/>
        <w:rPr>
          <w:rFonts w:eastAsia="Times New Roman"/>
        </w:rPr>
      </w:pPr>
      <w:r>
        <w:rPr>
          <w:rFonts w:eastAsia="Times New Roman"/>
          <w:b/>
          <w:bCs/>
          <w:color w:val="000000"/>
          <w:sz w:val="20"/>
          <w:szCs w:val="20"/>
        </w:rPr>
        <w:t>Impac</w:t>
      </w:r>
      <w:r>
        <w:rPr>
          <w:rFonts w:eastAsia="Times New Roman"/>
          <w:b/>
          <w:bCs/>
          <w:color w:val="000000"/>
          <w:sz w:val="20"/>
          <w:szCs w:val="20"/>
        </w:rPr>
        <w:t>t of Recently Issued Accounting Pronouncements</w:t>
      </w:r>
    </w:p>
    <w:p w14:paraId="37A6C898" w14:textId="77777777" w:rsidR="00000000" w:rsidRDefault="001A570A">
      <w:pPr>
        <w:ind w:firstLine="450"/>
        <w:divId w:val="724912814"/>
        <w:rPr>
          <w:rFonts w:eastAsia="Times New Roman"/>
        </w:rPr>
      </w:pPr>
      <w:r>
        <w:rPr>
          <w:rFonts w:eastAsia="Times New Roman"/>
          <w:color w:val="000000"/>
          <w:sz w:val="20"/>
          <w:szCs w:val="20"/>
        </w:rPr>
        <w:t xml:space="preserve">Accounting pronouncements that have recently been issued but have not yet been implemented by us are described in </w:t>
      </w:r>
      <w:r>
        <w:rPr>
          <w:rFonts w:eastAsia="Times New Roman"/>
          <w:i/>
          <w:iCs/>
          <w:color w:val="000000"/>
          <w:sz w:val="20"/>
          <w:szCs w:val="20"/>
        </w:rPr>
        <w:t>Note 2: Accounting Changes or Recent Accounting Pronouncements</w:t>
      </w:r>
      <w:r>
        <w:rPr>
          <w:rFonts w:eastAsia="Times New Roman"/>
          <w:color w:val="000000"/>
          <w:sz w:val="20"/>
          <w:szCs w:val="20"/>
        </w:rPr>
        <w:t xml:space="preserve"> in the Notes, which describes th</w:t>
      </w:r>
      <w:r>
        <w:rPr>
          <w:rFonts w:eastAsia="Times New Roman"/>
          <w:color w:val="000000"/>
          <w:sz w:val="20"/>
          <w:szCs w:val="20"/>
        </w:rPr>
        <w:t>e potential impact that these pronouncements are expected to have on our financial condition, results of operations, cash flows or equity.</w:t>
      </w:r>
    </w:p>
    <w:p w14:paraId="146A30DC" w14:textId="77777777" w:rsidR="00000000" w:rsidRDefault="001A570A">
      <w:pPr>
        <w:divId w:val="632366024"/>
        <w:rPr>
          <w:rFonts w:eastAsia="Times New Roman"/>
        </w:rPr>
      </w:pPr>
      <w:r>
        <w:rPr>
          <w:rFonts w:eastAsia="Times New Roman"/>
          <w:b/>
          <w:bCs/>
          <w:color w:val="000000"/>
          <w:sz w:val="20"/>
          <w:szCs w:val="20"/>
        </w:rPr>
        <w:t>FORWARD-LOOKING STATEMENTS AND FACTORS THAT MAY AFFECT FUTURE RESULTS</w:t>
      </w:r>
    </w:p>
    <w:p w14:paraId="48E11FE5" w14:textId="77777777" w:rsidR="00000000" w:rsidRDefault="001A570A">
      <w:pPr>
        <w:ind w:firstLine="450"/>
        <w:divId w:val="1023895326"/>
        <w:rPr>
          <w:rFonts w:eastAsia="Times New Roman"/>
        </w:rPr>
      </w:pPr>
      <w:r>
        <w:rPr>
          <w:rFonts w:eastAsia="Times New Roman"/>
          <w:color w:val="000000"/>
          <w:sz w:val="20"/>
          <w:szCs w:val="20"/>
        </w:rPr>
        <w:t>The following are some of the factors we believ</w:t>
      </w:r>
      <w:r>
        <w:rPr>
          <w:rFonts w:eastAsia="Times New Roman"/>
          <w:color w:val="000000"/>
          <w:sz w:val="20"/>
          <w:szCs w:val="20"/>
        </w:rPr>
        <w:t>e could cause our actual results to differ materially from our historical results or our current expectations or projections. Other factors besides those listed here also could adversely affect us. See “Item 1A. Risk Factors” of this Report for more inform</w:t>
      </w:r>
      <w:r>
        <w:rPr>
          <w:rFonts w:eastAsia="Times New Roman"/>
          <w:color w:val="000000"/>
          <w:sz w:val="20"/>
          <w:szCs w:val="20"/>
        </w:rPr>
        <w:t>ation regarding factors that might cause our results to differ materially from those expressed in or implied by the forward-looking statements contained in this Report.</w:t>
      </w:r>
    </w:p>
    <w:p w14:paraId="7F9161F7" w14:textId="77777777" w:rsidR="00000000" w:rsidRDefault="001A570A">
      <w:pPr>
        <w:ind w:hanging="360"/>
        <w:divId w:val="346979939"/>
        <w:rPr>
          <w:rFonts w:eastAsia="Times New Roman"/>
        </w:rPr>
      </w:pPr>
      <w:r>
        <w:rPr>
          <w:rFonts w:eastAsia="Times New Roman"/>
          <w:color w:val="000000"/>
          <w:sz w:val="20"/>
          <w:szCs w:val="20"/>
        </w:rPr>
        <w:t>•COVID and ongoing attempts to contain and reduce its spread could have a material adve</w:t>
      </w:r>
      <w:r>
        <w:rPr>
          <w:rFonts w:eastAsia="Times New Roman"/>
          <w:color w:val="000000"/>
          <w:sz w:val="20"/>
          <w:szCs w:val="20"/>
        </w:rPr>
        <w:t>rse effect on our business operations, financial condition, results of operations, cash flows and equity.</w:t>
      </w:r>
    </w:p>
    <w:p w14:paraId="07682F67" w14:textId="77777777" w:rsidR="00000000" w:rsidRDefault="001A570A">
      <w:pPr>
        <w:ind w:hanging="360"/>
        <w:divId w:val="1314991362"/>
        <w:rPr>
          <w:rFonts w:eastAsia="Times New Roman"/>
        </w:rPr>
      </w:pPr>
      <w:r>
        <w:rPr>
          <w:rFonts w:eastAsia="Times New Roman"/>
          <w:color w:val="000000"/>
          <w:sz w:val="20"/>
          <w:szCs w:val="20"/>
        </w:rPr>
        <w:t xml:space="preserve">•We depend on U.S. Government customers for a significant portion of our revenue, and the loss of these relationships, a reduction in U.S. Government </w:t>
      </w:r>
      <w:r>
        <w:rPr>
          <w:rFonts w:eastAsia="Times New Roman"/>
          <w:color w:val="000000"/>
          <w:sz w:val="20"/>
          <w:szCs w:val="20"/>
        </w:rPr>
        <w:t>funding or a change in U.S. Government spending priorities could have an adverse impact on our business, financial condition, results of operations, cash flows and equity.</w:t>
      </w:r>
    </w:p>
    <w:p w14:paraId="42EF40D5" w14:textId="77777777" w:rsidR="00000000" w:rsidRDefault="001A570A">
      <w:pPr>
        <w:ind w:hanging="360"/>
        <w:divId w:val="1104768129"/>
        <w:rPr>
          <w:rFonts w:eastAsia="Times New Roman"/>
        </w:rPr>
      </w:pPr>
      <w:r>
        <w:rPr>
          <w:rFonts w:eastAsia="Times New Roman"/>
          <w:color w:val="000000"/>
          <w:sz w:val="20"/>
          <w:szCs w:val="20"/>
        </w:rPr>
        <w:t>•We depend significantly on U.S. Government contracts, which often are only partiall</w:t>
      </w:r>
      <w:r>
        <w:rPr>
          <w:rFonts w:eastAsia="Times New Roman"/>
          <w:color w:val="000000"/>
          <w:sz w:val="20"/>
          <w:szCs w:val="20"/>
        </w:rPr>
        <w:t xml:space="preserve">y funded, subject to immediate termination, and heavily regulated and audited. The termination or failure to fund, or negative audit findings for, one or more of these contracts could have an adverse impact on our business, financial condition, results of </w:t>
      </w:r>
      <w:r>
        <w:rPr>
          <w:rFonts w:eastAsia="Times New Roman"/>
          <w:color w:val="000000"/>
          <w:sz w:val="20"/>
          <w:szCs w:val="20"/>
        </w:rPr>
        <w:t>operations, cash flows and equity.</w:t>
      </w:r>
    </w:p>
    <w:p w14:paraId="6F9710FB" w14:textId="77777777" w:rsidR="00000000" w:rsidRDefault="001A570A">
      <w:pPr>
        <w:ind w:hanging="360"/>
        <w:divId w:val="847863376"/>
        <w:rPr>
          <w:rFonts w:eastAsia="Times New Roman"/>
        </w:rPr>
      </w:pPr>
      <w:r>
        <w:rPr>
          <w:rFonts w:eastAsia="Times New Roman"/>
          <w:color w:val="000000"/>
          <w:sz w:val="20"/>
          <w:szCs w:val="20"/>
        </w:rPr>
        <w:t>•The U.S. Government’s budget deficit and the national debt, as well as any inability of the U.S. Government to complete its budget process for any government fiscal year and consequently having to shut down or operate on</w:t>
      </w:r>
      <w:r>
        <w:rPr>
          <w:rFonts w:eastAsia="Times New Roman"/>
          <w:color w:val="000000"/>
          <w:sz w:val="20"/>
          <w:szCs w:val="20"/>
        </w:rPr>
        <w:t xml:space="preserve"> funding levels equivalent to its prior fiscal year pursuant to a “continuing resolution,” could have an adverse impact on our business, financial condition, results of operations, cash flows and equity.</w:t>
      </w:r>
    </w:p>
    <w:p w14:paraId="117352B7" w14:textId="77777777" w:rsidR="00000000" w:rsidRDefault="001A570A">
      <w:pPr>
        <w:ind w:hanging="360"/>
        <w:divId w:val="1453131413"/>
        <w:rPr>
          <w:rFonts w:eastAsia="Times New Roman"/>
        </w:rPr>
      </w:pPr>
      <w:r>
        <w:rPr>
          <w:rFonts w:eastAsia="Times New Roman"/>
          <w:color w:val="000000"/>
          <w:sz w:val="20"/>
          <w:szCs w:val="20"/>
        </w:rPr>
        <w:t>•Our results of operations and cash flows are substa</w:t>
      </w:r>
      <w:r>
        <w:rPr>
          <w:rFonts w:eastAsia="Times New Roman"/>
          <w:color w:val="000000"/>
          <w:sz w:val="20"/>
          <w:szCs w:val="20"/>
        </w:rPr>
        <w:t>ntially affected by our mix of fixed-price, cost-plus and time-and-material type contracts. In particular, our fixed-price contracts could subject us to losses in the event of cost overruns or a significant increase in inflation.</w:t>
      </w:r>
    </w:p>
    <w:p w14:paraId="1038EEC1" w14:textId="77777777" w:rsidR="00000000" w:rsidRDefault="001A570A">
      <w:pPr>
        <w:ind w:hanging="360"/>
        <w:divId w:val="208498797"/>
        <w:rPr>
          <w:rFonts w:eastAsia="Times New Roman"/>
        </w:rPr>
      </w:pPr>
      <w:r>
        <w:rPr>
          <w:rFonts w:eastAsia="Times New Roman"/>
          <w:color w:val="000000"/>
          <w:sz w:val="20"/>
          <w:szCs w:val="20"/>
        </w:rPr>
        <w:t>•Our commercial aviation p</w:t>
      </w:r>
      <w:r>
        <w:rPr>
          <w:rFonts w:eastAsia="Times New Roman"/>
          <w:color w:val="000000"/>
          <w:sz w:val="20"/>
          <w:szCs w:val="20"/>
        </w:rPr>
        <w:t>roducts, systems and services businesses are affected by global demand and economic factors that could negatively impact our financial results.</w:t>
      </w:r>
    </w:p>
    <w:p w14:paraId="732C2565" w14:textId="77777777" w:rsidR="00000000" w:rsidRDefault="001A570A">
      <w:pPr>
        <w:ind w:hanging="360"/>
        <w:divId w:val="980233059"/>
        <w:rPr>
          <w:rFonts w:eastAsia="Times New Roman"/>
        </w:rPr>
      </w:pPr>
      <w:r>
        <w:rPr>
          <w:rFonts w:eastAsia="Times New Roman"/>
          <w:color w:val="000000"/>
          <w:sz w:val="20"/>
          <w:szCs w:val="20"/>
        </w:rPr>
        <w:t xml:space="preserve">•We participate in markets that are often subject to uncertain economic conditions, which makes it difficult to </w:t>
      </w:r>
      <w:r>
        <w:rPr>
          <w:rFonts w:eastAsia="Times New Roman"/>
          <w:color w:val="000000"/>
          <w:sz w:val="20"/>
          <w:szCs w:val="20"/>
        </w:rPr>
        <w:t>estimate growth in our markets and, as a result, future income and expenditures.</w:t>
      </w:r>
    </w:p>
    <w:p w14:paraId="7FA3983C" w14:textId="77777777" w:rsidR="00000000" w:rsidRDefault="001A570A">
      <w:pPr>
        <w:ind w:hanging="360"/>
        <w:divId w:val="2134592921"/>
        <w:rPr>
          <w:rFonts w:eastAsia="Times New Roman"/>
        </w:rPr>
      </w:pPr>
      <w:r>
        <w:rPr>
          <w:rFonts w:eastAsia="Times New Roman"/>
          <w:color w:val="000000"/>
          <w:sz w:val="20"/>
          <w:szCs w:val="20"/>
        </w:rPr>
        <w:t>•</w:t>
      </w:r>
      <w:r>
        <w:rPr>
          <w:rFonts w:eastAsia="Times New Roman"/>
          <w:color w:val="000000"/>
          <w:sz w:val="20"/>
          <w:szCs w:val="20"/>
        </w:rPr>
        <w:t>We cannot predict the consequences of future geo-political events, but they may adversely affect the markets in which we operate, our ability to insure against risks, our operations or our profitability.</w:t>
      </w:r>
    </w:p>
    <w:p w14:paraId="42144270" w14:textId="77777777" w:rsidR="00000000" w:rsidRDefault="001A570A">
      <w:pPr>
        <w:ind w:hanging="360"/>
        <w:divId w:val="2055883648"/>
        <w:rPr>
          <w:rFonts w:eastAsia="Times New Roman"/>
        </w:rPr>
      </w:pPr>
      <w:r>
        <w:rPr>
          <w:rFonts w:eastAsia="Times New Roman"/>
          <w:color w:val="000000"/>
          <w:sz w:val="20"/>
          <w:szCs w:val="20"/>
        </w:rPr>
        <w:t>•We derive a significant portion of our revenue from</w:t>
      </w:r>
      <w:r>
        <w:rPr>
          <w:rFonts w:eastAsia="Times New Roman"/>
          <w:color w:val="000000"/>
          <w:sz w:val="20"/>
          <w:szCs w:val="20"/>
        </w:rPr>
        <w:t xml:space="preserve"> international operations and are subject to the risks of doing business internationally, including fluctuations in currency exchange rates.</w:t>
      </w:r>
    </w:p>
    <w:p w14:paraId="1E459A48" w14:textId="77777777" w:rsidR="00000000" w:rsidRDefault="001A570A">
      <w:pPr>
        <w:ind w:hanging="360"/>
        <w:divId w:val="2031225212"/>
        <w:rPr>
          <w:rFonts w:eastAsia="Times New Roman"/>
        </w:rPr>
      </w:pPr>
      <w:r>
        <w:rPr>
          <w:rFonts w:eastAsia="Times New Roman"/>
          <w:color w:val="000000"/>
          <w:sz w:val="20"/>
          <w:szCs w:val="20"/>
        </w:rPr>
        <w:t>•We are subject to government investigations, which could have a material adverse effect on our business, financial</w:t>
      </w:r>
      <w:r>
        <w:rPr>
          <w:rFonts w:eastAsia="Times New Roman"/>
          <w:color w:val="000000"/>
          <w:sz w:val="20"/>
          <w:szCs w:val="20"/>
        </w:rPr>
        <w:t xml:space="preserve"> condition, results of operations, cash flows and equity.</w:t>
      </w:r>
    </w:p>
    <w:p w14:paraId="6F3C7C98" w14:textId="77777777" w:rsidR="00000000" w:rsidRDefault="001A570A">
      <w:pPr>
        <w:ind w:hanging="360"/>
        <w:divId w:val="1991981935"/>
        <w:rPr>
          <w:rFonts w:eastAsia="Times New Roman"/>
        </w:rPr>
      </w:pPr>
      <w:r>
        <w:rPr>
          <w:rFonts w:eastAsia="Times New Roman"/>
          <w:color w:val="000000"/>
          <w:sz w:val="20"/>
          <w:szCs w:val="20"/>
        </w:rPr>
        <w:t xml:space="preserve">•We could be negatively impacted by a security breach, through cyber attack, cyber intrusion, insider threats or otherwise, or other significant disruption of our IT networks and related systems or </w:t>
      </w:r>
      <w:r>
        <w:rPr>
          <w:rFonts w:eastAsia="Times New Roman"/>
          <w:color w:val="000000"/>
          <w:sz w:val="20"/>
          <w:szCs w:val="20"/>
        </w:rPr>
        <w:t>of those we operate for certain of our customers.</w:t>
      </w:r>
    </w:p>
    <w:p w14:paraId="7E84B526" w14:textId="77777777" w:rsidR="00000000" w:rsidRDefault="001A570A">
      <w:pPr>
        <w:ind w:hanging="360"/>
        <w:divId w:val="1019352395"/>
        <w:rPr>
          <w:rFonts w:eastAsia="Times New Roman"/>
        </w:rPr>
      </w:pPr>
      <w:r>
        <w:rPr>
          <w:rFonts w:eastAsia="Times New Roman"/>
          <w:color w:val="000000"/>
          <w:sz w:val="20"/>
          <w:szCs w:val="20"/>
        </w:rPr>
        <w:t>•Our future success will depend on our ability to develop new products, systems, services and technologies that achieve market acceptance in our current and future markets.</w:t>
      </w:r>
    </w:p>
    <w:p w14:paraId="44265C3B" w14:textId="77777777" w:rsidR="00000000" w:rsidRDefault="001A570A">
      <w:pPr>
        <w:ind w:firstLine="450"/>
        <w:jc w:val="center"/>
        <w:divId w:val="2060277559"/>
        <w:rPr>
          <w:rFonts w:eastAsia="Times New Roman"/>
        </w:rPr>
      </w:pPr>
      <w:r>
        <w:rPr>
          <w:rFonts w:eastAsia="Times New Roman"/>
          <w:color w:val="000000"/>
          <w:sz w:val="20"/>
          <w:szCs w:val="20"/>
        </w:rPr>
        <w:t>68</w:t>
      </w:r>
    </w:p>
    <w:p w14:paraId="0EAD0CCB" w14:textId="77777777" w:rsidR="00000000" w:rsidRDefault="001A570A">
      <w:pPr>
        <w:rPr>
          <w:rFonts w:eastAsia="Times New Roman"/>
        </w:rPr>
      </w:pPr>
      <w:r>
        <w:rPr>
          <w:rFonts w:eastAsia="Times New Roman"/>
        </w:rPr>
        <w:pict w14:anchorId="057CD977">
          <v:rect id="_x0000_i1096" style="width:0;height:1.5pt" o:hralign="center" o:hrstd="t" o:hr="t" fillcolor="#a0a0a0" stroked="f"/>
        </w:pict>
      </w:r>
    </w:p>
    <w:p w14:paraId="1FD0748E" w14:textId="77777777" w:rsidR="00000000" w:rsidRDefault="001A570A">
      <w:pPr>
        <w:ind w:firstLine="450"/>
        <w:divId w:val="1915889444"/>
        <w:rPr>
          <w:rFonts w:eastAsia="Times New Roman"/>
        </w:rPr>
      </w:pPr>
    </w:p>
    <w:p w14:paraId="1B1436E4" w14:textId="77777777" w:rsidR="00000000" w:rsidRDefault="001A570A">
      <w:pPr>
        <w:ind w:hanging="360"/>
        <w:divId w:val="1908877533"/>
        <w:rPr>
          <w:rFonts w:eastAsia="Times New Roman"/>
        </w:rPr>
      </w:pPr>
      <w:r>
        <w:rPr>
          <w:rFonts w:eastAsia="Times New Roman"/>
          <w:color w:val="000000"/>
          <w:sz w:val="20"/>
          <w:szCs w:val="20"/>
        </w:rPr>
        <w:t>•We must attract and retain key employees, and any failure to do so could seriously harm us.</w:t>
      </w:r>
    </w:p>
    <w:p w14:paraId="718A915B" w14:textId="77777777" w:rsidR="00000000" w:rsidRDefault="001A570A">
      <w:pPr>
        <w:ind w:hanging="360"/>
        <w:divId w:val="808285396"/>
        <w:rPr>
          <w:rFonts w:eastAsia="Times New Roman"/>
        </w:rPr>
      </w:pPr>
      <w:r>
        <w:rPr>
          <w:rFonts w:eastAsia="Times New Roman"/>
          <w:color w:val="000000"/>
          <w:sz w:val="20"/>
          <w:szCs w:val="20"/>
        </w:rPr>
        <w:t>•Some of our workforce is represented by labor unions, so a prolonged work stoppage could harm our business.</w:t>
      </w:r>
    </w:p>
    <w:p w14:paraId="6BF749AA" w14:textId="77777777" w:rsidR="00000000" w:rsidRDefault="001A570A">
      <w:pPr>
        <w:ind w:hanging="360"/>
        <w:divId w:val="361900523"/>
        <w:rPr>
          <w:rFonts w:eastAsia="Times New Roman"/>
        </w:rPr>
      </w:pPr>
      <w:r>
        <w:rPr>
          <w:rFonts w:eastAsia="Times New Roman"/>
          <w:color w:val="000000"/>
          <w:sz w:val="20"/>
          <w:szCs w:val="20"/>
        </w:rPr>
        <w:t>•Disputes with our subcontractors or key suppl</w:t>
      </w:r>
      <w:r>
        <w:rPr>
          <w:rFonts w:eastAsia="Times New Roman"/>
          <w:color w:val="000000"/>
          <w:sz w:val="20"/>
          <w:szCs w:val="20"/>
        </w:rPr>
        <w:t>iers, or their inability to perform or timely deliver our components, parts or services, could cause our products, systems or services to be produced or delivered in an untimely or unsatisfactory manner.</w:t>
      </w:r>
    </w:p>
    <w:p w14:paraId="08D1F779" w14:textId="77777777" w:rsidR="00000000" w:rsidRDefault="001A570A">
      <w:pPr>
        <w:ind w:hanging="360"/>
        <w:divId w:val="994799212"/>
        <w:rPr>
          <w:rFonts w:eastAsia="Times New Roman"/>
        </w:rPr>
      </w:pPr>
      <w:r>
        <w:rPr>
          <w:rFonts w:eastAsia="Times New Roman"/>
          <w:color w:val="000000"/>
          <w:sz w:val="20"/>
          <w:szCs w:val="20"/>
        </w:rPr>
        <w:t>•We have significant operations in locations that co</w:t>
      </w:r>
      <w:r>
        <w:rPr>
          <w:rFonts w:eastAsia="Times New Roman"/>
          <w:color w:val="000000"/>
          <w:sz w:val="20"/>
          <w:szCs w:val="20"/>
        </w:rPr>
        <w:t>uld be materially and adversely impacted in the event of a natural disaster or other significant disruption.</w:t>
      </w:r>
    </w:p>
    <w:p w14:paraId="7A0F820B" w14:textId="77777777" w:rsidR="00000000" w:rsidRDefault="001A570A">
      <w:pPr>
        <w:ind w:hanging="360"/>
        <w:divId w:val="1571576165"/>
        <w:rPr>
          <w:rFonts w:eastAsia="Times New Roman"/>
        </w:rPr>
      </w:pPr>
      <w:r>
        <w:rPr>
          <w:rFonts w:eastAsia="Times New Roman"/>
          <w:color w:val="000000"/>
          <w:sz w:val="20"/>
          <w:szCs w:val="20"/>
        </w:rPr>
        <w:t>•Changes in estimates we use in accounting for many of our programs could adversely affect our future financial results.</w:t>
      </w:r>
    </w:p>
    <w:p w14:paraId="3FFCDCD4" w14:textId="77777777" w:rsidR="00000000" w:rsidRDefault="001A570A">
      <w:pPr>
        <w:ind w:hanging="360"/>
        <w:divId w:val="293487094"/>
        <w:rPr>
          <w:rFonts w:eastAsia="Times New Roman"/>
        </w:rPr>
      </w:pPr>
      <w:r>
        <w:rPr>
          <w:rFonts w:eastAsia="Times New Roman"/>
          <w:color w:val="000000"/>
          <w:sz w:val="20"/>
          <w:szCs w:val="20"/>
        </w:rPr>
        <w:t>•Our level of indebtedness</w:t>
      </w:r>
      <w:r>
        <w:rPr>
          <w:rFonts w:eastAsia="Times New Roman"/>
          <w:color w:val="000000"/>
          <w:sz w:val="20"/>
          <w:szCs w:val="20"/>
        </w:rPr>
        <w:t xml:space="preserve"> and our ability to make payments on or service our indebtedness and our unfunded defined benefit plans liability may materially adversely affect our financial and operating activities or our ability to incur additional debt.</w:t>
      </w:r>
    </w:p>
    <w:p w14:paraId="62B07C2B" w14:textId="77777777" w:rsidR="00000000" w:rsidRDefault="001A570A">
      <w:pPr>
        <w:ind w:hanging="360"/>
        <w:divId w:val="662047983"/>
        <w:rPr>
          <w:rFonts w:eastAsia="Times New Roman"/>
        </w:rPr>
      </w:pPr>
      <w:r>
        <w:rPr>
          <w:rFonts w:eastAsia="Times New Roman"/>
          <w:color w:val="000000"/>
          <w:sz w:val="20"/>
          <w:szCs w:val="20"/>
        </w:rPr>
        <w:t>•A downgrade in our credit rat</w:t>
      </w:r>
      <w:r>
        <w:rPr>
          <w:rFonts w:eastAsia="Times New Roman"/>
          <w:color w:val="000000"/>
          <w:sz w:val="20"/>
          <w:szCs w:val="20"/>
        </w:rPr>
        <w:t>ings could materially adversely affect our business.</w:t>
      </w:r>
    </w:p>
    <w:p w14:paraId="27985E95" w14:textId="77777777" w:rsidR="00000000" w:rsidRDefault="001A570A">
      <w:pPr>
        <w:ind w:hanging="360"/>
        <w:divId w:val="906644407"/>
        <w:rPr>
          <w:rFonts w:eastAsia="Times New Roman"/>
        </w:rPr>
      </w:pPr>
      <w:r>
        <w:rPr>
          <w:rFonts w:eastAsia="Times New Roman"/>
          <w:color w:val="000000"/>
          <w:sz w:val="20"/>
          <w:szCs w:val="20"/>
        </w:rPr>
        <w:t>•The level of returns on defined benefit plan assets, changes in interest rates and other factors could materially adversely affect our financial condition, results of operations, cash flows and equity i</w:t>
      </w:r>
      <w:r>
        <w:rPr>
          <w:rFonts w:eastAsia="Times New Roman"/>
          <w:color w:val="000000"/>
          <w:sz w:val="20"/>
          <w:szCs w:val="20"/>
        </w:rPr>
        <w:t>n future periods.</w:t>
      </w:r>
    </w:p>
    <w:p w14:paraId="1B712F41" w14:textId="77777777" w:rsidR="00000000" w:rsidRDefault="001A570A">
      <w:pPr>
        <w:ind w:hanging="360"/>
        <w:divId w:val="1039283710"/>
        <w:rPr>
          <w:rFonts w:eastAsia="Times New Roman"/>
        </w:rPr>
      </w:pPr>
      <w:r>
        <w:rPr>
          <w:rFonts w:eastAsia="Times New Roman"/>
          <w:color w:val="000000"/>
          <w:sz w:val="20"/>
          <w:szCs w:val="20"/>
        </w:rPr>
        <w:t>•Changes in our effective tax rate may have an adverse effect on our results of operations.</w:t>
      </w:r>
    </w:p>
    <w:p w14:paraId="602EA222" w14:textId="77777777" w:rsidR="00000000" w:rsidRDefault="001A570A">
      <w:pPr>
        <w:ind w:hanging="360"/>
        <w:divId w:val="1916931380"/>
        <w:rPr>
          <w:rFonts w:eastAsia="Times New Roman"/>
        </w:rPr>
      </w:pPr>
      <w:r>
        <w:rPr>
          <w:rFonts w:eastAsia="Times New Roman"/>
          <w:color w:val="000000"/>
          <w:sz w:val="20"/>
          <w:szCs w:val="20"/>
        </w:rPr>
        <w:t>•We may not be successful in obtaining the necessary export licenses to conduct certain operations abroad, and Congress may prevent proposed sales</w:t>
      </w:r>
      <w:r>
        <w:rPr>
          <w:rFonts w:eastAsia="Times New Roman"/>
          <w:color w:val="000000"/>
          <w:sz w:val="20"/>
          <w:szCs w:val="20"/>
        </w:rPr>
        <w:t xml:space="preserve"> to certain foreign governments.</w:t>
      </w:r>
    </w:p>
    <w:p w14:paraId="780EE42A" w14:textId="77777777" w:rsidR="00000000" w:rsidRDefault="001A570A">
      <w:pPr>
        <w:ind w:hanging="360"/>
        <w:divId w:val="405491024"/>
        <w:rPr>
          <w:rFonts w:eastAsia="Times New Roman"/>
        </w:rPr>
      </w:pPr>
      <w:r>
        <w:rPr>
          <w:rFonts w:eastAsia="Times New Roman"/>
          <w:color w:val="000000"/>
          <w:sz w:val="20"/>
          <w:szCs w:val="20"/>
        </w:rPr>
        <w:t>•Our reputation and ability to do business may be impacted by the improper conduct of our employees, agents or business partners.</w:t>
      </w:r>
    </w:p>
    <w:p w14:paraId="6E541C16" w14:textId="77777777" w:rsidR="00000000" w:rsidRDefault="001A570A">
      <w:pPr>
        <w:ind w:hanging="360"/>
        <w:divId w:val="512306817"/>
        <w:rPr>
          <w:rFonts w:eastAsia="Times New Roman"/>
        </w:rPr>
      </w:pPr>
      <w:r>
        <w:rPr>
          <w:rFonts w:eastAsia="Times New Roman"/>
          <w:color w:val="000000"/>
          <w:sz w:val="20"/>
          <w:szCs w:val="20"/>
        </w:rPr>
        <w:t>•</w:t>
      </w:r>
      <w:r>
        <w:rPr>
          <w:rFonts w:eastAsia="Times New Roman"/>
          <w:color w:val="000000"/>
          <w:sz w:val="20"/>
          <w:szCs w:val="20"/>
        </w:rPr>
        <w:t>The outcome of litigation or arbitration in which we are involved from time to time is unpredictable, and an adverse decision in any such matter could have a material adverse effect on our financial condition, results of operations, cash flows and equity.</w:t>
      </w:r>
    </w:p>
    <w:p w14:paraId="2BC66983" w14:textId="77777777" w:rsidR="00000000" w:rsidRDefault="001A570A">
      <w:pPr>
        <w:ind w:hanging="360"/>
        <w:divId w:val="248391407"/>
        <w:rPr>
          <w:rFonts w:eastAsia="Times New Roman"/>
        </w:rPr>
      </w:pPr>
      <w:r>
        <w:rPr>
          <w:rFonts w:eastAsia="Times New Roman"/>
          <w:color w:val="000000"/>
          <w:sz w:val="20"/>
          <w:szCs w:val="20"/>
        </w:rPr>
        <w:t>•Third parties have claimed in the past and may claim in the future that we are infringing directly or indirectly upon their intellectual property rights, and third parties may infringe upon our intellectual property rights.</w:t>
      </w:r>
    </w:p>
    <w:p w14:paraId="75CA8141" w14:textId="77777777" w:rsidR="00000000" w:rsidRDefault="001A570A">
      <w:pPr>
        <w:ind w:hanging="360"/>
        <w:divId w:val="529685948"/>
        <w:rPr>
          <w:rFonts w:eastAsia="Times New Roman"/>
        </w:rPr>
      </w:pPr>
      <w:r>
        <w:rPr>
          <w:rFonts w:eastAsia="Times New Roman"/>
          <w:color w:val="000000"/>
          <w:sz w:val="20"/>
          <w:szCs w:val="20"/>
        </w:rPr>
        <w:t>•We face certain significant ri</w:t>
      </w:r>
      <w:r>
        <w:rPr>
          <w:rFonts w:eastAsia="Times New Roman"/>
          <w:color w:val="000000"/>
          <w:sz w:val="20"/>
          <w:szCs w:val="20"/>
        </w:rPr>
        <w:t>sk exposures and potential liabilities that may not be covered adequately by insurance or indemnity.</w:t>
      </w:r>
    </w:p>
    <w:p w14:paraId="74CDA36E" w14:textId="77777777" w:rsidR="00000000" w:rsidRDefault="001A570A">
      <w:pPr>
        <w:ind w:hanging="360"/>
        <w:divId w:val="651720984"/>
        <w:rPr>
          <w:rFonts w:eastAsia="Times New Roman"/>
        </w:rPr>
      </w:pPr>
      <w:r>
        <w:rPr>
          <w:rFonts w:eastAsia="Times New Roman"/>
          <w:color w:val="000000"/>
          <w:sz w:val="20"/>
          <w:szCs w:val="20"/>
        </w:rPr>
        <w:t>•Unforeseen environmental issues could have a material adverse effect on our business, financial condition, results of operations, cash flows and equity.</w:t>
      </w:r>
    </w:p>
    <w:p w14:paraId="1003A6E1" w14:textId="77777777" w:rsidR="00000000" w:rsidRDefault="001A570A">
      <w:pPr>
        <w:ind w:hanging="360"/>
        <w:divId w:val="1086458955"/>
        <w:rPr>
          <w:rFonts w:eastAsia="Times New Roman"/>
        </w:rPr>
      </w:pPr>
      <w:r>
        <w:rPr>
          <w:rFonts w:eastAsia="Times New Roman"/>
          <w:color w:val="000000"/>
          <w:sz w:val="20"/>
          <w:szCs w:val="20"/>
        </w:rPr>
        <w:t>•</w:t>
      </w:r>
      <w:r>
        <w:rPr>
          <w:rFonts w:eastAsia="Times New Roman"/>
          <w:color w:val="000000"/>
          <w:sz w:val="20"/>
          <w:szCs w:val="20"/>
        </w:rPr>
        <w:t>Strategic transactions, including mergers, acquisitions and divestitures, involve significant risks and uncertainties that could adversely affect our business, financial condition, results of operations, cash flows and equity.</w:t>
      </w:r>
    </w:p>
    <w:p w14:paraId="7725B936" w14:textId="77777777" w:rsidR="00000000" w:rsidRDefault="001A570A">
      <w:pPr>
        <w:ind w:hanging="360"/>
        <w:divId w:val="807674963"/>
        <w:rPr>
          <w:rFonts w:eastAsia="Times New Roman"/>
        </w:rPr>
      </w:pPr>
      <w:r>
        <w:rPr>
          <w:rFonts w:eastAsia="Times New Roman"/>
          <w:color w:val="000000"/>
          <w:sz w:val="20"/>
          <w:szCs w:val="20"/>
        </w:rPr>
        <w:t>•Changes in future business o</w:t>
      </w:r>
      <w:r>
        <w:rPr>
          <w:rFonts w:eastAsia="Times New Roman"/>
          <w:color w:val="000000"/>
          <w:sz w:val="20"/>
          <w:szCs w:val="20"/>
        </w:rPr>
        <w:t>r other market conditions could cause business investments and/or recorded goodwill or other long-term assets to become impaired, resulting in substantial losses and write-downs that would materially adversely affect our results of operations and financial</w:t>
      </w:r>
      <w:r>
        <w:rPr>
          <w:rFonts w:eastAsia="Times New Roman"/>
          <w:color w:val="000000"/>
          <w:sz w:val="20"/>
          <w:szCs w:val="20"/>
        </w:rPr>
        <w:t xml:space="preserve"> condition.</w:t>
      </w:r>
    </w:p>
    <w:p w14:paraId="7D3F44A6" w14:textId="77777777" w:rsidR="00000000" w:rsidRDefault="001A570A">
      <w:pPr>
        <w:ind w:hanging="360"/>
        <w:divId w:val="426074398"/>
        <w:rPr>
          <w:rFonts w:eastAsia="Times New Roman"/>
        </w:rPr>
      </w:pPr>
      <w:r>
        <w:rPr>
          <w:rFonts w:eastAsia="Times New Roman"/>
          <w:color w:val="000000"/>
          <w:sz w:val="20"/>
          <w:szCs w:val="20"/>
        </w:rPr>
        <w:t>•We may fail to realize all of the anticipated benefits of the L3Harris Merger or those benefits may take longer to realize than expected. We may also encounter significant difficulties in integrating the businesses.</w:t>
      </w:r>
    </w:p>
    <w:tbl>
      <w:tblPr>
        <w:tblW w:w="4288" w:type="pct"/>
        <w:tblCellMar>
          <w:top w:w="15" w:type="dxa"/>
          <w:left w:w="15" w:type="dxa"/>
          <w:bottom w:w="15" w:type="dxa"/>
          <w:right w:w="15" w:type="dxa"/>
        </w:tblCellMar>
        <w:tblLook w:val="04A0" w:firstRow="1" w:lastRow="0" w:firstColumn="1" w:lastColumn="0" w:noHBand="0" w:noVBand="1"/>
      </w:tblPr>
      <w:tblGrid>
        <w:gridCol w:w="66"/>
        <w:gridCol w:w="947"/>
        <w:gridCol w:w="36"/>
        <w:gridCol w:w="57"/>
        <w:gridCol w:w="5981"/>
        <w:gridCol w:w="36"/>
      </w:tblGrid>
      <w:tr w:rsidR="00000000" w14:paraId="035A429B" w14:textId="77777777">
        <w:trPr>
          <w:divId w:val="1275595924"/>
        </w:trPr>
        <w:tc>
          <w:tcPr>
            <w:tcW w:w="50" w:type="pct"/>
            <w:vAlign w:val="center"/>
            <w:hideMark/>
          </w:tcPr>
          <w:p w14:paraId="7F399434" w14:textId="77777777" w:rsidR="00000000" w:rsidRDefault="001A570A">
            <w:pPr>
              <w:ind w:hanging="360"/>
              <w:rPr>
                <w:rFonts w:eastAsia="Times New Roman"/>
              </w:rPr>
            </w:pPr>
          </w:p>
        </w:tc>
        <w:tc>
          <w:tcPr>
            <w:tcW w:w="682" w:type="pct"/>
            <w:vAlign w:val="center"/>
            <w:hideMark/>
          </w:tcPr>
          <w:p w14:paraId="5EF7917D" w14:textId="77777777" w:rsidR="00000000" w:rsidRDefault="001A570A">
            <w:pPr>
              <w:rPr>
                <w:rFonts w:eastAsia="Times New Roman"/>
                <w:sz w:val="20"/>
                <w:szCs w:val="20"/>
              </w:rPr>
            </w:pPr>
          </w:p>
        </w:tc>
        <w:tc>
          <w:tcPr>
            <w:tcW w:w="5" w:type="pct"/>
            <w:vAlign w:val="center"/>
            <w:hideMark/>
          </w:tcPr>
          <w:p w14:paraId="5A955953" w14:textId="77777777" w:rsidR="00000000" w:rsidRDefault="001A570A">
            <w:pPr>
              <w:rPr>
                <w:rFonts w:eastAsia="Times New Roman"/>
                <w:sz w:val="20"/>
                <w:szCs w:val="20"/>
              </w:rPr>
            </w:pPr>
          </w:p>
        </w:tc>
        <w:tc>
          <w:tcPr>
            <w:tcW w:w="50" w:type="pct"/>
            <w:vAlign w:val="center"/>
            <w:hideMark/>
          </w:tcPr>
          <w:p w14:paraId="2E90BB17" w14:textId="77777777" w:rsidR="00000000" w:rsidRDefault="001A570A">
            <w:pPr>
              <w:rPr>
                <w:rFonts w:eastAsia="Times New Roman"/>
                <w:sz w:val="20"/>
                <w:szCs w:val="20"/>
              </w:rPr>
            </w:pPr>
          </w:p>
        </w:tc>
        <w:tc>
          <w:tcPr>
            <w:tcW w:w="4208" w:type="pct"/>
            <w:vAlign w:val="center"/>
            <w:hideMark/>
          </w:tcPr>
          <w:p w14:paraId="01663774" w14:textId="77777777" w:rsidR="00000000" w:rsidRDefault="001A570A">
            <w:pPr>
              <w:rPr>
                <w:rFonts w:eastAsia="Times New Roman"/>
                <w:sz w:val="20"/>
                <w:szCs w:val="20"/>
              </w:rPr>
            </w:pPr>
          </w:p>
        </w:tc>
        <w:tc>
          <w:tcPr>
            <w:tcW w:w="5" w:type="pct"/>
            <w:vAlign w:val="center"/>
            <w:hideMark/>
          </w:tcPr>
          <w:p w14:paraId="496A054D" w14:textId="77777777" w:rsidR="00000000" w:rsidRDefault="001A570A">
            <w:pPr>
              <w:rPr>
                <w:rFonts w:eastAsia="Times New Roman"/>
                <w:sz w:val="20"/>
                <w:szCs w:val="20"/>
              </w:rPr>
            </w:pPr>
          </w:p>
        </w:tc>
      </w:tr>
      <w:tr w:rsidR="00000000" w14:paraId="6E91B23E" w14:textId="77777777">
        <w:trPr>
          <w:divId w:val="1275595924"/>
        </w:trPr>
        <w:tc>
          <w:tcPr>
            <w:tcW w:w="0" w:type="auto"/>
            <w:gridSpan w:val="3"/>
            <w:tcMar>
              <w:top w:w="30" w:type="dxa"/>
              <w:left w:w="20" w:type="dxa"/>
              <w:bottom w:w="30" w:type="dxa"/>
              <w:right w:w="20" w:type="dxa"/>
            </w:tcMar>
            <w:hideMark/>
          </w:tcPr>
          <w:p w14:paraId="38B9D4E7" w14:textId="77777777" w:rsidR="00000000" w:rsidRDefault="001A570A">
            <w:pPr>
              <w:rPr>
                <w:rFonts w:eastAsia="Times New Roman"/>
              </w:rPr>
            </w:pPr>
            <w:r>
              <w:rPr>
                <w:rFonts w:eastAsia="Times New Roman"/>
                <w:b/>
                <w:bCs/>
                <w:color w:val="000000"/>
                <w:sz w:val="20"/>
                <w:szCs w:val="20"/>
              </w:rPr>
              <w:t> ITEM 7A.</w:t>
            </w:r>
          </w:p>
        </w:tc>
        <w:tc>
          <w:tcPr>
            <w:tcW w:w="0" w:type="auto"/>
            <w:gridSpan w:val="3"/>
            <w:tcMar>
              <w:top w:w="30" w:type="dxa"/>
              <w:left w:w="20" w:type="dxa"/>
              <w:bottom w:w="30" w:type="dxa"/>
              <w:right w:w="20" w:type="dxa"/>
            </w:tcMar>
            <w:hideMark/>
          </w:tcPr>
          <w:p w14:paraId="4C297C48" w14:textId="77777777" w:rsidR="00000000" w:rsidRDefault="001A570A">
            <w:pPr>
              <w:rPr>
                <w:rFonts w:eastAsia="Times New Roman"/>
              </w:rPr>
            </w:pPr>
            <w:r>
              <w:rPr>
                <w:rFonts w:eastAsia="Times New Roman"/>
                <w:b/>
                <w:bCs/>
                <w:color w:val="000000"/>
                <w:sz w:val="20"/>
                <w:szCs w:val="20"/>
              </w:rPr>
              <w:t>QUANTITATIVE AND QUALITATIVE DISCLOSURES ABOUT MARKET RISK.</w:t>
            </w:r>
          </w:p>
        </w:tc>
      </w:tr>
    </w:tbl>
    <w:p w14:paraId="666FD76D" w14:textId="77777777" w:rsidR="00000000" w:rsidRDefault="001A570A">
      <w:pPr>
        <w:ind w:firstLine="450"/>
        <w:divId w:val="310335544"/>
        <w:rPr>
          <w:rFonts w:eastAsia="Times New Roman"/>
        </w:rPr>
      </w:pPr>
      <w:r>
        <w:rPr>
          <w:rFonts w:eastAsia="Times New Roman"/>
          <w:color w:val="000000"/>
          <w:sz w:val="20"/>
          <w:szCs w:val="20"/>
        </w:rPr>
        <w:t xml:space="preserve">In the normal course of business, we are exposed to the risks associated with foreign currency exchange rates and changes in interest rates. We employ established policies and procedures governing the use of financial instruments to manage our exposure to </w:t>
      </w:r>
      <w:r>
        <w:rPr>
          <w:rFonts w:eastAsia="Times New Roman"/>
          <w:color w:val="000000"/>
          <w:sz w:val="20"/>
          <w:szCs w:val="20"/>
        </w:rPr>
        <w:t xml:space="preserve">such risks. For a discussion of such policies and procedures and the related risks, see “Financial Risk Management” in “Item 7. Management’s Discussion and Analysis of Financial Condition and Results of Operations” of this Report, which is incorporated by </w:t>
      </w:r>
      <w:r>
        <w:rPr>
          <w:rFonts w:eastAsia="Times New Roman"/>
          <w:color w:val="000000"/>
          <w:sz w:val="20"/>
          <w:szCs w:val="20"/>
        </w:rPr>
        <w:t>reference into this Item 7A.</w:t>
      </w:r>
    </w:p>
    <w:p w14:paraId="6BA867CE" w14:textId="77777777" w:rsidR="00000000" w:rsidRDefault="001A570A">
      <w:pPr>
        <w:ind w:firstLine="450"/>
        <w:divId w:val="1903248588"/>
        <w:rPr>
          <w:rFonts w:eastAsia="Times New Roman"/>
        </w:rPr>
      </w:pPr>
      <w:r>
        <w:rPr>
          <w:rFonts w:eastAsia="Times New Roman"/>
          <w:color w:val="000000"/>
          <w:sz w:val="20"/>
          <w:szCs w:val="20"/>
        </w:rPr>
        <w:t>In addition, we are exposed to market return fluctuations on our defined benefit plans. A material adverse decline in the value of these assets and/or the discount rate for projected benefit obligations would result in a decrea</w:t>
      </w:r>
      <w:r>
        <w:rPr>
          <w:rFonts w:eastAsia="Times New Roman"/>
          <w:color w:val="000000"/>
          <w:sz w:val="20"/>
          <w:szCs w:val="20"/>
        </w:rPr>
        <w:t>se in the funded status of the defined benefit plans, an increase in net periodic benefit cost and an increase in required funding. To protect against declines in the discount rate (i.e., interest rates), we will continue to monitor the performance of thes</w:t>
      </w:r>
      <w:r>
        <w:rPr>
          <w:rFonts w:eastAsia="Times New Roman"/>
          <w:color w:val="000000"/>
          <w:sz w:val="20"/>
          <w:szCs w:val="20"/>
        </w:rPr>
        <w:t xml:space="preserve">e assets and market conditions as we evaluate the amount of future contributions. For further information, see </w:t>
      </w:r>
      <w:r>
        <w:rPr>
          <w:rFonts w:eastAsia="Times New Roman"/>
          <w:i/>
          <w:iCs/>
          <w:color w:val="000000"/>
          <w:sz w:val="20"/>
          <w:szCs w:val="20"/>
        </w:rPr>
        <w:t>Note 15: Pension and Other Postretirement Benefits</w:t>
      </w:r>
      <w:r>
        <w:rPr>
          <w:rFonts w:eastAsia="Times New Roman"/>
          <w:color w:val="000000"/>
          <w:sz w:val="20"/>
          <w:szCs w:val="20"/>
        </w:rPr>
        <w:t xml:space="preserve"> in the Notes, which information is incorporated by reference into this Item 7A. </w:t>
      </w:r>
    </w:p>
    <w:p w14:paraId="36A349AA" w14:textId="77777777" w:rsidR="00000000" w:rsidRDefault="001A570A">
      <w:pPr>
        <w:ind w:firstLine="450"/>
        <w:divId w:val="1613172795"/>
        <w:rPr>
          <w:rFonts w:eastAsia="Times New Roman"/>
        </w:rPr>
      </w:pPr>
    </w:p>
    <w:p w14:paraId="314DD41A" w14:textId="77777777" w:rsidR="00000000" w:rsidRDefault="001A570A">
      <w:pPr>
        <w:ind w:firstLine="450"/>
        <w:jc w:val="center"/>
        <w:divId w:val="906036467"/>
        <w:rPr>
          <w:rFonts w:eastAsia="Times New Roman"/>
        </w:rPr>
      </w:pPr>
      <w:r>
        <w:rPr>
          <w:rFonts w:eastAsia="Times New Roman"/>
          <w:color w:val="000000"/>
          <w:sz w:val="20"/>
          <w:szCs w:val="20"/>
        </w:rPr>
        <w:t>69</w:t>
      </w:r>
    </w:p>
    <w:p w14:paraId="11CEBF04" w14:textId="77777777" w:rsidR="00000000" w:rsidRDefault="001A570A">
      <w:pPr>
        <w:rPr>
          <w:rFonts w:eastAsia="Times New Roman"/>
        </w:rPr>
      </w:pPr>
      <w:r>
        <w:rPr>
          <w:rFonts w:eastAsia="Times New Roman"/>
        </w:rPr>
        <w:pict w14:anchorId="21AF5AC9">
          <v:rect id="_x0000_i1097" style="width:0;height:1.5pt" o:hralign="center" o:hrstd="t" o:hr="t" fillcolor="#a0a0a0" stroked="f"/>
        </w:pict>
      </w:r>
    </w:p>
    <w:p w14:paraId="4382C090" w14:textId="77777777" w:rsidR="00000000" w:rsidRDefault="001A570A">
      <w:pPr>
        <w:ind w:firstLine="450"/>
        <w:divId w:val="748574376"/>
        <w:rPr>
          <w:rFonts w:eastAsia="Times New Roman"/>
        </w:rPr>
      </w:pPr>
    </w:p>
    <w:tbl>
      <w:tblPr>
        <w:tblW w:w="3484" w:type="pct"/>
        <w:tblCellMar>
          <w:top w:w="15" w:type="dxa"/>
          <w:left w:w="15" w:type="dxa"/>
          <w:bottom w:w="15" w:type="dxa"/>
          <w:right w:w="15" w:type="dxa"/>
        </w:tblCellMar>
        <w:tblLook w:val="04A0" w:firstRow="1" w:lastRow="0" w:firstColumn="1" w:lastColumn="0" w:noHBand="0" w:noVBand="1"/>
      </w:tblPr>
      <w:tblGrid>
        <w:gridCol w:w="50"/>
        <w:gridCol w:w="880"/>
        <w:gridCol w:w="36"/>
        <w:gridCol w:w="43"/>
        <w:gridCol w:w="4743"/>
        <w:gridCol w:w="36"/>
      </w:tblGrid>
      <w:tr w:rsidR="00000000" w14:paraId="648B02DB" w14:textId="77777777">
        <w:trPr>
          <w:divId w:val="123813482"/>
        </w:trPr>
        <w:tc>
          <w:tcPr>
            <w:tcW w:w="50" w:type="pct"/>
            <w:vAlign w:val="center"/>
            <w:hideMark/>
          </w:tcPr>
          <w:p w14:paraId="0A22326D" w14:textId="77777777" w:rsidR="00000000" w:rsidRDefault="001A570A">
            <w:pPr>
              <w:ind w:firstLine="450"/>
              <w:rPr>
                <w:rFonts w:eastAsia="Times New Roman"/>
              </w:rPr>
            </w:pPr>
          </w:p>
        </w:tc>
        <w:tc>
          <w:tcPr>
            <w:tcW w:w="780" w:type="pct"/>
            <w:vAlign w:val="center"/>
            <w:hideMark/>
          </w:tcPr>
          <w:p w14:paraId="5CF53877" w14:textId="77777777" w:rsidR="00000000" w:rsidRDefault="001A570A">
            <w:pPr>
              <w:rPr>
                <w:rFonts w:eastAsia="Times New Roman"/>
                <w:sz w:val="20"/>
                <w:szCs w:val="20"/>
              </w:rPr>
            </w:pPr>
          </w:p>
        </w:tc>
        <w:tc>
          <w:tcPr>
            <w:tcW w:w="5" w:type="pct"/>
            <w:vAlign w:val="center"/>
            <w:hideMark/>
          </w:tcPr>
          <w:p w14:paraId="46842843" w14:textId="77777777" w:rsidR="00000000" w:rsidRDefault="001A570A">
            <w:pPr>
              <w:rPr>
                <w:rFonts w:eastAsia="Times New Roman"/>
                <w:sz w:val="20"/>
                <w:szCs w:val="20"/>
              </w:rPr>
            </w:pPr>
          </w:p>
        </w:tc>
        <w:tc>
          <w:tcPr>
            <w:tcW w:w="50" w:type="pct"/>
            <w:vAlign w:val="center"/>
            <w:hideMark/>
          </w:tcPr>
          <w:p w14:paraId="570975EB" w14:textId="77777777" w:rsidR="00000000" w:rsidRDefault="001A570A">
            <w:pPr>
              <w:rPr>
                <w:rFonts w:eastAsia="Times New Roman"/>
                <w:sz w:val="20"/>
                <w:szCs w:val="20"/>
              </w:rPr>
            </w:pPr>
          </w:p>
        </w:tc>
        <w:tc>
          <w:tcPr>
            <w:tcW w:w="4109" w:type="pct"/>
            <w:vAlign w:val="center"/>
            <w:hideMark/>
          </w:tcPr>
          <w:p w14:paraId="20FDA193" w14:textId="77777777" w:rsidR="00000000" w:rsidRDefault="001A570A">
            <w:pPr>
              <w:rPr>
                <w:rFonts w:eastAsia="Times New Roman"/>
                <w:sz w:val="20"/>
                <w:szCs w:val="20"/>
              </w:rPr>
            </w:pPr>
          </w:p>
        </w:tc>
        <w:tc>
          <w:tcPr>
            <w:tcW w:w="5" w:type="pct"/>
            <w:vAlign w:val="center"/>
            <w:hideMark/>
          </w:tcPr>
          <w:p w14:paraId="3D2C38C7" w14:textId="77777777" w:rsidR="00000000" w:rsidRDefault="001A570A">
            <w:pPr>
              <w:rPr>
                <w:rFonts w:eastAsia="Times New Roman"/>
                <w:sz w:val="20"/>
                <w:szCs w:val="20"/>
              </w:rPr>
            </w:pPr>
          </w:p>
        </w:tc>
      </w:tr>
      <w:tr w:rsidR="00000000" w14:paraId="30138CD2" w14:textId="77777777">
        <w:trPr>
          <w:divId w:val="123813482"/>
        </w:trPr>
        <w:tc>
          <w:tcPr>
            <w:tcW w:w="0" w:type="auto"/>
            <w:gridSpan w:val="3"/>
            <w:tcMar>
              <w:top w:w="30" w:type="dxa"/>
              <w:left w:w="20" w:type="dxa"/>
              <w:bottom w:w="30" w:type="dxa"/>
              <w:right w:w="20" w:type="dxa"/>
            </w:tcMar>
            <w:hideMark/>
          </w:tcPr>
          <w:p w14:paraId="43F98039" w14:textId="77777777" w:rsidR="00000000" w:rsidRDefault="001A570A">
            <w:pPr>
              <w:rPr>
                <w:rFonts w:eastAsia="Times New Roman"/>
              </w:rPr>
            </w:pPr>
            <w:r>
              <w:rPr>
                <w:rFonts w:eastAsia="Times New Roman"/>
                <w:b/>
                <w:bCs/>
                <w:color w:val="000000"/>
                <w:sz w:val="20"/>
                <w:szCs w:val="20"/>
              </w:rPr>
              <w:t> ITEM 8.</w:t>
            </w:r>
          </w:p>
        </w:tc>
        <w:tc>
          <w:tcPr>
            <w:tcW w:w="0" w:type="auto"/>
            <w:gridSpan w:val="3"/>
            <w:tcMar>
              <w:top w:w="30" w:type="dxa"/>
              <w:left w:w="20" w:type="dxa"/>
              <w:bottom w:w="30" w:type="dxa"/>
              <w:right w:w="20" w:type="dxa"/>
            </w:tcMar>
            <w:hideMark/>
          </w:tcPr>
          <w:p w14:paraId="55B8DD6D" w14:textId="77777777" w:rsidR="00000000" w:rsidRDefault="001A570A">
            <w:pPr>
              <w:rPr>
                <w:rFonts w:eastAsia="Times New Roman"/>
              </w:rPr>
            </w:pPr>
            <w:r>
              <w:rPr>
                <w:rFonts w:eastAsia="Times New Roman"/>
                <w:b/>
                <w:bCs/>
                <w:color w:val="000000"/>
                <w:sz w:val="20"/>
                <w:szCs w:val="20"/>
              </w:rPr>
              <w:t>FINANCIAL STATEMENTS AND SUPPLEMENTARY DATA.</w:t>
            </w:r>
          </w:p>
        </w:tc>
      </w:tr>
    </w:tbl>
    <w:p w14:paraId="790E0F2E" w14:textId="77777777" w:rsidR="00000000" w:rsidRDefault="001A570A">
      <w:pPr>
        <w:ind w:firstLine="450"/>
        <w:jc w:val="center"/>
        <w:divId w:val="1903638206"/>
        <w:rPr>
          <w:rFonts w:eastAsia="Times New Roman"/>
        </w:rPr>
      </w:pPr>
      <w:r>
        <w:rPr>
          <w:rFonts w:eastAsia="Times New Roman"/>
          <w:b/>
          <w:bCs/>
          <w:color w:val="000000"/>
          <w:sz w:val="20"/>
          <w:szCs w:val="20"/>
        </w:rPr>
        <w:t>INDEX TO FINANCIAL STATEMENTS AND SUPPLEMENTARY DATA</w:t>
      </w:r>
    </w:p>
    <w:tbl>
      <w:tblPr>
        <w:tblW w:w="5000" w:type="pct"/>
        <w:tblCellMar>
          <w:top w:w="15" w:type="dxa"/>
          <w:left w:w="15" w:type="dxa"/>
          <w:bottom w:w="15" w:type="dxa"/>
          <w:right w:w="15" w:type="dxa"/>
        </w:tblCellMar>
        <w:tblLook w:val="04A0" w:firstRow="1" w:lastRow="0" w:firstColumn="1" w:lastColumn="0" w:noHBand="0" w:noVBand="1"/>
      </w:tblPr>
      <w:tblGrid>
        <w:gridCol w:w="69"/>
        <w:gridCol w:w="7775"/>
        <w:gridCol w:w="37"/>
        <w:gridCol w:w="73"/>
        <w:gridCol w:w="316"/>
        <w:gridCol w:w="36"/>
      </w:tblGrid>
      <w:tr w:rsidR="00000000" w14:paraId="62998A06" w14:textId="77777777">
        <w:trPr>
          <w:divId w:val="659575518"/>
        </w:trPr>
        <w:tc>
          <w:tcPr>
            <w:tcW w:w="50" w:type="pct"/>
            <w:vAlign w:val="center"/>
            <w:hideMark/>
          </w:tcPr>
          <w:p w14:paraId="2B694F13" w14:textId="77777777" w:rsidR="00000000" w:rsidRDefault="001A570A">
            <w:pPr>
              <w:ind w:firstLine="450"/>
              <w:jc w:val="center"/>
              <w:rPr>
                <w:rFonts w:eastAsia="Times New Roman"/>
              </w:rPr>
            </w:pPr>
          </w:p>
        </w:tc>
        <w:tc>
          <w:tcPr>
            <w:tcW w:w="4688" w:type="pct"/>
            <w:vAlign w:val="center"/>
            <w:hideMark/>
          </w:tcPr>
          <w:p w14:paraId="020B4D05" w14:textId="77777777" w:rsidR="00000000" w:rsidRDefault="001A570A">
            <w:pPr>
              <w:rPr>
                <w:rFonts w:eastAsia="Times New Roman"/>
                <w:sz w:val="20"/>
                <w:szCs w:val="20"/>
              </w:rPr>
            </w:pPr>
          </w:p>
        </w:tc>
        <w:tc>
          <w:tcPr>
            <w:tcW w:w="5" w:type="pct"/>
            <w:vAlign w:val="center"/>
            <w:hideMark/>
          </w:tcPr>
          <w:p w14:paraId="06966660" w14:textId="77777777" w:rsidR="00000000" w:rsidRDefault="001A570A">
            <w:pPr>
              <w:rPr>
                <w:rFonts w:eastAsia="Times New Roman"/>
                <w:sz w:val="20"/>
                <w:szCs w:val="20"/>
              </w:rPr>
            </w:pPr>
          </w:p>
        </w:tc>
        <w:tc>
          <w:tcPr>
            <w:tcW w:w="50" w:type="pct"/>
            <w:vAlign w:val="center"/>
            <w:hideMark/>
          </w:tcPr>
          <w:p w14:paraId="52E23523" w14:textId="77777777" w:rsidR="00000000" w:rsidRDefault="001A570A">
            <w:pPr>
              <w:rPr>
                <w:rFonts w:eastAsia="Times New Roman"/>
                <w:sz w:val="20"/>
                <w:szCs w:val="20"/>
              </w:rPr>
            </w:pPr>
          </w:p>
        </w:tc>
        <w:tc>
          <w:tcPr>
            <w:tcW w:w="201" w:type="pct"/>
            <w:vAlign w:val="center"/>
            <w:hideMark/>
          </w:tcPr>
          <w:p w14:paraId="4B1D5C64" w14:textId="77777777" w:rsidR="00000000" w:rsidRDefault="001A570A">
            <w:pPr>
              <w:rPr>
                <w:rFonts w:eastAsia="Times New Roman"/>
                <w:sz w:val="20"/>
                <w:szCs w:val="20"/>
              </w:rPr>
            </w:pPr>
          </w:p>
        </w:tc>
        <w:tc>
          <w:tcPr>
            <w:tcW w:w="5" w:type="pct"/>
            <w:vAlign w:val="center"/>
            <w:hideMark/>
          </w:tcPr>
          <w:p w14:paraId="406E4D55" w14:textId="77777777" w:rsidR="00000000" w:rsidRDefault="001A570A">
            <w:pPr>
              <w:rPr>
                <w:rFonts w:eastAsia="Times New Roman"/>
                <w:sz w:val="20"/>
                <w:szCs w:val="20"/>
              </w:rPr>
            </w:pPr>
          </w:p>
        </w:tc>
      </w:tr>
      <w:tr w:rsidR="00000000" w14:paraId="5574FAC8" w14:textId="77777777">
        <w:trPr>
          <w:divId w:val="659575518"/>
        </w:trPr>
        <w:tc>
          <w:tcPr>
            <w:tcW w:w="0" w:type="auto"/>
            <w:gridSpan w:val="3"/>
            <w:tcMar>
              <w:top w:w="30" w:type="dxa"/>
              <w:left w:w="20" w:type="dxa"/>
              <w:bottom w:w="30" w:type="dxa"/>
              <w:right w:w="20" w:type="dxa"/>
            </w:tcMar>
            <w:vAlign w:val="bottom"/>
            <w:hideMark/>
          </w:tcPr>
          <w:p w14:paraId="3750E158"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4E1CCA7" w14:textId="77777777" w:rsidR="00000000" w:rsidRDefault="001A570A">
            <w:pPr>
              <w:jc w:val="center"/>
              <w:rPr>
                <w:rFonts w:eastAsia="Times New Roman"/>
              </w:rPr>
            </w:pPr>
            <w:r>
              <w:rPr>
                <w:rFonts w:eastAsia="Times New Roman"/>
                <w:b/>
                <w:bCs/>
                <w:color w:val="000000"/>
                <w:sz w:val="16"/>
                <w:szCs w:val="16"/>
              </w:rPr>
              <w:t>Page</w:t>
            </w:r>
          </w:p>
        </w:tc>
      </w:tr>
      <w:tr w:rsidR="00000000" w14:paraId="5206857A" w14:textId="77777777">
        <w:trPr>
          <w:divId w:val="659575518"/>
        </w:trPr>
        <w:tc>
          <w:tcPr>
            <w:tcW w:w="0" w:type="auto"/>
            <w:gridSpan w:val="3"/>
            <w:tcMar>
              <w:top w:w="30" w:type="dxa"/>
              <w:left w:w="20" w:type="dxa"/>
              <w:bottom w:w="30" w:type="dxa"/>
              <w:right w:w="20" w:type="dxa"/>
            </w:tcMar>
            <w:hideMark/>
          </w:tcPr>
          <w:p w14:paraId="03C5BBE0" w14:textId="77777777" w:rsidR="00000000" w:rsidRDefault="001A570A">
            <w:pPr>
              <w:divId w:val="896669112"/>
              <w:rPr>
                <w:rFonts w:eastAsia="Times New Roman"/>
              </w:rPr>
            </w:pPr>
            <w:hyperlink w:anchor="i4275b480e8e04971b24237f63c242920_70" w:history="1">
              <w:r>
                <w:rPr>
                  <w:rStyle w:val="a3"/>
                  <w:rFonts w:eastAsia="Times New Roman"/>
                  <w:color w:val="000000"/>
                  <w:sz w:val="20"/>
                  <w:szCs w:val="20"/>
                  <w:u w:val="none"/>
                </w:rPr>
                <w:t>Management’s Report on Internal Control Over Financial Reporting</w:t>
              </w:r>
            </w:hyperlink>
          </w:p>
        </w:tc>
        <w:tc>
          <w:tcPr>
            <w:tcW w:w="0" w:type="auto"/>
            <w:gridSpan w:val="3"/>
            <w:tcBorders>
              <w:top w:val="single" w:sz="8" w:space="0" w:color="000000"/>
            </w:tcBorders>
            <w:tcMar>
              <w:top w:w="30" w:type="dxa"/>
              <w:left w:w="20" w:type="dxa"/>
              <w:bottom w:w="30" w:type="dxa"/>
              <w:right w:w="20" w:type="dxa"/>
            </w:tcMar>
            <w:vAlign w:val="bottom"/>
            <w:hideMark/>
          </w:tcPr>
          <w:p w14:paraId="53C54575" w14:textId="77777777" w:rsidR="00000000" w:rsidRDefault="001A570A">
            <w:pPr>
              <w:jc w:val="right"/>
              <w:rPr>
                <w:rFonts w:eastAsia="Times New Roman"/>
              </w:rPr>
            </w:pPr>
            <w:hyperlink w:anchor="i4275b480e8e04971b24237f63c242920_70" w:history="1">
              <w:r>
                <w:rPr>
                  <w:rStyle w:val="a3"/>
                  <w:rFonts w:eastAsia="Times New Roman"/>
                  <w:color w:val="000000"/>
                  <w:sz w:val="20"/>
                  <w:szCs w:val="20"/>
                  <w:u w:val="none"/>
                </w:rPr>
                <w:t>71</w:t>
              </w:r>
            </w:hyperlink>
          </w:p>
        </w:tc>
      </w:tr>
      <w:tr w:rsidR="00000000" w14:paraId="4A160D63" w14:textId="77777777">
        <w:trPr>
          <w:divId w:val="659575518"/>
        </w:trPr>
        <w:tc>
          <w:tcPr>
            <w:tcW w:w="0" w:type="auto"/>
            <w:gridSpan w:val="3"/>
            <w:tcMar>
              <w:top w:w="30" w:type="dxa"/>
              <w:left w:w="20" w:type="dxa"/>
              <w:bottom w:w="30" w:type="dxa"/>
              <w:right w:w="20" w:type="dxa"/>
            </w:tcMar>
            <w:hideMark/>
          </w:tcPr>
          <w:p w14:paraId="5F3B6958" w14:textId="77777777" w:rsidR="00000000" w:rsidRDefault="001A570A">
            <w:pPr>
              <w:ind w:hanging="270"/>
              <w:divId w:val="968246601"/>
              <w:rPr>
                <w:rFonts w:eastAsia="Times New Roman"/>
              </w:rPr>
            </w:pPr>
            <w:hyperlink w:anchor="i4275b480e8e04971b24237f63c242920_73" w:history="1">
              <w:r>
                <w:rPr>
                  <w:rStyle w:val="a3"/>
                  <w:rFonts w:eastAsia="Times New Roman"/>
                  <w:color w:val="000000"/>
                  <w:sz w:val="20"/>
                  <w:szCs w:val="20"/>
                  <w:u w:val="none"/>
                </w:rPr>
                <w:t>Report of Independent Registered Public Accounting Firm on the Consolidated Financial Statements</w:t>
              </w:r>
            </w:hyperlink>
          </w:p>
        </w:tc>
        <w:tc>
          <w:tcPr>
            <w:tcW w:w="0" w:type="auto"/>
            <w:gridSpan w:val="3"/>
            <w:tcMar>
              <w:top w:w="30" w:type="dxa"/>
              <w:left w:w="20" w:type="dxa"/>
              <w:bottom w:w="30" w:type="dxa"/>
              <w:right w:w="20" w:type="dxa"/>
            </w:tcMar>
            <w:vAlign w:val="bottom"/>
            <w:hideMark/>
          </w:tcPr>
          <w:p w14:paraId="05452E83" w14:textId="77777777" w:rsidR="00000000" w:rsidRDefault="001A570A">
            <w:pPr>
              <w:jc w:val="right"/>
              <w:rPr>
                <w:rFonts w:eastAsia="Times New Roman"/>
              </w:rPr>
            </w:pPr>
            <w:hyperlink w:anchor="i4275b480e8e04971b24237f63c242920_73" w:history="1">
              <w:r>
                <w:rPr>
                  <w:rStyle w:val="a3"/>
                  <w:rFonts w:eastAsia="Times New Roman"/>
                  <w:color w:val="000000"/>
                  <w:sz w:val="20"/>
                  <w:szCs w:val="20"/>
                  <w:u w:val="none"/>
                </w:rPr>
                <w:t>72</w:t>
              </w:r>
            </w:hyperlink>
          </w:p>
        </w:tc>
      </w:tr>
      <w:tr w:rsidR="00000000" w14:paraId="52817138" w14:textId="77777777">
        <w:trPr>
          <w:divId w:val="659575518"/>
        </w:trPr>
        <w:tc>
          <w:tcPr>
            <w:tcW w:w="0" w:type="auto"/>
            <w:gridSpan w:val="3"/>
            <w:tcMar>
              <w:top w:w="30" w:type="dxa"/>
              <w:left w:w="20" w:type="dxa"/>
              <w:bottom w:w="30" w:type="dxa"/>
              <w:right w:w="20" w:type="dxa"/>
            </w:tcMar>
            <w:hideMark/>
          </w:tcPr>
          <w:p w14:paraId="4B0C78D7" w14:textId="77777777" w:rsidR="00000000" w:rsidRDefault="001A570A">
            <w:pPr>
              <w:ind w:hanging="270"/>
              <w:divId w:val="682435228"/>
              <w:rPr>
                <w:rFonts w:eastAsia="Times New Roman"/>
              </w:rPr>
            </w:pPr>
            <w:hyperlink w:anchor="i4275b480e8e04971b24237f63c242920_76" w:history="1">
              <w:r>
                <w:rPr>
                  <w:rStyle w:val="a3"/>
                  <w:rFonts w:eastAsia="Times New Roman"/>
                  <w:color w:val="000000"/>
                  <w:sz w:val="20"/>
                  <w:szCs w:val="20"/>
                  <w:u w:val="none"/>
                </w:rPr>
                <w:t>Report of Independent Registered Public Accounting Firm on the Effectiveness of Internal Control Over Financial Reporting</w:t>
              </w:r>
            </w:hyperlink>
          </w:p>
        </w:tc>
        <w:tc>
          <w:tcPr>
            <w:tcW w:w="0" w:type="auto"/>
            <w:gridSpan w:val="3"/>
            <w:tcMar>
              <w:top w:w="30" w:type="dxa"/>
              <w:left w:w="20" w:type="dxa"/>
              <w:bottom w:w="30" w:type="dxa"/>
              <w:right w:w="20" w:type="dxa"/>
            </w:tcMar>
            <w:vAlign w:val="bottom"/>
            <w:hideMark/>
          </w:tcPr>
          <w:p w14:paraId="38849CD5" w14:textId="77777777" w:rsidR="00000000" w:rsidRDefault="001A570A">
            <w:pPr>
              <w:jc w:val="right"/>
              <w:rPr>
                <w:rFonts w:eastAsia="Times New Roman"/>
              </w:rPr>
            </w:pPr>
            <w:hyperlink w:anchor="i4275b480e8e04971b24237f63c242920_76" w:history="1">
              <w:r>
                <w:rPr>
                  <w:rStyle w:val="a3"/>
                  <w:rFonts w:eastAsia="Times New Roman"/>
                  <w:color w:val="000000"/>
                  <w:sz w:val="20"/>
                  <w:szCs w:val="20"/>
                  <w:u w:val="none"/>
                </w:rPr>
                <w:t>75</w:t>
              </w:r>
            </w:hyperlink>
          </w:p>
        </w:tc>
      </w:tr>
      <w:tr w:rsidR="00000000" w14:paraId="045031B3" w14:textId="77777777">
        <w:trPr>
          <w:divId w:val="659575518"/>
        </w:trPr>
        <w:tc>
          <w:tcPr>
            <w:tcW w:w="0" w:type="auto"/>
            <w:gridSpan w:val="3"/>
            <w:tcMar>
              <w:top w:w="30" w:type="dxa"/>
              <w:left w:w="290" w:type="dxa"/>
              <w:bottom w:w="30" w:type="dxa"/>
              <w:right w:w="20" w:type="dxa"/>
            </w:tcMar>
            <w:hideMark/>
          </w:tcPr>
          <w:p w14:paraId="4AE14304" w14:textId="77777777" w:rsidR="00000000" w:rsidRDefault="001A570A">
            <w:pPr>
              <w:ind w:hanging="270"/>
              <w:rPr>
                <w:rFonts w:eastAsia="Times New Roman"/>
              </w:rPr>
            </w:pPr>
            <w:r>
              <w:rPr>
                <w:rFonts w:eastAsia="Times New Roman"/>
                <w:color w:val="000000"/>
                <w:sz w:val="20"/>
                <w:szCs w:val="20"/>
              </w:rPr>
              <w:t>Consolid</w:t>
            </w:r>
            <w:r>
              <w:rPr>
                <w:rFonts w:eastAsia="Times New Roman"/>
                <w:color w:val="000000"/>
                <w:sz w:val="20"/>
                <w:szCs w:val="20"/>
              </w:rPr>
              <w:t>ated Statement of Income — Fiscal Year Ended January 1, 2021, Two Quarters Ended January 3, 2020, and Fiscal Years Ended June 28, 2019 and June 29, 2018</w:t>
            </w:r>
          </w:p>
        </w:tc>
        <w:tc>
          <w:tcPr>
            <w:tcW w:w="0" w:type="auto"/>
            <w:gridSpan w:val="3"/>
            <w:tcMar>
              <w:top w:w="30" w:type="dxa"/>
              <w:left w:w="20" w:type="dxa"/>
              <w:bottom w:w="30" w:type="dxa"/>
              <w:right w:w="20" w:type="dxa"/>
            </w:tcMar>
            <w:vAlign w:val="bottom"/>
            <w:hideMark/>
          </w:tcPr>
          <w:p w14:paraId="3ED4C9D8" w14:textId="77777777" w:rsidR="00000000" w:rsidRDefault="001A570A">
            <w:pPr>
              <w:jc w:val="right"/>
              <w:rPr>
                <w:rFonts w:eastAsia="Times New Roman"/>
              </w:rPr>
            </w:pPr>
            <w:hyperlink w:anchor="i4275b480e8e04971b24237f63c242920_79" w:history="1">
              <w:r>
                <w:rPr>
                  <w:rStyle w:val="a3"/>
                  <w:rFonts w:eastAsia="Times New Roman"/>
                  <w:color w:val="000000"/>
                  <w:sz w:val="20"/>
                  <w:szCs w:val="20"/>
                  <w:u w:val="none"/>
                </w:rPr>
                <w:t>76</w:t>
              </w:r>
            </w:hyperlink>
          </w:p>
        </w:tc>
      </w:tr>
      <w:tr w:rsidR="00000000" w14:paraId="588C96B7" w14:textId="77777777">
        <w:trPr>
          <w:divId w:val="659575518"/>
        </w:trPr>
        <w:tc>
          <w:tcPr>
            <w:tcW w:w="0" w:type="auto"/>
            <w:gridSpan w:val="3"/>
            <w:tcMar>
              <w:top w:w="30" w:type="dxa"/>
              <w:left w:w="290" w:type="dxa"/>
              <w:bottom w:w="30" w:type="dxa"/>
              <w:right w:w="20" w:type="dxa"/>
            </w:tcMar>
            <w:hideMark/>
          </w:tcPr>
          <w:p w14:paraId="138F456B" w14:textId="77777777" w:rsidR="00000000" w:rsidRDefault="001A570A">
            <w:pPr>
              <w:ind w:hanging="270"/>
              <w:rPr>
                <w:rFonts w:eastAsia="Times New Roman"/>
              </w:rPr>
            </w:pPr>
            <w:r>
              <w:rPr>
                <w:rFonts w:eastAsia="Times New Roman"/>
                <w:color w:val="000000"/>
                <w:sz w:val="20"/>
                <w:szCs w:val="20"/>
              </w:rPr>
              <w:t>Consolidated Statement of Comprehens</w:t>
            </w:r>
            <w:r>
              <w:rPr>
                <w:rFonts w:eastAsia="Times New Roman"/>
                <w:color w:val="000000"/>
                <w:sz w:val="20"/>
                <w:szCs w:val="20"/>
              </w:rPr>
              <w:t>ive Income — Fiscal Year Ended January 1, 2021, Two Quarters Ended January 3, 2020, and Fiscal Years Ended June 28, 2019 and June 29, 2018</w:t>
            </w:r>
          </w:p>
        </w:tc>
        <w:tc>
          <w:tcPr>
            <w:tcW w:w="0" w:type="auto"/>
            <w:gridSpan w:val="3"/>
            <w:tcMar>
              <w:top w:w="30" w:type="dxa"/>
              <w:left w:w="20" w:type="dxa"/>
              <w:bottom w:w="30" w:type="dxa"/>
              <w:right w:w="20" w:type="dxa"/>
            </w:tcMar>
            <w:vAlign w:val="bottom"/>
            <w:hideMark/>
          </w:tcPr>
          <w:p w14:paraId="7A66E5D8" w14:textId="77777777" w:rsidR="00000000" w:rsidRDefault="001A570A">
            <w:pPr>
              <w:jc w:val="right"/>
              <w:rPr>
                <w:rFonts w:eastAsia="Times New Roman"/>
              </w:rPr>
            </w:pPr>
            <w:hyperlink w:anchor="i4275b480e8e04971b24237f63c242920_82" w:history="1">
              <w:r>
                <w:rPr>
                  <w:rStyle w:val="a3"/>
                  <w:rFonts w:eastAsia="Times New Roman"/>
                  <w:color w:val="000000"/>
                  <w:sz w:val="20"/>
                  <w:szCs w:val="20"/>
                  <w:u w:val="none"/>
                </w:rPr>
                <w:t>77</w:t>
              </w:r>
            </w:hyperlink>
          </w:p>
        </w:tc>
      </w:tr>
      <w:tr w:rsidR="00000000" w14:paraId="003A46EA" w14:textId="77777777">
        <w:trPr>
          <w:divId w:val="659575518"/>
        </w:trPr>
        <w:tc>
          <w:tcPr>
            <w:tcW w:w="0" w:type="auto"/>
            <w:gridSpan w:val="3"/>
            <w:tcMar>
              <w:top w:w="30" w:type="dxa"/>
              <w:left w:w="20" w:type="dxa"/>
              <w:bottom w:w="30" w:type="dxa"/>
              <w:right w:w="20" w:type="dxa"/>
            </w:tcMar>
            <w:hideMark/>
          </w:tcPr>
          <w:p w14:paraId="247EBF14" w14:textId="77777777" w:rsidR="00000000" w:rsidRDefault="001A570A">
            <w:pPr>
              <w:divId w:val="1059479363"/>
              <w:rPr>
                <w:rFonts w:eastAsia="Times New Roman"/>
              </w:rPr>
            </w:pPr>
            <w:hyperlink w:anchor="i4275b480e8e04971b24237f63c242920_85" w:history="1">
              <w:r>
                <w:rPr>
                  <w:rStyle w:val="a3"/>
                  <w:rFonts w:eastAsia="Times New Roman"/>
                  <w:color w:val="000000"/>
                  <w:sz w:val="20"/>
                  <w:szCs w:val="20"/>
                  <w:u w:val="none"/>
                </w:rPr>
                <w:t>Consolidated Balance Sheet —</w:t>
              </w:r>
            </w:hyperlink>
            <w:r>
              <w:rPr>
                <w:rFonts w:eastAsia="Times New Roman"/>
                <w:color w:val="000000"/>
                <w:sz w:val="20"/>
                <w:szCs w:val="20"/>
              </w:rPr>
              <w:t xml:space="preserve"> January 1, 2021 and January 3, 2020 </w:t>
            </w:r>
          </w:p>
        </w:tc>
        <w:tc>
          <w:tcPr>
            <w:tcW w:w="0" w:type="auto"/>
            <w:gridSpan w:val="3"/>
            <w:tcMar>
              <w:top w:w="30" w:type="dxa"/>
              <w:left w:w="20" w:type="dxa"/>
              <w:bottom w:w="30" w:type="dxa"/>
              <w:right w:w="20" w:type="dxa"/>
            </w:tcMar>
            <w:vAlign w:val="bottom"/>
            <w:hideMark/>
          </w:tcPr>
          <w:p w14:paraId="2D751884" w14:textId="77777777" w:rsidR="00000000" w:rsidRDefault="001A570A">
            <w:pPr>
              <w:jc w:val="right"/>
              <w:rPr>
                <w:rFonts w:eastAsia="Times New Roman"/>
              </w:rPr>
            </w:pPr>
            <w:hyperlink w:anchor="i4275b480e8e04971b24237f63c242920_85" w:history="1">
              <w:r>
                <w:rPr>
                  <w:rStyle w:val="a3"/>
                  <w:rFonts w:eastAsia="Times New Roman"/>
                  <w:color w:val="000000"/>
                  <w:sz w:val="20"/>
                  <w:szCs w:val="20"/>
                  <w:u w:val="none"/>
                </w:rPr>
                <w:t>78</w:t>
              </w:r>
            </w:hyperlink>
          </w:p>
        </w:tc>
      </w:tr>
      <w:tr w:rsidR="00000000" w14:paraId="34A9AFDB" w14:textId="77777777">
        <w:trPr>
          <w:divId w:val="659575518"/>
        </w:trPr>
        <w:tc>
          <w:tcPr>
            <w:tcW w:w="0" w:type="auto"/>
            <w:gridSpan w:val="3"/>
            <w:tcMar>
              <w:top w:w="30" w:type="dxa"/>
              <w:left w:w="20" w:type="dxa"/>
              <w:bottom w:w="30" w:type="dxa"/>
              <w:right w:w="20" w:type="dxa"/>
            </w:tcMar>
            <w:hideMark/>
          </w:tcPr>
          <w:p w14:paraId="56BF3302" w14:textId="77777777" w:rsidR="00000000" w:rsidRDefault="001A570A">
            <w:pPr>
              <w:ind w:hanging="270"/>
              <w:divId w:val="842941427"/>
              <w:rPr>
                <w:rFonts w:eastAsia="Times New Roman"/>
              </w:rPr>
            </w:pPr>
            <w:hyperlink w:anchor="i4275b480e8e04971b24237f63c242920_91" w:history="1">
              <w:r>
                <w:rPr>
                  <w:rStyle w:val="a3"/>
                  <w:rFonts w:eastAsia="Times New Roman"/>
                  <w:color w:val="000000"/>
                  <w:sz w:val="20"/>
                  <w:szCs w:val="20"/>
                  <w:u w:val="none"/>
                </w:rPr>
                <w:t xml:space="preserve">Consolidated Statement of Cash Flows — </w:t>
              </w:r>
            </w:hyperlink>
            <w:r>
              <w:rPr>
                <w:rFonts w:eastAsia="Times New Roman"/>
                <w:color w:val="000000"/>
                <w:sz w:val="20"/>
                <w:szCs w:val="20"/>
              </w:rPr>
              <w:t>Fiscal Year Ended January 1, 2021, Two Quarters Ended January 3, 2020, and Fiscal Years Ended June 28, 2019 and June 29, 2018</w:t>
            </w:r>
          </w:p>
        </w:tc>
        <w:tc>
          <w:tcPr>
            <w:tcW w:w="0" w:type="auto"/>
            <w:gridSpan w:val="3"/>
            <w:tcMar>
              <w:top w:w="30" w:type="dxa"/>
              <w:left w:w="20" w:type="dxa"/>
              <w:bottom w:w="30" w:type="dxa"/>
              <w:right w:w="20" w:type="dxa"/>
            </w:tcMar>
            <w:vAlign w:val="bottom"/>
            <w:hideMark/>
          </w:tcPr>
          <w:p w14:paraId="0014AFD2" w14:textId="77777777" w:rsidR="00000000" w:rsidRDefault="001A570A">
            <w:pPr>
              <w:jc w:val="right"/>
              <w:rPr>
                <w:rFonts w:eastAsia="Times New Roman"/>
              </w:rPr>
            </w:pPr>
            <w:hyperlink w:anchor="i4275b480e8e04971b24237f63c242920_91" w:history="1">
              <w:r>
                <w:rPr>
                  <w:rStyle w:val="a3"/>
                  <w:rFonts w:eastAsia="Times New Roman"/>
                  <w:color w:val="000000"/>
                  <w:sz w:val="20"/>
                  <w:szCs w:val="20"/>
                  <w:u w:val="none"/>
                </w:rPr>
                <w:t>79</w:t>
              </w:r>
            </w:hyperlink>
          </w:p>
        </w:tc>
      </w:tr>
      <w:tr w:rsidR="00000000" w14:paraId="57CBE58A" w14:textId="77777777">
        <w:trPr>
          <w:divId w:val="659575518"/>
        </w:trPr>
        <w:tc>
          <w:tcPr>
            <w:tcW w:w="0" w:type="auto"/>
            <w:gridSpan w:val="3"/>
            <w:tcMar>
              <w:top w:w="30" w:type="dxa"/>
              <w:left w:w="20" w:type="dxa"/>
              <w:bottom w:w="30" w:type="dxa"/>
              <w:right w:w="20" w:type="dxa"/>
            </w:tcMar>
            <w:hideMark/>
          </w:tcPr>
          <w:p w14:paraId="6CCC309C" w14:textId="77777777" w:rsidR="00000000" w:rsidRDefault="001A570A">
            <w:pPr>
              <w:ind w:hanging="270"/>
              <w:divId w:val="1739596456"/>
              <w:rPr>
                <w:rFonts w:eastAsia="Times New Roman"/>
              </w:rPr>
            </w:pPr>
            <w:hyperlink w:anchor="i4275b480e8e04971b24237f63c242920_94" w:history="1">
              <w:r>
                <w:rPr>
                  <w:rStyle w:val="a3"/>
                  <w:rFonts w:eastAsia="Times New Roman"/>
                  <w:color w:val="000000"/>
                  <w:sz w:val="20"/>
                  <w:szCs w:val="20"/>
                  <w:u w:val="none"/>
                </w:rPr>
                <w:t xml:space="preserve">Consolidated Statement of Equity — </w:t>
              </w:r>
            </w:hyperlink>
            <w:r>
              <w:rPr>
                <w:rFonts w:eastAsia="Times New Roman"/>
                <w:color w:val="000000"/>
                <w:sz w:val="20"/>
                <w:szCs w:val="20"/>
              </w:rPr>
              <w:t>Fiscal Year Ended January 1, 2021, Two Quarters Ended January 3, 2020, and Fiscal Years Ended June 28, 2019 and June 29, 2018</w:t>
            </w:r>
          </w:p>
        </w:tc>
        <w:tc>
          <w:tcPr>
            <w:tcW w:w="0" w:type="auto"/>
            <w:gridSpan w:val="3"/>
            <w:tcMar>
              <w:top w:w="30" w:type="dxa"/>
              <w:left w:w="20" w:type="dxa"/>
              <w:bottom w:w="30" w:type="dxa"/>
              <w:right w:w="20" w:type="dxa"/>
            </w:tcMar>
            <w:vAlign w:val="bottom"/>
            <w:hideMark/>
          </w:tcPr>
          <w:p w14:paraId="7071C628" w14:textId="77777777" w:rsidR="00000000" w:rsidRDefault="001A570A">
            <w:pPr>
              <w:jc w:val="right"/>
              <w:rPr>
                <w:rFonts w:eastAsia="Times New Roman"/>
              </w:rPr>
            </w:pPr>
            <w:hyperlink w:anchor="i4275b480e8e04971b24237f63c242920_94" w:history="1">
              <w:r>
                <w:rPr>
                  <w:rStyle w:val="a3"/>
                  <w:rFonts w:eastAsia="Times New Roman"/>
                  <w:color w:val="000000"/>
                  <w:sz w:val="20"/>
                  <w:szCs w:val="20"/>
                  <w:u w:val="none"/>
                </w:rPr>
                <w:t>80</w:t>
              </w:r>
            </w:hyperlink>
          </w:p>
        </w:tc>
      </w:tr>
      <w:tr w:rsidR="00000000" w14:paraId="7EB811B2" w14:textId="77777777">
        <w:trPr>
          <w:divId w:val="659575518"/>
        </w:trPr>
        <w:tc>
          <w:tcPr>
            <w:tcW w:w="0" w:type="auto"/>
            <w:gridSpan w:val="3"/>
            <w:tcMar>
              <w:top w:w="30" w:type="dxa"/>
              <w:left w:w="20" w:type="dxa"/>
              <w:bottom w:w="30" w:type="dxa"/>
              <w:right w:w="20" w:type="dxa"/>
            </w:tcMar>
            <w:hideMark/>
          </w:tcPr>
          <w:p w14:paraId="4431C676" w14:textId="77777777" w:rsidR="00000000" w:rsidRDefault="001A570A">
            <w:pPr>
              <w:divId w:val="210771819"/>
              <w:rPr>
                <w:rFonts w:eastAsia="Times New Roman"/>
              </w:rPr>
            </w:pPr>
            <w:hyperlink w:anchor="i4275b480e8e04971b24237f63c242920_100"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14:paraId="449762DA" w14:textId="77777777" w:rsidR="00000000" w:rsidRDefault="001A570A">
            <w:pPr>
              <w:jc w:val="right"/>
              <w:rPr>
                <w:rFonts w:eastAsia="Times New Roman"/>
              </w:rPr>
            </w:pPr>
            <w:hyperlink w:anchor="i4275b480e8e04971b24237f63c242920_100" w:history="1">
              <w:r>
                <w:rPr>
                  <w:rStyle w:val="a3"/>
                  <w:rFonts w:eastAsia="Times New Roman"/>
                  <w:color w:val="000000"/>
                  <w:sz w:val="20"/>
                  <w:szCs w:val="20"/>
                  <w:u w:val="none"/>
                </w:rPr>
                <w:t>81</w:t>
              </w:r>
            </w:hyperlink>
          </w:p>
        </w:tc>
      </w:tr>
      <w:tr w:rsidR="00000000" w14:paraId="5D601AC2" w14:textId="77777777">
        <w:trPr>
          <w:divId w:val="659575518"/>
        </w:trPr>
        <w:tc>
          <w:tcPr>
            <w:tcW w:w="0" w:type="auto"/>
            <w:gridSpan w:val="3"/>
            <w:vAlign w:val="center"/>
            <w:hideMark/>
          </w:tcPr>
          <w:p w14:paraId="768BC4F5" w14:textId="77777777" w:rsidR="00000000" w:rsidRDefault="001A570A">
            <w:pPr>
              <w:jc w:val="right"/>
              <w:rPr>
                <w:rFonts w:eastAsia="Times New Roman"/>
              </w:rPr>
            </w:pPr>
          </w:p>
        </w:tc>
        <w:tc>
          <w:tcPr>
            <w:tcW w:w="0" w:type="auto"/>
            <w:gridSpan w:val="3"/>
            <w:vAlign w:val="center"/>
            <w:hideMark/>
          </w:tcPr>
          <w:p w14:paraId="6B0FEF66" w14:textId="77777777" w:rsidR="00000000" w:rsidRDefault="001A570A">
            <w:pPr>
              <w:rPr>
                <w:rFonts w:eastAsia="Times New Roman"/>
                <w:sz w:val="20"/>
                <w:szCs w:val="20"/>
              </w:rPr>
            </w:pPr>
          </w:p>
        </w:tc>
      </w:tr>
    </w:tbl>
    <w:p w14:paraId="4AEF644F" w14:textId="77777777" w:rsidR="00000000" w:rsidRDefault="001A570A">
      <w:pPr>
        <w:ind w:firstLine="450"/>
        <w:divId w:val="553275694"/>
        <w:rPr>
          <w:rFonts w:eastAsia="Times New Roman"/>
        </w:rPr>
      </w:pPr>
    </w:p>
    <w:p w14:paraId="5CE810C0" w14:textId="77777777" w:rsidR="00000000" w:rsidRDefault="001A570A">
      <w:pPr>
        <w:ind w:firstLine="450"/>
        <w:jc w:val="center"/>
        <w:divId w:val="1648827209"/>
        <w:rPr>
          <w:rFonts w:eastAsia="Times New Roman"/>
        </w:rPr>
      </w:pPr>
      <w:r>
        <w:rPr>
          <w:rFonts w:eastAsia="Times New Roman"/>
          <w:color w:val="000000"/>
          <w:sz w:val="20"/>
          <w:szCs w:val="20"/>
        </w:rPr>
        <w:t>70</w:t>
      </w:r>
    </w:p>
    <w:p w14:paraId="4DD77EB9" w14:textId="77777777" w:rsidR="00000000" w:rsidRDefault="001A570A">
      <w:pPr>
        <w:rPr>
          <w:rFonts w:eastAsia="Times New Roman"/>
        </w:rPr>
      </w:pPr>
      <w:r>
        <w:rPr>
          <w:rFonts w:eastAsia="Times New Roman"/>
        </w:rPr>
        <w:pict w14:anchorId="5F3A9F78">
          <v:rect id="_x0000_i1098" style="width:0;height:1.5pt" o:hralign="center" o:hrstd="t" o:hr="t" fillcolor="#a0a0a0" stroked="f"/>
        </w:pict>
      </w:r>
    </w:p>
    <w:p w14:paraId="5F256B67" w14:textId="77777777" w:rsidR="00000000" w:rsidRDefault="001A570A">
      <w:pPr>
        <w:ind w:firstLine="450"/>
        <w:divId w:val="817965571"/>
        <w:rPr>
          <w:rFonts w:eastAsia="Times New Roman"/>
        </w:rPr>
      </w:pPr>
    </w:p>
    <w:p w14:paraId="39963359" w14:textId="77777777" w:rsidR="00000000" w:rsidRDefault="001A570A">
      <w:pPr>
        <w:ind w:firstLine="450"/>
        <w:jc w:val="center"/>
        <w:divId w:val="1322928876"/>
        <w:rPr>
          <w:rFonts w:eastAsia="Times New Roman"/>
        </w:rPr>
      </w:pPr>
      <w:r>
        <w:rPr>
          <w:rFonts w:eastAsia="Times New Roman"/>
          <w:b/>
          <w:bCs/>
          <w:color w:val="000000"/>
          <w:sz w:val="20"/>
          <w:szCs w:val="20"/>
        </w:rPr>
        <w:t>MANAGEMENT’S REPORT ON INTERNAL CONTROL</w:t>
      </w:r>
    </w:p>
    <w:p w14:paraId="523CAA82" w14:textId="77777777" w:rsidR="00000000" w:rsidRDefault="001A570A">
      <w:pPr>
        <w:ind w:firstLine="450"/>
        <w:jc w:val="center"/>
        <w:divId w:val="1890190955"/>
        <w:rPr>
          <w:rFonts w:eastAsia="Times New Roman"/>
        </w:rPr>
      </w:pPr>
      <w:r>
        <w:rPr>
          <w:rFonts w:eastAsia="Times New Roman"/>
          <w:b/>
          <w:bCs/>
          <w:color w:val="000000"/>
          <w:sz w:val="20"/>
          <w:szCs w:val="20"/>
        </w:rPr>
        <w:t>OVER FINANCIAL REPORTING</w:t>
      </w:r>
    </w:p>
    <w:p w14:paraId="7C661A82" w14:textId="77777777" w:rsidR="00000000" w:rsidRDefault="001A570A">
      <w:pPr>
        <w:ind w:firstLine="450"/>
        <w:divId w:val="1365524631"/>
        <w:rPr>
          <w:rFonts w:eastAsia="Times New Roman"/>
        </w:rPr>
      </w:pPr>
      <w:r>
        <w:rPr>
          <w:rFonts w:eastAsia="Times New Roman"/>
          <w:color w:val="000000"/>
          <w:sz w:val="20"/>
          <w:szCs w:val="20"/>
        </w:rPr>
        <w:t>The management of L3Harris Technologies, Inc. (the “Company”) is responsible for establishing and maintaining adequate internal control over financial re</w:t>
      </w:r>
      <w:r>
        <w:rPr>
          <w:rFonts w:eastAsia="Times New Roman"/>
          <w:color w:val="000000"/>
          <w:sz w:val="20"/>
          <w:szCs w:val="20"/>
        </w:rPr>
        <w:t>porting as such term is defined in Rules 13a-15(f) and 15d-15(f) under the Securities Exchange Act of 1934, as amended. The Company’s internal control over financial reporting is designed to provide reasonable assurance, based on an appropriate cost-benefi</w:t>
      </w:r>
      <w:r>
        <w:rPr>
          <w:rFonts w:eastAsia="Times New Roman"/>
          <w:color w:val="000000"/>
          <w:sz w:val="20"/>
          <w:szCs w:val="20"/>
        </w:rPr>
        <w:t>t analysis, regarding the reliability of financial reporting and the preparation of financial statements for external purposes in accordance with U.S. generally accepted accounting principles. The Company’s internal control over financial reporting include</w:t>
      </w:r>
      <w:r>
        <w:rPr>
          <w:rFonts w:eastAsia="Times New Roman"/>
          <w:color w:val="000000"/>
          <w:sz w:val="20"/>
          <w:szCs w:val="20"/>
        </w:rPr>
        <w:t>s those policies and procedures that: (i) pertain to the maintenance of records that, in reasonable detail, accurately and fairly reflect the transactions and dispositions of the assets of the Company; (ii) provide reasonable assurance that transactions ar</w:t>
      </w:r>
      <w:r>
        <w:rPr>
          <w:rFonts w:eastAsia="Times New Roman"/>
          <w:color w:val="000000"/>
          <w:sz w:val="20"/>
          <w:szCs w:val="20"/>
        </w:rPr>
        <w:t>e recorded as necessary to permit preparation of financial statements in accordance with U.S. generally accepted accounting principles, and that receipts and expenditures of the Company are being made only in accordance with authorizations of management an</w:t>
      </w:r>
      <w:r>
        <w:rPr>
          <w:rFonts w:eastAsia="Times New Roman"/>
          <w:color w:val="000000"/>
          <w:sz w:val="20"/>
          <w:szCs w:val="20"/>
        </w:rPr>
        <w:t>d directors of the Company; and (iii) provide reasonable assurance regarding prevention or timely detection of unauthorized acquisition, use or disposition of the Company’s assets that could have a material effect on the financial statements.</w:t>
      </w:r>
    </w:p>
    <w:p w14:paraId="7413F2E5" w14:textId="77777777" w:rsidR="00000000" w:rsidRDefault="001A570A">
      <w:pPr>
        <w:ind w:firstLine="450"/>
        <w:divId w:val="2007511200"/>
        <w:rPr>
          <w:rFonts w:eastAsia="Times New Roman"/>
        </w:rPr>
      </w:pPr>
      <w:r>
        <w:rPr>
          <w:rFonts w:eastAsia="Times New Roman"/>
          <w:color w:val="000000"/>
          <w:sz w:val="20"/>
          <w:szCs w:val="20"/>
        </w:rPr>
        <w:t>Because of it</w:t>
      </w:r>
      <w:r>
        <w:rPr>
          <w:rFonts w:eastAsia="Times New Roman"/>
          <w:color w:val="000000"/>
          <w:sz w:val="20"/>
          <w:szCs w:val="20"/>
        </w:rPr>
        <w:t>s inherent limitations, internal control over financial reporting may not prevent or detect misstatements. Therefore, even those systems determined to be effective can provide only reasonable assurance with respect to financial statement preparation and pr</w:t>
      </w:r>
      <w:r>
        <w:rPr>
          <w:rFonts w:eastAsia="Times New Roman"/>
          <w:color w:val="000000"/>
          <w:sz w:val="20"/>
          <w:szCs w:val="20"/>
        </w:rPr>
        <w:t>esentation. Also, projections of any evaluation of effectiveness to future periods are subject to the risk that controls may become inadequate because of changes in conditions, or that the degree of compliance with the policies or procedures may deteriorat</w:t>
      </w:r>
      <w:r>
        <w:rPr>
          <w:rFonts w:eastAsia="Times New Roman"/>
          <w:color w:val="000000"/>
          <w:sz w:val="20"/>
          <w:szCs w:val="20"/>
        </w:rPr>
        <w:t>e.</w:t>
      </w:r>
    </w:p>
    <w:p w14:paraId="3C5A3D31" w14:textId="77777777" w:rsidR="00000000" w:rsidRDefault="001A570A">
      <w:pPr>
        <w:ind w:firstLine="450"/>
        <w:divId w:val="1878203881"/>
        <w:rPr>
          <w:rFonts w:eastAsia="Times New Roman"/>
        </w:rPr>
      </w:pPr>
      <w:r>
        <w:rPr>
          <w:rFonts w:eastAsia="Times New Roman"/>
          <w:color w:val="000000"/>
          <w:sz w:val="20"/>
          <w:szCs w:val="20"/>
        </w:rPr>
        <w:t>Management, with the participation of our Chief Executive Officer and Chief Financial Officer, assessed the effectiveness of the Company’s internal control over financial reporting as of January 1, 2021. In making this assessment, management used the cr</w:t>
      </w:r>
      <w:r>
        <w:rPr>
          <w:rFonts w:eastAsia="Times New Roman"/>
          <w:color w:val="000000"/>
          <w:sz w:val="20"/>
          <w:szCs w:val="20"/>
        </w:rPr>
        <w:t xml:space="preserve">iteria set forth by the Committee of Sponsoring Organizations of the Treadway Commission (COSO) in </w:t>
      </w:r>
      <w:r>
        <w:rPr>
          <w:rFonts w:eastAsia="Times New Roman"/>
          <w:i/>
          <w:iCs/>
          <w:color w:val="000000"/>
          <w:sz w:val="20"/>
          <w:szCs w:val="20"/>
        </w:rPr>
        <w:t>Internal Control-Integrated Framework</w:t>
      </w:r>
      <w:r>
        <w:rPr>
          <w:rFonts w:eastAsia="Times New Roman"/>
          <w:color w:val="000000"/>
          <w:sz w:val="20"/>
          <w:szCs w:val="20"/>
        </w:rPr>
        <w:t xml:space="preserve"> (2013 framework). Based on management’s assessment and those criteria, management concluded that the Company maintained</w:t>
      </w:r>
      <w:r>
        <w:rPr>
          <w:rFonts w:eastAsia="Times New Roman"/>
          <w:color w:val="000000"/>
          <w:sz w:val="20"/>
          <w:szCs w:val="20"/>
        </w:rPr>
        <w:t xml:space="preserve"> effective internal control over financial reporting as of January 1, 2021.</w:t>
      </w:r>
    </w:p>
    <w:p w14:paraId="6CEA6055" w14:textId="77777777" w:rsidR="00000000" w:rsidRDefault="001A570A">
      <w:pPr>
        <w:ind w:firstLine="450"/>
        <w:divId w:val="272828694"/>
        <w:rPr>
          <w:rFonts w:eastAsia="Times New Roman"/>
        </w:rPr>
      </w:pPr>
      <w:r>
        <w:rPr>
          <w:rFonts w:eastAsia="Times New Roman"/>
          <w:color w:val="000000"/>
          <w:sz w:val="20"/>
          <w:szCs w:val="20"/>
        </w:rPr>
        <w:t>The Company’s independent registered public accounting firm, Ernst &amp; Young LLP, has issued a report on the effectiveness of the Company’s internal control over financial reporting.</w:t>
      </w:r>
      <w:r>
        <w:rPr>
          <w:rFonts w:eastAsia="Times New Roman"/>
          <w:color w:val="000000"/>
          <w:sz w:val="20"/>
          <w:szCs w:val="20"/>
        </w:rPr>
        <w:t xml:space="preserve"> This report appears on page 75 of this Annual Report on Form 10-K.</w:t>
      </w:r>
    </w:p>
    <w:p w14:paraId="767E8D6B" w14:textId="77777777" w:rsidR="00000000" w:rsidRDefault="001A570A">
      <w:pPr>
        <w:ind w:firstLine="450"/>
        <w:divId w:val="483201277"/>
        <w:rPr>
          <w:rFonts w:eastAsia="Times New Roman"/>
        </w:rPr>
      </w:pPr>
    </w:p>
    <w:p w14:paraId="70043B7A" w14:textId="77777777" w:rsidR="00000000" w:rsidRDefault="001A570A">
      <w:pPr>
        <w:ind w:firstLine="450"/>
        <w:jc w:val="center"/>
        <w:divId w:val="1046221795"/>
        <w:rPr>
          <w:rFonts w:eastAsia="Times New Roman"/>
        </w:rPr>
      </w:pPr>
      <w:r>
        <w:rPr>
          <w:rFonts w:eastAsia="Times New Roman"/>
          <w:color w:val="000000"/>
          <w:sz w:val="20"/>
          <w:szCs w:val="20"/>
        </w:rPr>
        <w:t>71</w:t>
      </w:r>
    </w:p>
    <w:p w14:paraId="6D6AB007" w14:textId="77777777" w:rsidR="00000000" w:rsidRDefault="001A570A">
      <w:pPr>
        <w:rPr>
          <w:rFonts w:eastAsia="Times New Roman"/>
        </w:rPr>
      </w:pPr>
      <w:r>
        <w:rPr>
          <w:rFonts w:eastAsia="Times New Roman"/>
        </w:rPr>
        <w:pict w14:anchorId="67049F40">
          <v:rect id="_x0000_i1099" style="width:0;height:1.5pt" o:hralign="center" o:hrstd="t" o:hr="t" fillcolor="#a0a0a0" stroked="f"/>
        </w:pict>
      </w:r>
    </w:p>
    <w:p w14:paraId="30EFEE5C" w14:textId="77777777" w:rsidR="00000000" w:rsidRDefault="001A570A">
      <w:pPr>
        <w:ind w:firstLine="450"/>
        <w:divId w:val="1466194783"/>
        <w:rPr>
          <w:rFonts w:eastAsia="Times New Roman"/>
        </w:rPr>
      </w:pPr>
    </w:p>
    <w:p w14:paraId="7F9815F6" w14:textId="77777777" w:rsidR="00000000" w:rsidRDefault="001A570A">
      <w:pPr>
        <w:ind w:firstLine="450"/>
        <w:jc w:val="center"/>
        <w:divId w:val="1092238522"/>
        <w:rPr>
          <w:rFonts w:eastAsia="Times New Roman"/>
        </w:rPr>
      </w:pPr>
      <w:r>
        <w:rPr>
          <w:rFonts w:eastAsia="Times New Roman"/>
          <w:b/>
          <w:bCs/>
          <w:color w:val="000000"/>
          <w:sz w:val="20"/>
          <w:szCs w:val="20"/>
        </w:rPr>
        <w:t>Report of Independent Registered Public Accounting Firm</w:t>
      </w:r>
    </w:p>
    <w:p w14:paraId="088F76B5" w14:textId="77777777" w:rsidR="00000000" w:rsidRDefault="001A570A">
      <w:pPr>
        <w:divId w:val="1355420875"/>
        <w:rPr>
          <w:rFonts w:eastAsia="Times New Roman"/>
        </w:rPr>
      </w:pPr>
      <w:r>
        <w:rPr>
          <w:rFonts w:eastAsia="Times New Roman"/>
          <w:color w:val="000000"/>
          <w:sz w:val="20"/>
          <w:szCs w:val="20"/>
        </w:rPr>
        <w:t xml:space="preserve">To the Shareholders and the Board of Directors of L3Harris Technologies, Inc. </w:t>
      </w:r>
    </w:p>
    <w:p w14:paraId="02C9A672" w14:textId="77777777" w:rsidR="00000000" w:rsidRDefault="001A570A">
      <w:pPr>
        <w:divId w:val="908151749"/>
        <w:rPr>
          <w:rFonts w:eastAsia="Times New Roman"/>
        </w:rPr>
      </w:pPr>
      <w:r>
        <w:rPr>
          <w:rFonts w:eastAsia="Times New Roman"/>
          <w:b/>
          <w:bCs/>
          <w:color w:val="000000"/>
          <w:sz w:val="20"/>
          <w:szCs w:val="20"/>
        </w:rPr>
        <w:t>Opinion on the Financial Statements</w:t>
      </w:r>
    </w:p>
    <w:p w14:paraId="0D0308BB" w14:textId="77777777" w:rsidR="00000000" w:rsidRDefault="001A570A">
      <w:pPr>
        <w:divId w:val="1849637409"/>
        <w:rPr>
          <w:rFonts w:eastAsia="Times New Roman"/>
        </w:rPr>
      </w:pPr>
      <w:r>
        <w:rPr>
          <w:rFonts w:eastAsia="Times New Roman"/>
          <w:color w:val="000000"/>
          <w:sz w:val="20"/>
          <w:szCs w:val="20"/>
        </w:rPr>
        <w:t>We have audited the accompanying consolidated balance sheets of L3Harris Technologies, Inc. (the Company) as of January 1, 2021and January 3,</w:t>
      </w:r>
      <w:r>
        <w:rPr>
          <w:rFonts w:eastAsia="Times New Roman"/>
          <w:color w:val="000000"/>
          <w:sz w:val="20"/>
          <w:szCs w:val="20"/>
        </w:rPr>
        <w:t xml:space="preserve"> 2020, the related consolidated statements of income, comprehensive income, cash flows and equity for the year ended January 1, 2021, the two quarters ended January 3, 2020 and for each of the two years in the period ended June 28, 2019, and the related no</w:t>
      </w:r>
      <w:r>
        <w:rPr>
          <w:rFonts w:eastAsia="Times New Roman"/>
          <w:color w:val="000000"/>
          <w:sz w:val="20"/>
          <w:szCs w:val="20"/>
        </w:rPr>
        <w:t xml:space="preserve">tes (collectively referred to as the “consolidated financial statements”). In our opinion, the consolidated financial statements present fairly, in all material respects, the financial position of the Company at January 1, 2021 and January 3, 2020 and the </w:t>
      </w:r>
      <w:r>
        <w:rPr>
          <w:rFonts w:eastAsia="Times New Roman"/>
          <w:color w:val="000000"/>
          <w:sz w:val="20"/>
          <w:szCs w:val="20"/>
        </w:rPr>
        <w:t>results of its operations and its cash flows for the year ended January 1, 2021, the two quarters ended January 3, 2020 and each of the two years in the period ended June 28, 2019, in conformity with U.S. generally accepted accounting principles.</w:t>
      </w:r>
    </w:p>
    <w:p w14:paraId="4872B2F2" w14:textId="77777777" w:rsidR="00000000" w:rsidRDefault="001A570A">
      <w:pPr>
        <w:divId w:val="509370511"/>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January 1, 2021, based on criteria established in Internal Contro</w:t>
      </w:r>
      <w:r>
        <w:rPr>
          <w:rFonts w:eastAsia="Times New Roman"/>
          <w:color w:val="000000"/>
          <w:sz w:val="20"/>
          <w:szCs w:val="20"/>
        </w:rPr>
        <w:t>l-Integrated Framework issued by the Committee of Sponsoring Organizations of the Treadway Commission (2013 framework), and our report dated March 1, 2021 expressed an unqualified opinion thereon.</w:t>
      </w:r>
    </w:p>
    <w:p w14:paraId="7347C38C" w14:textId="77777777" w:rsidR="00000000" w:rsidRDefault="001A570A">
      <w:pPr>
        <w:divId w:val="2046247347"/>
        <w:rPr>
          <w:rFonts w:eastAsia="Times New Roman"/>
        </w:rPr>
      </w:pPr>
      <w:r>
        <w:rPr>
          <w:rFonts w:eastAsia="Times New Roman"/>
          <w:b/>
          <w:bCs/>
          <w:color w:val="000000"/>
          <w:sz w:val="20"/>
          <w:szCs w:val="20"/>
        </w:rPr>
        <w:t>Basis for Opinion</w:t>
      </w:r>
    </w:p>
    <w:p w14:paraId="2325B404" w14:textId="77777777" w:rsidR="00000000" w:rsidRDefault="001A570A">
      <w:pPr>
        <w:divId w:val="56711274"/>
        <w:rPr>
          <w:rFonts w:eastAsia="Times New Roman"/>
        </w:rPr>
      </w:pPr>
      <w:r>
        <w:rPr>
          <w:rFonts w:eastAsia="Times New Roman"/>
          <w:color w:val="000000"/>
          <w:sz w:val="20"/>
          <w:szCs w:val="20"/>
        </w:rPr>
        <w:t>These financial statements are the respon</w:t>
      </w:r>
      <w:r>
        <w:rPr>
          <w:rFonts w:eastAsia="Times New Roman"/>
          <w:color w:val="000000"/>
          <w:sz w:val="20"/>
          <w:szCs w:val="20"/>
        </w:rPr>
        <w:t>sibility of the Company's management. Our responsibility is to express an opinion on the Company’s financial statements based on our audits. We are a public accounting firm registered with the PCAOB and are required to be independent with respect to the Co</w:t>
      </w:r>
      <w:r>
        <w:rPr>
          <w:rFonts w:eastAsia="Times New Roman"/>
          <w:color w:val="000000"/>
          <w:sz w:val="20"/>
          <w:szCs w:val="20"/>
        </w:rPr>
        <w:t>mpany in accordance with the U.S. federal securities laws and the applicable rules and regulations of the Securities and Exchange Commission and the PCAOB.</w:t>
      </w:r>
    </w:p>
    <w:p w14:paraId="7877D57E" w14:textId="77777777" w:rsidR="00000000" w:rsidRDefault="001A570A">
      <w:pPr>
        <w:divId w:val="2126195760"/>
        <w:rPr>
          <w:rFonts w:eastAsia="Times New Roman"/>
        </w:rPr>
      </w:pPr>
      <w:r>
        <w:rPr>
          <w:rFonts w:eastAsia="Times New Roman"/>
          <w:color w:val="000000"/>
          <w:sz w:val="20"/>
          <w:szCs w:val="20"/>
        </w:rPr>
        <w:t xml:space="preserve">We conducted our audits in accordance with the standards of the PCAOB. Those standards require that </w:t>
      </w:r>
      <w:r>
        <w:rPr>
          <w:rFonts w:eastAsia="Times New Roman"/>
          <w:color w:val="000000"/>
          <w:sz w:val="20"/>
          <w:szCs w:val="20"/>
        </w:rPr>
        <w:t xml:space="preserve">we plan and perform the audit to obtain reasonable assurance about whether the financial statements are free of material misstatement, whether due to error or fraud. Our audits included performing procedures to assess the risks of material misstatement of </w:t>
      </w:r>
      <w:r>
        <w:rPr>
          <w:rFonts w:eastAsia="Times New Roman"/>
          <w:color w:val="000000"/>
          <w:sz w:val="20"/>
          <w:szCs w:val="20"/>
        </w:rPr>
        <w:t>the financial statements, whether due to error or fraud, and performing procedures that respond to those risks. Such procedures included examining, on a test basis, evidence regarding the amounts and disclosures in the financial statements. Our audits also</w:t>
      </w:r>
      <w:r>
        <w:rPr>
          <w:rFonts w:eastAsia="Times New Roman"/>
          <w:color w:val="000000"/>
          <w:sz w:val="20"/>
          <w:szCs w:val="20"/>
        </w:rPr>
        <w:t xml:space="preserve"> included evaluating the accounting principles used and significant estimates made by management, as well as evaluating the overall presentation of the financial statements. We believe that our audits provide a reasonable basis for our opinion.</w:t>
      </w:r>
    </w:p>
    <w:p w14:paraId="28462D06" w14:textId="77777777" w:rsidR="00000000" w:rsidRDefault="001A570A">
      <w:pPr>
        <w:divId w:val="966664420"/>
        <w:rPr>
          <w:rFonts w:eastAsia="Times New Roman"/>
        </w:rPr>
      </w:pPr>
      <w:r>
        <w:rPr>
          <w:rFonts w:eastAsia="Times New Roman"/>
          <w:b/>
          <w:bCs/>
          <w:color w:val="000000"/>
          <w:sz w:val="20"/>
          <w:szCs w:val="20"/>
        </w:rPr>
        <w:t>Critical Au</w:t>
      </w:r>
      <w:r>
        <w:rPr>
          <w:rFonts w:eastAsia="Times New Roman"/>
          <w:b/>
          <w:bCs/>
          <w:color w:val="000000"/>
          <w:sz w:val="20"/>
          <w:szCs w:val="20"/>
        </w:rPr>
        <w:t xml:space="preserve">dit Matters </w:t>
      </w:r>
    </w:p>
    <w:p w14:paraId="273A0889" w14:textId="77777777" w:rsidR="00000000" w:rsidRDefault="001A570A">
      <w:pPr>
        <w:divId w:val="1311861090"/>
        <w:rPr>
          <w:rFonts w:eastAsia="Times New Roman"/>
        </w:rPr>
      </w:pPr>
      <w:r>
        <w:rPr>
          <w:rFonts w:eastAsia="Times New Roman"/>
          <w:color w:val="000000"/>
          <w:sz w:val="20"/>
          <w:szCs w:val="20"/>
        </w:rPr>
        <w:t>The critical audit matters communicated below are matters arising from the current period audit of the financial statements that were communicated or required to be communicated to the audit committee and that: (1) relate to accounts or disclo</w:t>
      </w:r>
      <w:r>
        <w:rPr>
          <w:rFonts w:eastAsia="Times New Roman"/>
          <w:color w:val="000000"/>
          <w:sz w:val="20"/>
          <w:szCs w:val="20"/>
        </w:rPr>
        <w:t>sures that are material to the financial statements and (2) involved our especially challenging, subjective or complex judgments. The communication of critical audit matters does not alter in any way our opinion on the consolidated financial statements, ta</w:t>
      </w:r>
      <w:r>
        <w:rPr>
          <w:rFonts w:eastAsia="Times New Roman"/>
          <w:color w:val="000000"/>
          <w:sz w:val="20"/>
          <w:szCs w:val="20"/>
        </w:rPr>
        <w:t>ken as a whole, and we are not, by communicating the critical audit matters below, providing separate opinions on the critical audit matters or on the accounts or disclosures to which they relate.</w:t>
      </w:r>
    </w:p>
    <w:p w14:paraId="786642F0" w14:textId="77777777" w:rsidR="00000000" w:rsidRDefault="001A570A">
      <w:pPr>
        <w:ind w:firstLine="450"/>
        <w:divId w:val="1766882742"/>
        <w:rPr>
          <w:rFonts w:eastAsia="Times New Roman"/>
        </w:rPr>
      </w:pPr>
    </w:p>
    <w:p w14:paraId="0622E2DC" w14:textId="77777777" w:rsidR="00000000" w:rsidRDefault="001A570A">
      <w:pPr>
        <w:ind w:firstLine="450"/>
        <w:jc w:val="center"/>
        <w:divId w:val="1242300766"/>
        <w:rPr>
          <w:rFonts w:eastAsia="Times New Roman"/>
        </w:rPr>
      </w:pPr>
      <w:r>
        <w:rPr>
          <w:rFonts w:eastAsia="Times New Roman"/>
          <w:color w:val="000000"/>
          <w:sz w:val="20"/>
          <w:szCs w:val="20"/>
        </w:rPr>
        <w:t>72</w:t>
      </w:r>
    </w:p>
    <w:p w14:paraId="0365B42B" w14:textId="77777777" w:rsidR="00000000" w:rsidRDefault="001A570A">
      <w:pPr>
        <w:rPr>
          <w:rFonts w:eastAsia="Times New Roman"/>
        </w:rPr>
      </w:pPr>
      <w:r>
        <w:rPr>
          <w:rFonts w:eastAsia="Times New Roman"/>
        </w:rPr>
        <w:pict w14:anchorId="375E403A">
          <v:rect id="_x0000_i1100" style="width:0;height:1.5pt" o:hralign="center" o:hrstd="t" o:hr="t" fillcolor="#a0a0a0" stroked="f"/>
        </w:pict>
      </w:r>
    </w:p>
    <w:p w14:paraId="6FBD8978" w14:textId="77777777" w:rsidR="00000000" w:rsidRDefault="001A570A">
      <w:pPr>
        <w:ind w:firstLine="450"/>
        <w:divId w:val="152374230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758"/>
        <w:gridCol w:w="36"/>
        <w:gridCol w:w="69"/>
        <w:gridCol w:w="6337"/>
        <w:gridCol w:w="38"/>
      </w:tblGrid>
      <w:tr w:rsidR="00000000" w14:paraId="55986775" w14:textId="77777777">
        <w:trPr>
          <w:divId w:val="2015959481"/>
          <w:jc w:val="center"/>
        </w:trPr>
        <w:tc>
          <w:tcPr>
            <w:tcW w:w="50" w:type="pct"/>
            <w:vAlign w:val="center"/>
            <w:hideMark/>
          </w:tcPr>
          <w:p w14:paraId="554FB51B" w14:textId="77777777" w:rsidR="00000000" w:rsidRDefault="001A570A">
            <w:pPr>
              <w:ind w:firstLine="450"/>
              <w:rPr>
                <w:rFonts w:eastAsia="Times New Roman"/>
              </w:rPr>
            </w:pPr>
          </w:p>
        </w:tc>
        <w:tc>
          <w:tcPr>
            <w:tcW w:w="1067" w:type="pct"/>
            <w:vAlign w:val="center"/>
            <w:hideMark/>
          </w:tcPr>
          <w:p w14:paraId="6DE3B807" w14:textId="77777777" w:rsidR="00000000" w:rsidRDefault="001A570A">
            <w:pPr>
              <w:rPr>
                <w:rFonts w:eastAsia="Times New Roman"/>
                <w:sz w:val="20"/>
                <w:szCs w:val="20"/>
              </w:rPr>
            </w:pPr>
          </w:p>
        </w:tc>
        <w:tc>
          <w:tcPr>
            <w:tcW w:w="5" w:type="pct"/>
            <w:vAlign w:val="center"/>
            <w:hideMark/>
          </w:tcPr>
          <w:p w14:paraId="5417E1F9" w14:textId="77777777" w:rsidR="00000000" w:rsidRDefault="001A570A">
            <w:pPr>
              <w:rPr>
                <w:rFonts w:eastAsia="Times New Roman"/>
                <w:sz w:val="20"/>
                <w:szCs w:val="20"/>
              </w:rPr>
            </w:pPr>
          </w:p>
        </w:tc>
        <w:tc>
          <w:tcPr>
            <w:tcW w:w="50" w:type="pct"/>
            <w:vAlign w:val="center"/>
            <w:hideMark/>
          </w:tcPr>
          <w:p w14:paraId="3344E9FF" w14:textId="77777777" w:rsidR="00000000" w:rsidRDefault="001A570A">
            <w:pPr>
              <w:rPr>
                <w:rFonts w:eastAsia="Times New Roman"/>
                <w:sz w:val="20"/>
                <w:szCs w:val="20"/>
              </w:rPr>
            </w:pPr>
          </w:p>
        </w:tc>
        <w:tc>
          <w:tcPr>
            <w:tcW w:w="3823" w:type="pct"/>
            <w:vAlign w:val="center"/>
            <w:hideMark/>
          </w:tcPr>
          <w:p w14:paraId="75D19B9F" w14:textId="77777777" w:rsidR="00000000" w:rsidRDefault="001A570A">
            <w:pPr>
              <w:rPr>
                <w:rFonts w:eastAsia="Times New Roman"/>
                <w:sz w:val="20"/>
                <w:szCs w:val="20"/>
              </w:rPr>
            </w:pPr>
          </w:p>
        </w:tc>
        <w:tc>
          <w:tcPr>
            <w:tcW w:w="5" w:type="pct"/>
            <w:vAlign w:val="center"/>
            <w:hideMark/>
          </w:tcPr>
          <w:p w14:paraId="054C279D" w14:textId="77777777" w:rsidR="00000000" w:rsidRDefault="001A570A">
            <w:pPr>
              <w:rPr>
                <w:rFonts w:eastAsia="Times New Roman"/>
                <w:sz w:val="20"/>
                <w:szCs w:val="20"/>
              </w:rPr>
            </w:pPr>
          </w:p>
        </w:tc>
      </w:tr>
      <w:tr w:rsidR="00000000" w14:paraId="362EB46E" w14:textId="77777777">
        <w:trPr>
          <w:divId w:val="2015959481"/>
          <w:jc w:val="center"/>
        </w:trPr>
        <w:tc>
          <w:tcPr>
            <w:tcW w:w="0" w:type="auto"/>
            <w:gridSpan w:val="3"/>
            <w:tcMar>
              <w:top w:w="0" w:type="dxa"/>
              <w:left w:w="20" w:type="dxa"/>
              <w:bottom w:w="0" w:type="dxa"/>
              <w:right w:w="20" w:type="dxa"/>
            </w:tcMar>
            <w:vAlign w:val="center"/>
            <w:hideMark/>
          </w:tcPr>
          <w:p w14:paraId="52C5E0E6"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center"/>
            <w:hideMark/>
          </w:tcPr>
          <w:p w14:paraId="0C51B8E4" w14:textId="77777777" w:rsidR="00000000" w:rsidRDefault="001A570A">
            <w:pPr>
              <w:rPr>
                <w:rFonts w:eastAsia="Times New Roman"/>
              </w:rPr>
            </w:pPr>
            <w:r>
              <w:rPr>
                <w:rFonts w:eastAsia="Times New Roman"/>
                <w:b/>
                <w:bCs/>
                <w:i/>
                <w:iCs/>
                <w:color w:val="000000"/>
                <w:sz w:val="20"/>
                <w:szCs w:val="20"/>
              </w:rPr>
              <w:t>Cost estimation for revenue recognition on development and production contracts</w:t>
            </w:r>
          </w:p>
        </w:tc>
      </w:tr>
      <w:tr w:rsidR="00000000" w14:paraId="7B59E60D" w14:textId="77777777">
        <w:trPr>
          <w:divId w:val="2015959481"/>
          <w:jc w:val="center"/>
        </w:trPr>
        <w:tc>
          <w:tcPr>
            <w:tcW w:w="0" w:type="auto"/>
            <w:gridSpan w:val="3"/>
            <w:tcMar>
              <w:top w:w="30" w:type="dxa"/>
              <w:left w:w="20" w:type="dxa"/>
              <w:bottom w:w="30" w:type="dxa"/>
              <w:right w:w="20" w:type="dxa"/>
            </w:tcMar>
            <w:hideMark/>
          </w:tcPr>
          <w:p w14:paraId="38CCC33E" w14:textId="77777777" w:rsidR="00000000" w:rsidRDefault="001A570A">
            <w:pPr>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14:paraId="226AEEDA" w14:textId="77777777" w:rsidR="00000000" w:rsidRDefault="001A570A">
            <w:pPr>
              <w:rPr>
                <w:rFonts w:eastAsia="Times New Roman"/>
              </w:rPr>
            </w:pPr>
            <w:r>
              <w:rPr>
                <w:rFonts w:eastAsia="Times New Roman"/>
                <w:color w:val="000000"/>
                <w:sz w:val="20"/>
                <w:szCs w:val="20"/>
              </w:rPr>
              <w:t>As described in Note 1 of the consolidated financial statements, the Company recognized revenue for certain of its development and production con</w:t>
            </w:r>
            <w:r>
              <w:rPr>
                <w:rFonts w:eastAsia="Times New Roman"/>
                <w:color w:val="000000"/>
                <w:sz w:val="20"/>
                <w:szCs w:val="20"/>
              </w:rPr>
              <w:t>tracts over time, typically using a percentage of completion cost-to-cost method, which required estimates of the total cost to be incurred for each contract at completion. At the outset of the contract, the Company establishes an estimated total cost to c</w:t>
            </w:r>
            <w:r>
              <w:rPr>
                <w:rFonts w:eastAsia="Times New Roman"/>
                <w:color w:val="000000"/>
                <w:sz w:val="20"/>
                <w:szCs w:val="20"/>
              </w:rPr>
              <w:t>omplete, taking into consideration the complexity and perceived risks associated with the technical, schedule, and cost aspects of the contract. After establishing the estimated total cost to complete, the Company reviews the progress and performance on it</w:t>
            </w:r>
            <w:r>
              <w:rPr>
                <w:rFonts w:eastAsia="Times New Roman"/>
                <w:color w:val="000000"/>
                <w:sz w:val="20"/>
                <w:szCs w:val="20"/>
              </w:rPr>
              <w:t>s ongoing development and production contracts at least quarterly and updates the estimated total cost to complete as needed. Such estimates are subject to change during the performance of the contract and significant changes in estimates could have a mate</w:t>
            </w:r>
            <w:r>
              <w:rPr>
                <w:rFonts w:eastAsia="Times New Roman"/>
                <w:color w:val="000000"/>
                <w:sz w:val="20"/>
                <w:szCs w:val="20"/>
              </w:rPr>
              <w:t>rial effect on the Company’s results of operations. Auditing the cost estimation for development and production contracts involved subjective auditor judgment because the Company’s development of the estimated total cost at completion required estimates of</w:t>
            </w:r>
            <w:r>
              <w:rPr>
                <w:rFonts w:eastAsia="Times New Roman"/>
                <w:color w:val="000000"/>
                <w:sz w:val="20"/>
                <w:szCs w:val="20"/>
              </w:rPr>
              <w:t xml:space="preserve"> the cost of the work to be completed based on the Company’s assumptions around achieving the technical, schedule and cost aspects of its development and production contracts. In determining the estimates of the cost of the work to be completed, the Compan</w:t>
            </w:r>
            <w:r>
              <w:rPr>
                <w:rFonts w:eastAsia="Times New Roman"/>
                <w:color w:val="000000"/>
                <w:sz w:val="20"/>
                <w:szCs w:val="20"/>
              </w:rPr>
              <w:t>y considered the nature and complexity of the work to be performed, subcontractor performance and the risk and impact of delayed performance. Estimates of total cost at completion were also affected by management’s assessment of the current status of the c</w:t>
            </w:r>
            <w:r>
              <w:rPr>
                <w:rFonts w:eastAsia="Times New Roman"/>
                <w:color w:val="000000"/>
                <w:sz w:val="20"/>
                <w:szCs w:val="20"/>
              </w:rPr>
              <w:t>ontract and expectation for performance on the contract, as well as historical experience.</w:t>
            </w:r>
          </w:p>
        </w:tc>
      </w:tr>
      <w:tr w:rsidR="00000000" w14:paraId="630C24A8" w14:textId="77777777">
        <w:trPr>
          <w:divId w:val="2015959481"/>
          <w:jc w:val="center"/>
        </w:trPr>
        <w:tc>
          <w:tcPr>
            <w:tcW w:w="0" w:type="auto"/>
            <w:gridSpan w:val="3"/>
            <w:tcMar>
              <w:top w:w="30" w:type="dxa"/>
              <w:left w:w="20" w:type="dxa"/>
              <w:bottom w:w="30" w:type="dxa"/>
              <w:right w:w="20" w:type="dxa"/>
            </w:tcMar>
            <w:hideMark/>
          </w:tcPr>
          <w:p w14:paraId="42DB7E27" w14:textId="77777777" w:rsidR="00000000" w:rsidRDefault="001A570A">
            <w:pPr>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14:paraId="79837AB4" w14:textId="77777777" w:rsidR="00000000" w:rsidRDefault="001A570A">
            <w:pPr>
              <w:divId w:val="1321154197"/>
              <w:rPr>
                <w:rFonts w:eastAsia="Times New Roman"/>
              </w:rPr>
            </w:pPr>
            <w:r>
              <w:rPr>
                <w:rFonts w:eastAsia="Times New Roman"/>
                <w:color w:val="000000"/>
                <w:sz w:val="20"/>
                <w:szCs w:val="20"/>
              </w:rPr>
              <w:t xml:space="preserve">We obtained an understanding, evaluated the design and tested the operating effectiveness of certain internal controls </w:t>
            </w:r>
            <w:r>
              <w:rPr>
                <w:rFonts w:eastAsia="Times New Roman"/>
                <w:color w:val="000000"/>
                <w:sz w:val="20"/>
                <w:szCs w:val="20"/>
              </w:rPr>
              <w:t>over the Company’s accounting for cost estimation for development and production contracts. For example, we tested certain controls over management’s review of the estimate at completion analyses and the significant assumptions underlying the estimated tot</w:t>
            </w:r>
            <w:r>
              <w:rPr>
                <w:rFonts w:eastAsia="Times New Roman"/>
                <w:color w:val="000000"/>
                <w:sz w:val="20"/>
                <w:szCs w:val="20"/>
              </w:rPr>
              <w:t>al costs to complete. We also tested certain of management’s controls to validate that the data used in the estimate at completion analyses was complete and accurate.</w:t>
            </w:r>
          </w:p>
          <w:p w14:paraId="440731BE" w14:textId="77777777" w:rsidR="00000000" w:rsidRDefault="001A570A">
            <w:pPr>
              <w:divId w:val="340938912"/>
              <w:rPr>
                <w:rFonts w:eastAsia="Times New Roman"/>
              </w:rPr>
            </w:pPr>
            <w:r>
              <w:rPr>
                <w:rFonts w:eastAsia="Times New Roman"/>
                <w:color w:val="000000"/>
                <w:sz w:val="20"/>
                <w:szCs w:val="20"/>
              </w:rPr>
              <w:t>To test the cost estimation for development and production contracts, our audit procedure</w:t>
            </w:r>
            <w:r>
              <w:rPr>
                <w:rFonts w:eastAsia="Times New Roman"/>
                <w:color w:val="000000"/>
                <w:sz w:val="20"/>
                <w:szCs w:val="20"/>
              </w:rPr>
              <w:t>s included, among others, obtaining an understanding of the contract, meeting with program management to confirm our understanding of the risks associated with the arrangement and the current contract performance, review of customer correspondence and cont</w:t>
            </w:r>
            <w:r>
              <w:rPr>
                <w:rFonts w:eastAsia="Times New Roman"/>
                <w:color w:val="000000"/>
                <w:sz w:val="20"/>
                <w:szCs w:val="20"/>
              </w:rPr>
              <w:t xml:space="preserve">ractual milestones, and comparing cost estimates to historical cost experience with similar contracts, when applicable. Additionally, we obtained an understanding of the Company’s past performance of estimating total costs to complete by reviewing changes </w:t>
            </w:r>
            <w:r>
              <w:rPr>
                <w:rFonts w:eastAsia="Times New Roman"/>
                <w:color w:val="000000"/>
                <w:sz w:val="20"/>
                <w:szCs w:val="20"/>
              </w:rPr>
              <w:t>in the cost estimates from previous periods and reviewing the overall accuracy of management’s cost to completion estimations through lookback analyses.</w:t>
            </w:r>
          </w:p>
        </w:tc>
      </w:tr>
    </w:tbl>
    <w:p w14:paraId="63E72AAE" w14:textId="77777777" w:rsidR="00000000" w:rsidRDefault="001A570A">
      <w:pPr>
        <w:ind w:firstLine="450"/>
        <w:jc w:val="center"/>
        <w:divId w:val="1418751295"/>
        <w:rPr>
          <w:rFonts w:eastAsia="Times New Roman"/>
        </w:rPr>
      </w:pPr>
      <w:r>
        <w:rPr>
          <w:rFonts w:eastAsia="Times New Roman"/>
          <w:color w:val="000000"/>
          <w:sz w:val="20"/>
          <w:szCs w:val="20"/>
        </w:rPr>
        <w:t>73</w:t>
      </w:r>
    </w:p>
    <w:p w14:paraId="365D3366" w14:textId="77777777" w:rsidR="00000000" w:rsidRDefault="001A570A">
      <w:pPr>
        <w:rPr>
          <w:rFonts w:eastAsia="Times New Roman"/>
        </w:rPr>
      </w:pPr>
      <w:r>
        <w:rPr>
          <w:rFonts w:eastAsia="Times New Roman"/>
        </w:rPr>
        <w:pict w14:anchorId="35D2D314">
          <v:rect id="_x0000_i1101" style="width:0;height:1.5pt" o:hralign="center" o:hrstd="t" o:hr="t" fillcolor="#a0a0a0" stroked="f"/>
        </w:pict>
      </w:r>
    </w:p>
    <w:p w14:paraId="30898FE5" w14:textId="77777777" w:rsidR="00000000" w:rsidRDefault="001A570A">
      <w:pPr>
        <w:ind w:firstLine="450"/>
        <w:divId w:val="143937503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759"/>
        <w:gridCol w:w="36"/>
        <w:gridCol w:w="69"/>
        <w:gridCol w:w="6337"/>
        <w:gridCol w:w="37"/>
      </w:tblGrid>
      <w:tr w:rsidR="00000000" w14:paraId="31E963E0" w14:textId="77777777">
        <w:trPr>
          <w:divId w:val="251400223"/>
          <w:jc w:val="center"/>
        </w:trPr>
        <w:tc>
          <w:tcPr>
            <w:tcW w:w="50" w:type="pct"/>
            <w:vAlign w:val="center"/>
            <w:hideMark/>
          </w:tcPr>
          <w:p w14:paraId="286214BE" w14:textId="77777777" w:rsidR="00000000" w:rsidRDefault="001A570A">
            <w:pPr>
              <w:ind w:firstLine="450"/>
              <w:rPr>
                <w:rFonts w:eastAsia="Times New Roman"/>
              </w:rPr>
            </w:pPr>
          </w:p>
        </w:tc>
        <w:tc>
          <w:tcPr>
            <w:tcW w:w="1067" w:type="pct"/>
            <w:vAlign w:val="center"/>
            <w:hideMark/>
          </w:tcPr>
          <w:p w14:paraId="55C27A9D" w14:textId="77777777" w:rsidR="00000000" w:rsidRDefault="001A570A">
            <w:pPr>
              <w:rPr>
                <w:rFonts w:eastAsia="Times New Roman"/>
                <w:sz w:val="20"/>
                <w:szCs w:val="20"/>
              </w:rPr>
            </w:pPr>
          </w:p>
        </w:tc>
        <w:tc>
          <w:tcPr>
            <w:tcW w:w="5" w:type="pct"/>
            <w:vAlign w:val="center"/>
            <w:hideMark/>
          </w:tcPr>
          <w:p w14:paraId="20E6BEB7" w14:textId="77777777" w:rsidR="00000000" w:rsidRDefault="001A570A">
            <w:pPr>
              <w:rPr>
                <w:rFonts w:eastAsia="Times New Roman"/>
                <w:sz w:val="20"/>
                <w:szCs w:val="20"/>
              </w:rPr>
            </w:pPr>
          </w:p>
        </w:tc>
        <w:tc>
          <w:tcPr>
            <w:tcW w:w="50" w:type="pct"/>
            <w:vAlign w:val="center"/>
            <w:hideMark/>
          </w:tcPr>
          <w:p w14:paraId="4F2F389D" w14:textId="77777777" w:rsidR="00000000" w:rsidRDefault="001A570A">
            <w:pPr>
              <w:rPr>
                <w:rFonts w:eastAsia="Times New Roman"/>
                <w:sz w:val="20"/>
                <w:szCs w:val="20"/>
              </w:rPr>
            </w:pPr>
          </w:p>
        </w:tc>
        <w:tc>
          <w:tcPr>
            <w:tcW w:w="3823" w:type="pct"/>
            <w:vAlign w:val="center"/>
            <w:hideMark/>
          </w:tcPr>
          <w:p w14:paraId="619BB979" w14:textId="77777777" w:rsidR="00000000" w:rsidRDefault="001A570A">
            <w:pPr>
              <w:rPr>
                <w:rFonts w:eastAsia="Times New Roman"/>
                <w:sz w:val="20"/>
                <w:szCs w:val="20"/>
              </w:rPr>
            </w:pPr>
          </w:p>
        </w:tc>
        <w:tc>
          <w:tcPr>
            <w:tcW w:w="5" w:type="pct"/>
            <w:vAlign w:val="center"/>
            <w:hideMark/>
          </w:tcPr>
          <w:p w14:paraId="2E273A03" w14:textId="77777777" w:rsidR="00000000" w:rsidRDefault="001A570A">
            <w:pPr>
              <w:rPr>
                <w:rFonts w:eastAsia="Times New Roman"/>
                <w:sz w:val="20"/>
                <w:szCs w:val="20"/>
              </w:rPr>
            </w:pPr>
          </w:p>
        </w:tc>
      </w:tr>
      <w:tr w:rsidR="00000000" w14:paraId="61BCB3A1" w14:textId="77777777">
        <w:trPr>
          <w:divId w:val="251400223"/>
          <w:jc w:val="center"/>
        </w:trPr>
        <w:tc>
          <w:tcPr>
            <w:tcW w:w="0" w:type="auto"/>
            <w:gridSpan w:val="3"/>
            <w:tcMar>
              <w:top w:w="0" w:type="dxa"/>
              <w:left w:w="20" w:type="dxa"/>
              <w:bottom w:w="0" w:type="dxa"/>
              <w:right w:w="20" w:type="dxa"/>
            </w:tcMar>
            <w:vAlign w:val="center"/>
            <w:hideMark/>
          </w:tcPr>
          <w:p w14:paraId="61A95998"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center"/>
            <w:hideMark/>
          </w:tcPr>
          <w:p w14:paraId="38DF1887" w14:textId="77777777" w:rsidR="00000000" w:rsidRDefault="001A570A">
            <w:pPr>
              <w:rPr>
                <w:rFonts w:eastAsia="Times New Roman"/>
              </w:rPr>
            </w:pPr>
            <w:r>
              <w:rPr>
                <w:rFonts w:eastAsia="Times New Roman"/>
                <w:b/>
                <w:bCs/>
                <w:i/>
                <w:iCs/>
                <w:color w:val="000000"/>
                <w:sz w:val="20"/>
                <w:szCs w:val="20"/>
              </w:rPr>
              <w:t>Valuation of Goodwill</w:t>
            </w:r>
          </w:p>
        </w:tc>
      </w:tr>
      <w:tr w:rsidR="00000000" w14:paraId="549986C2" w14:textId="77777777">
        <w:trPr>
          <w:divId w:val="251400223"/>
          <w:jc w:val="center"/>
        </w:trPr>
        <w:tc>
          <w:tcPr>
            <w:tcW w:w="0" w:type="auto"/>
            <w:gridSpan w:val="3"/>
            <w:tcMar>
              <w:top w:w="30" w:type="dxa"/>
              <w:left w:w="20" w:type="dxa"/>
              <w:bottom w:w="30" w:type="dxa"/>
              <w:right w:w="20" w:type="dxa"/>
            </w:tcMar>
            <w:hideMark/>
          </w:tcPr>
          <w:p w14:paraId="1F44175C" w14:textId="77777777" w:rsidR="00000000" w:rsidRDefault="001A570A">
            <w:pPr>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14:paraId="1240DF2B" w14:textId="77777777" w:rsidR="00000000" w:rsidRDefault="001A570A">
            <w:pPr>
              <w:divId w:val="555090512"/>
              <w:rPr>
                <w:rFonts w:eastAsia="Times New Roman"/>
              </w:rPr>
            </w:pPr>
            <w:r>
              <w:rPr>
                <w:rFonts w:eastAsia="Times New Roman"/>
                <w:color w:val="000000"/>
                <w:sz w:val="20"/>
                <w:szCs w:val="20"/>
              </w:rPr>
              <w:t>At January 1, 2021, the Company’</w:t>
            </w:r>
            <w:r>
              <w:rPr>
                <w:rFonts w:eastAsia="Times New Roman"/>
                <w:color w:val="000000"/>
                <w:sz w:val="20"/>
                <w:szCs w:val="20"/>
              </w:rPr>
              <w:t>s goodwill was $19 billion. As discussed in Note 1 to the consolidated financial statements, the Company tests goodwill for impairment annually (or under certain circumstances, more frequently) at the reporting unit level using either a qualitative or quan</w:t>
            </w:r>
            <w:r>
              <w:rPr>
                <w:rFonts w:eastAsia="Times New Roman"/>
                <w:color w:val="000000"/>
                <w:sz w:val="20"/>
                <w:szCs w:val="20"/>
              </w:rPr>
              <w:t>titative approach. Under the quantitative approach to test for goodwill impairment, the Company compares the fair value of a reporting unit to its carrying amount, including goodwill. Generally, the Company estimates the fair value of its reporting units u</w:t>
            </w:r>
            <w:r>
              <w:rPr>
                <w:rFonts w:eastAsia="Times New Roman"/>
                <w:color w:val="000000"/>
                <w:sz w:val="20"/>
                <w:szCs w:val="20"/>
              </w:rPr>
              <w:t>sing a combination of a discounted cash flows analysis and market-based valuation methodologies.</w:t>
            </w:r>
            <w:r>
              <w:rPr>
                <w:rFonts w:eastAsia="Times New Roman"/>
                <w:color w:val="000000"/>
              </w:rPr>
              <w:t xml:space="preserve"> </w:t>
            </w:r>
            <w:r>
              <w:rPr>
                <w:rFonts w:eastAsia="Times New Roman"/>
                <w:color w:val="000000"/>
                <w:sz w:val="20"/>
                <w:szCs w:val="20"/>
              </w:rPr>
              <w:t>As further discussed in Note 10, during the year ended January 1, 2021, the Company recorded a $475 million goodwill impairment charge at a reporting unit with</w:t>
            </w:r>
            <w:r>
              <w:rPr>
                <w:rFonts w:eastAsia="Times New Roman"/>
                <w:color w:val="000000"/>
                <w:sz w:val="20"/>
                <w:szCs w:val="20"/>
              </w:rPr>
              <w:t xml:space="preserve">in the Aviation Systems segment. </w:t>
            </w:r>
          </w:p>
          <w:p w14:paraId="5DBE37AE" w14:textId="77777777" w:rsidR="00000000" w:rsidRDefault="001A570A">
            <w:pPr>
              <w:divId w:val="1317732469"/>
              <w:rPr>
                <w:rFonts w:eastAsia="Times New Roman"/>
              </w:rPr>
            </w:pPr>
          </w:p>
          <w:p w14:paraId="656AFDDA" w14:textId="77777777" w:rsidR="00000000" w:rsidRDefault="001A570A">
            <w:pPr>
              <w:divId w:val="369457296"/>
              <w:rPr>
                <w:rFonts w:eastAsia="Times New Roman"/>
              </w:rPr>
            </w:pPr>
            <w:r>
              <w:rPr>
                <w:rFonts w:eastAsia="Times New Roman"/>
                <w:color w:val="000000"/>
                <w:sz w:val="20"/>
                <w:szCs w:val="20"/>
              </w:rPr>
              <w:t>Auditing the Company’s quantitative goodwill impairment tests involved subjective auditor judgment due to the significant estimation required in management’s determination of the fair value of the reporting units. The si</w:t>
            </w:r>
            <w:r>
              <w:rPr>
                <w:rFonts w:eastAsia="Times New Roman"/>
                <w:color w:val="000000"/>
                <w:sz w:val="20"/>
                <w:szCs w:val="20"/>
              </w:rPr>
              <w:t>gnificant estimation was primarily due to the sensitivity of the underlying assumptions including changes in the weighted average cost of capital, projected revenue growth rates, projected operating margins, and terminal growth rate. These assumptions rela</w:t>
            </w:r>
            <w:r>
              <w:rPr>
                <w:rFonts w:eastAsia="Times New Roman"/>
                <w:color w:val="000000"/>
                <w:sz w:val="20"/>
                <w:szCs w:val="20"/>
              </w:rPr>
              <w:t>te to the expected future operating performance of the Company’s reporting units, are forward-looking, and are sensitive to and affected by economic, industry and company-specific qualitative factors.</w:t>
            </w:r>
          </w:p>
        </w:tc>
      </w:tr>
      <w:tr w:rsidR="00000000" w14:paraId="38EDCCB1" w14:textId="77777777">
        <w:trPr>
          <w:divId w:val="251400223"/>
          <w:jc w:val="center"/>
        </w:trPr>
        <w:tc>
          <w:tcPr>
            <w:tcW w:w="0" w:type="auto"/>
            <w:gridSpan w:val="3"/>
            <w:tcMar>
              <w:top w:w="30" w:type="dxa"/>
              <w:left w:w="20" w:type="dxa"/>
              <w:bottom w:w="30" w:type="dxa"/>
              <w:right w:w="20" w:type="dxa"/>
            </w:tcMar>
            <w:hideMark/>
          </w:tcPr>
          <w:p w14:paraId="20D3B644" w14:textId="77777777" w:rsidR="00000000" w:rsidRDefault="001A570A">
            <w:pPr>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14:paraId="750416DB" w14:textId="77777777" w:rsidR="00000000" w:rsidRDefault="001A570A">
            <w:pPr>
              <w:rPr>
                <w:rFonts w:eastAsia="Times New Roman"/>
              </w:rPr>
            </w:pPr>
            <w:r>
              <w:rPr>
                <w:rFonts w:eastAsia="Times New Roman"/>
                <w:color w:val="000000"/>
                <w:sz w:val="20"/>
                <w:szCs w:val="20"/>
              </w:rPr>
              <w:t>We obtained an understanding, evaluated the design and tested the operating effectiveness of relevant internal controls over the Company’s goodwill impairment review process, including controls over management’s r</w:t>
            </w:r>
            <w:r>
              <w:rPr>
                <w:rFonts w:eastAsia="Times New Roman"/>
                <w:color w:val="000000"/>
                <w:sz w:val="20"/>
                <w:szCs w:val="20"/>
              </w:rPr>
              <w:t>eview of the valuation models and significant assumptions described above. We also tested management’s controls to validate that the data used in the valuation models was complete and accurate.</w:t>
            </w:r>
            <w:r>
              <w:rPr>
                <w:rFonts w:eastAsia="Times New Roman"/>
                <w:color w:val="000000"/>
                <w:sz w:val="20"/>
                <w:szCs w:val="20"/>
              </w:rPr>
              <w:br/>
            </w:r>
            <w:r>
              <w:rPr>
                <w:rFonts w:eastAsia="Times New Roman"/>
                <w:color w:val="000000"/>
                <w:sz w:val="20"/>
                <w:szCs w:val="20"/>
              </w:rPr>
              <w:br/>
              <w:t>To test the estimated fair value of the Company’s reporting u</w:t>
            </w:r>
            <w:r>
              <w:rPr>
                <w:rFonts w:eastAsia="Times New Roman"/>
                <w:color w:val="000000"/>
                <w:sz w:val="20"/>
                <w:szCs w:val="20"/>
              </w:rPr>
              <w:t>nits, we performed audit procedures that included, among others, assessing the valuation methodologies used by the Company, involving our valuation specialists to assist in testing the significant assumptions discussed above, and testing the completeness a</w:t>
            </w:r>
            <w:r>
              <w:rPr>
                <w:rFonts w:eastAsia="Times New Roman"/>
                <w:color w:val="000000"/>
                <w:sz w:val="20"/>
                <w:szCs w:val="20"/>
              </w:rPr>
              <w:t>nd accuracy of the underlying data the Company used in its valuation analyses. For example, we compared the significant assumptions used by management to current industry, market and economic trends, the historical results of the reporting units, and other</w:t>
            </w:r>
            <w:r>
              <w:rPr>
                <w:rFonts w:eastAsia="Times New Roman"/>
                <w:color w:val="000000"/>
                <w:sz w:val="20"/>
                <w:szCs w:val="20"/>
              </w:rPr>
              <w:t xml:space="preserve"> relevant factors. We also assessed the historical accuracy of management’s estimates and performed sensitivity analyses of significant assumptions used in the annual impairment test to evaluate the change in the fair value of the reporting unit resulting </w:t>
            </w:r>
            <w:r>
              <w:rPr>
                <w:rFonts w:eastAsia="Times New Roman"/>
                <w:color w:val="000000"/>
                <w:sz w:val="20"/>
                <w:szCs w:val="20"/>
              </w:rPr>
              <w:t>from changes in the significant assumptions.</w:t>
            </w:r>
            <w:r>
              <w:rPr>
                <w:rFonts w:eastAsia="Times New Roman"/>
                <w:color w:val="000000"/>
                <w:sz w:val="20"/>
                <w:szCs w:val="20"/>
              </w:rPr>
              <w:br/>
            </w:r>
            <w:r>
              <w:rPr>
                <w:rFonts w:eastAsia="Times New Roman"/>
                <w:color w:val="000000"/>
                <w:sz w:val="20"/>
                <w:szCs w:val="20"/>
              </w:rPr>
              <w:br/>
              <w:t>In addition, we reviewed the reconciliation of the fair value of the reporting units based on the annual impairment test to the market capitalization of the Company.</w:t>
            </w:r>
          </w:p>
        </w:tc>
      </w:tr>
    </w:tbl>
    <w:p w14:paraId="15D262F8" w14:textId="77777777" w:rsidR="00000000" w:rsidRDefault="001A570A">
      <w:pPr>
        <w:ind w:firstLine="450"/>
        <w:divId w:val="237598316"/>
        <w:rPr>
          <w:rFonts w:eastAsia="Times New Roman"/>
        </w:rPr>
      </w:pPr>
    </w:p>
    <w:p w14:paraId="432B6E34" w14:textId="77777777" w:rsidR="00000000" w:rsidRDefault="001A570A">
      <w:pPr>
        <w:divId w:val="869024836"/>
        <w:rPr>
          <w:rFonts w:eastAsia="Times New Roman"/>
        </w:rPr>
      </w:pPr>
      <w:r>
        <w:rPr>
          <w:rFonts w:eastAsia="Times New Roman"/>
          <w:color w:val="000000"/>
          <w:sz w:val="20"/>
          <w:szCs w:val="20"/>
        </w:rPr>
        <w:t>We have served as the Company’s auditor since at least 1932, but we are unable to determine the specific year.</w:t>
      </w:r>
    </w:p>
    <w:p w14:paraId="742F9DE0" w14:textId="77777777" w:rsidR="00000000" w:rsidRDefault="001A570A">
      <w:pPr>
        <w:divId w:val="159975966"/>
        <w:rPr>
          <w:rFonts w:eastAsia="Times New Roman"/>
        </w:rPr>
      </w:pPr>
      <w:r>
        <w:rPr>
          <w:rFonts w:eastAsia="Times New Roman"/>
          <w:color w:val="000000"/>
          <w:sz w:val="20"/>
          <w:szCs w:val="20"/>
        </w:rPr>
        <w:t>/s/ Ernst &amp; Young LLP</w:t>
      </w:r>
    </w:p>
    <w:p w14:paraId="61C8842C" w14:textId="77777777" w:rsidR="00000000" w:rsidRDefault="001A570A">
      <w:pPr>
        <w:divId w:val="878736320"/>
        <w:rPr>
          <w:rFonts w:eastAsia="Times New Roman"/>
        </w:rPr>
      </w:pPr>
      <w:r>
        <w:rPr>
          <w:rFonts w:eastAsia="Times New Roman"/>
          <w:color w:val="000000"/>
          <w:sz w:val="20"/>
          <w:szCs w:val="20"/>
        </w:rPr>
        <w:t>Orlando, Florida</w:t>
      </w:r>
    </w:p>
    <w:p w14:paraId="6483781B" w14:textId="77777777" w:rsidR="00000000" w:rsidRDefault="001A570A">
      <w:pPr>
        <w:divId w:val="1241017112"/>
        <w:rPr>
          <w:rFonts w:eastAsia="Times New Roman"/>
        </w:rPr>
      </w:pPr>
      <w:r>
        <w:rPr>
          <w:rFonts w:eastAsia="Times New Roman"/>
          <w:color w:val="000000"/>
          <w:sz w:val="20"/>
          <w:szCs w:val="20"/>
        </w:rPr>
        <w:t>March 1, 2021</w:t>
      </w:r>
    </w:p>
    <w:p w14:paraId="22A381C5" w14:textId="77777777" w:rsidR="00000000" w:rsidRDefault="001A570A">
      <w:pPr>
        <w:ind w:firstLine="450"/>
        <w:divId w:val="298807096"/>
        <w:rPr>
          <w:rFonts w:eastAsia="Times New Roman"/>
        </w:rPr>
      </w:pPr>
    </w:p>
    <w:p w14:paraId="75B633DC" w14:textId="77777777" w:rsidR="00000000" w:rsidRDefault="001A570A">
      <w:pPr>
        <w:ind w:firstLine="450"/>
        <w:divId w:val="1578591866"/>
        <w:rPr>
          <w:rFonts w:eastAsia="Times New Roman"/>
        </w:rPr>
      </w:pPr>
    </w:p>
    <w:p w14:paraId="69F08232" w14:textId="77777777" w:rsidR="00000000" w:rsidRDefault="001A570A">
      <w:pPr>
        <w:ind w:firstLine="450"/>
        <w:divId w:val="1780219955"/>
        <w:rPr>
          <w:rFonts w:eastAsia="Times New Roman"/>
        </w:rPr>
      </w:pPr>
    </w:p>
    <w:p w14:paraId="4ABF9AFF" w14:textId="77777777" w:rsidR="00000000" w:rsidRDefault="001A570A">
      <w:pPr>
        <w:ind w:firstLine="450"/>
        <w:jc w:val="center"/>
        <w:divId w:val="847669728"/>
        <w:rPr>
          <w:rFonts w:eastAsia="Times New Roman"/>
        </w:rPr>
      </w:pPr>
      <w:r>
        <w:rPr>
          <w:rFonts w:eastAsia="Times New Roman"/>
          <w:color w:val="000000"/>
          <w:sz w:val="20"/>
          <w:szCs w:val="20"/>
        </w:rPr>
        <w:t>74</w:t>
      </w:r>
    </w:p>
    <w:p w14:paraId="33A9F284" w14:textId="77777777" w:rsidR="00000000" w:rsidRDefault="001A570A">
      <w:pPr>
        <w:rPr>
          <w:rFonts w:eastAsia="Times New Roman"/>
        </w:rPr>
      </w:pPr>
      <w:r>
        <w:rPr>
          <w:rFonts w:eastAsia="Times New Roman"/>
        </w:rPr>
        <w:pict w14:anchorId="73F87038">
          <v:rect id="_x0000_i1102" style="width:0;height:1.5pt" o:hralign="center" o:hrstd="t" o:hr="t" fillcolor="#a0a0a0" stroked="f"/>
        </w:pict>
      </w:r>
    </w:p>
    <w:p w14:paraId="19C98F8B" w14:textId="77777777" w:rsidR="00000000" w:rsidRDefault="001A570A">
      <w:pPr>
        <w:ind w:firstLine="450"/>
        <w:divId w:val="1955165886"/>
        <w:rPr>
          <w:rFonts w:eastAsia="Times New Roman"/>
        </w:rPr>
      </w:pPr>
    </w:p>
    <w:p w14:paraId="649475F3" w14:textId="77777777" w:rsidR="00000000" w:rsidRDefault="001A570A">
      <w:pPr>
        <w:ind w:firstLine="450"/>
        <w:jc w:val="center"/>
        <w:divId w:val="574818793"/>
        <w:rPr>
          <w:rFonts w:eastAsia="Times New Roman"/>
        </w:rPr>
      </w:pPr>
      <w:r>
        <w:rPr>
          <w:rFonts w:eastAsia="Times New Roman"/>
          <w:b/>
          <w:bCs/>
          <w:color w:val="000000"/>
          <w:sz w:val="20"/>
          <w:szCs w:val="20"/>
        </w:rPr>
        <w:t>Report of Independent Registered Public Accounting Firm</w:t>
      </w:r>
    </w:p>
    <w:p w14:paraId="2E7DDCCC" w14:textId="77777777" w:rsidR="00000000" w:rsidRDefault="001A570A">
      <w:pPr>
        <w:divId w:val="1023702374"/>
        <w:rPr>
          <w:rFonts w:eastAsia="Times New Roman"/>
        </w:rPr>
      </w:pPr>
      <w:r>
        <w:rPr>
          <w:rFonts w:eastAsia="Times New Roman"/>
          <w:color w:val="000000"/>
          <w:sz w:val="20"/>
          <w:szCs w:val="20"/>
        </w:rPr>
        <w:t xml:space="preserve">To the Shareholders and the Board of Directors of L3Harris Technologies, Inc. </w:t>
      </w:r>
    </w:p>
    <w:p w14:paraId="2D8C38B4" w14:textId="77777777" w:rsidR="00000000" w:rsidRDefault="001A570A">
      <w:pPr>
        <w:divId w:val="1759525043"/>
        <w:rPr>
          <w:rFonts w:eastAsia="Times New Roman"/>
        </w:rPr>
      </w:pPr>
      <w:r>
        <w:rPr>
          <w:rFonts w:eastAsia="Times New Roman"/>
          <w:b/>
          <w:bCs/>
          <w:color w:val="000000"/>
          <w:sz w:val="20"/>
          <w:szCs w:val="20"/>
        </w:rPr>
        <w:t>Opinion on Internal Control Over Financial Reporting</w:t>
      </w:r>
    </w:p>
    <w:p w14:paraId="77682CE0" w14:textId="77777777" w:rsidR="00000000" w:rsidRDefault="001A570A">
      <w:pPr>
        <w:divId w:val="1066759926"/>
        <w:rPr>
          <w:rFonts w:eastAsia="Times New Roman"/>
        </w:rPr>
      </w:pPr>
      <w:r>
        <w:rPr>
          <w:rFonts w:eastAsia="Times New Roman"/>
          <w:color w:val="000000"/>
          <w:sz w:val="20"/>
          <w:szCs w:val="20"/>
        </w:rPr>
        <w:t>We have audited L3Harris Techn</w:t>
      </w:r>
      <w:r>
        <w:rPr>
          <w:rFonts w:eastAsia="Times New Roman"/>
          <w:color w:val="000000"/>
          <w:sz w:val="20"/>
          <w:szCs w:val="20"/>
        </w:rPr>
        <w:t>ologies, Inc.’s internal control over financial reporting as of January 1, 2021, based on criteria established in Internal Control—Integrated Framework issued by the Committee of Sponsoring Organizations of the Treadway Commission (2013 framework) (the COS</w:t>
      </w:r>
      <w:r>
        <w:rPr>
          <w:rFonts w:eastAsia="Times New Roman"/>
          <w:color w:val="000000"/>
          <w:sz w:val="20"/>
          <w:szCs w:val="20"/>
        </w:rPr>
        <w:t>O criteria). In our opinion, L3Harris Technologies, Inc. (the Company) maintained, in all material respects, effective internal control over financial reporting as of January 1, 2021, based on the COSO criteria.</w:t>
      </w:r>
    </w:p>
    <w:p w14:paraId="728E8542" w14:textId="77777777" w:rsidR="00000000" w:rsidRDefault="001A570A">
      <w:pPr>
        <w:divId w:val="2037466299"/>
        <w:rPr>
          <w:rFonts w:eastAsia="Times New Roman"/>
        </w:rPr>
      </w:pPr>
      <w:r>
        <w:rPr>
          <w:rFonts w:eastAsia="Times New Roman"/>
          <w:color w:val="000000"/>
          <w:sz w:val="20"/>
          <w:szCs w:val="20"/>
        </w:rPr>
        <w:t>We also have audited, in accordance with the</w:t>
      </w:r>
      <w:r>
        <w:rPr>
          <w:rFonts w:eastAsia="Times New Roman"/>
          <w:color w:val="000000"/>
          <w:sz w:val="20"/>
          <w:szCs w:val="20"/>
        </w:rPr>
        <w:t xml:space="preserve"> standards of the Public Company Accounting Oversight Board (United States) (PCAOB), the consolidated balance sheets of the Company as of January 1, 2021 and January 3, 2020, the related consolidated statements of income, comprehensive income, cash flows a</w:t>
      </w:r>
      <w:r>
        <w:rPr>
          <w:rFonts w:eastAsia="Times New Roman"/>
          <w:color w:val="000000"/>
          <w:sz w:val="20"/>
          <w:szCs w:val="20"/>
        </w:rPr>
        <w:t>nd equity for the year ended January 1, 2021, the two quarters ended January 3, 2020 and for each of the two years in the period ended June 28, 2019, and the related notes and our report dated March 1, 2021 expressed an unqualified opinion thereon.</w:t>
      </w:r>
    </w:p>
    <w:p w14:paraId="609B26CA" w14:textId="77777777" w:rsidR="00000000" w:rsidRDefault="001A570A">
      <w:pPr>
        <w:divId w:val="1156262812"/>
        <w:rPr>
          <w:rFonts w:eastAsia="Times New Roman"/>
        </w:rPr>
      </w:pPr>
      <w:r>
        <w:rPr>
          <w:rFonts w:eastAsia="Times New Roman"/>
          <w:b/>
          <w:bCs/>
          <w:color w:val="000000"/>
          <w:sz w:val="20"/>
          <w:szCs w:val="20"/>
        </w:rPr>
        <w:t>Basis f</w:t>
      </w:r>
      <w:r>
        <w:rPr>
          <w:rFonts w:eastAsia="Times New Roman"/>
          <w:b/>
          <w:bCs/>
          <w:color w:val="000000"/>
          <w:sz w:val="20"/>
          <w:szCs w:val="20"/>
        </w:rPr>
        <w:t>or Opinion</w:t>
      </w:r>
    </w:p>
    <w:p w14:paraId="3B2C104A" w14:textId="77777777" w:rsidR="00000000" w:rsidRDefault="001A570A">
      <w:pPr>
        <w:divId w:val="421609993"/>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 over financial reporting included in the accompanying Management’s Report</w:t>
      </w:r>
      <w:r>
        <w:rPr>
          <w:rFonts w:eastAsia="Times New Roman"/>
          <w:color w:val="000000"/>
          <w:sz w:val="20"/>
          <w:szCs w:val="20"/>
        </w:rPr>
        <w:t xml:space="preserve"> on Internal Control Over Financial Reporting. Our responsibility is to express an opinion on the Company’s internal control over financial reporting based on our audit. We are a public accounting firm registered with the PCAOB and are required to be indep</w:t>
      </w:r>
      <w:r>
        <w:rPr>
          <w:rFonts w:eastAsia="Times New Roman"/>
          <w:color w:val="000000"/>
          <w:sz w:val="20"/>
          <w:szCs w:val="20"/>
        </w:rPr>
        <w:t>endent with respect to the Company in accordance with the U.S. federal securities laws and the applicable rules and regulations of the Securities and Exchange Commission and the PCAOB.</w:t>
      </w:r>
    </w:p>
    <w:p w14:paraId="2479B8DB" w14:textId="77777777" w:rsidR="00000000" w:rsidRDefault="001A570A">
      <w:pPr>
        <w:divId w:val="1934120914"/>
        <w:rPr>
          <w:rFonts w:eastAsia="Times New Roman"/>
        </w:rPr>
      </w:pPr>
      <w:r>
        <w:rPr>
          <w:rFonts w:eastAsia="Times New Roman"/>
          <w:color w:val="000000"/>
          <w:sz w:val="20"/>
          <w:szCs w:val="20"/>
        </w:rPr>
        <w:t>We conducted our audit in accordance with the standards of the PCAOB. T</w:t>
      </w:r>
      <w:r>
        <w:rPr>
          <w:rFonts w:eastAsia="Times New Roman"/>
          <w:color w:val="000000"/>
          <w:sz w:val="20"/>
          <w:szCs w:val="20"/>
        </w:rPr>
        <w:t>hose standards require that we plan and perform the audit to obtain reasonable assurance about whether effective internal control over financial reporting was maintained in all material respects.</w:t>
      </w:r>
    </w:p>
    <w:p w14:paraId="6CB57875" w14:textId="77777777" w:rsidR="00000000" w:rsidRDefault="001A570A">
      <w:pPr>
        <w:divId w:val="865365289"/>
        <w:rPr>
          <w:rFonts w:eastAsia="Times New Roman"/>
        </w:rPr>
      </w:pPr>
      <w:r>
        <w:rPr>
          <w:rFonts w:eastAsia="Times New Roman"/>
          <w:color w:val="000000"/>
          <w:sz w:val="20"/>
          <w:szCs w:val="20"/>
        </w:rPr>
        <w:t>Our audit included obtaining an understanding of internal co</w:t>
      </w:r>
      <w:r>
        <w:rPr>
          <w:rFonts w:eastAsia="Times New Roman"/>
          <w:color w:val="000000"/>
          <w:sz w:val="20"/>
          <w:szCs w:val="20"/>
        </w:rPr>
        <w:t>ntrol over financial reporting, assessing the risk that a material weakness exists, testing and evaluating the design and operating effectiveness of internal control based on the assessed risk, and performing such other procedures as we considered necessar</w:t>
      </w:r>
      <w:r>
        <w:rPr>
          <w:rFonts w:eastAsia="Times New Roman"/>
          <w:color w:val="000000"/>
          <w:sz w:val="20"/>
          <w:szCs w:val="20"/>
        </w:rPr>
        <w:t>y in the circumstances. We believe that our audit provides a reasonable basis for our opinion.</w:t>
      </w:r>
    </w:p>
    <w:p w14:paraId="08DB049D" w14:textId="77777777" w:rsidR="00000000" w:rsidRDefault="001A570A">
      <w:pPr>
        <w:divId w:val="1963878109"/>
        <w:rPr>
          <w:rFonts w:eastAsia="Times New Roman"/>
        </w:rPr>
      </w:pPr>
      <w:r>
        <w:rPr>
          <w:rFonts w:eastAsia="Times New Roman"/>
          <w:b/>
          <w:bCs/>
          <w:color w:val="000000"/>
          <w:sz w:val="20"/>
          <w:szCs w:val="20"/>
        </w:rPr>
        <w:t>Definition and Limitations of Internal Control Over Financial Reporting</w:t>
      </w:r>
    </w:p>
    <w:p w14:paraId="554CA1EC" w14:textId="77777777" w:rsidR="00000000" w:rsidRDefault="001A570A">
      <w:pPr>
        <w:divId w:val="1109010353"/>
        <w:rPr>
          <w:rFonts w:eastAsia="Times New Roman"/>
        </w:rPr>
      </w:pPr>
      <w:r>
        <w:rPr>
          <w:rFonts w:eastAsia="Times New Roman"/>
          <w:color w:val="000000"/>
          <w:sz w:val="20"/>
          <w:szCs w:val="20"/>
        </w:rPr>
        <w:t>A company’s internal control over financial reporting is a process designed to provide re</w:t>
      </w:r>
      <w:r>
        <w:rPr>
          <w:rFonts w:eastAsia="Times New Roman"/>
          <w:color w:val="000000"/>
          <w:sz w:val="20"/>
          <w:szCs w:val="20"/>
        </w:rPr>
        <w:t>asonable assurance regarding the reliability of financial reporting and the preparation of financial statements for external purposes in accordance with generally accepted accounting principles. A company’s internal control over financial reporting include</w:t>
      </w:r>
      <w:r>
        <w:rPr>
          <w:rFonts w:eastAsia="Times New Roman"/>
          <w:color w:val="000000"/>
          <w:sz w:val="20"/>
          <w:szCs w:val="20"/>
        </w:rPr>
        <w:t xml:space="preserve">s those policies and procedures that (1) pertain to the maintenance of records that, in reasonable detail, accurately and fairly reflect the transactions and dispositions of the assets of the company; (2) provide reasonable assurance that transactions are </w:t>
      </w:r>
      <w:r>
        <w:rPr>
          <w:rFonts w:eastAsia="Times New Roman"/>
          <w:color w:val="000000"/>
          <w:sz w:val="20"/>
          <w:szCs w:val="20"/>
        </w:rPr>
        <w:t>recorded as necessary to permit preparation of financial statements in accordance with generally accepted accounting principles, and that receipts and expenditures of the company are being made only in accordance with authorizations of management and direc</w:t>
      </w:r>
      <w:r>
        <w:rPr>
          <w:rFonts w:eastAsia="Times New Roman"/>
          <w:color w:val="000000"/>
          <w:sz w:val="20"/>
          <w:szCs w:val="20"/>
        </w:rPr>
        <w:t>tors of the company; and (3) provide reasonable assurance regarding prevention or timely detection of unauthorized acquisition, use, or disposition of the company’s assets that could have a material effect on the financial statements.</w:t>
      </w:r>
    </w:p>
    <w:p w14:paraId="77ECBEFC" w14:textId="77777777" w:rsidR="00000000" w:rsidRDefault="001A570A">
      <w:pPr>
        <w:divId w:val="1385982412"/>
        <w:rPr>
          <w:rFonts w:eastAsia="Times New Roman"/>
        </w:rPr>
      </w:pPr>
      <w:r>
        <w:rPr>
          <w:rFonts w:eastAsia="Times New Roman"/>
          <w:color w:val="000000"/>
          <w:sz w:val="20"/>
          <w:szCs w:val="20"/>
        </w:rPr>
        <w:t>Because of its inhere</w:t>
      </w:r>
      <w:r>
        <w:rPr>
          <w:rFonts w:eastAsia="Times New Roman"/>
          <w:color w:val="000000"/>
          <w:sz w:val="20"/>
          <w:szCs w:val="20"/>
        </w:rPr>
        <w:t>nt limitations, internal control over financial reporting may not prevent or detect misstatements. Also, projections of any evaluation of effectiveness to future periods are subject to the risk that controls may become inadequate because of changes in cond</w:t>
      </w:r>
      <w:r>
        <w:rPr>
          <w:rFonts w:eastAsia="Times New Roman"/>
          <w:color w:val="000000"/>
          <w:sz w:val="20"/>
          <w:szCs w:val="20"/>
        </w:rPr>
        <w:t>itions, or that the degree of compliance with the policies or procedures may deteriorate.</w:t>
      </w:r>
    </w:p>
    <w:p w14:paraId="5067CB19" w14:textId="77777777" w:rsidR="00000000" w:rsidRDefault="001A570A">
      <w:pPr>
        <w:divId w:val="1664969732"/>
        <w:rPr>
          <w:rFonts w:eastAsia="Times New Roman"/>
        </w:rPr>
      </w:pPr>
    </w:p>
    <w:p w14:paraId="38E75A2B" w14:textId="77777777" w:rsidR="00000000" w:rsidRDefault="001A570A">
      <w:pPr>
        <w:divId w:val="2138798004"/>
        <w:rPr>
          <w:rFonts w:eastAsia="Times New Roman"/>
        </w:rPr>
      </w:pPr>
      <w:r>
        <w:rPr>
          <w:rFonts w:eastAsia="Times New Roman"/>
          <w:color w:val="000000"/>
          <w:sz w:val="20"/>
          <w:szCs w:val="20"/>
        </w:rPr>
        <w:t>/s/ Ernst &amp; Young LLP</w:t>
      </w:r>
    </w:p>
    <w:p w14:paraId="1E7B0687" w14:textId="77777777" w:rsidR="00000000" w:rsidRDefault="001A570A">
      <w:pPr>
        <w:divId w:val="1830946045"/>
        <w:rPr>
          <w:rFonts w:eastAsia="Times New Roman"/>
        </w:rPr>
      </w:pPr>
      <w:r>
        <w:rPr>
          <w:rFonts w:eastAsia="Times New Roman"/>
          <w:color w:val="000000"/>
          <w:sz w:val="20"/>
          <w:szCs w:val="20"/>
        </w:rPr>
        <w:t>Orlando, Florida</w:t>
      </w:r>
    </w:p>
    <w:p w14:paraId="70B639E3" w14:textId="77777777" w:rsidR="00000000" w:rsidRDefault="001A570A">
      <w:pPr>
        <w:divId w:val="1885755001"/>
        <w:rPr>
          <w:rFonts w:eastAsia="Times New Roman"/>
        </w:rPr>
      </w:pPr>
      <w:r>
        <w:rPr>
          <w:rFonts w:eastAsia="Times New Roman"/>
          <w:color w:val="000000"/>
          <w:sz w:val="20"/>
          <w:szCs w:val="20"/>
        </w:rPr>
        <w:t>March 1, 2021</w:t>
      </w:r>
    </w:p>
    <w:p w14:paraId="19D7B94C" w14:textId="77777777" w:rsidR="00000000" w:rsidRDefault="001A570A">
      <w:pPr>
        <w:ind w:firstLine="450"/>
        <w:jc w:val="center"/>
        <w:divId w:val="2069260609"/>
        <w:rPr>
          <w:rFonts w:eastAsia="Times New Roman"/>
        </w:rPr>
      </w:pPr>
      <w:r>
        <w:rPr>
          <w:rFonts w:eastAsia="Times New Roman"/>
          <w:color w:val="000000"/>
          <w:sz w:val="20"/>
          <w:szCs w:val="20"/>
        </w:rPr>
        <w:t>75</w:t>
      </w:r>
    </w:p>
    <w:p w14:paraId="03EC4798" w14:textId="77777777" w:rsidR="00000000" w:rsidRDefault="001A570A">
      <w:pPr>
        <w:rPr>
          <w:rFonts w:eastAsia="Times New Roman"/>
        </w:rPr>
      </w:pPr>
      <w:r>
        <w:rPr>
          <w:rFonts w:eastAsia="Times New Roman"/>
        </w:rPr>
        <w:pict w14:anchorId="1CF5F8E6">
          <v:rect id="_x0000_i1103" style="width:0;height:1.5pt" o:hralign="center" o:hrstd="t" o:hr="t" fillcolor="#a0a0a0" stroked="f"/>
        </w:pict>
      </w:r>
    </w:p>
    <w:p w14:paraId="1A83416D" w14:textId="77777777" w:rsidR="00000000" w:rsidRDefault="001A570A">
      <w:pPr>
        <w:ind w:firstLine="450"/>
        <w:divId w:val="1527062052"/>
        <w:rPr>
          <w:rFonts w:eastAsia="Times New Roman"/>
        </w:rPr>
      </w:pPr>
    </w:p>
    <w:p w14:paraId="3871B6B5" w14:textId="77777777" w:rsidR="00000000" w:rsidRDefault="001A570A">
      <w:pPr>
        <w:divId w:val="826938774"/>
        <w:rPr>
          <w:rFonts w:eastAsia="Times New Roman"/>
        </w:rPr>
      </w:pPr>
      <w:r>
        <w:rPr>
          <w:rFonts w:eastAsia="Times New Roman"/>
          <w:b/>
          <w:bCs/>
          <w:color w:val="000000"/>
          <w:sz w:val="20"/>
          <w:szCs w:val="20"/>
        </w:rPr>
        <w:t>CONSOLIDATED STATEMENT OF INCOME</w:t>
      </w:r>
    </w:p>
    <w:tbl>
      <w:tblPr>
        <w:tblW w:w="5000" w:type="pct"/>
        <w:tblCellMar>
          <w:top w:w="15" w:type="dxa"/>
          <w:left w:w="15" w:type="dxa"/>
          <w:bottom w:w="15" w:type="dxa"/>
          <w:right w:w="15" w:type="dxa"/>
        </w:tblCellMar>
        <w:tblLook w:val="04A0" w:firstRow="1" w:lastRow="0" w:firstColumn="1" w:lastColumn="0" w:noHBand="0" w:noVBand="1"/>
      </w:tblPr>
      <w:tblGrid>
        <w:gridCol w:w="42"/>
        <w:gridCol w:w="3823"/>
        <w:gridCol w:w="41"/>
        <w:gridCol w:w="120"/>
        <w:gridCol w:w="896"/>
        <w:gridCol w:w="36"/>
        <w:gridCol w:w="36"/>
        <w:gridCol w:w="36"/>
        <w:gridCol w:w="36"/>
        <w:gridCol w:w="121"/>
        <w:gridCol w:w="851"/>
        <w:gridCol w:w="36"/>
        <w:gridCol w:w="36"/>
        <w:gridCol w:w="36"/>
        <w:gridCol w:w="36"/>
        <w:gridCol w:w="120"/>
        <w:gridCol w:w="851"/>
        <w:gridCol w:w="36"/>
        <w:gridCol w:w="36"/>
        <w:gridCol w:w="36"/>
        <w:gridCol w:w="36"/>
        <w:gridCol w:w="120"/>
        <w:gridCol w:w="853"/>
        <w:gridCol w:w="36"/>
      </w:tblGrid>
      <w:tr w:rsidR="00000000" w14:paraId="2F228958" w14:textId="77777777">
        <w:trPr>
          <w:divId w:val="1697072695"/>
        </w:trPr>
        <w:tc>
          <w:tcPr>
            <w:tcW w:w="50" w:type="pct"/>
            <w:vAlign w:val="center"/>
            <w:hideMark/>
          </w:tcPr>
          <w:p w14:paraId="7D7B1BDC" w14:textId="77777777" w:rsidR="00000000" w:rsidRDefault="001A570A">
            <w:pPr>
              <w:rPr>
                <w:rFonts w:eastAsia="Times New Roman"/>
              </w:rPr>
            </w:pPr>
          </w:p>
        </w:tc>
        <w:tc>
          <w:tcPr>
            <w:tcW w:w="2337" w:type="pct"/>
            <w:vAlign w:val="center"/>
            <w:hideMark/>
          </w:tcPr>
          <w:p w14:paraId="76E8CC84" w14:textId="77777777" w:rsidR="00000000" w:rsidRDefault="001A570A">
            <w:pPr>
              <w:rPr>
                <w:rFonts w:eastAsia="Times New Roman"/>
                <w:sz w:val="20"/>
                <w:szCs w:val="20"/>
              </w:rPr>
            </w:pPr>
          </w:p>
        </w:tc>
        <w:tc>
          <w:tcPr>
            <w:tcW w:w="5" w:type="pct"/>
            <w:vAlign w:val="center"/>
            <w:hideMark/>
          </w:tcPr>
          <w:p w14:paraId="5BFADF0F" w14:textId="77777777" w:rsidR="00000000" w:rsidRDefault="001A570A">
            <w:pPr>
              <w:rPr>
                <w:rFonts w:eastAsia="Times New Roman"/>
                <w:sz w:val="20"/>
                <w:szCs w:val="20"/>
              </w:rPr>
            </w:pPr>
          </w:p>
        </w:tc>
        <w:tc>
          <w:tcPr>
            <w:tcW w:w="50" w:type="pct"/>
            <w:vAlign w:val="center"/>
            <w:hideMark/>
          </w:tcPr>
          <w:p w14:paraId="424C2D13" w14:textId="77777777" w:rsidR="00000000" w:rsidRDefault="001A570A">
            <w:pPr>
              <w:rPr>
                <w:rFonts w:eastAsia="Times New Roman"/>
                <w:sz w:val="20"/>
                <w:szCs w:val="20"/>
              </w:rPr>
            </w:pPr>
          </w:p>
        </w:tc>
        <w:tc>
          <w:tcPr>
            <w:tcW w:w="570" w:type="pct"/>
            <w:vAlign w:val="center"/>
            <w:hideMark/>
          </w:tcPr>
          <w:p w14:paraId="7F69F795" w14:textId="77777777" w:rsidR="00000000" w:rsidRDefault="001A570A">
            <w:pPr>
              <w:rPr>
                <w:rFonts w:eastAsia="Times New Roman"/>
                <w:sz w:val="20"/>
                <w:szCs w:val="20"/>
              </w:rPr>
            </w:pPr>
          </w:p>
        </w:tc>
        <w:tc>
          <w:tcPr>
            <w:tcW w:w="5" w:type="pct"/>
            <w:vAlign w:val="center"/>
            <w:hideMark/>
          </w:tcPr>
          <w:p w14:paraId="1F4C0C7C" w14:textId="77777777" w:rsidR="00000000" w:rsidRDefault="001A570A">
            <w:pPr>
              <w:rPr>
                <w:rFonts w:eastAsia="Times New Roman"/>
                <w:sz w:val="20"/>
                <w:szCs w:val="20"/>
              </w:rPr>
            </w:pPr>
          </w:p>
        </w:tc>
        <w:tc>
          <w:tcPr>
            <w:tcW w:w="5" w:type="pct"/>
            <w:vAlign w:val="center"/>
            <w:hideMark/>
          </w:tcPr>
          <w:p w14:paraId="4387C68A" w14:textId="77777777" w:rsidR="00000000" w:rsidRDefault="001A570A">
            <w:pPr>
              <w:rPr>
                <w:rFonts w:eastAsia="Times New Roman"/>
                <w:sz w:val="20"/>
                <w:szCs w:val="20"/>
              </w:rPr>
            </w:pPr>
          </w:p>
        </w:tc>
        <w:tc>
          <w:tcPr>
            <w:tcW w:w="25" w:type="pct"/>
            <w:vAlign w:val="center"/>
            <w:hideMark/>
          </w:tcPr>
          <w:p w14:paraId="4AD87FA3" w14:textId="77777777" w:rsidR="00000000" w:rsidRDefault="001A570A">
            <w:pPr>
              <w:rPr>
                <w:rFonts w:eastAsia="Times New Roman"/>
                <w:sz w:val="20"/>
                <w:szCs w:val="20"/>
              </w:rPr>
            </w:pPr>
          </w:p>
        </w:tc>
        <w:tc>
          <w:tcPr>
            <w:tcW w:w="5" w:type="pct"/>
            <w:vAlign w:val="center"/>
            <w:hideMark/>
          </w:tcPr>
          <w:p w14:paraId="6EA57271" w14:textId="77777777" w:rsidR="00000000" w:rsidRDefault="001A570A">
            <w:pPr>
              <w:rPr>
                <w:rFonts w:eastAsia="Times New Roman"/>
                <w:sz w:val="20"/>
                <w:szCs w:val="20"/>
              </w:rPr>
            </w:pPr>
          </w:p>
        </w:tc>
        <w:tc>
          <w:tcPr>
            <w:tcW w:w="50" w:type="pct"/>
            <w:vAlign w:val="center"/>
            <w:hideMark/>
          </w:tcPr>
          <w:p w14:paraId="5C245E46" w14:textId="77777777" w:rsidR="00000000" w:rsidRDefault="001A570A">
            <w:pPr>
              <w:rPr>
                <w:rFonts w:eastAsia="Times New Roman"/>
                <w:sz w:val="20"/>
                <w:szCs w:val="20"/>
              </w:rPr>
            </w:pPr>
          </w:p>
        </w:tc>
        <w:tc>
          <w:tcPr>
            <w:tcW w:w="570" w:type="pct"/>
            <w:vAlign w:val="center"/>
            <w:hideMark/>
          </w:tcPr>
          <w:p w14:paraId="7A417BC4" w14:textId="77777777" w:rsidR="00000000" w:rsidRDefault="001A570A">
            <w:pPr>
              <w:rPr>
                <w:rFonts w:eastAsia="Times New Roman"/>
                <w:sz w:val="20"/>
                <w:szCs w:val="20"/>
              </w:rPr>
            </w:pPr>
          </w:p>
        </w:tc>
        <w:tc>
          <w:tcPr>
            <w:tcW w:w="5" w:type="pct"/>
            <w:vAlign w:val="center"/>
            <w:hideMark/>
          </w:tcPr>
          <w:p w14:paraId="3D361453" w14:textId="77777777" w:rsidR="00000000" w:rsidRDefault="001A570A">
            <w:pPr>
              <w:rPr>
                <w:rFonts w:eastAsia="Times New Roman"/>
                <w:sz w:val="20"/>
                <w:szCs w:val="20"/>
              </w:rPr>
            </w:pPr>
          </w:p>
        </w:tc>
        <w:tc>
          <w:tcPr>
            <w:tcW w:w="5" w:type="pct"/>
            <w:vAlign w:val="center"/>
            <w:hideMark/>
          </w:tcPr>
          <w:p w14:paraId="5EB69362" w14:textId="77777777" w:rsidR="00000000" w:rsidRDefault="001A570A">
            <w:pPr>
              <w:rPr>
                <w:rFonts w:eastAsia="Times New Roman"/>
                <w:sz w:val="20"/>
                <w:szCs w:val="20"/>
              </w:rPr>
            </w:pPr>
          </w:p>
        </w:tc>
        <w:tc>
          <w:tcPr>
            <w:tcW w:w="25" w:type="pct"/>
            <w:vAlign w:val="center"/>
            <w:hideMark/>
          </w:tcPr>
          <w:p w14:paraId="1D4111A3" w14:textId="77777777" w:rsidR="00000000" w:rsidRDefault="001A570A">
            <w:pPr>
              <w:rPr>
                <w:rFonts w:eastAsia="Times New Roman"/>
                <w:sz w:val="20"/>
                <w:szCs w:val="20"/>
              </w:rPr>
            </w:pPr>
          </w:p>
        </w:tc>
        <w:tc>
          <w:tcPr>
            <w:tcW w:w="5" w:type="pct"/>
            <w:vAlign w:val="center"/>
            <w:hideMark/>
          </w:tcPr>
          <w:p w14:paraId="644E576E" w14:textId="77777777" w:rsidR="00000000" w:rsidRDefault="001A570A">
            <w:pPr>
              <w:rPr>
                <w:rFonts w:eastAsia="Times New Roman"/>
                <w:sz w:val="20"/>
                <w:szCs w:val="20"/>
              </w:rPr>
            </w:pPr>
          </w:p>
        </w:tc>
        <w:tc>
          <w:tcPr>
            <w:tcW w:w="50" w:type="pct"/>
            <w:vAlign w:val="center"/>
            <w:hideMark/>
          </w:tcPr>
          <w:p w14:paraId="2C7D0029" w14:textId="77777777" w:rsidR="00000000" w:rsidRDefault="001A570A">
            <w:pPr>
              <w:rPr>
                <w:rFonts w:eastAsia="Times New Roman"/>
                <w:sz w:val="20"/>
                <w:szCs w:val="20"/>
              </w:rPr>
            </w:pPr>
          </w:p>
        </w:tc>
        <w:tc>
          <w:tcPr>
            <w:tcW w:w="570" w:type="pct"/>
            <w:vAlign w:val="center"/>
            <w:hideMark/>
          </w:tcPr>
          <w:p w14:paraId="527BFFA2" w14:textId="77777777" w:rsidR="00000000" w:rsidRDefault="001A570A">
            <w:pPr>
              <w:rPr>
                <w:rFonts w:eastAsia="Times New Roman"/>
                <w:sz w:val="20"/>
                <w:szCs w:val="20"/>
              </w:rPr>
            </w:pPr>
          </w:p>
        </w:tc>
        <w:tc>
          <w:tcPr>
            <w:tcW w:w="5" w:type="pct"/>
            <w:vAlign w:val="center"/>
            <w:hideMark/>
          </w:tcPr>
          <w:p w14:paraId="7A0AC26A" w14:textId="77777777" w:rsidR="00000000" w:rsidRDefault="001A570A">
            <w:pPr>
              <w:rPr>
                <w:rFonts w:eastAsia="Times New Roman"/>
                <w:sz w:val="20"/>
                <w:szCs w:val="20"/>
              </w:rPr>
            </w:pPr>
          </w:p>
        </w:tc>
        <w:tc>
          <w:tcPr>
            <w:tcW w:w="5" w:type="pct"/>
            <w:vAlign w:val="center"/>
            <w:hideMark/>
          </w:tcPr>
          <w:p w14:paraId="09D1512D" w14:textId="77777777" w:rsidR="00000000" w:rsidRDefault="001A570A">
            <w:pPr>
              <w:rPr>
                <w:rFonts w:eastAsia="Times New Roman"/>
                <w:sz w:val="20"/>
                <w:szCs w:val="20"/>
              </w:rPr>
            </w:pPr>
          </w:p>
        </w:tc>
        <w:tc>
          <w:tcPr>
            <w:tcW w:w="25" w:type="pct"/>
            <w:vAlign w:val="center"/>
            <w:hideMark/>
          </w:tcPr>
          <w:p w14:paraId="3E23D7C8" w14:textId="77777777" w:rsidR="00000000" w:rsidRDefault="001A570A">
            <w:pPr>
              <w:rPr>
                <w:rFonts w:eastAsia="Times New Roman"/>
                <w:sz w:val="20"/>
                <w:szCs w:val="20"/>
              </w:rPr>
            </w:pPr>
          </w:p>
        </w:tc>
        <w:tc>
          <w:tcPr>
            <w:tcW w:w="5" w:type="pct"/>
            <w:vAlign w:val="center"/>
            <w:hideMark/>
          </w:tcPr>
          <w:p w14:paraId="0019E27C" w14:textId="77777777" w:rsidR="00000000" w:rsidRDefault="001A570A">
            <w:pPr>
              <w:rPr>
                <w:rFonts w:eastAsia="Times New Roman"/>
                <w:sz w:val="20"/>
                <w:szCs w:val="20"/>
              </w:rPr>
            </w:pPr>
          </w:p>
        </w:tc>
        <w:tc>
          <w:tcPr>
            <w:tcW w:w="50" w:type="pct"/>
            <w:vAlign w:val="center"/>
            <w:hideMark/>
          </w:tcPr>
          <w:p w14:paraId="7C1265D1" w14:textId="77777777" w:rsidR="00000000" w:rsidRDefault="001A570A">
            <w:pPr>
              <w:rPr>
                <w:rFonts w:eastAsia="Times New Roman"/>
                <w:sz w:val="20"/>
                <w:szCs w:val="20"/>
              </w:rPr>
            </w:pPr>
          </w:p>
        </w:tc>
        <w:tc>
          <w:tcPr>
            <w:tcW w:w="570" w:type="pct"/>
            <w:vAlign w:val="center"/>
            <w:hideMark/>
          </w:tcPr>
          <w:p w14:paraId="68D8FAA9" w14:textId="77777777" w:rsidR="00000000" w:rsidRDefault="001A570A">
            <w:pPr>
              <w:rPr>
                <w:rFonts w:eastAsia="Times New Roman"/>
                <w:sz w:val="20"/>
                <w:szCs w:val="20"/>
              </w:rPr>
            </w:pPr>
          </w:p>
        </w:tc>
        <w:tc>
          <w:tcPr>
            <w:tcW w:w="5" w:type="pct"/>
            <w:vAlign w:val="center"/>
            <w:hideMark/>
          </w:tcPr>
          <w:p w14:paraId="6715170F" w14:textId="77777777" w:rsidR="00000000" w:rsidRDefault="001A570A">
            <w:pPr>
              <w:rPr>
                <w:rFonts w:eastAsia="Times New Roman"/>
                <w:sz w:val="20"/>
                <w:szCs w:val="20"/>
              </w:rPr>
            </w:pPr>
          </w:p>
        </w:tc>
      </w:tr>
      <w:tr w:rsidR="00000000" w14:paraId="3CDB5CDE" w14:textId="77777777">
        <w:trPr>
          <w:divId w:val="1697072695"/>
        </w:trPr>
        <w:tc>
          <w:tcPr>
            <w:tcW w:w="0" w:type="auto"/>
            <w:gridSpan w:val="3"/>
            <w:tcMar>
              <w:top w:w="30" w:type="dxa"/>
              <w:left w:w="20" w:type="dxa"/>
              <w:bottom w:w="30" w:type="dxa"/>
              <w:right w:w="20" w:type="dxa"/>
            </w:tcMar>
            <w:vAlign w:val="bottom"/>
            <w:hideMark/>
          </w:tcPr>
          <w:p w14:paraId="5AFBC836"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83CB841"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1C755A06"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5D0B6BCC"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1A33663A"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40E56EE0"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4B0C8AFF" w14:textId="77777777">
        <w:trPr>
          <w:divId w:val="1697072695"/>
        </w:trPr>
        <w:tc>
          <w:tcPr>
            <w:tcW w:w="0" w:type="auto"/>
            <w:gridSpan w:val="3"/>
            <w:tcMar>
              <w:top w:w="30" w:type="dxa"/>
              <w:left w:w="20" w:type="dxa"/>
              <w:bottom w:w="30" w:type="dxa"/>
              <w:right w:w="20" w:type="dxa"/>
            </w:tcMar>
            <w:vAlign w:val="bottom"/>
            <w:hideMark/>
          </w:tcPr>
          <w:p w14:paraId="46869427" w14:textId="77777777" w:rsidR="00000000" w:rsidRDefault="001A570A">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3EE7E66"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F73EDEA"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7B0232"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73103059"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1BADA8"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3E1F273"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1F1F9C" w14:textId="77777777" w:rsidR="00000000" w:rsidRDefault="001A570A">
            <w:pPr>
              <w:jc w:val="center"/>
              <w:rPr>
                <w:rFonts w:eastAsia="Times New Roman"/>
              </w:rPr>
            </w:pPr>
            <w:r>
              <w:rPr>
                <w:rFonts w:eastAsia="Times New Roman"/>
                <w:b/>
                <w:bCs/>
                <w:color w:val="000000"/>
                <w:sz w:val="16"/>
                <w:szCs w:val="16"/>
              </w:rPr>
              <w:t>June 29, 2018</w:t>
            </w:r>
          </w:p>
        </w:tc>
      </w:tr>
      <w:tr w:rsidR="00000000" w14:paraId="781B6BA7" w14:textId="77777777">
        <w:trPr>
          <w:divId w:val="1697072695"/>
        </w:trPr>
        <w:tc>
          <w:tcPr>
            <w:tcW w:w="0" w:type="auto"/>
            <w:gridSpan w:val="3"/>
            <w:tcMar>
              <w:top w:w="30" w:type="dxa"/>
              <w:left w:w="20" w:type="dxa"/>
              <w:bottom w:w="30" w:type="dxa"/>
              <w:right w:w="20" w:type="dxa"/>
            </w:tcMar>
            <w:vAlign w:val="bottom"/>
            <w:hideMark/>
          </w:tcPr>
          <w:p w14:paraId="3B3D44FC" w14:textId="77777777" w:rsidR="00000000" w:rsidRDefault="001A570A">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0" w:type="dxa"/>
              <w:left w:w="20" w:type="dxa"/>
              <w:bottom w:w="0" w:type="dxa"/>
              <w:right w:w="20" w:type="dxa"/>
            </w:tcMar>
            <w:vAlign w:val="center"/>
            <w:hideMark/>
          </w:tcPr>
          <w:p w14:paraId="388C440D" w14:textId="77777777" w:rsidR="00000000" w:rsidRDefault="001A570A">
            <w:pPr>
              <w:rPr>
                <w:rFonts w:eastAsia="Times New Roman"/>
              </w:rPr>
            </w:pPr>
          </w:p>
        </w:tc>
      </w:tr>
      <w:tr w:rsidR="00000000" w14:paraId="7161F515" w14:textId="77777777">
        <w:trPr>
          <w:divId w:val="1697072695"/>
        </w:trPr>
        <w:tc>
          <w:tcPr>
            <w:tcW w:w="0" w:type="auto"/>
            <w:gridSpan w:val="3"/>
            <w:shd w:val="clear" w:color="auto" w:fill="CCEEFF"/>
            <w:tcMar>
              <w:top w:w="30" w:type="dxa"/>
              <w:left w:w="20" w:type="dxa"/>
              <w:bottom w:w="30" w:type="dxa"/>
              <w:right w:w="20" w:type="dxa"/>
            </w:tcMar>
            <w:hideMark/>
          </w:tcPr>
          <w:p w14:paraId="4EFDEA11" w14:textId="77777777" w:rsidR="00000000" w:rsidRDefault="001A570A">
            <w:pPr>
              <w:rPr>
                <w:rFonts w:eastAsia="Times New Roman"/>
              </w:rPr>
            </w:pPr>
            <w:r>
              <w:rPr>
                <w:rFonts w:eastAsia="Times New Roman"/>
                <w:color w:val="000000"/>
                <w:sz w:val="20"/>
                <w:szCs w:val="20"/>
              </w:rPr>
              <w:t>Revenue from product sales and services</w:t>
            </w:r>
          </w:p>
        </w:tc>
        <w:tc>
          <w:tcPr>
            <w:tcW w:w="0" w:type="auto"/>
            <w:gridSpan w:val="3"/>
            <w:shd w:val="clear" w:color="auto" w:fill="CCEEFF"/>
            <w:tcMar>
              <w:top w:w="0" w:type="dxa"/>
              <w:left w:w="20" w:type="dxa"/>
              <w:bottom w:w="0" w:type="dxa"/>
              <w:right w:w="20" w:type="dxa"/>
            </w:tcMar>
            <w:vAlign w:val="center"/>
            <w:hideMark/>
          </w:tcPr>
          <w:p w14:paraId="7E096683"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EB5B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7DE65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ADF5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57D65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C796F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F81C49" w14:textId="77777777" w:rsidR="00000000" w:rsidRDefault="001A570A">
            <w:pPr>
              <w:rPr>
                <w:rFonts w:eastAsia="Times New Roman"/>
                <w:sz w:val="20"/>
                <w:szCs w:val="20"/>
              </w:rPr>
            </w:pPr>
          </w:p>
        </w:tc>
      </w:tr>
      <w:tr w:rsidR="00000000" w14:paraId="624FCC36" w14:textId="77777777">
        <w:trPr>
          <w:divId w:val="1697072695"/>
        </w:trPr>
        <w:tc>
          <w:tcPr>
            <w:tcW w:w="0" w:type="auto"/>
            <w:gridSpan w:val="3"/>
            <w:shd w:val="clear" w:color="auto" w:fill="FFFFFF"/>
            <w:tcMar>
              <w:top w:w="30" w:type="dxa"/>
              <w:left w:w="20" w:type="dxa"/>
              <w:bottom w:w="30" w:type="dxa"/>
              <w:right w:w="20" w:type="dxa"/>
            </w:tcMar>
            <w:hideMark/>
          </w:tcPr>
          <w:p w14:paraId="56041B4B" w14:textId="77777777" w:rsidR="00000000" w:rsidRDefault="001A570A">
            <w:pPr>
              <w:rPr>
                <w:rFonts w:eastAsia="Times New Roman"/>
              </w:rPr>
            </w:pPr>
            <w:r>
              <w:rPr>
                <w:rFonts w:eastAsia="Times New Roman"/>
                <w:color w:val="000000"/>
                <w:sz w:val="20"/>
                <w:szCs w:val="20"/>
              </w:rPr>
              <w:t>Revenue from product sales</w:t>
            </w:r>
          </w:p>
        </w:tc>
        <w:tc>
          <w:tcPr>
            <w:tcW w:w="0" w:type="auto"/>
            <w:shd w:val="clear" w:color="auto" w:fill="FFFFFF"/>
            <w:tcMar>
              <w:top w:w="30" w:type="dxa"/>
              <w:left w:w="20" w:type="dxa"/>
              <w:bottom w:w="30" w:type="dxa"/>
              <w:right w:w="0" w:type="dxa"/>
            </w:tcMar>
            <w:vAlign w:val="bottom"/>
            <w:hideMark/>
          </w:tcPr>
          <w:p w14:paraId="7697DF0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5477D2" w14:textId="77777777" w:rsidR="00000000" w:rsidRDefault="001A570A">
            <w:pPr>
              <w:jc w:val="right"/>
              <w:rPr>
                <w:rFonts w:eastAsia="Times New Roman"/>
              </w:rPr>
            </w:pPr>
            <w:r>
              <w:rPr>
                <w:rFonts w:eastAsia="Times New Roman"/>
                <w:color w:val="000000"/>
                <w:sz w:val="20"/>
                <w:szCs w:val="20"/>
              </w:rPr>
              <w:t>13,581 </w:t>
            </w:r>
          </w:p>
        </w:tc>
        <w:tc>
          <w:tcPr>
            <w:tcW w:w="0" w:type="auto"/>
            <w:shd w:val="clear" w:color="auto" w:fill="FFFFFF"/>
            <w:tcMar>
              <w:top w:w="30" w:type="dxa"/>
              <w:left w:w="0" w:type="dxa"/>
              <w:bottom w:w="30" w:type="dxa"/>
              <w:right w:w="20" w:type="dxa"/>
            </w:tcMar>
            <w:vAlign w:val="bottom"/>
            <w:hideMark/>
          </w:tcPr>
          <w:p w14:paraId="3285906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276F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9AEBF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5B8E2B" w14:textId="77777777" w:rsidR="00000000" w:rsidRDefault="001A570A">
            <w:pPr>
              <w:jc w:val="right"/>
              <w:rPr>
                <w:rFonts w:eastAsia="Times New Roman"/>
              </w:rPr>
            </w:pPr>
            <w:r>
              <w:rPr>
                <w:rFonts w:eastAsia="Times New Roman"/>
                <w:color w:val="000000"/>
                <w:sz w:val="20"/>
                <w:szCs w:val="20"/>
              </w:rPr>
              <w:t>6,908 </w:t>
            </w:r>
          </w:p>
        </w:tc>
        <w:tc>
          <w:tcPr>
            <w:tcW w:w="0" w:type="auto"/>
            <w:shd w:val="clear" w:color="auto" w:fill="FFFFFF"/>
            <w:tcMar>
              <w:top w:w="30" w:type="dxa"/>
              <w:left w:w="0" w:type="dxa"/>
              <w:bottom w:w="30" w:type="dxa"/>
              <w:right w:w="20" w:type="dxa"/>
            </w:tcMar>
            <w:vAlign w:val="bottom"/>
            <w:hideMark/>
          </w:tcPr>
          <w:p w14:paraId="0B69D1E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5587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3EA74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A3A8CD" w14:textId="77777777" w:rsidR="00000000" w:rsidRDefault="001A570A">
            <w:pPr>
              <w:jc w:val="right"/>
              <w:rPr>
                <w:rFonts w:eastAsia="Times New Roman"/>
              </w:rPr>
            </w:pPr>
            <w:r>
              <w:rPr>
                <w:rFonts w:eastAsia="Times New Roman"/>
                <w:color w:val="000000"/>
                <w:sz w:val="20"/>
                <w:szCs w:val="20"/>
              </w:rPr>
              <w:t>5,638 </w:t>
            </w:r>
          </w:p>
        </w:tc>
        <w:tc>
          <w:tcPr>
            <w:tcW w:w="0" w:type="auto"/>
            <w:shd w:val="clear" w:color="auto" w:fill="FFFFFF"/>
            <w:tcMar>
              <w:top w:w="30" w:type="dxa"/>
              <w:left w:w="0" w:type="dxa"/>
              <w:bottom w:w="30" w:type="dxa"/>
              <w:right w:w="20" w:type="dxa"/>
            </w:tcMar>
            <w:vAlign w:val="bottom"/>
            <w:hideMark/>
          </w:tcPr>
          <w:p w14:paraId="228FBD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8649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181CD7"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176D9A" w14:textId="77777777" w:rsidR="00000000" w:rsidRDefault="001A570A">
            <w:pPr>
              <w:jc w:val="right"/>
              <w:rPr>
                <w:rFonts w:eastAsia="Times New Roman"/>
              </w:rPr>
            </w:pPr>
            <w:r>
              <w:rPr>
                <w:rFonts w:eastAsia="Times New Roman"/>
                <w:color w:val="000000"/>
                <w:sz w:val="20"/>
                <w:szCs w:val="20"/>
              </w:rPr>
              <w:t>5,038 </w:t>
            </w:r>
          </w:p>
        </w:tc>
        <w:tc>
          <w:tcPr>
            <w:tcW w:w="0" w:type="auto"/>
            <w:shd w:val="clear" w:color="auto" w:fill="FFFFFF"/>
            <w:tcMar>
              <w:top w:w="30" w:type="dxa"/>
              <w:left w:w="0" w:type="dxa"/>
              <w:bottom w:w="30" w:type="dxa"/>
              <w:right w:w="20" w:type="dxa"/>
            </w:tcMar>
            <w:vAlign w:val="bottom"/>
            <w:hideMark/>
          </w:tcPr>
          <w:p w14:paraId="1AD46C6A" w14:textId="77777777" w:rsidR="00000000" w:rsidRDefault="001A570A">
            <w:pPr>
              <w:jc w:val="right"/>
              <w:rPr>
                <w:rFonts w:eastAsia="Times New Roman"/>
              </w:rPr>
            </w:pPr>
          </w:p>
        </w:tc>
      </w:tr>
      <w:tr w:rsidR="00000000" w14:paraId="6003730E" w14:textId="77777777">
        <w:trPr>
          <w:divId w:val="1697072695"/>
        </w:trPr>
        <w:tc>
          <w:tcPr>
            <w:tcW w:w="0" w:type="auto"/>
            <w:gridSpan w:val="3"/>
            <w:shd w:val="clear" w:color="auto" w:fill="CCEEFF"/>
            <w:tcMar>
              <w:top w:w="30" w:type="dxa"/>
              <w:left w:w="20" w:type="dxa"/>
              <w:bottom w:w="30" w:type="dxa"/>
              <w:right w:w="20" w:type="dxa"/>
            </w:tcMar>
            <w:hideMark/>
          </w:tcPr>
          <w:p w14:paraId="2A5A2C2E" w14:textId="77777777" w:rsidR="00000000" w:rsidRDefault="001A570A">
            <w:pPr>
              <w:rPr>
                <w:rFonts w:eastAsia="Times New Roman"/>
              </w:rPr>
            </w:pPr>
            <w:r>
              <w:rPr>
                <w:rFonts w:eastAsia="Times New Roman"/>
                <w:color w:val="000000"/>
                <w:sz w:val="20"/>
                <w:szCs w:val="20"/>
              </w:rPr>
              <w:t>Revenue from services</w:t>
            </w:r>
          </w:p>
        </w:tc>
        <w:tc>
          <w:tcPr>
            <w:tcW w:w="0" w:type="auto"/>
            <w:gridSpan w:val="2"/>
            <w:shd w:val="clear" w:color="auto" w:fill="CCEEFF"/>
            <w:tcMar>
              <w:top w:w="30" w:type="dxa"/>
              <w:left w:w="20" w:type="dxa"/>
              <w:bottom w:w="30" w:type="dxa"/>
              <w:right w:w="0" w:type="dxa"/>
            </w:tcMar>
            <w:vAlign w:val="bottom"/>
            <w:hideMark/>
          </w:tcPr>
          <w:p w14:paraId="605D9E27" w14:textId="77777777" w:rsidR="00000000" w:rsidRDefault="001A570A">
            <w:pPr>
              <w:jc w:val="right"/>
              <w:rPr>
                <w:rFonts w:eastAsia="Times New Roman"/>
              </w:rPr>
            </w:pPr>
            <w:r>
              <w:rPr>
                <w:rFonts w:eastAsia="Times New Roman"/>
                <w:color w:val="000000"/>
                <w:sz w:val="20"/>
                <w:szCs w:val="20"/>
              </w:rPr>
              <w:t>4,613 </w:t>
            </w:r>
          </w:p>
        </w:tc>
        <w:tc>
          <w:tcPr>
            <w:tcW w:w="0" w:type="auto"/>
            <w:shd w:val="clear" w:color="auto" w:fill="CCEEFF"/>
            <w:tcMar>
              <w:top w:w="30" w:type="dxa"/>
              <w:left w:w="0" w:type="dxa"/>
              <w:bottom w:w="30" w:type="dxa"/>
              <w:right w:w="20" w:type="dxa"/>
            </w:tcMar>
            <w:vAlign w:val="bottom"/>
            <w:hideMark/>
          </w:tcPr>
          <w:p w14:paraId="028915E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A5A0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C4B81" w14:textId="77777777" w:rsidR="00000000" w:rsidRDefault="001A570A">
            <w:pPr>
              <w:jc w:val="right"/>
              <w:rPr>
                <w:rFonts w:eastAsia="Times New Roman"/>
              </w:rPr>
            </w:pPr>
            <w:r>
              <w:rPr>
                <w:rFonts w:eastAsia="Times New Roman"/>
                <w:color w:val="000000"/>
                <w:sz w:val="20"/>
                <w:szCs w:val="20"/>
              </w:rPr>
              <w:t>2,355 </w:t>
            </w:r>
          </w:p>
        </w:tc>
        <w:tc>
          <w:tcPr>
            <w:tcW w:w="0" w:type="auto"/>
            <w:shd w:val="clear" w:color="auto" w:fill="CCEEFF"/>
            <w:tcMar>
              <w:top w:w="30" w:type="dxa"/>
              <w:left w:w="0" w:type="dxa"/>
              <w:bottom w:w="30" w:type="dxa"/>
              <w:right w:w="20" w:type="dxa"/>
            </w:tcMar>
            <w:vAlign w:val="bottom"/>
            <w:hideMark/>
          </w:tcPr>
          <w:p w14:paraId="02E994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4A05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8931C9" w14:textId="77777777" w:rsidR="00000000" w:rsidRDefault="001A570A">
            <w:pPr>
              <w:jc w:val="right"/>
              <w:rPr>
                <w:rFonts w:eastAsia="Times New Roman"/>
              </w:rPr>
            </w:pPr>
            <w:r>
              <w:rPr>
                <w:rFonts w:eastAsia="Times New Roman"/>
                <w:color w:val="000000"/>
                <w:sz w:val="20"/>
                <w:szCs w:val="20"/>
              </w:rPr>
              <w:t>1,163 </w:t>
            </w:r>
          </w:p>
        </w:tc>
        <w:tc>
          <w:tcPr>
            <w:tcW w:w="0" w:type="auto"/>
            <w:shd w:val="clear" w:color="auto" w:fill="CCEEFF"/>
            <w:tcMar>
              <w:top w:w="30" w:type="dxa"/>
              <w:left w:w="0" w:type="dxa"/>
              <w:bottom w:w="30" w:type="dxa"/>
              <w:right w:w="20" w:type="dxa"/>
            </w:tcMar>
            <w:vAlign w:val="bottom"/>
            <w:hideMark/>
          </w:tcPr>
          <w:p w14:paraId="4C47AB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1E88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17B6C" w14:textId="77777777" w:rsidR="00000000" w:rsidRDefault="001A570A">
            <w:pPr>
              <w:jc w:val="right"/>
              <w:rPr>
                <w:rFonts w:eastAsia="Times New Roman"/>
              </w:rPr>
            </w:pPr>
            <w:r>
              <w:rPr>
                <w:rFonts w:eastAsia="Times New Roman"/>
                <w:color w:val="000000"/>
                <w:sz w:val="20"/>
                <w:szCs w:val="20"/>
              </w:rPr>
              <w:t>1,130 </w:t>
            </w:r>
          </w:p>
        </w:tc>
        <w:tc>
          <w:tcPr>
            <w:tcW w:w="0" w:type="auto"/>
            <w:shd w:val="clear" w:color="auto" w:fill="CCEEFF"/>
            <w:tcMar>
              <w:top w:w="30" w:type="dxa"/>
              <w:left w:w="0" w:type="dxa"/>
              <w:bottom w:w="30" w:type="dxa"/>
              <w:right w:w="20" w:type="dxa"/>
            </w:tcMar>
            <w:vAlign w:val="bottom"/>
            <w:hideMark/>
          </w:tcPr>
          <w:p w14:paraId="37A8C111" w14:textId="77777777" w:rsidR="00000000" w:rsidRDefault="001A570A">
            <w:pPr>
              <w:jc w:val="right"/>
              <w:rPr>
                <w:rFonts w:eastAsia="Times New Roman"/>
              </w:rPr>
            </w:pPr>
          </w:p>
        </w:tc>
      </w:tr>
      <w:tr w:rsidR="00000000" w14:paraId="05AA742E" w14:textId="77777777">
        <w:trPr>
          <w:divId w:val="1697072695"/>
        </w:trPr>
        <w:tc>
          <w:tcPr>
            <w:tcW w:w="0" w:type="auto"/>
            <w:gridSpan w:val="3"/>
            <w:shd w:val="clear" w:color="auto" w:fill="FFFFFF"/>
            <w:tcMar>
              <w:top w:w="0" w:type="dxa"/>
              <w:left w:w="20" w:type="dxa"/>
              <w:bottom w:w="0" w:type="dxa"/>
              <w:right w:w="20" w:type="dxa"/>
            </w:tcMar>
            <w:vAlign w:val="center"/>
            <w:hideMark/>
          </w:tcPr>
          <w:p w14:paraId="7F61BDA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3B6444D" w14:textId="77777777" w:rsidR="00000000" w:rsidRDefault="001A570A">
            <w:pPr>
              <w:jc w:val="right"/>
              <w:rPr>
                <w:rFonts w:eastAsia="Times New Roman"/>
              </w:rPr>
            </w:pPr>
            <w:r>
              <w:rPr>
                <w:rFonts w:eastAsia="Times New Roman"/>
                <w:color w:val="000000"/>
                <w:sz w:val="20"/>
                <w:szCs w:val="20"/>
              </w:rPr>
              <w:t>18,194 </w:t>
            </w:r>
          </w:p>
        </w:tc>
        <w:tc>
          <w:tcPr>
            <w:tcW w:w="0" w:type="auto"/>
            <w:tcBorders>
              <w:top w:val="single" w:sz="8" w:space="0" w:color="000000"/>
            </w:tcBorders>
            <w:shd w:val="clear" w:color="auto" w:fill="FFFFFF"/>
            <w:tcMar>
              <w:top w:w="30" w:type="dxa"/>
              <w:left w:w="0" w:type="dxa"/>
              <w:bottom w:w="30" w:type="dxa"/>
              <w:right w:w="20" w:type="dxa"/>
            </w:tcMar>
            <w:hideMark/>
          </w:tcPr>
          <w:p w14:paraId="62672F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5AF5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87584A3" w14:textId="77777777" w:rsidR="00000000" w:rsidRDefault="001A570A">
            <w:pPr>
              <w:jc w:val="right"/>
              <w:rPr>
                <w:rFonts w:eastAsia="Times New Roman"/>
              </w:rPr>
            </w:pPr>
            <w:r>
              <w:rPr>
                <w:rFonts w:eastAsia="Times New Roman"/>
                <w:color w:val="000000"/>
                <w:sz w:val="20"/>
                <w:szCs w:val="20"/>
              </w:rPr>
              <w:t>9,263 </w:t>
            </w:r>
          </w:p>
        </w:tc>
        <w:tc>
          <w:tcPr>
            <w:tcW w:w="0" w:type="auto"/>
            <w:tcBorders>
              <w:top w:val="single" w:sz="8" w:space="0" w:color="000000"/>
            </w:tcBorders>
            <w:shd w:val="clear" w:color="auto" w:fill="FFFFFF"/>
            <w:tcMar>
              <w:top w:w="30" w:type="dxa"/>
              <w:left w:w="0" w:type="dxa"/>
              <w:bottom w:w="30" w:type="dxa"/>
              <w:right w:w="20" w:type="dxa"/>
            </w:tcMar>
            <w:hideMark/>
          </w:tcPr>
          <w:p w14:paraId="3F6E32B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D481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9E45702" w14:textId="77777777" w:rsidR="00000000" w:rsidRDefault="001A570A">
            <w:pPr>
              <w:jc w:val="right"/>
              <w:rPr>
                <w:rFonts w:eastAsia="Times New Roman"/>
              </w:rPr>
            </w:pPr>
            <w:r>
              <w:rPr>
                <w:rFonts w:eastAsia="Times New Roman"/>
                <w:color w:val="000000"/>
                <w:sz w:val="20"/>
                <w:szCs w:val="20"/>
              </w:rPr>
              <w:t>6,801 </w:t>
            </w:r>
          </w:p>
        </w:tc>
        <w:tc>
          <w:tcPr>
            <w:tcW w:w="0" w:type="auto"/>
            <w:tcBorders>
              <w:top w:val="single" w:sz="8" w:space="0" w:color="000000"/>
            </w:tcBorders>
            <w:shd w:val="clear" w:color="auto" w:fill="FFFFFF"/>
            <w:tcMar>
              <w:top w:w="30" w:type="dxa"/>
              <w:left w:w="0" w:type="dxa"/>
              <w:bottom w:w="30" w:type="dxa"/>
              <w:right w:w="20" w:type="dxa"/>
            </w:tcMar>
            <w:hideMark/>
          </w:tcPr>
          <w:p w14:paraId="17EA8C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7D0A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58AD227F" w14:textId="77777777" w:rsidR="00000000" w:rsidRDefault="001A570A">
            <w:pPr>
              <w:jc w:val="right"/>
              <w:rPr>
                <w:rFonts w:eastAsia="Times New Roman"/>
              </w:rPr>
            </w:pPr>
            <w:r>
              <w:rPr>
                <w:rFonts w:eastAsia="Times New Roman"/>
                <w:color w:val="000000"/>
                <w:sz w:val="20"/>
                <w:szCs w:val="20"/>
              </w:rPr>
              <w:t>6,168 </w:t>
            </w:r>
          </w:p>
        </w:tc>
        <w:tc>
          <w:tcPr>
            <w:tcW w:w="0" w:type="auto"/>
            <w:tcBorders>
              <w:top w:val="single" w:sz="8" w:space="0" w:color="000000"/>
            </w:tcBorders>
            <w:shd w:val="clear" w:color="auto" w:fill="FFFFFF"/>
            <w:tcMar>
              <w:top w:w="30" w:type="dxa"/>
              <w:left w:w="0" w:type="dxa"/>
              <w:bottom w:w="30" w:type="dxa"/>
              <w:right w:w="20" w:type="dxa"/>
            </w:tcMar>
            <w:hideMark/>
          </w:tcPr>
          <w:p w14:paraId="051159B0" w14:textId="77777777" w:rsidR="00000000" w:rsidRDefault="001A570A">
            <w:pPr>
              <w:jc w:val="right"/>
              <w:rPr>
                <w:rFonts w:eastAsia="Times New Roman"/>
              </w:rPr>
            </w:pPr>
          </w:p>
        </w:tc>
      </w:tr>
      <w:tr w:rsidR="00000000" w14:paraId="7A562761" w14:textId="77777777">
        <w:trPr>
          <w:divId w:val="1697072695"/>
        </w:trPr>
        <w:tc>
          <w:tcPr>
            <w:tcW w:w="0" w:type="auto"/>
            <w:gridSpan w:val="3"/>
            <w:shd w:val="clear" w:color="auto" w:fill="CCEEFF"/>
            <w:tcMar>
              <w:top w:w="30" w:type="dxa"/>
              <w:left w:w="20" w:type="dxa"/>
              <w:bottom w:w="30" w:type="dxa"/>
              <w:right w:w="20" w:type="dxa"/>
            </w:tcMar>
            <w:hideMark/>
          </w:tcPr>
          <w:p w14:paraId="7737C7DF" w14:textId="77777777" w:rsidR="00000000" w:rsidRDefault="001A570A">
            <w:pPr>
              <w:rPr>
                <w:rFonts w:eastAsia="Times New Roman"/>
              </w:rPr>
            </w:pPr>
            <w:r>
              <w:rPr>
                <w:rFonts w:eastAsia="Times New Roman"/>
                <w:color w:val="000000"/>
                <w:sz w:val="20"/>
                <w:szCs w:val="20"/>
              </w:rPr>
              <w:t>Cost of product sales and services</w:t>
            </w:r>
          </w:p>
        </w:tc>
        <w:tc>
          <w:tcPr>
            <w:tcW w:w="0" w:type="auto"/>
            <w:gridSpan w:val="3"/>
            <w:shd w:val="clear" w:color="auto" w:fill="CCEEFF"/>
            <w:tcMar>
              <w:top w:w="0" w:type="dxa"/>
              <w:left w:w="20" w:type="dxa"/>
              <w:bottom w:w="0" w:type="dxa"/>
              <w:right w:w="20" w:type="dxa"/>
            </w:tcMar>
            <w:vAlign w:val="center"/>
            <w:hideMark/>
          </w:tcPr>
          <w:p w14:paraId="31FBBAF0"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F45A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6007E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C533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B1D34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022FC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EF5328" w14:textId="77777777" w:rsidR="00000000" w:rsidRDefault="001A570A">
            <w:pPr>
              <w:rPr>
                <w:rFonts w:eastAsia="Times New Roman"/>
                <w:sz w:val="20"/>
                <w:szCs w:val="20"/>
              </w:rPr>
            </w:pPr>
          </w:p>
        </w:tc>
      </w:tr>
      <w:tr w:rsidR="00000000" w14:paraId="3E3B7BD8" w14:textId="77777777">
        <w:trPr>
          <w:divId w:val="1697072695"/>
        </w:trPr>
        <w:tc>
          <w:tcPr>
            <w:tcW w:w="0" w:type="auto"/>
            <w:gridSpan w:val="3"/>
            <w:shd w:val="clear" w:color="auto" w:fill="FFFFFF"/>
            <w:tcMar>
              <w:top w:w="30" w:type="dxa"/>
              <w:left w:w="20" w:type="dxa"/>
              <w:bottom w:w="30" w:type="dxa"/>
              <w:right w:w="20" w:type="dxa"/>
            </w:tcMar>
            <w:hideMark/>
          </w:tcPr>
          <w:p w14:paraId="5631AC33" w14:textId="77777777" w:rsidR="00000000" w:rsidRDefault="001A570A">
            <w:pPr>
              <w:rPr>
                <w:rFonts w:eastAsia="Times New Roman"/>
              </w:rPr>
            </w:pPr>
            <w:r>
              <w:rPr>
                <w:rFonts w:eastAsia="Times New Roman"/>
                <w:color w:val="000000"/>
                <w:sz w:val="20"/>
                <w:szCs w:val="20"/>
              </w:rPr>
              <w:t>Cost of product sales</w:t>
            </w:r>
          </w:p>
        </w:tc>
        <w:tc>
          <w:tcPr>
            <w:tcW w:w="0" w:type="auto"/>
            <w:gridSpan w:val="2"/>
            <w:shd w:val="clear" w:color="auto" w:fill="FFFFFF"/>
            <w:tcMar>
              <w:top w:w="30" w:type="dxa"/>
              <w:left w:w="20" w:type="dxa"/>
              <w:bottom w:w="30" w:type="dxa"/>
              <w:right w:w="0" w:type="dxa"/>
            </w:tcMar>
            <w:vAlign w:val="bottom"/>
            <w:hideMark/>
          </w:tcPr>
          <w:p w14:paraId="4AA7F306" w14:textId="77777777" w:rsidR="00000000" w:rsidRDefault="001A570A">
            <w:pPr>
              <w:jc w:val="right"/>
              <w:rPr>
                <w:rFonts w:eastAsia="Times New Roman"/>
              </w:rPr>
            </w:pPr>
            <w:r>
              <w:rPr>
                <w:rFonts w:eastAsia="Times New Roman"/>
                <w:color w:val="000000"/>
                <w:sz w:val="20"/>
                <w:szCs w:val="20"/>
              </w:rPr>
              <w:t>(9,464)</w:t>
            </w:r>
          </w:p>
        </w:tc>
        <w:tc>
          <w:tcPr>
            <w:tcW w:w="0" w:type="auto"/>
            <w:shd w:val="clear" w:color="auto" w:fill="FFFFFF"/>
            <w:tcMar>
              <w:top w:w="30" w:type="dxa"/>
              <w:left w:w="0" w:type="dxa"/>
              <w:bottom w:w="30" w:type="dxa"/>
              <w:right w:w="20" w:type="dxa"/>
            </w:tcMar>
            <w:vAlign w:val="bottom"/>
            <w:hideMark/>
          </w:tcPr>
          <w:p w14:paraId="282306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CFD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51DB92" w14:textId="77777777" w:rsidR="00000000" w:rsidRDefault="001A570A">
            <w:pPr>
              <w:jc w:val="right"/>
              <w:rPr>
                <w:rFonts w:eastAsia="Times New Roman"/>
              </w:rPr>
            </w:pPr>
            <w:r>
              <w:rPr>
                <w:rFonts w:eastAsia="Times New Roman"/>
                <w:color w:val="000000"/>
                <w:sz w:val="20"/>
                <w:szCs w:val="20"/>
              </w:rPr>
              <w:t>(4,996)</w:t>
            </w:r>
          </w:p>
        </w:tc>
        <w:tc>
          <w:tcPr>
            <w:tcW w:w="0" w:type="auto"/>
            <w:shd w:val="clear" w:color="auto" w:fill="FFFFFF"/>
            <w:tcMar>
              <w:top w:w="30" w:type="dxa"/>
              <w:left w:w="0" w:type="dxa"/>
              <w:bottom w:w="30" w:type="dxa"/>
              <w:right w:w="20" w:type="dxa"/>
            </w:tcMar>
            <w:vAlign w:val="bottom"/>
            <w:hideMark/>
          </w:tcPr>
          <w:p w14:paraId="6A61154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A293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B4C4A" w14:textId="77777777" w:rsidR="00000000" w:rsidRDefault="001A570A">
            <w:pPr>
              <w:jc w:val="right"/>
              <w:rPr>
                <w:rFonts w:eastAsia="Times New Roman"/>
              </w:rPr>
            </w:pPr>
            <w:r>
              <w:rPr>
                <w:rFonts w:eastAsia="Times New Roman"/>
                <w:color w:val="000000"/>
                <w:sz w:val="20"/>
                <w:szCs w:val="20"/>
              </w:rPr>
              <w:t>(3,615)</w:t>
            </w:r>
          </w:p>
        </w:tc>
        <w:tc>
          <w:tcPr>
            <w:tcW w:w="0" w:type="auto"/>
            <w:shd w:val="clear" w:color="auto" w:fill="FFFFFF"/>
            <w:tcMar>
              <w:top w:w="30" w:type="dxa"/>
              <w:left w:w="0" w:type="dxa"/>
              <w:bottom w:w="30" w:type="dxa"/>
              <w:right w:w="20" w:type="dxa"/>
            </w:tcMar>
            <w:vAlign w:val="bottom"/>
            <w:hideMark/>
          </w:tcPr>
          <w:p w14:paraId="50FA86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C915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11DFD" w14:textId="77777777" w:rsidR="00000000" w:rsidRDefault="001A570A">
            <w:pPr>
              <w:jc w:val="right"/>
              <w:rPr>
                <w:rFonts w:eastAsia="Times New Roman"/>
              </w:rPr>
            </w:pPr>
            <w:r>
              <w:rPr>
                <w:rFonts w:eastAsia="Times New Roman"/>
                <w:color w:val="000000"/>
                <w:sz w:val="20"/>
                <w:szCs w:val="20"/>
              </w:rPr>
              <w:t>(3,239)</w:t>
            </w:r>
          </w:p>
        </w:tc>
        <w:tc>
          <w:tcPr>
            <w:tcW w:w="0" w:type="auto"/>
            <w:shd w:val="clear" w:color="auto" w:fill="FFFFFF"/>
            <w:tcMar>
              <w:top w:w="30" w:type="dxa"/>
              <w:left w:w="0" w:type="dxa"/>
              <w:bottom w:w="30" w:type="dxa"/>
              <w:right w:w="20" w:type="dxa"/>
            </w:tcMar>
            <w:vAlign w:val="bottom"/>
            <w:hideMark/>
          </w:tcPr>
          <w:p w14:paraId="465822CA" w14:textId="77777777" w:rsidR="00000000" w:rsidRDefault="001A570A">
            <w:pPr>
              <w:jc w:val="right"/>
              <w:rPr>
                <w:rFonts w:eastAsia="Times New Roman"/>
              </w:rPr>
            </w:pPr>
          </w:p>
        </w:tc>
      </w:tr>
      <w:tr w:rsidR="00000000" w14:paraId="1E509EA5" w14:textId="77777777">
        <w:trPr>
          <w:divId w:val="1697072695"/>
        </w:trPr>
        <w:tc>
          <w:tcPr>
            <w:tcW w:w="0" w:type="auto"/>
            <w:gridSpan w:val="3"/>
            <w:shd w:val="clear" w:color="auto" w:fill="CCEEFF"/>
            <w:tcMar>
              <w:top w:w="30" w:type="dxa"/>
              <w:left w:w="20" w:type="dxa"/>
              <w:bottom w:w="30" w:type="dxa"/>
              <w:right w:w="20" w:type="dxa"/>
            </w:tcMar>
            <w:hideMark/>
          </w:tcPr>
          <w:p w14:paraId="0B0AECDB" w14:textId="77777777" w:rsidR="00000000" w:rsidRDefault="001A570A">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14:paraId="3D2D49CD" w14:textId="77777777" w:rsidR="00000000" w:rsidRDefault="001A570A">
            <w:pPr>
              <w:jc w:val="right"/>
              <w:rPr>
                <w:rFonts w:eastAsia="Times New Roman"/>
              </w:rPr>
            </w:pPr>
            <w:r>
              <w:rPr>
                <w:rFonts w:eastAsia="Times New Roman"/>
                <w:color w:val="000000"/>
                <w:sz w:val="20"/>
                <w:szCs w:val="20"/>
              </w:rPr>
              <w:t>(3,422)</w:t>
            </w:r>
          </w:p>
        </w:tc>
        <w:tc>
          <w:tcPr>
            <w:tcW w:w="0" w:type="auto"/>
            <w:shd w:val="clear" w:color="auto" w:fill="CCEEFF"/>
            <w:tcMar>
              <w:top w:w="30" w:type="dxa"/>
              <w:left w:w="0" w:type="dxa"/>
              <w:bottom w:w="30" w:type="dxa"/>
              <w:right w:w="20" w:type="dxa"/>
            </w:tcMar>
            <w:vAlign w:val="bottom"/>
            <w:hideMark/>
          </w:tcPr>
          <w:p w14:paraId="0D7518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5A72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2A307F" w14:textId="77777777" w:rsidR="00000000" w:rsidRDefault="001A570A">
            <w:pPr>
              <w:jc w:val="right"/>
              <w:rPr>
                <w:rFonts w:eastAsia="Times New Roman"/>
              </w:rPr>
            </w:pPr>
            <w:r>
              <w:rPr>
                <w:rFonts w:eastAsia="Times New Roman"/>
                <w:color w:val="000000"/>
                <w:sz w:val="20"/>
                <w:szCs w:val="20"/>
              </w:rPr>
              <w:t>(1,730)</w:t>
            </w:r>
          </w:p>
        </w:tc>
        <w:tc>
          <w:tcPr>
            <w:tcW w:w="0" w:type="auto"/>
            <w:shd w:val="clear" w:color="auto" w:fill="CCEEFF"/>
            <w:tcMar>
              <w:top w:w="30" w:type="dxa"/>
              <w:left w:w="0" w:type="dxa"/>
              <w:bottom w:w="30" w:type="dxa"/>
              <w:right w:w="20" w:type="dxa"/>
            </w:tcMar>
            <w:vAlign w:val="bottom"/>
            <w:hideMark/>
          </w:tcPr>
          <w:p w14:paraId="4C93743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E5A6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3E8433" w14:textId="77777777" w:rsidR="00000000" w:rsidRDefault="001A570A">
            <w:pPr>
              <w:jc w:val="right"/>
              <w:rPr>
                <w:rFonts w:eastAsia="Times New Roman"/>
              </w:rPr>
            </w:pPr>
            <w:r>
              <w:rPr>
                <w:rFonts w:eastAsia="Times New Roman"/>
                <w:color w:val="000000"/>
                <w:sz w:val="20"/>
                <w:szCs w:val="20"/>
              </w:rPr>
              <w:t>(852)</w:t>
            </w:r>
          </w:p>
        </w:tc>
        <w:tc>
          <w:tcPr>
            <w:tcW w:w="0" w:type="auto"/>
            <w:shd w:val="clear" w:color="auto" w:fill="CCEEFF"/>
            <w:tcMar>
              <w:top w:w="30" w:type="dxa"/>
              <w:left w:w="0" w:type="dxa"/>
              <w:bottom w:w="30" w:type="dxa"/>
              <w:right w:w="20" w:type="dxa"/>
            </w:tcMar>
            <w:vAlign w:val="bottom"/>
            <w:hideMark/>
          </w:tcPr>
          <w:p w14:paraId="1962522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6496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6BE1B1" w14:textId="77777777" w:rsidR="00000000" w:rsidRDefault="001A570A">
            <w:pPr>
              <w:jc w:val="right"/>
              <w:rPr>
                <w:rFonts w:eastAsia="Times New Roman"/>
              </w:rPr>
            </w:pPr>
            <w:r>
              <w:rPr>
                <w:rFonts w:eastAsia="Times New Roman"/>
                <w:color w:val="000000"/>
                <w:sz w:val="20"/>
                <w:szCs w:val="20"/>
              </w:rPr>
              <w:t>(827)</w:t>
            </w:r>
          </w:p>
        </w:tc>
        <w:tc>
          <w:tcPr>
            <w:tcW w:w="0" w:type="auto"/>
            <w:shd w:val="clear" w:color="auto" w:fill="CCEEFF"/>
            <w:tcMar>
              <w:top w:w="30" w:type="dxa"/>
              <w:left w:w="0" w:type="dxa"/>
              <w:bottom w:w="30" w:type="dxa"/>
              <w:right w:w="20" w:type="dxa"/>
            </w:tcMar>
            <w:vAlign w:val="bottom"/>
            <w:hideMark/>
          </w:tcPr>
          <w:p w14:paraId="5FBE3052" w14:textId="77777777" w:rsidR="00000000" w:rsidRDefault="001A570A">
            <w:pPr>
              <w:jc w:val="right"/>
              <w:rPr>
                <w:rFonts w:eastAsia="Times New Roman"/>
              </w:rPr>
            </w:pPr>
          </w:p>
        </w:tc>
      </w:tr>
      <w:tr w:rsidR="00000000" w14:paraId="616D44C2" w14:textId="77777777">
        <w:trPr>
          <w:divId w:val="1697072695"/>
        </w:trPr>
        <w:tc>
          <w:tcPr>
            <w:tcW w:w="0" w:type="auto"/>
            <w:gridSpan w:val="3"/>
            <w:shd w:val="clear" w:color="auto" w:fill="FFFFFF"/>
            <w:tcMar>
              <w:top w:w="0" w:type="dxa"/>
              <w:left w:w="20" w:type="dxa"/>
              <w:bottom w:w="0" w:type="dxa"/>
              <w:right w:w="20" w:type="dxa"/>
            </w:tcMar>
            <w:vAlign w:val="center"/>
            <w:hideMark/>
          </w:tcPr>
          <w:p w14:paraId="15E2E627" w14:textId="77777777" w:rsidR="00000000" w:rsidRDefault="001A570A">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14:paraId="3CA42136" w14:textId="77777777" w:rsidR="00000000" w:rsidRDefault="001A570A">
            <w:pPr>
              <w:jc w:val="right"/>
              <w:rPr>
                <w:rFonts w:eastAsia="Times New Roman"/>
              </w:rPr>
            </w:pPr>
            <w:r>
              <w:rPr>
                <w:rFonts w:eastAsia="Times New Roman"/>
                <w:color w:val="000000"/>
                <w:sz w:val="20"/>
                <w:szCs w:val="20"/>
              </w:rPr>
              <w:t>(12,886)</w:t>
            </w:r>
          </w:p>
        </w:tc>
        <w:tc>
          <w:tcPr>
            <w:tcW w:w="0" w:type="auto"/>
            <w:tcBorders>
              <w:top w:val="single" w:sz="8" w:space="0" w:color="000000"/>
            </w:tcBorders>
            <w:tcMar>
              <w:top w:w="30" w:type="dxa"/>
              <w:left w:w="0" w:type="dxa"/>
              <w:bottom w:w="30" w:type="dxa"/>
              <w:right w:w="20" w:type="dxa"/>
            </w:tcMar>
            <w:hideMark/>
          </w:tcPr>
          <w:p w14:paraId="7F9AF38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E476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5854873" w14:textId="77777777" w:rsidR="00000000" w:rsidRDefault="001A570A">
            <w:pPr>
              <w:jc w:val="right"/>
              <w:rPr>
                <w:rFonts w:eastAsia="Times New Roman"/>
              </w:rPr>
            </w:pPr>
            <w:r>
              <w:rPr>
                <w:rFonts w:eastAsia="Times New Roman"/>
                <w:color w:val="000000"/>
                <w:sz w:val="20"/>
                <w:szCs w:val="20"/>
              </w:rPr>
              <w:t>(6,726)</w:t>
            </w:r>
          </w:p>
        </w:tc>
        <w:tc>
          <w:tcPr>
            <w:tcW w:w="0" w:type="auto"/>
            <w:tcBorders>
              <w:top w:val="single" w:sz="8" w:space="0" w:color="000000"/>
            </w:tcBorders>
            <w:shd w:val="clear" w:color="auto" w:fill="FFFFFF"/>
            <w:tcMar>
              <w:top w:w="30" w:type="dxa"/>
              <w:left w:w="0" w:type="dxa"/>
              <w:bottom w:w="30" w:type="dxa"/>
              <w:right w:w="20" w:type="dxa"/>
            </w:tcMar>
            <w:hideMark/>
          </w:tcPr>
          <w:p w14:paraId="453959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AF7F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F777341" w14:textId="77777777" w:rsidR="00000000" w:rsidRDefault="001A570A">
            <w:pPr>
              <w:jc w:val="right"/>
              <w:rPr>
                <w:rFonts w:eastAsia="Times New Roman"/>
              </w:rPr>
            </w:pPr>
            <w:r>
              <w:rPr>
                <w:rFonts w:eastAsia="Times New Roman"/>
                <w:color w:val="000000"/>
                <w:sz w:val="20"/>
                <w:szCs w:val="20"/>
              </w:rPr>
              <w:t>(4,467)</w:t>
            </w:r>
          </w:p>
        </w:tc>
        <w:tc>
          <w:tcPr>
            <w:tcW w:w="0" w:type="auto"/>
            <w:tcBorders>
              <w:top w:val="single" w:sz="8" w:space="0" w:color="000000"/>
            </w:tcBorders>
            <w:shd w:val="clear" w:color="auto" w:fill="FFFFFF"/>
            <w:tcMar>
              <w:top w:w="30" w:type="dxa"/>
              <w:left w:w="0" w:type="dxa"/>
              <w:bottom w:w="30" w:type="dxa"/>
              <w:right w:w="20" w:type="dxa"/>
            </w:tcMar>
            <w:hideMark/>
          </w:tcPr>
          <w:p w14:paraId="648D6B1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323F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097417A" w14:textId="77777777" w:rsidR="00000000" w:rsidRDefault="001A570A">
            <w:pPr>
              <w:jc w:val="right"/>
              <w:rPr>
                <w:rFonts w:eastAsia="Times New Roman"/>
              </w:rPr>
            </w:pPr>
            <w:r>
              <w:rPr>
                <w:rFonts w:eastAsia="Times New Roman"/>
                <w:color w:val="000000"/>
                <w:sz w:val="20"/>
                <w:szCs w:val="20"/>
              </w:rPr>
              <w:t>(4,066)</w:t>
            </w:r>
          </w:p>
        </w:tc>
        <w:tc>
          <w:tcPr>
            <w:tcW w:w="0" w:type="auto"/>
            <w:tcBorders>
              <w:top w:val="single" w:sz="8" w:space="0" w:color="000000"/>
            </w:tcBorders>
            <w:shd w:val="clear" w:color="auto" w:fill="FFFFFF"/>
            <w:tcMar>
              <w:top w:w="30" w:type="dxa"/>
              <w:left w:w="0" w:type="dxa"/>
              <w:bottom w:w="30" w:type="dxa"/>
              <w:right w:w="20" w:type="dxa"/>
            </w:tcMar>
            <w:hideMark/>
          </w:tcPr>
          <w:p w14:paraId="35B7A622" w14:textId="77777777" w:rsidR="00000000" w:rsidRDefault="001A570A">
            <w:pPr>
              <w:jc w:val="right"/>
              <w:rPr>
                <w:rFonts w:eastAsia="Times New Roman"/>
              </w:rPr>
            </w:pPr>
          </w:p>
        </w:tc>
      </w:tr>
      <w:tr w:rsidR="00000000" w14:paraId="06D8F80C" w14:textId="77777777">
        <w:trPr>
          <w:divId w:val="1697072695"/>
        </w:trPr>
        <w:tc>
          <w:tcPr>
            <w:tcW w:w="0" w:type="auto"/>
            <w:gridSpan w:val="3"/>
            <w:shd w:val="clear" w:color="auto" w:fill="CCEEFF"/>
            <w:tcMar>
              <w:top w:w="30" w:type="dxa"/>
              <w:left w:w="20" w:type="dxa"/>
              <w:bottom w:w="30" w:type="dxa"/>
              <w:right w:w="20" w:type="dxa"/>
            </w:tcMar>
            <w:hideMark/>
          </w:tcPr>
          <w:p w14:paraId="37F3C196" w14:textId="77777777" w:rsidR="00000000" w:rsidRDefault="001A570A">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1D565BAE" w14:textId="77777777" w:rsidR="00000000" w:rsidRDefault="001A570A">
            <w:pPr>
              <w:jc w:val="right"/>
              <w:rPr>
                <w:rFonts w:eastAsia="Times New Roman"/>
              </w:rPr>
            </w:pPr>
            <w:r>
              <w:rPr>
                <w:rFonts w:eastAsia="Times New Roman"/>
                <w:color w:val="000000"/>
                <w:sz w:val="20"/>
                <w:szCs w:val="20"/>
              </w:rPr>
              <w:t>(3,315)</w:t>
            </w:r>
          </w:p>
        </w:tc>
        <w:tc>
          <w:tcPr>
            <w:tcW w:w="0" w:type="auto"/>
            <w:shd w:val="clear" w:color="auto" w:fill="CCEEFF"/>
            <w:tcMar>
              <w:top w:w="30" w:type="dxa"/>
              <w:left w:w="0" w:type="dxa"/>
              <w:bottom w:w="30" w:type="dxa"/>
              <w:right w:w="20" w:type="dxa"/>
            </w:tcMar>
            <w:vAlign w:val="bottom"/>
            <w:hideMark/>
          </w:tcPr>
          <w:p w14:paraId="1507E0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CBF3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504FAA" w14:textId="77777777" w:rsidR="00000000" w:rsidRDefault="001A570A">
            <w:pPr>
              <w:jc w:val="right"/>
              <w:rPr>
                <w:rFonts w:eastAsia="Times New Roman"/>
              </w:rPr>
            </w:pPr>
            <w:r>
              <w:rPr>
                <w:rFonts w:eastAsia="Times New Roman"/>
                <w:color w:val="000000"/>
                <w:sz w:val="20"/>
                <w:szCs w:val="20"/>
              </w:rPr>
              <w:t>(1,881)</w:t>
            </w:r>
          </w:p>
        </w:tc>
        <w:tc>
          <w:tcPr>
            <w:tcW w:w="0" w:type="auto"/>
            <w:shd w:val="clear" w:color="auto" w:fill="CCEEFF"/>
            <w:tcMar>
              <w:top w:w="30" w:type="dxa"/>
              <w:left w:w="0" w:type="dxa"/>
              <w:bottom w:w="30" w:type="dxa"/>
              <w:right w:w="20" w:type="dxa"/>
            </w:tcMar>
            <w:vAlign w:val="bottom"/>
            <w:hideMark/>
          </w:tcPr>
          <w:p w14:paraId="2D0CE67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1C4B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53CE8" w14:textId="77777777" w:rsidR="00000000" w:rsidRDefault="001A570A">
            <w:pPr>
              <w:jc w:val="right"/>
              <w:rPr>
                <w:rFonts w:eastAsia="Times New Roman"/>
              </w:rPr>
            </w:pPr>
            <w:r>
              <w:rPr>
                <w:rFonts w:eastAsia="Times New Roman"/>
                <w:color w:val="000000"/>
                <w:sz w:val="20"/>
                <w:szCs w:val="20"/>
              </w:rPr>
              <w:t>(1,242)</w:t>
            </w:r>
          </w:p>
        </w:tc>
        <w:tc>
          <w:tcPr>
            <w:tcW w:w="0" w:type="auto"/>
            <w:shd w:val="clear" w:color="auto" w:fill="CCEEFF"/>
            <w:tcMar>
              <w:top w:w="30" w:type="dxa"/>
              <w:left w:w="0" w:type="dxa"/>
              <w:bottom w:w="30" w:type="dxa"/>
              <w:right w:w="20" w:type="dxa"/>
            </w:tcMar>
            <w:vAlign w:val="bottom"/>
            <w:hideMark/>
          </w:tcPr>
          <w:p w14:paraId="79CE7D9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5576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62DBC" w14:textId="77777777" w:rsidR="00000000" w:rsidRDefault="001A570A">
            <w:pPr>
              <w:jc w:val="right"/>
              <w:rPr>
                <w:rFonts w:eastAsia="Times New Roman"/>
              </w:rPr>
            </w:pPr>
            <w:r>
              <w:rPr>
                <w:rFonts w:eastAsia="Times New Roman"/>
                <w:color w:val="000000"/>
                <w:sz w:val="20"/>
                <w:szCs w:val="20"/>
              </w:rPr>
              <w:t>(1,182)</w:t>
            </w:r>
          </w:p>
        </w:tc>
        <w:tc>
          <w:tcPr>
            <w:tcW w:w="0" w:type="auto"/>
            <w:shd w:val="clear" w:color="auto" w:fill="CCEEFF"/>
            <w:tcMar>
              <w:top w:w="30" w:type="dxa"/>
              <w:left w:w="0" w:type="dxa"/>
              <w:bottom w:w="30" w:type="dxa"/>
              <w:right w:w="20" w:type="dxa"/>
            </w:tcMar>
            <w:vAlign w:val="bottom"/>
            <w:hideMark/>
          </w:tcPr>
          <w:p w14:paraId="2D7544B1" w14:textId="77777777" w:rsidR="00000000" w:rsidRDefault="001A570A">
            <w:pPr>
              <w:jc w:val="right"/>
              <w:rPr>
                <w:rFonts w:eastAsia="Times New Roman"/>
              </w:rPr>
            </w:pPr>
          </w:p>
        </w:tc>
      </w:tr>
      <w:tr w:rsidR="00000000" w14:paraId="321BF035" w14:textId="77777777">
        <w:trPr>
          <w:divId w:val="1697072695"/>
        </w:trPr>
        <w:tc>
          <w:tcPr>
            <w:tcW w:w="0" w:type="auto"/>
            <w:gridSpan w:val="3"/>
            <w:shd w:val="clear" w:color="auto" w:fill="FFFFFF"/>
            <w:tcMar>
              <w:top w:w="30" w:type="dxa"/>
              <w:left w:w="20" w:type="dxa"/>
              <w:bottom w:w="30" w:type="dxa"/>
              <w:right w:w="20" w:type="dxa"/>
            </w:tcMar>
            <w:hideMark/>
          </w:tcPr>
          <w:p w14:paraId="4CB08B3F"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14:paraId="2BDAD424" w14:textId="77777777" w:rsidR="00000000" w:rsidRDefault="001A570A">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14:paraId="0509444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CC0B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A086A"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12B1C5D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FA23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FE30E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A603F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3584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8F4A9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2CEA0F" w14:textId="77777777" w:rsidR="00000000" w:rsidRDefault="001A570A">
            <w:pPr>
              <w:jc w:val="right"/>
              <w:rPr>
                <w:rFonts w:eastAsia="Times New Roman"/>
              </w:rPr>
            </w:pPr>
          </w:p>
        </w:tc>
      </w:tr>
      <w:tr w:rsidR="00000000" w14:paraId="2E876D97" w14:textId="77777777">
        <w:trPr>
          <w:divId w:val="1697072695"/>
        </w:trPr>
        <w:tc>
          <w:tcPr>
            <w:tcW w:w="0" w:type="auto"/>
            <w:gridSpan w:val="3"/>
            <w:shd w:val="clear" w:color="auto" w:fill="CCEEFF"/>
            <w:tcMar>
              <w:top w:w="30" w:type="dxa"/>
              <w:left w:w="20" w:type="dxa"/>
              <w:bottom w:w="30" w:type="dxa"/>
              <w:right w:w="20" w:type="dxa"/>
            </w:tcMar>
            <w:hideMark/>
          </w:tcPr>
          <w:p w14:paraId="74DAE1EA" w14:textId="77777777" w:rsidR="00000000" w:rsidRDefault="001A570A">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0C19C4D9" w14:textId="77777777" w:rsidR="00000000" w:rsidRDefault="001A570A">
            <w:pPr>
              <w:jc w:val="right"/>
              <w:rPr>
                <w:rFonts w:eastAsia="Times New Roman"/>
              </w:rPr>
            </w:pPr>
            <w:r>
              <w:rPr>
                <w:rFonts w:eastAsia="Times New Roman"/>
                <w:color w:val="000000"/>
                <w:sz w:val="20"/>
                <w:szCs w:val="20"/>
              </w:rPr>
              <w:t>(767)</w:t>
            </w:r>
          </w:p>
        </w:tc>
        <w:tc>
          <w:tcPr>
            <w:tcW w:w="0" w:type="auto"/>
            <w:shd w:val="clear" w:color="auto" w:fill="CCEEFF"/>
            <w:tcMar>
              <w:top w:w="30" w:type="dxa"/>
              <w:left w:w="0" w:type="dxa"/>
              <w:bottom w:w="30" w:type="dxa"/>
              <w:right w:w="20" w:type="dxa"/>
            </w:tcMar>
            <w:vAlign w:val="bottom"/>
            <w:hideMark/>
          </w:tcPr>
          <w:p w14:paraId="53A16F9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35EA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941D16"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1F2CDA2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9686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E607C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C58C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9511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68237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26473B" w14:textId="77777777" w:rsidR="00000000" w:rsidRDefault="001A570A">
            <w:pPr>
              <w:jc w:val="right"/>
              <w:rPr>
                <w:rFonts w:eastAsia="Times New Roman"/>
              </w:rPr>
            </w:pPr>
          </w:p>
        </w:tc>
      </w:tr>
      <w:tr w:rsidR="00000000" w14:paraId="3AA1FE2B" w14:textId="77777777">
        <w:trPr>
          <w:divId w:val="1697072695"/>
        </w:trPr>
        <w:tc>
          <w:tcPr>
            <w:tcW w:w="0" w:type="auto"/>
            <w:gridSpan w:val="3"/>
            <w:shd w:val="clear" w:color="auto" w:fill="FFFFFF"/>
            <w:tcMar>
              <w:top w:w="30" w:type="dxa"/>
              <w:left w:w="20" w:type="dxa"/>
              <w:bottom w:w="30" w:type="dxa"/>
              <w:right w:w="20" w:type="dxa"/>
            </w:tcMar>
            <w:hideMark/>
          </w:tcPr>
          <w:p w14:paraId="1C83F474" w14:textId="77777777" w:rsidR="00000000" w:rsidRDefault="001A570A">
            <w:pPr>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14:paraId="0D45BB45" w14:textId="77777777" w:rsidR="00000000" w:rsidRDefault="001A570A">
            <w:pPr>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14:paraId="472DF13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C098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563026" w14:textId="77777777" w:rsidR="00000000" w:rsidRDefault="001A570A">
            <w:pPr>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6881ECC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694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10C14" w14:textId="77777777" w:rsidR="00000000" w:rsidRDefault="001A570A">
            <w:pPr>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054905A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B905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D594A" w14:textId="77777777" w:rsidR="00000000" w:rsidRDefault="001A570A">
            <w:pPr>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14:paraId="03A70CC8" w14:textId="77777777" w:rsidR="00000000" w:rsidRDefault="001A570A">
            <w:pPr>
              <w:jc w:val="right"/>
              <w:rPr>
                <w:rFonts w:eastAsia="Times New Roman"/>
              </w:rPr>
            </w:pPr>
          </w:p>
        </w:tc>
      </w:tr>
      <w:tr w:rsidR="00000000" w14:paraId="614123D5" w14:textId="77777777">
        <w:trPr>
          <w:divId w:val="1697072695"/>
        </w:trPr>
        <w:tc>
          <w:tcPr>
            <w:tcW w:w="0" w:type="auto"/>
            <w:gridSpan w:val="3"/>
            <w:shd w:val="clear" w:color="auto" w:fill="CCEEFF"/>
            <w:tcMar>
              <w:top w:w="30" w:type="dxa"/>
              <w:left w:w="20" w:type="dxa"/>
              <w:bottom w:w="30" w:type="dxa"/>
              <w:right w:w="20" w:type="dxa"/>
            </w:tcMar>
            <w:hideMark/>
          </w:tcPr>
          <w:p w14:paraId="73A09A37" w14:textId="77777777" w:rsidR="00000000" w:rsidRDefault="001A570A">
            <w:pPr>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73492265"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57B9649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5D8D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6C88F9"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64CF7C6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4E50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33BE7A" w14:textId="77777777" w:rsidR="00000000" w:rsidRDefault="001A570A">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1EFBE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1AAF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9E4AF"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58C6E4B7" w14:textId="77777777" w:rsidR="00000000" w:rsidRDefault="001A570A">
            <w:pPr>
              <w:jc w:val="right"/>
              <w:rPr>
                <w:rFonts w:eastAsia="Times New Roman"/>
              </w:rPr>
            </w:pPr>
          </w:p>
        </w:tc>
      </w:tr>
      <w:tr w:rsidR="00000000" w14:paraId="4333FF4B" w14:textId="77777777">
        <w:trPr>
          <w:divId w:val="1697072695"/>
        </w:trPr>
        <w:tc>
          <w:tcPr>
            <w:tcW w:w="0" w:type="auto"/>
            <w:gridSpan w:val="3"/>
            <w:shd w:val="clear" w:color="auto" w:fill="FFFFFF"/>
            <w:tcMar>
              <w:top w:w="30" w:type="dxa"/>
              <w:left w:w="20" w:type="dxa"/>
              <w:bottom w:w="30" w:type="dxa"/>
              <w:right w:w="20" w:type="dxa"/>
            </w:tcMar>
            <w:hideMark/>
          </w:tcPr>
          <w:p w14:paraId="1B089D0A" w14:textId="77777777" w:rsidR="00000000" w:rsidRDefault="001A570A">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347D495F" w14:textId="77777777" w:rsidR="00000000" w:rsidRDefault="001A570A">
            <w:pPr>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14:paraId="457498F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CA18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6CBC09" w14:textId="77777777" w:rsidR="00000000" w:rsidRDefault="001A570A">
            <w:pPr>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14:paraId="24768DD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D6D5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C98252" w14:textId="77777777" w:rsidR="00000000" w:rsidRDefault="001A570A">
            <w:pPr>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14:paraId="3D994F3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1D3F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E8247" w14:textId="77777777" w:rsidR="00000000" w:rsidRDefault="001A570A">
            <w:pPr>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14:paraId="19C8B0D1" w14:textId="77777777" w:rsidR="00000000" w:rsidRDefault="001A570A">
            <w:pPr>
              <w:jc w:val="right"/>
              <w:rPr>
                <w:rFonts w:eastAsia="Times New Roman"/>
              </w:rPr>
            </w:pPr>
          </w:p>
        </w:tc>
      </w:tr>
      <w:tr w:rsidR="00000000" w14:paraId="6192808A" w14:textId="77777777">
        <w:trPr>
          <w:divId w:val="1697072695"/>
        </w:trPr>
        <w:tc>
          <w:tcPr>
            <w:tcW w:w="0" w:type="auto"/>
            <w:gridSpan w:val="3"/>
            <w:shd w:val="clear" w:color="auto" w:fill="CCEEFF"/>
            <w:tcMar>
              <w:top w:w="30" w:type="dxa"/>
              <w:left w:w="20" w:type="dxa"/>
              <w:bottom w:w="30" w:type="dxa"/>
              <w:right w:w="20" w:type="dxa"/>
            </w:tcMar>
            <w:hideMark/>
          </w:tcPr>
          <w:p w14:paraId="3CD5B105" w14:textId="77777777" w:rsidR="00000000" w:rsidRDefault="001A570A">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CF4DF4F" w14:textId="77777777" w:rsidR="00000000" w:rsidRDefault="001A570A">
            <w:pPr>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CCEEFF"/>
            <w:tcMar>
              <w:top w:w="30" w:type="dxa"/>
              <w:left w:w="0" w:type="dxa"/>
              <w:bottom w:w="30" w:type="dxa"/>
              <w:right w:w="20" w:type="dxa"/>
            </w:tcMar>
            <w:hideMark/>
          </w:tcPr>
          <w:p w14:paraId="0927D96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B257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046A4904"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CCEEFF"/>
            <w:tcMar>
              <w:top w:w="30" w:type="dxa"/>
              <w:left w:w="0" w:type="dxa"/>
              <w:bottom w:w="30" w:type="dxa"/>
              <w:right w:w="20" w:type="dxa"/>
            </w:tcMar>
            <w:hideMark/>
          </w:tcPr>
          <w:p w14:paraId="7C7FC3B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341B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27C7F83" w14:textId="77777777" w:rsidR="00000000" w:rsidRDefault="001A570A">
            <w:pPr>
              <w:jc w:val="right"/>
              <w:rPr>
                <w:rFonts w:eastAsia="Times New Roman"/>
              </w:rPr>
            </w:pPr>
            <w:r>
              <w:rPr>
                <w:rFonts w:eastAsia="Times New Roman"/>
                <w:color w:val="000000"/>
                <w:sz w:val="20"/>
                <w:szCs w:val="20"/>
              </w:rPr>
              <w:t>1,113 </w:t>
            </w:r>
          </w:p>
        </w:tc>
        <w:tc>
          <w:tcPr>
            <w:tcW w:w="0" w:type="auto"/>
            <w:tcBorders>
              <w:top w:val="single" w:sz="8" w:space="0" w:color="000000"/>
            </w:tcBorders>
            <w:shd w:val="clear" w:color="auto" w:fill="CCEEFF"/>
            <w:tcMar>
              <w:top w:w="30" w:type="dxa"/>
              <w:left w:w="0" w:type="dxa"/>
              <w:bottom w:w="30" w:type="dxa"/>
              <w:right w:w="20" w:type="dxa"/>
            </w:tcMar>
            <w:hideMark/>
          </w:tcPr>
          <w:p w14:paraId="5D34BEB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59BE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FBA6E1D"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CCEEFF"/>
            <w:tcMar>
              <w:top w:w="30" w:type="dxa"/>
              <w:left w:w="0" w:type="dxa"/>
              <w:bottom w:w="30" w:type="dxa"/>
              <w:right w:w="20" w:type="dxa"/>
            </w:tcMar>
            <w:hideMark/>
          </w:tcPr>
          <w:p w14:paraId="0E1F4B25" w14:textId="77777777" w:rsidR="00000000" w:rsidRDefault="001A570A">
            <w:pPr>
              <w:jc w:val="right"/>
              <w:rPr>
                <w:rFonts w:eastAsia="Times New Roman"/>
              </w:rPr>
            </w:pPr>
          </w:p>
        </w:tc>
      </w:tr>
      <w:tr w:rsidR="00000000" w14:paraId="33AA59EB" w14:textId="77777777">
        <w:trPr>
          <w:divId w:val="1697072695"/>
        </w:trPr>
        <w:tc>
          <w:tcPr>
            <w:tcW w:w="0" w:type="auto"/>
            <w:gridSpan w:val="3"/>
            <w:shd w:val="clear" w:color="auto" w:fill="FFFFFF"/>
            <w:tcMar>
              <w:top w:w="30" w:type="dxa"/>
              <w:left w:w="20" w:type="dxa"/>
              <w:bottom w:w="30" w:type="dxa"/>
              <w:right w:w="20" w:type="dxa"/>
            </w:tcMar>
            <w:hideMark/>
          </w:tcPr>
          <w:p w14:paraId="4C5A0D84"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35C5638F" w14:textId="77777777" w:rsidR="00000000" w:rsidRDefault="001A570A">
            <w:pPr>
              <w:jc w:val="right"/>
              <w:rPr>
                <w:rFonts w:eastAsia="Times New Roman"/>
              </w:rPr>
            </w:pPr>
            <w:r>
              <w:rPr>
                <w:rFonts w:eastAsia="Times New Roman"/>
                <w:color w:val="000000"/>
                <w:sz w:val="20"/>
                <w:szCs w:val="20"/>
              </w:rPr>
              <w:t>(234)</w:t>
            </w:r>
          </w:p>
        </w:tc>
        <w:tc>
          <w:tcPr>
            <w:tcW w:w="0" w:type="auto"/>
            <w:shd w:val="clear" w:color="auto" w:fill="FFFFFF"/>
            <w:tcMar>
              <w:top w:w="30" w:type="dxa"/>
              <w:left w:w="0" w:type="dxa"/>
              <w:bottom w:w="30" w:type="dxa"/>
              <w:right w:w="20" w:type="dxa"/>
            </w:tcMar>
            <w:vAlign w:val="bottom"/>
            <w:hideMark/>
          </w:tcPr>
          <w:p w14:paraId="7089404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41A7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284170"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14:paraId="3C63495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17EE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F0849" w14:textId="77777777" w:rsidR="00000000" w:rsidRDefault="001A570A">
            <w:pPr>
              <w:jc w:val="right"/>
              <w:rPr>
                <w:rFonts w:eastAsia="Times New Roman"/>
              </w:rPr>
            </w:pPr>
            <w:r>
              <w:rPr>
                <w:rFonts w:eastAsia="Times New Roman"/>
                <w:color w:val="000000"/>
                <w:sz w:val="20"/>
                <w:szCs w:val="20"/>
              </w:rPr>
              <w:t>(160)</w:t>
            </w:r>
          </w:p>
        </w:tc>
        <w:tc>
          <w:tcPr>
            <w:tcW w:w="0" w:type="auto"/>
            <w:shd w:val="clear" w:color="auto" w:fill="FFFFFF"/>
            <w:tcMar>
              <w:top w:w="30" w:type="dxa"/>
              <w:left w:w="0" w:type="dxa"/>
              <w:bottom w:w="30" w:type="dxa"/>
              <w:right w:w="20" w:type="dxa"/>
            </w:tcMar>
            <w:vAlign w:val="bottom"/>
            <w:hideMark/>
          </w:tcPr>
          <w:p w14:paraId="4A9DCF9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152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FB457" w14:textId="77777777" w:rsidR="00000000" w:rsidRDefault="001A570A">
            <w:pPr>
              <w:jc w:val="right"/>
              <w:rPr>
                <w:rFonts w:eastAsia="Times New Roman"/>
              </w:rPr>
            </w:pPr>
            <w:r>
              <w:rPr>
                <w:rFonts w:eastAsia="Times New Roman"/>
                <w:color w:val="000000"/>
                <w:sz w:val="20"/>
                <w:szCs w:val="20"/>
              </w:rPr>
              <w:t>(206)</w:t>
            </w:r>
          </w:p>
        </w:tc>
        <w:tc>
          <w:tcPr>
            <w:tcW w:w="0" w:type="auto"/>
            <w:shd w:val="clear" w:color="auto" w:fill="FFFFFF"/>
            <w:tcMar>
              <w:top w:w="30" w:type="dxa"/>
              <w:left w:w="0" w:type="dxa"/>
              <w:bottom w:w="30" w:type="dxa"/>
              <w:right w:w="20" w:type="dxa"/>
            </w:tcMar>
            <w:vAlign w:val="bottom"/>
            <w:hideMark/>
          </w:tcPr>
          <w:p w14:paraId="44F6305E" w14:textId="77777777" w:rsidR="00000000" w:rsidRDefault="001A570A">
            <w:pPr>
              <w:jc w:val="right"/>
              <w:rPr>
                <w:rFonts w:eastAsia="Times New Roman"/>
              </w:rPr>
            </w:pPr>
          </w:p>
        </w:tc>
      </w:tr>
      <w:tr w:rsidR="00000000" w14:paraId="48E4F4E4" w14:textId="77777777">
        <w:trPr>
          <w:divId w:val="1697072695"/>
        </w:trPr>
        <w:tc>
          <w:tcPr>
            <w:tcW w:w="0" w:type="auto"/>
            <w:gridSpan w:val="3"/>
            <w:shd w:val="clear" w:color="auto" w:fill="CCEEFF"/>
            <w:tcMar>
              <w:top w:w="30" w:type="dxa"/>
              <w:left w:w="20" w:type="dxa"/>
              <w:bottom w:w="30" w:type="dxa"/>
              <w:right w:w="20" w:type="dxa"/>
            </w:tcMar>
            <w:hideMark/>
          </w:tcPr>
          <w:p w14:paraId="2948690F" w14:textId="77777777" w:rsidR="00000000" w:rsidRDefault="001A570A">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9F33260" w14:textId="77777777" w:rsidR="00000000" w:rsidRDefault="001A570A">
            <w:pPr>
              <w:jc w:val="right"/>
              <w:rPr>
                <w:rFonts w:eastAsia="Times New Roman"/>
              </w:rPr>
            </w:pPr>
            <w:r>
              <w:rPr>
                <w:rFonts w:eastAsia="Times New Roman"/>
                <w:color w:val="000000"/>
                <w:sz w:val="20"/>
                <w:szCs w:val="20"/>
              </w:rPr>
              <w:t>1,088 </w:t>
            </w:r>
          </w:p>
        </w:tc>
        <w:tc>
          <w:tcPr>
            <w:tcW w:w="0" w:type="auto"/>
            <w:tcBorders>
              <w:top w:val="single" w:sz="8" w:space="0" w:color="000000"/>
            </w:tcBorders>
            <w:shd w:val="clear" w:color="auto" w:fill="CCEEFF"/>
            <w:tcMar>
              <w:top w:w="30" w:type="dxa"/>
              <w:left w:w="0" w:type="dxa"/>
              <w:bottom w:w="30" w:type="dxa"/>
              <w:right w:w="20" w:type="dxa"/>
            </w:tcMar>
            <w:hideMark/>
          </w:tcPr>
          <w:p w14:paraId="61E063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7525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32F72CE" w14:textId="77777777" w:rsidR="00000000" w:rsidRDefault="001A570A">
            <w:pPr>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CCEEFF"/>
            <w:tcMar>
              <w:top w:w="30" w:type="dxa"/>
              <w:left w:w="0" w:type="dxa"/>
              <w:bottom w:w="30" w:type="dxa"/>
              <w:right w:w="20" w:type="dxa"/>
            </w:tcMar>
            <w:hideMark/>
          </w:tcPr>
          <w:p w14:paraId="2E542B8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6494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68054ECD" w14:textId="77777777" w:rsidR="00000000" w:rsidRDefault="001A570A">
            <w:pPr>
              <w:jc w:val="right"/>
              <w:rPr>
                <w:rFonts w:eastAsia="Times New Roman"/>
              </w:rPr>
            </w:pPr>
            <w:r>
              <w:rPr>
                <w:rFonts w:eastAsia="Times New Roman"/>
                <w:color w:val="000000"/>
                <w:sz w:val="20"/>
                <w:szCs w:val="20"/>
              </w:rPr>
              <w:t>953 </w:t>
            </w:r>
          </w:p>
        </w:tc>
        <w:tc>
          <w:tcPr>
            <w:tcW w:w="0" w:type="auto"/>
            <w:tcBorders>
              <w:top w:val="single" w:sz="8" w:space="0" w:color="000000"/>
            </w:tcBorders>
            <w:shd w:val="clear" w:color="auto" w:fill="CCEEFF"/>
            <w:tcMar>
              <w:top w:w="30" w:type="dxa"/>
              <w:left w:w="0" w:type="dxa"/>
              <w:bottom w:w="30" w:type="dxa"/>
              <w:right w:w="20" w:type="dxa"/>
            </w:tcMar>
            <w:hideMark/>
          </w:tcPr>
          <w:p w14:paraId="2EAD08F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E5E5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56B65C04" w14:textId="77777777" w:rsidR="00000000" w:rsidRDefault="001A570A">
            <w:pPr>
              <w:jc w:val="right"/>
              <w:rPr>
                <w:rFonts w:eastAsia="Times New Roman"/>
              </w:rPr>
            </w:pPr>
            <w:r>
              <w:rPr>
                <w:rFonts w:eastAsia="Times New Roman"/>
                <w:color w:val="000000"/>
                <w:sz w:val="20"/>
                <w:szCs w:val="20"/>
              </w:rPr>
              <w:t>702 </w:t>
            </w:r>
          </w:p>
        </w:tc>
        <w:tc>
          <w:tcPr>
            <w:tcW w:w="0" w:type="auto"/>
            <w:tcBorders>
              <w:top w:val="single" w:sz="8" w:space="0" w:color="000000"/>
            </w:tcBorders>
            <w:shd w:val="clear" w:color="auto" w:fill="CCEEFF"/>
            <w:tcMar>
              <w:top w:w="30" w:type="dxa"/>
              <w:left w:w="0" w:type="dxa"/>
              <w:bottom w:w="30" w:type="dxa"/>
              <w:right w:w="20" w:type="dxa"/>
            </w:tcMar>
            <w:hideMark/>
          </w:tcPr>
          <w:p w14:paraId="2CF4DD92" w14:textId="77777777" w:rsidR="00000000" w:rsidRDefault="001A570A">
            <w:pPr>
              <w:jc w:val="right"/>
              <w:rPr>
                <w:rFonts w:eastAsia="Times New Roman"/>
              </w:rPr>
            </w:pPr>
          </w:p>
        </w:tc>
      </w:tr>
      <w:tr w:rsidR="00000000" w14:paraId="0836B81C" w14:textId="77777777">
        <w:trPr>
          <w:divId w:val="1697072695"/>
        </w:trPr>
        <w:tc>
          <w:tcPr>
            <w:tcW w:w="0" w:type="auto"/>
            <w:gridSpan w:val="3"/>
            <w:shd w:val="clear" w:color="auto" w:fill="FFFFFF"/>
            <w:tcMar>
              <w:top w:w="30" w:type="dxa"/>
              <w:left w:w="20" w:type="dxa"/>
              <w:bottom w:w="30" w:type="dxa"/>
              <w:right w:w="20" w:type="dxa"/>
            </w:tcMar>
            <w:hideMark/>
          </w:tcPr>
          <w:p w14:paraId="1293BA47" w14:textId="77777777" w:rsidR="00000000" w:rsidRDefault="001A570A">
            <w:pPr>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485DFB67"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8826E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3BE9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38305"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05061A5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CD5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D855E"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68F2127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AEBE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87E6C"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12169AA0" w14:textId="77777777" w:rsidR="00000000" w:rsidRDefault="001A570A">
            <w:pPr>
              <w:jc w:val="right"/>
              <w:rPr>
                <w:rFonts w:eastAsia="Times New Roman"/>
              </w:rPr>
            </w:pPr>
          </w:p>
        </w:tc>
      </w:tr>
      <w:tr w:rsidR="00000000" w14:paraId="2C862163" w14:textId="77777777">
        <w:trPr>
          <w:divId w:val="1697072695"/>
        </w:trPr>
        <w:tc>
          <w:tcPr>
            <w:tcW w:w="0" w:type="auto"/>
            <w:gridSpan w:val="3"/>
            <w:shd w:val="clear" w:color="auto" w:fill="CCEEFF"/>
            <w:tcMar>
              <w:top w:w="30" w:type="dxa"/>
              <w:left w:w="20" w:type="dxa"/>
              <w:bottom w:w="30" w:type="dxa"/>
              <w:right w:w="20" w:type="dxa"/>
            </w:tcMar>
            <w:hideMark/>
          </w:tcPr>
          <w:p w14:paraId="3641B555" w14:textId="77777777" w:rsidR="00000000" w:rsidRDefault="001A570A">
            <w:pPr>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1D64956" w14:textId="77777777" w:rsidR="00000000" w:rsidRDefault="001A570A">
            <w:pPr>
              <w:jc w:val="right"/>
              <w:rPr>
                <w:rFonts w:eastAsia="Times New Roman"/>
              </w:rPr>
            </w:pPr>
            <w:r>
              <w:rPr>
                <w:rFonts w:eastAsia="Times New Roman"/>
                <w:color w:val="000000"/>
                <w:sz w:val="20"/>
                <w:szCs w:val="20"/>
              </w:rPr>
              <w:t>1,086 </w:t>
            </w:r>
          </w:p>
        </w:tc>
        <w:tc>
          <w:tcPr>
            <w:tcW w:w="0" w:type="auto"/>
            <w:tcBorders>
              <w:top w:val="single" w:sz="8" w:space="0" w:color="000000"/>
            </w:tcBorders>
            <w:shd w:val="clear" w:color="auto" w:fill="CCEEFF"/>
            <w:tcMar>
              <w:top w:w="30" w:type="dxa"/>
              <w:left w:w="0" w:type="dxa"/>
              <w:bottom w:w="30" w:type="dxa"/>
              <w:right w:w="20" w:type="dxa"/>
            </w:tcMar>
            <w:hideMark/>
          </w:tcPr>
          <w:p w14:paraId="64C8185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AD95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17508B44" w14:textId="77777777" w:rsidR="00000000" w:rsidRDefault="001A570A">
            <w:pPr>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CCEEFF"/>
            <w:tcMar>
              <w:top w:w="30" w:type="dxa"/>
              <w:left w:w="0" w:type="dxa"/>
              <w:bottom w:w="30" w:type="dxa"/>
              <w:right w:w="20" w:type="dxa"/>
            </w:tcMar>
            <w:hideMark/>
          </w:tcPr>
          <w:p w14:paraId="07FB6D1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41C5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740EFB8E" w14:textId="77777777" w:rsidR="00000000" w:rsidRDefault="001A570A">
            <w:pPr>
              <w:jc w:val="right"/>
              <w:rPr>
                <w:rFonts w:eastAsia="Times New Roman"/>
              </w:rPr>
            </w:pPr>
            <w:r>
              <w:rPr>
                <w:rFonts w:eastAsia="Times New Roman"/>
                <w:color w:val="000000"/>
                <w:sz w:val="20"/>
                <w:szCs w:val="20"/>
              </w:rPr>
              <w:t>949 </w:t>
            </w:r>
          </w:p>
        </w:tc>
        <w:tc>
          <w:tcPr>
            <w:tcW w:w="0" w:type="auto"/>
            <w:tcBorders>
              <w:top w:val="single" w:sz="8" w:space="0" w:color="000000"/>
            </w:tcBorders>
            <w:shd w:val="clear" w:color="auto" w:fill="CCEEFF"/>
            <w:tcMar>
              <w:top w:w="30" w:type="dxa"/>
              <w:left w:w="0" w:type="dxa"/>
              <w:bottom w:w="30" w:type="dxa"/>
              <w:right w:w="20" w:type="dxa"/>
            </w:tcMar>
            <w:hideMark/>
          </w:tcPr>
          <w:p w14:paraId="7DD5764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6D5F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14:paraId="49EB0E51" w14:textId="77777777" w:rsidR="00000000" w:rsidRDefault="001A570A">
            <w:pPr>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CCEEFF"/>
            <w:tcMar>
              <w:top w:w="30" w:type="dxa"/>
              <w:left w:w="0" w:type="dxa"/>
              <w:bottom w:w="30" w:type="dxa"/>
              <w:right w:w="20" w:type="dxa"/>
            </w:tcMar>
            <w:hideMark/>
          </w:tcPr>
          <w:p w14:paraId="59910BFF" w14:textId="77777777" w:rsidR="00000000" w:rsidRDefault="001A570A">
            <w:pPr>
              <w:jc w:val="right"/>
              <w:rPr>
                <w:rFonts w:eastAsia="Times New Roman"/>
              </w:rPr>
            </w:pPr>
          </w:p>
        </w:tc>
      </w:tr>
      <w:tr w:rsidR="00000000" w14:paraId="22869F56" w14:textId="77777777">
        <w:trPr>
          <w:divId w:val="1697072695"/>
        </w:trPr>
        <w:tc>
          <w:tcPr>
            <w:tcW w:w="0" w:type="auto"/>
            <w:gridSpan w:val="3"/>
            <w:shd w:val="clear" w:color="auto" w:fill="FFFFFF"/>
            <w:tcMar>
              <w:top w:w="30" w:type="dxa"/>
              <w:left w:w="20" w:type="dxa"/>
              <w:bottom w:w="30" w:type="dxa"/>
              <w:right w:w="20" w:type="dxa"/>
            </w:tcMar>
            <w:hideMark/>
          </w:tcPr>
          <w:p w14:paraId="30BB8E16" w14:textId="77777777" w:rsidR="00000000" w:rsidRDefault="001A570A">
            <w:pPr>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14:paraId="2646A189"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7EAFB9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A18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A57BE"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1C44CF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55CD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269A3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F7E79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D10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4891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6B1EBA" w14:textId="77777777" w:rsidR="00000000" w:rsidRDefault="001A570A">
            <w:pPr>
              <w:jc w:val="right"/>
              <w:rPr>
                <w:rFonts w:eastAsia="Times New Roman"/>
              </w:rPr>
            </w:pPr>
          </w:p>
        </w:tc>
      </w:tr>
      <w:tr w:rsidR="00000000" w14:paraId="70892854" w14:textId="77777777">
        <w:trPr>
          <w:divId w:val="1697072695"/>
        </w:trPr>
        <w:tc>
          <w:tcPr>
            <w:tcW w:w="0" w:type="auto"/>
            <w:gridSpan w:val="3"/>
            <w:shd w:val="clear" w:color="auto" w:fill="CCEEFF"/>
            <w:tcMar>
              <w:top w:w="30" w:type="dxa"/>
              <w:left w:w="20" w:type="dxa"/>
              <w:bottom w:w="30" w:type="dxa"/>
              <w:right w:w="20" w:type="dxa"/>
            </w:tcMar>
            <w:hideMark/>
          </w:tcPr>
          <w:p w14:paraId="219B70F3" w14:textId="77777777" w:rsidR="00000000" w:rsidRDefault="001A570A">
            <w:pPr>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CCEEFF"/>
            <w:tcMar>
              <w:top w:w="30" w:type="dxa"/>
              <w:left w:w="20" w:type="dxa"/>
              <w:bottom w:w="30" w:type="dxa"/>
              <w:right w:w="0" w:type="dxa"/>
            </w:tcMar>
            <w:hideMark/>
          </w:tcPr>
          <w:p w14:paraId="6348D16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7B971072" w14:textId="77777777" w:rsidR="00000000" w:rsidRDefault="001A570A">
            <w:pPr>
              <w:jc w:val="right"/>
              <w:rPr>
                <w:rFonts w:eastAsia="Times New Roman"/>
              </w:rPr>
            </w:pPr>
            <w:r>
              <w:rPr>
                <w:rFonts w:eastAsia="Times New Roman"/>
                <w:color w:val="000000"/>
                <w:sz w:val="20"/>
                <w:szCs w:val="20"/>
              </w:rPr>
              <w:t>1,119 </w:t>
            </w:r>
          </w:p>
        </w:tc>
        <w:tc>
          <w:tcPr>
            <w:tcW w:w="0" w:type="auto"/>
            <w:tcBorders>
              <w:top w:val="single" w:sz="8" w:space="0" w:color="000000"/>
            </w:tcBorders>
            <w:shd w:val="clear" w:color="auto" w:fill="CCEEFF"/>
            <w:tcMar>
              <w:top w:w="30" w:type="dxa"/>
              <w:left w:w="0" w:type="dxa"/>
              <w:bottom w:w="30" w:type="dxa"/>
              <w:right w:w="20" w:type="dxa"/>
            </w:tcMar>
            <w:hideMark/>
          </w:tcPr>
          <w:p w14:paraId="6D5EDB0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66274"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6EFBE92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512CAED2" w14:textId="77777777" w:rsidR="00000000" w:rsidRDefault="001A570A">
            <w:pPr>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CCEEFF"/>
            <w:tcMar>
              <w:top w:w="30" w:type="dxa"/>
              <w:left w:w="0" w:type="dxa"/>
              <w:bottom w:w="30" w:type="dxa"/>
              <w:right w:w="20" w:type="dxa"/>
            </w:tcMar>
            <w:hideMark/>
          </w:tcPr>
          <w:p w14:paraId="3A3BA1E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EFF2D"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6650162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296F71FF" w14:textId="77777777" w:rsidR="00000000" w:rsidRDefault="001A570A">
            <w:pPr>
              <w:jc w:val="right"/>
              <w:rPr>
                <w:rFonts w:eastAsia="Times New Roman"/>
              </w:rPr>
            </w:pPr>
            <w:r>
              <w:rPr>
                <w:rFonts w:eastAsia="Times New Roman"/>
                <w:color w:val="000000"/>
                <w:sz w:val="20"/>
                <w:szCs w:val="20"/>
              </w:rPr>
              <w:t>949 </w:t>
            </w:r>
          </w:p>
        </w:tc>
        <w:tc>
          <w:tcPr>
            <w:tcW w:w="0" w:type="auto"/>
            <w:tcBorders>
              <w:top w:val="single" w:sz="8" w:space="0" w:color="000000"/>
            </w:tcBorders>
            <w:shd w:val="clear" w:color="auto" w:fill="CCEEFF"/>
            <w:tcMar>
              <w:top w:w="30" w:type="dxa"/>
              <w:left w:w="0" w:type="dxa"/>
              <w:bottom w:w="30" w:type="dxa"/>
              <w:right w:w="20" w:type="dxa"/>
            </w:tcMar>
            <w:hideMark/>
          </w:tcPr>
          <w:p w14:paraId="33751F9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91F5F"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2345589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3664E4A9" w14:textId="77777777" w:rsidR="00000000" w:rsidRDefault="001A570A">
            <w:pPr>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CCEEFF"/>
            <w:tcMar>
              <w:top w:w="30" w:type="dxa"/>
              <w:left w:w="0" w:type="dxa"/>
              <w:bottom w:w="30" w:type="dxa"/>
              <w:right w:w="20" w:type="dxa"/>
            </w:tcMar>
            <w:hideMark/>
          </w:tcPr>
          <w:p w14:paraId="57A503A1" w14:textId="77777777" w:rsidR="00000000" w:rsidRDefault="001A570A">
            <w:pPr>
              <w:jc w:val="right"/>
              <w:rPr>
                <w:rFonts w:eastAsia="Times New Roman"/>
              </w:rPr>
            </w:pPr>
          </w:p>
        </w:tc>
      </w:tr>
      <w:tr w:rsidR="00000000" w14:paraId="40978D91" w14:textId="77777777">
        <w:trPr>
          <w:divId w:val="1697072695"/>
          <w:trHeight w:val="400"/>
        </w:trPr>
        <w:tc>
          <w:tcPr>
            <w:tcW w:w="0" w:type="auto"/>
            <w:gridSpan w:val="3"/>
            <w:shd w:val="clear" w:color="auto" w:fill="FFFFFF"/>
            <w:tcMar>
              <w:top w:w="0" w:type="dxa"/>
              <w:left w:w="20" w:type="dxa"/>
              <w:bottom w:w="0" w:type="dxa"/>
              <w:right w:w="20" w:type="dxa"/>
            </w:tcMar>
            <w:vAlign w:val="center"/>
            <w:hideMark/>
          </w:tcPr>
          <w:p w14:paraId="58DD0D7C" w14:textId="77777777" w:rsidR="00000000" w:rsidRDefault="001A570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5B285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27405C"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DCF07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13C41"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71403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A2798"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8DDE57" w14:textId="77777777" w:rsidR="00000000" w:rsidRDefault="001A570A">
            <w:pPr>
              <w:rPr>
                <w:rFonts w:eastAsia="Times New Roman"/>
                <w:sz w:val="20"/>
                <w:szCs w:val="20"/>
              </w:rPr>
            </w:pPr>
          </w:p>
        </w:tc>
      </w:tr>
      <w:tr w:rsidR="00000000" w14:paraId="5826A810" w14:textId="77777777">
        <w:trPr>
          <w:divId w:val="1697072695"/>
        </w:trPr>
        <w:tc>
          <w:tcPr>
            <w:tcW w:w="0" w:type="auto"/>
            <w:gridSpan w:val="18"/>
            <w:shd w:val="clear" w:color="auto" w:fill="CCEEFF"/>
            <w:tcMar>
              <w:top w:w="30" w:type="dxa"/>
              <w:left w:w="20" w:type="dxa"/>
              <w:bottom w:w="30" w:type="dxa"/>
              <w:right w:w="20" w:type="dxa"/>
            </w:tcMar>
            <w:hideMark/>
          </w:tcPr>
          <w:p w14:paraId="111EC4FA" w14:textId="77777777" w:rsidR="00000000" w:rsidRDefault="001A570A">
            <w:pPr>
              <w:rPr>
                <w:rFonts w:eastAsia="Times New Roman"/>
              </w:rPr>
            </w:pPr>
            <w:r>
              <w:rPr>
                <w:rFonts w:eastAsia="Times New Roman"/>
                <w:b/>
                <w:bCs/>
                <w:color w:val="000000"/>
                <w:sz w:val="20"/>
                <w:szCs w:val="20"/>
              </w:rPr>
              <w:t>Amount attributable to L3Harris Technologies, Inc. common shareholders</w:t>
            </w:r>
          </w:p>
        </w:tc>
        <w:tc>
          <w:tcPr>
            <w:tcW w:w="0" w:type="auto"/>
            <w:gridSpan w:val="3"/>
            <w:shd w:val="clear" w:color="auto" w:fill="CCEEFF"/>
            <w:tcMar>
              <w:top w:w="0" w:type="dxa"/>
              <w:left w:w="20" w:type="dxa"/>
              <w:bottom w:w="0" w:type="dxa"/>
              <w:right w:w="20" w:type="dxa"/>
            </w:tcMar>
            <w:vAlign w:val="center"/>
            <w:hideMark/>
          </w:tcPr>
          <w:p w14:paraId="6477615E"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F35FA" w14:textId="77777777" w:rsidR="00000000" w:rsidRDefault="001A570A">
            <w:pPr>
              <w:rPr>
                <w:rFonts w:eastAsia="Times New Roman"/>
                <w:sz w:val="20"/>
                <w:szCs w:val="20"/>
              </w:rPr>
            </w:pPr>
          </w:p>
        </w:tc>
      </w:tr>
      <w:tr w:rsidR="00000000" w14:paraId="367AD933" w14:textId="77777777">
        <w:trPr>
          <w:divId w:val="1697072695"/>
        </w:trPr>
        <w:tc>
          <w:tcPr>
            <w:tcW w:w="0" w:type="auto"/>
            <w:gridSpan w:val="3"/>
            <w:shd w:val="clear" w:color="auto" w:fill="FFFFFF"/>
            <w:tcMar>
              <w:top w:w="30" w:type="dxa"/>
              <w:left w:w="20" w:type="dxa"/>
              <w:bottom w:w="30" w:type="dxa"/>
              <w:right w:w="20" w:type="dxa"/>
            </w:tcMar>
            <w:vAlign w:val="bottom"/>
            <w:hideMark/>
          </w:tcPr>
          <w:p w14:paraId="5E0A4B65" w14:textId="77777777" w:rsidR="00000000" w:rsidRDefault="001A570A">
            <w:pPr>
              <w:rPr>
                <w:rFonts w:eastAsia="Times New Roman"/>
              </w:rPr>
            </w:pPr>
            <w:r>
              <w:rPr>
                <w:rFonts w:eastAsia="Times New Roman"/>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14:paraId="4BFB5CE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26C888" w14:textId="77777777" w:rsidR="00000000" w:rsidRDefault="001A570A">
            <w:pPr>
              <w:jc w:val="right"/>
              <w:rPr>
                <w:rFonts w:eastAsia="Times New Roman"/>
              </w:rPr>
            </w:pPr>
            <w:r>
              <w:rPr>
                <w:rFonts w:eastAsia="Times New Roman"/>
                <w:color w:val="000000"/>
                <w:sz w:val="20"/>
                <w:szCs w:val="20"/>
              </w:rPr>
              <w:t>1,121 </w:t>
            </w:r>
          </w:p>
        </w:tc>
        <w:tc>
          <w:tcPr>
            <w:tcW w:w="0" w:type="auto"/>
            <w:shd w:val="clear" w:color="auto" w:fill="FFFFFF"/>
            <w:tcMar>
              <w:top w:w="30" w:type="dxa"/>
              <w:left w:w="0" w:type="dxa"/>
              <w:bottom w:w="30" w:type="dxa"/>
              <w:right w:w="20" w:type="dxa"/>
            </w:tcMar>
            <w:vAlign w:val="bottom"/>
            <w:hideMark/>
          </w:tcPr>
          <w:p w14:paraId="3BE7C40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70F7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F9FFE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DC3F48" w14:textId="77777777" w:rsidR="00000000" w:rsidRDefault="001A570A">
            <w:pPr>
              <w:jc w:val="right"/>
              <w:rPr>
                <w:rFonts w:eastAsia="Times New Roman"/>
              </w:rPr>
            </w:pPr>
            <w:r>
              <w:rPr>
                <w:rFonts w:eastAsia="Times New Roman"/>
                <w:color w:val="000000"/>
                <w:sz w:val="20"/>
                <w:szCs w:val="20"/>
              </w:rPr>
              <w:t>823 </w:t>
            </w:r>
          </w:p>
        </w:tc>
        <w:tc>
          <w:tcPr>
            <w:tcW w:w="0" w:type="auto"/>
            <w:shd w:val="clear" w:color="auto" w:fill="FFFFFF"/>
            <w:tcMar>
              <w:top w:w="30" w:type="dxa"/>
              <w:left w:w="0" w:type="dxa"/>
              <w:bottom w:w="30" w:type="dxa"/>
              <w:right w:w="20" w:type="dxa"/>
            </w:tcMar>
            <w:vAlign w:val="bottom"/>
            <w:hideMark/>
          </w:tcPr>
          <w:p w14:paraId="78745D4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A9E5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09691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107583" w14:textId="77777777" w:rsidR="00000000" w:rsidRDefault="001A570A">
            <w:pPr>
              <w:jc w:val="right"/>
              <w:rPr>
                <w:rFonts w:eastAsia="Times New Roman"/>
              </w:rPr>
            </w:pPr>
            <w:r>
              <w:rPr>
                <w:rFonts w:eastAsia="Times New Roman"/>
                <w:color w:val="000000"/>
                <w:sz w:val="20"/>
                <w:szCs w:val="20"/>
              </w:rPr>
              <w:t>953 </w:t>
            </w:r>
          </w:p>
        </w:tc>
        <w:tc>
          <w:tcPr>
            <w:tcW w:w="0" w:type="auto"/>
            <w:shd w:val="clear" w:color="auto" w:fill="FFFFFF"/>
            <w:tcMar>
              <w:top w:w="30" w:type="dxa"/>
              <w:left w:w="0" w:type="dxa"/>
              <w:bottom w:w="30" w:type="dxa"/>
              <w:right w:w="20" w:type="dxa"/>
            </w:tcMar>
            <w:vAlign w:val="bottom"/>
            <w:hideMark/>
          </w:tcPr>
          <w:p w14:paraId="2378EF3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EF06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D9287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F2F622" w14:textId="77777777" w:rsidR="00000000" w:rsidRDefault="001A570A">
            <w:pPr>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14:paraId="49D9756E" w14:textId="77777777" w:rsidR="00000000" w:rsidRDefault="001A570A">
            <w:pPr>
              <w:jc w:val="right"/>
              <w:rPr>
                <w:rFonts w:eastAsia="Times New Roman"/>
              </w:rPr>
            </w:pPr>
          </w:p>
        </w:tc>
      </w:tr>
      <w:tr w:rsidR="00000000" w14:paraId="31D47423" w14:textId="77777777">
        <w:trPr>
          <w:divId w:val="1697072695"/>
        </w:trPr>
        <w:tc>
          <w:tcPr>
            <w:tcW w:w="0" w:type="auto"/>
            <w:gridSpan w:val="3"/>
            <w:shd w:val="clear" w:color="auto" w:fill="CCEEFF"/>
            <w:tcMar>
              <w:top w:w="30" w:type="dxa"/>
              <w:left w:w="20" w:type="dxa"/>
              <w:bottom w:w="30" w:type="dxa"/>
              <w:right w:w="20" w:type="dxa"/>
            </w:tcMar>
            <w:vAlign w:val="bottom"/>
            <w:hideMark/>
          </w:tcPr>
          <w:p w14:paraId="21EB4402" w14:textId="77777777" w:rsidR="00000000" w:rsidRDefault="001A570A">
            <w:pPr>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14:paraId="599CC955"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6EE49C1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512D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1B9E0"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374771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916A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6DD15"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334C555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35F0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13049"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017648D3" w14:textId="77777777" w:rsidR="00000000" w:rsidRDefault="001A570A">
            <w:pPr>
              <w:jc w:val="right"/>
              <w:rPr>
                <w:rFonts w:eastAsia="Times New Roman"/>
              </w:rPr>
            </w:pPr>
          </w:p>
        </w:tc>
      </w:tr>
      <w:tr w:rsidR="00000000" w14:paraId="557BBB8D" w14:textId="77777777">
        <w:trPr>
          <w:divId w:val="1697072695"/>
        </w:trPr>
        <w:tc>
          <w:tcPr>
            <w:tcW w:w="0" w:type="auto"/>
            <w:gridSpan w:val="3"/>
            <w:shd w:val="clear" w:color="auto" w:fill="FFFFFF"/>
            <w:tcMar>
              <w:top w:w="30" w:type="dxa"/>
              <w:left w:w="20" w:type="dxa"/>
              <w:bottom w:w="30" w:type="dxa"/>
              <w:right w:w="20" w:type="dxa"/>
            </w:tcMar>
            <w:vAlign w:val="bottom"/>
            <w:hideMark/>
          </w:tcPr>
          <w:p w14:paraId="3E782002" w14:textId="77777777" w:rsidR="00000000" w:rsidRDefault="001A570A">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70C20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D09235" w14:textId="77777777" w:rsidR="00000000" w:rsidRDefault="001A570A">
            <w:pPr>
              <w:jc w:val="right"/>
              <w:rPr>
                <w:rFonts w:eastAsia="Times New Roman"/>
              </w:rPr>
            </w:pPr>
            <w:r>
              <w:rPr>
                <w:rFonts w:eastAsia="Times New Roman"/>
                <w:color w:val="000000"/>
                <w:sz w:val="20"/>
                <w:szCs w:val="20"/>
              </w:rPr>
              <w:t>1,119 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85EB4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FA52F"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90E43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904AFB" w14:textId="77777777" w:rsidR="00000000" w:rsidRDefault="001A570A">
            <w:pPr>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9944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E0FE6"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E4C83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E1C1C6" w14:textId="77777777" w:rsidR="00000000" w:rsidRDefault="001A570A">
            <w:pPr>
              <w:jc w:val="right"/>
              <w:rPr>
                <w:rFonts w:eastAsia="Times New Roman"/>
              </w:rPr>
            </w:pPr>
            <w:r>
              <w:rPr>
                <w:rFonts w:eastAsia="Times New Roman"/>
                <w:color w:val="000000"/>
                <w:sz w:val="20"/>
                <w:szCs w:val="20"/>
              </w:rPr>
              <w:t>949 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D3699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6F3E9"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482FF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6546E3" w14:textId="77777777" w:rsidR="00000000" w:rsidRDefault="001A570A">
            <w:pPr>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5D4DBA" w14:textId="77777777" w:rsidR="00000000" w:rsidRDefault="001A570A">
            <w:pPr>
              <w:jc w:val="right"/>
              <w:rPr>
                <w:rFonts w:eastAsia="Times New Roman"/>
              </w:rPr>
            </w:pPr>
          </w:p>
        </w:tc>
      </w:tr>
      <w:tr w:rsidR="00000000" w14:paraId="5F41C1C2" w14:textId="77777777">
        <w:trPr>
          <w:divId w:val="1697072695"/>
          <w:trHeight w:val="400"/>
        </w:trPr>
        <w:tc>
          <w:tcPr>
            <w:tcW w:w="0" w:type="auto"/>
            <w:gridSpan w:val="3"/>
            <w:shd w:val="clear" w:color="auto" w:fill="CCEEFF"/>
            <w:tcMar>
              <w:top w:w="0" w:type="dxa"/>
              <w:left w:w="20" w:type="dxa"/>
              <w:bottom w:w="0" w:type="dxa"/>
              <w:right w:w="20" w:type="dxa"/>
            </w:tcMar>
            <w:vAlign w:val="center"/>
            <w:hideMark/>
          </w:tcPr>
          <w:p w14:paraId="06D6E80B" w14:textId="77777777" w:rsidR="00000000" w:rsidRDefault="001A570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909CF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E2F864"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5FD89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4DE8A"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DA2B1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5400B"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66C288" w14:textId="77777777" w:rsidR="00000000" w:rsidRDefault="001A570A">
            <w:pPr>
              <w:rPr>
                <w:rFonts w:eastAsia="Times New Roman"/>
                <w:sz w:val="20"/>
                <w:szCs w:val="20"/>
              </w:rPr>
            </w:pPr>
          </w:p>
        </w:tc>
      </w:tr>
      <w:tr w:rsidR="00000000" w14:paraId="5DD07EE6" w14:textId="77777777">
        <w:trPr>
          <w:divId w:val="1697072695"/>
        </w:trPr>
        <w:tc>
          <w:tcPr>
            <w:tcW w:w="0" w:type="auto"/>
            <w:gridSpan w:val="18"/>
            <w:shd w:val="clear" w:color="auto" w:fill="FFFFFF"/>
            <w:tcMar>
              <w:top w:w="30" w:type="dxa"/>
              <w:left w:w="20" w:type="dxa"/>
              <w:bottom w:w="30" w:type="dxa"/>
              <w:right w:w="20" w:type="dxa"/>
            </w:tcMar>
            <w:hideMark/>
          </w:tcPr>
          <w:p w14:paraId="78B30E1C" w14:textId="77777777" w:rsidR="00000000" w:rsidRDefault="001A570A">
            <w:pPr>
              <w:rPr>
                <w:rFonts w:eastAsia="Times New Roman"/>
              </w:rPr>
            </w:pPr>
            <w:r>
              <w:rPr>
                <w:rFonts w:eastAsia="Times New Roman"/>
                <w:b/>
                <w:bCs/>
                <w:color w:val="000000"/>
                <w:sz w:val="20"/>
                <w:szCs w:val="20"/>
              </w:rPr>
              <w:t>Net income per common share attributable to L3Harris Technologies, Inc. common shareholders</w:t>
            </w:r>
          </w:p>
        </w:tc>
        <w:tc>
          <w:tcPr>
            <w:tcW w:w="0" w:type="auto"/>
            <w:gridSpan w:val="3"/>
            <w:shd w:val="clear" w:color="auto" w:fill="FFFFFF"/>
            <w:tcMar>
              <w:top w:w="0" w:type="dxa"/>
              <w:left w:w="20" w:type="dxa"/>
              <w:bottom w:w="0" w:type="dxa"/>
              <w:right w:w="20" w:type="dxa"/>
            </w:tcMar>
            <w:vAlign w:val="center"/>
            <w:hideMark/>
          </w:tcPr>
          <w:p w14:paraId="083131D3"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1239F" w14:textId="77777777" w:rsidR="00000000" w:rsidRDefault="001A570A">
            <w:pPr>
              <w:rPr>
                <w:rFonts w:eastAsia="Times New Roman"/>
                <w:sz w:val="20"/>
                <w:szCs w:val="20"/>
              </w:rPr>
            </w:pPr>
          </w:p>
        </w:tc>
      </w:tr>
      <w:tr w:rsidR="00000000" w14:paraId="786DB767" w14:textId="77777777">
        <w:trPr>
          <w:divId w:val="1697072695"/>
        </w:trPr>
        <w:tc>
          <w:tcPr>
            <w:tcW w:w="0" w:type="auto"/>
            <w:gridSpan w:val="3"/>
            <w:shd w:val="clear" w:color="auto" w:fill="CCEEFF"/>
            <w:tcMar>
              <w:top w:w="30" w:type="dxa"/>
              <w:left w:w="365" w:type="dxa"/>
              <w:bottom w:w="30" w:type="dxa"/>
              <w:right w:w="20" w:type="dxa"/>
            </w:tcMar>
            <w:vAlign w:val="bottom"/>
            <w:hideMark/>
          </w:tcPr>
          <w:p w14:paraId="22A12C3A" w14:textId="77777777" w:rsidR="00000000" w:rsidRDefault="001A570A">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14:paraId="1C2A6B6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779C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7B0F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0BEBB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5F719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94EBE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2B83D8" w14:textId="77777777" w:rsidR="00000000" w:rsidRDefault="001A570A">
            <w:pPr>
              <w:rPr>
                <w:rFonts w:eastAsia="Times New Roman"/>
                <w:sz w:val="20"/>
                <w:szCs w:val="20"/>
              </w:rPr>
            </w:pPr>
          </w:p>
        </w:tc>
      </w:tr>
      <w:tr w:rsidR="00000000" w14:paraId="573740BD" w14:textId="77777777">
        <w:trPr>
          <w:divId w:val="1697072695"/>
        </w:trPr>
        <w:tc>
          <w:tcPr>
            <w:tcW w:w="0" w:type="auto"/>
            <w:gridSpan w:val="3"/>
            <w:shd w:val="clear" w:color="auto" w:fill="FFFFFF"/>
            <w:tcMar>
              <w:top w:w="30" w:type="dxa"/>
              <w:left w:w="560" w:type="dxa"/>
              <w:bottom w:w="30" w:type="dxa"/>
              <w:right w:w="20" w:type="dxa"/>
            </w:tcMar>
            <w:hideMark/>
          </w:tcPr>
          <w:p w14:paraId="2421E4A1" w14:textId="77777777" w:rsidR="00000000" w:rsidRDefault="001A570A">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434CB1D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4FEF54" w14:textId="77777777" w:rsidR="00000000" w:rsidRDefault="001A570A">
            <w:pPr>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14:paraId="459D626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3D64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CFBCE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8FC237" w14:textId="77777777" w:rsidR="00000000" w:rsidRDefault="001A570A">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14:paraId="181A840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80EC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6AF8E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DA7F65" w14:textId="77777777" w:rsidR="00000000" w:rsidRDefault="001A570A">
            <w:pPr>
              <w:jc w:val="right"/>
              <w:rPr>
                <w:rFonts w:eastAsia="Times New Roman"/>
              </w:rPr>
            </w:pPr>
            <w:r>
              <w:rPr>
                <w:rFonts w:eastAsia="Times New Roman"/>
                <w:color w:val="000000"/>
                <w:sz w:val="20"/>
                <w:szCs w:val="20"/>
              </w:rPr>
              <w:t>8.06 </w:t>
            </w:r>
          </w:p>
        </w:tc>
        <w:tc>
          <w:tcPr>
            <w:tcW w:w="0" w:type="auto"/>
            <w:shd w:val="clear" w:color="auto" w:fill="FFFFFF"/>
            <w:tcMar>
              <w:top w:w="30" w:type="dxa"/>
              <w:left w:w="0" w:type="dxa"/>
              <w:bottom w:w="30" w:type="dxa"/>
              <w:right w:w="20" w:type="dxa"/>
            </w:tcMar>
            <w:vAlign w:val="bottom"/>
            <w:hideMark/>
          </w:tcPr>
          <w:p w14:paraId="0E560D4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715A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15C95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D9A7C9" w14:textId="77777777" w:rsidR="00000000" w:rsidRDefault="001A570A">
            <w:pPr>
              <w:jc w:val="right"/>
              <w:rPr>
                <w:rFonts w:eastAsia="Times New Roman"/>
              </w:rPr>
            </w:pPr>
            <w:r>
              <w:rPr>
                <w:rFonts w:eastAsia="Times New Roman"/>
                <w:color w:val="000000"/>
                <w:sz w:val="20"/>
                <w:szCs w:val="20"/>
              </w:rPr>
              <w:t>5.90 </w:t>
            </w:r>
          </w:p>
        </w:tc>
        <w:tc>
          <w:tcPr>
            <w:tcW w:w="0" w:type="auto"/>
            <w:shd w:val="clear" w:color="auto" w:fill="FFFFFF"/>
            <w:tcMar>
              <w:top w:w="30" w:type="dxa"/>
              <w:left w:w="0" w:type="dxa"/>
              <w:bottom w:w="30" w:type="dxa"/>
              <w:right w:w="20" w:type="dxa"/>
            </w:tcMar>
            <w:vAlign w:val="bottom"/>
            <w:hideMark/>
          </w:tcPr>
          <w:p w14:paraId="1F067EB2" w14:textId="77777777" w:rsidR="00000000" w:rsidRDefault="001A570A">
            <w:pPr>
              <w:jc w:val="right"/>
              <w:rPr>
                <w:rFonts w:eastAsia="Times New Roman"/>
              </w:rPr>
            </w:pPr>
          </w:p>
        </w:tc>
      </w:tr>
      <w:tr w:rsidR="00000000" w14:paraId="471CC11F" w14:textId="77777777">
        <w:trPr>
          <w:divId w:val="1697072695"/>
        </w:trPr>
        <w:tc>
          <w:tcPr>
            <w:tcW w:w="0" w:type="auto"/>
            <w:gridSpan w:val="3"/>
            <w:shd w:val="clear" w:color="auto" w:fill="CCEEFF"/>
            <w:tcMar>
              <w:top w:w="30" w:type="dxa"/>
              <w:left w:w="560" w:type="dxa"/>
              <w:bottom w:w="30" w:type="dxa"/>
              <w:right w:w="20" w:type="dxa"/>
            </w:tcMar>
            <w:hideMark/>
          </w:tcPr>
          <w:p w14:paraId="7DBB76D6" w14:textId="77777777" w:rsidR="00000000" w:rsidRDefault="001A570A">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14:paraId="1BCAEA54" w14:textId="77777777" w:rsidR="00000000" w:rsidRDefault="001A570A">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528C524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D961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37C1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AD78A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B15E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53530" w14:textId="77777777" w:rsidR="00000000" w:rsidRDefault="001A570A">
            <w:pPr>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14:paraId="025631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E400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DAF2FC" w14:textId="77777777" w:rsidR="00000000" w:rsidRDefault="001A570A">
            <w:pPr>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14:paraId="5CA87EFE" w14:textId="77777777" w:rsidR="00000000" w:rsidRDefault="001A570A">
            <w:pPr>
              <w:jc w:val="right"/>
              <w:rPr>
                <w:rFonts w:eastAsia="Times New Roman"/>
              </w:rPr>
            </w:pPr>
          </w:p>
        </w:tc>
      </w:tr>
      <w:tr w:rsidR="00000000" w14:paraId="18DAC996" w14:textId="77777777">
        <w:trPr>
          <w:divId w:val="1697072695"/>
        </w:trPr>
        <w:tc>
          <w:tcPr>
            <w:tcW w:w="0" w:type="auto"/>
            <w:gridSpan w:val="3"/>
            <w:shd w:val="clear" w:color="auto" w:fill="FFFFFF"/>
            <w:tcMar>
              <w:top w:w="0" w:type="dxa"/>
              <w:left w:w="20" w:type="dxa"/>
              <w:bottom w:w="0" w:type="dxa"/>
              <w:right w:w="20" w:type="dxa"/>
            </w:tcMar>
            <w:vAlign w:val="center"/>
            <w:hideMark/>
          </w:tcPr>
          <w:p w14:paraId="35299CDA"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14:paraId="187321D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13E57233" w14:textId="77777777" w:rsidR="00000000" w:rsidRDefault="001A570A">
            <w:pPr>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FFFFFF"/>
            <w:tcMar>
              <w:top w:w="30" w:type="dxa"/>
              <w:left w:w="0" w:type="dxa"/>
              <w:bottom w:w="30" w:type="dxa"/>
              <w:right w:w="20" w:type="dxa"/>
            </w:tcMar>
            <w:hideMark/>
          </w:tcPr>
          <w:p w14:paraId="645ABA2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39F9E"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14:paraId="2B2F2E2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4C09E854" w14:textId="77777777" w:rsidR="00000000" w:rsidRDefault="001A570A">
            <w:pPr>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FFFFFF"/>
            <w:tcMar>
              <w:top w:w="30" w:type="dxa"/>
              <w:left w:w="0" w:type="dxa"/>
              <w:bottom w:w="30" w:type="dxa"/>
              <w:right w:w="20" w:type="dxa"/>
            </w:tcMar>
            <w:hideMark/>
          </w:tcPr>
          <w:p w14:paraId="3322C2C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6DAC1"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14:paraId="5152FA2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7752798F" w14:textId="77777777" w:rsidR="00000000" w:rsidRDefault="001A570A">
            <w:pPr>
              <w:jc w:val="right"/>
              <w:rPr>
                <w:rFonts w:eastAsia="Times New Roman"/>
              </w:rPr>
            </w:pPr>
            <w:r>
              <w:rPr>
                <w:rFonts w:eastAsia="Times New Roman"/>
                <w:color w:val="000000"/>
                <w:sz w:val="20"/>
                <w:szCs w:val="20"/>
              </w:rPr>
              <w:t>8.03 </w:t>
            </w:r>
          </w:p>
        </w:tc>
        <w:tc>
          <w:tcPr>
            <w:tcW w:w="0" w:type="auto"/>
            <w:tcBorders>
              <w:top w:val="single" w:sz="8" w:space="0" w:color="000000"/>
            </w:tcBorders>
            <w:shd w:val="clear" w:color="auto" w:fill="FFFFFF"/>
            <w:tcMar>
              <w:top w:w="30" w:type="dxa"/>
              <w:left w:w="0" w:type="dxa"/>
              <w:bottom w:w="30" w:type="dxa"/>
              <w:right w:w="20" w:type="dxa"/>
            </w:tcMar>
            <w:hideMark/>
          </w:tcPr>
          <w:p w14:paraId="320E5E4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3C965"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14:paraId="7F920E5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14:paraId="213D1A1E" w14:textId="77777777" w:rsidR="00000000" w:rsidRDefault="001A570A">
            <w:pPr>
              <w:jc w:val="right"/>
              <w:rPr>
                <w:rFonts w:eastAsia="Times New Roman"/>
              </w:rPr>
            </w:pPr>
            <w:r>
              <w:rPr>
                <w:rFonts w:eastAsia="Times New Roman"/>
                <w:color w:val="000000"/>
                <w:sz w:val="20"/>
                <w:szCs w:val="20"/>
              </w:rPr>
              <w:t>5.88 </w:t>
            </w:r>
          </w:p>
        </w:tc>
        <w:tc>
          <w:tcPr>
            <w:tcW w:w="0" w:type="auto"/>
            <w:tcBorders>
              <w:top w:val="single" w:sz="8" w:space="0" w:color="000000"/>
            </w:tcBorders>
            <w:shd w:val="clear" w:color="auto" w:fill="FFFFFF"/>
            <w:tcMar>
              <w:top w:w="30" w:type="dxa"/>
              <w:left w:w="0" w:type="dxa"/>
              <w:bottom w:w="30" w:type="dxa"/>
              <w:right w:w="20" w:type="dxa"/>
            </w:tcMar>
            <w:hideMark/>
          </w:tcPr>
          <w:p w14:paraId="401FA3C6" w14:textId="77777777" w:rsidR="00000000" w:rsidRDefault="001A570A">
            <w:pPr>
              <w:jc w:val="right"/>
              <w:rPr>
                <w:rFonts w:eastAsia="Times New Roman"/>
              </w:rPr>
            </w:pPr>
          </w:p>
        </w:tc>
      </w:tr>
      <w:tr w:rsidR="00000000" w14:paraId="320A0E50" w14:textId="77777777">
        <w:trPr>
          <w:divId w:val="1697072695"/>
        </w:trPr>
        <w:tc>
          <w:tcPr>
            <w:tcW w:w="0" w:type="auto"/>
            <w:gridSpan w:val="3"/>
            <w:shd w:val="clear" w:color="auto" w:fill="CCEEFF"/>
            <w:tcMar>
              <w:top w:w="30" w:type="dxa"/>
              <w:left w:w="365" w:type="dxa"/>
              <w:bottom w:w="30" w:type="dxa"/>
              <w:right w:w="20" w:type="dxa"/>
            </w:tcMar>
            <w:vAlign w:val="bottom"/>
            <w:hideMark/>
          </w:tcPr>
          <w:p w14:paraId="1C742D20" w14:textId="77777777" w:rsidR="00000000" w:rsidRDefault="001A570A">
            <w:pPr>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F3EFDB"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5661F"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6B8AA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21463"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C4E1E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AF66A"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6C33BF" w14:textId="77777777" w:rsidR="00000000" w:rsidRDefault="001A570A">
            <w:pPr>
              <w:rPr>
                <w:rFonts w:eastAsia="Times New Roman"/>
                <w:sz w:val="20"/>
                <w:szCs w:val="20"/>
              </w:rPr>
            </w:pPr>
          </w:p>
        </w:tc>
      </w:tr>
      <w:tr w:rsidR="00000000" w14:paraId="48F98D44" w14:textId="77777777">
        <w:trPr>
          <w:divId w:val="1697072695"/>
        </w:trPr>
        <w:tc>
          <w:tcPr>
            <w:tcW w:w="0" w:type="auto"/>
            <w:gridSpan w:val="3"/>
            <w:shd w:val="clear" w:color="auto" w:fill="FFFFFF"/>
            <w:tcMar>
              <w:top w:w="30" w:type="dxa"/>
              <w:left w:w="560" w:type="dxa"/>
              <w:bottom w:w="30" w:type="dxa"/>
              <w:right w:w="20" w:type="dxa"/>
            </w:tcMar>
            <w:hideMark/>
          </w:tcPr>
          <w:p w14:paraId="46D3EA6E" w14:textId="77777777" w:rsidR="00000000" w:rsidRDefault="001A570A">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4AD54FD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6572DA" w14:textId="77777777" w:rsidR="00000000" w:rsidRDefault="001A570A">
            <w:pPr>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72F3FD6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DE53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5E2AE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A05F77" w14:textId="77777777" w:rsidR="00000000" w:rsidRDefault="001A570A">
            <w:pPr>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14:paraId="467B54F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83206"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23C7E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B9AE56" w14:textId="77777777" w:rsidR="00000000" w:rsidRDefault="001A570A">
            <w:pPr>
              <w:jc w:val="right"/>
              <w:rPr>
                <w:rFonts w:eastAsia="Times New Roman"/>
              </w:rPr>
            </w:pPr>
            <w:r>
              <w:rPr>
                <w:rFonts w:eastAsia="Times New Roman"/>
                <w:color w:val="000000"/>
                <w:sz w:val="20"/>
                <w:szCs w:val="20"/>
              </w:rPr>
              <w:t>7.89 </w:t>
            </w:r>
          </w:p>
        </w:tc>
        <w:tc>
          <w:tcPr>
            <w:tcW w:w="0" w:type="auto"/>
            <w:shd w:val="clear" w:color="auto" w:fill="FFFFFF"/>
            <w:tcMar>
              <w:top w:w="30" w:type="dxa"/>
              <w:left w:w="0" w:type="dxa"/>
              <w:bottom w:w="30" w:type="dxa"/>
              <w:right w:w="20" w:type="dxa"/>
            </w:tcMar>
            <w:vAlign w:val="bottom"/>
            <w:hideMark/>
          </w:tcPr>
          <w:p w14:paraId="4B61C78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1297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0FADE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8ED581" w14:textId="77777777" w:rsidR="00000000" w:rsidRDefault="001A570A">
            <w:pPr>
              <w:jc w:val="right"/>
              <w:rPr>
                <w:rFonts w:eastAsia="Times New Roman"/>
              </w:rPr>
            </w:pPr>
            <w:r>
              <w:rPr>
                <w:rFonts w:eastAsia="Times New Roman"/>
                <w:color w:val="000000"/>
                <w:sz w:val="20"/>
                <w:szCs w:val="20"/>
              </w:rPr>
              <w:t>5.78 </w:t>
            </w:r>
          </w:p>
        </w:tc>
        <w:tc>
          <w:tcPr>
            <w:tcW w:w="0" w:type="auto"/>
            <w:shd w:val="clear" w:color="auto" w:fill="FFFFFF"/>
            <w:tcMar>
              <w:top w:w="30" w:type="dxa"/>
              <w:left w:w="0" w:type="dxa"/>
              <w:bottom w:w="30" w:type="dxa"/>
              <w:right w:w="20" w:type="dxa"/>
            </w:tcMar>
            <w:vAlign w:val="bottom"/>
            <w:hideMark/>
          </w:tcPr>
          <w:p w14:paraId="2CA1745B" w14:textId="77777777" w:rsidR="00000000" w:rsidRDefault="001A570A">
            <w:pPr>
              <w:jc w:val="right"/>
              <w:rPr>
                <w:rFonts w:eastAsia="Times New Roman"/>
              </w:rPr>
            </w:pPr>
          </w:p>
        </w:tc>
      </w:tr>
      <w:tr w:rsidR="00000000" w14:paraId="66FA4D6E" w14:textId="77777777">
        <w:trPr>
          <w:divId w:val="1697072695"/>
        </w:trPr>
        <w:tc>
          <w:tcPr>
            <w:tcW w:w="0" w:type="auto"/>
            <w:gridSpan w:val="3"/>
            <w:shd w:val="clear" w:color="auto" w:fill="CCEEFF"/>
            <w:tcMar>
              <w:top w:w="30" w:type="dxa"/>
              <w:left w:w="560" w:type="dxa"/>
              <w:bottom w:w="30" w:type="dxa"/>
              <w:right w:w="20" w:type="dxa"/>
            </w:tcMar>
            <w:hideMark/>
          </w:tcPr>
          <w:p w14:paraId="28AD4B1D" w14:textId="77777777" w:rsidR="00000000" w:rsidRDefault="001A570A">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14:paraId="1B27501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38FA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0C9C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A5872" w14:textId="77777777" w:rsidR="00000000" w:rsidRDefault="001A570A">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072FF63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6606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DD60B" w14:textId="77777777" w:rsidR="00000000" w:rsidRDefault="001A570A">
            <w:pPr>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14:paraId="20F9306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383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9B0D77" w14:textId="77777777" w:rsidR="00000000" w:rsidRDefault="001A570A">
            <w:pPr>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14:paraId="64608C7C" w14:textId="77777777" w:rsidR="00000000" w:rsidRDefault="001A570A">
            <w:pPr>
              <w:jc w:val="right"/>
              <w:rPr>
                <w:rFonts w:eastAsia="Times New Roman"/>
              </w:rPr>
            </w:pPr>
          </w:p>
        </w:tc>
      </w:tr>
      <w:tr w:rsidR="00000000" w14:paraId="084EEA5E" w14:textId="77777777">
        <w:trPr>
          <w:divId w:val="1697072695"/>
        </w:trPr>
        <w:tc>
          <w:tcPr>
            <w:tcW w:w="0" w:type="auto"/>
            <w:gridSpan w:val="3"/>
            <w:shd w:val="clear" w:color="auto" w:fill="FFFFFF"/>
            <w:tcMar>
              <w:top w:w="0" w:type="dxa"/>
              <w:left w:w="20" w:type="dxa"/>
              <w:bottom w:w="0" w:type="dxa"/>
              <w:right w:w="20" w:type="dxa"/>
            </w:tcMar>
            <w:vAlign w:val="center"/>
            <w:hideMark/>
          </w:tcPr>
          <w:p w14:paraId="2B7973B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6D5A006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30CDB0EE" w14:textId="77777777" w:rsidR="00000000" w:rsidRDefault="001A570A">
            <w:pPr>
              <w:jc w:val="right"/>
              <w:rPr>
                <w:rFonts w:eastAsia="Times New Roman"/>
              </w:rPr>
            </w:pPr>
            <w:r>
              <w:rPr>
                <w:rFonts w:eastAsia="Times New Roman"/>
                <w:color w:val="000000"/>
                <w:sz w:val="20"/>
                <w:szCs w:val="20"/>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5E0961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69FB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185A217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54C1F6D1" w14:textId="77777777" w:rsidR="00000000" w:rsidRDefault="001A570A">
            <w:pPr>
              <w:jc w:val="right"/>
              <w:rPr>
                <w:rFonts w:eastAsia="Times New Roman"/>
              </w:rPr>
            </w:pPr>
            <w:r>
              <w:rPr>
                <w:rFonts w:eastAsia="Times New Roman"/>
                <w:color w:val="000000"/>
                <w:sz w:val="20"/>
                <w:szCs w:val="20"/>
              </w:rPr>
              <w:t>3.67 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3026990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A5B7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1524CD7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3FEAF5CB" w14:textId="77777777" w:rsidR="00000000" w:rsidRDefault="001A570A">
            <w:pPr>
              <w:jc w:val="right"/>
              <w:rPr>
                <w:rFonts w:eastAsia="Times New Roman"/>
              </w:rPr>
            </w:pPr>
            <w:r>
              <w:rPr>
                <w:rFonts w:eastAsia="Times New Roman"/>
                <w:color w:val="000000"/>
                <w:sz w:val="20"/>
                <w:szCs w:val="20"/>
              </w:rPr>
              <w:t>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33E442F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AC05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06E2DBE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481AC2CC" w14:textId="77777777" w:rsidR="00000000" w:rsidRDefault="001A570A">
            <w:pPr>
              <w:jc w:val="right"/>
              <w:rPr>
                <w:rFonts w:eastAsia="Times New Roman"/>
              </w:rPr>
            </w:pPr>
            <w:r>
              <w:rPr>
                <w:rFonts w:eastAsia="Times New Roman"/>
                <w:color w:val="000000"/>
                <w:sz w:val="20"/>
                <w:szCs w:val="20"/>
              </w:rPr>
              <w:t>5.76 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45AFE772" w14:textId="77777777" w:rsidR="00000000" w:rsidRDefault="001A570A">
            <w:pPr>
              <w:jc w:val="right"/>
              <w:rPr>
                <w:rFonts w:eastAsia="Times New Roman"/>
              </w:rPr>
            </w:pPr>
          </w:p>
        </w:tc>
      </w:tr>
    </w:tbl>
    <w:p w14:paraId="5681C57B" w14:textId="77777777" w:rsidR="00000000" w:rsidRDefault="001A570A">
      <w:pPr>
        <w:divId w:val="1115713885"/>
        <w:rPr>
          <w:rFonts w:eastAsia="Times New Roman"/>
        </w:rPr>
      </w:pPr>
      <w:r>
        <w:rPr>
          <w:rFonts w:eastAsia="Times New Roman"/>
          <w:color w:val="000000"/>
          <w:sz w:val="20"/>
          <w:szCs w:val="20"/>
        </w:rPr>
        <w:t>See accompanying Notes to Consolidated Financial State</w:t>
      </w:r>
      <w:r>
        <w:rPr>
          <w:rFonts w:eastAsia="Times New Roman"/>
          <w:color w:val="000000"/>
          <w:sz w:val="20"/>
          <w:szCs w:val="20"/>
        </w:rPr>
        <w:t>ments.</w:t>
      </w:r>
    </w:p>
    <w:p w14:paraId="4B81D567" w14:textId="77777777" w:rsidR="00000000" w:rsidRDefault="001A570A">
      <w:pPr>
        <w:ind w:firstLine="450"/>
        <w:divId w:val="452210907"/>
        <w:rPr>
          <w:rFonts w:eastAsia="Times New Roman"/>
        </w:rPr>
      </w:pPr>
    </w:p>
    <w:p w14:paraId="4EE4A277" w14:textId="77777777" w:rsidR="00000000" w:rsidRDefault="001A570A">
      <w:pPr>
        <w:ind w:firstLine="450"/>
        <w:jc w:val="center"/>
        <w:divId w:val="1252541557"/>
        <w:rPr>
          <w:rFonts w:eastAsia="Times New Roman"/>
        </w:rPr>
      </w:pPr>
      <w:r>
        <w:rPr>
          <w:rFonts w:eastAsia="Times New Roman"/>
          <w:color w:val="000000"/>
          <w:sz w:val="20"/>
          <w:szCs w:val="20"/>
        </w:rPr>
        <w:t>76</w:t>
      </w:r>
    </w:p>
    <w:p w14:paraId="34398519" w14:textId="77777777" w:rsidR="00000000" w:rsidRDefault="001A570A">
      <w:pPr>
        <w:rPr>
          <w:rFonts w:eastAsia="Times New Roman"/>
        </w:rPr>
      </w:pPr>
      <w:r>
        <w:rPr>
          <w:rFonts w:eastAsia="Times New Roman"/>
        </w:rPr>
        <w:pict w14:anchorId="235A6068">
          <v:rect id="_x0000_i1104" style="width:0;height:1.5pt" o:hralign="center" o:hrstd="t" o:hr="t" fillcolor="#a0a0a0" stroked="f"/>
        </w:pict>
      </w:r>
    </w:p>
    <w:p w14:paraId="1DB3F011" w14:textId="77777777" w:rsidR="00000000" w:rsidRDefault="001A570A">
      <w:pPr>
        <w:ind w:firstLine="450"/>
        <w:divId w:val="1129974932"/>
        <w:rPr>
          <w:rFonts w:eastAsia="Times New Roman"/>
        </w:rPr>
      </w:pPr>
    </w:p>
    <w:p w14:paraId="1B0D89CE" w14:textId="77777777" w:rsidR="00000000" w:rsidRDefault="001A570A">
      <w:pPr>
        <w:divId w:val="1706758109"/>
        <w:rPr>
          <w:rFonts w:eastAsia="Times New Roman"/>
        </w:rPr>
      </w:pPr>
      <w:r>
        <w:rPr>
          <w:rFonts w:eastAsia="Times New Roman"/>
          <w:b/>
          <w:bCs/>
          <w:color w:val="000000"/>
          <w:sz w:val="20"/>
          <w:szCs w:val="20"/>
        </w:rPr>
        <w:t>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24"/>
        <w:gridCol w:w="39"/>
        <w:gridCol w:w="120"/>
        <w:gridCol w:w="896"/>
        <w:gridCol w:w="36"/>
        <w:gridCol w:w="36"/>
        <w:gridCol w:w="36"/>
        <w:gridCol w:w="36"/>
        <w:gridCol w:w="121"/>
        <w:gridCol w:w="851"/>
        <w:gridCol w:w="36"/>
        <w:gridCol w:w="36"/>
        <w:gridCol w:w="36"/>
        <w:gridCol w:w="36"/>
        <w:gridCol w:w="120"/>
        <w:gridCol w:w="853"/>
        <w:gridCol w:w="36"/>
        <w:gridCol w:w="36"/>
        <w:gridCol w:w="36"/>
        <w:gridCol w:w="36"/>
        <w:gridCol w:w="120"/>
        <w:gridCol w:w="853"/>
        <w:gridCol w:w="36"/>
      </w:tblGrid>
      <w:tr w:rsidR="00000000" w14:paraId="05DD9F2D" w14:textId="77777777">
        <w:trPr>
          <w:divId w:val="697776482"/>
          <w:jc w:val="center"/>
        </w:trPr>
        <w:tc>
          <w:tcPr>
            <w:tcW w:w="50" w:type="pct"/>
            <w:vAlign w:val="center"/>
            <w:hideMark/>
          </w:tcPr>
          <w:p w14:paraId="716C5E34" w14:textId="77777777" w:rsidR="00000000" w:rsidRDefault="001A570A">
            <w:pPr>
              <w:rPr>
                <w:rFonts w:eastAsia="Times New Roman"/>
              </w:rPr>
            </w:pPr>
          </w:p>
        </w:tc>
        <w:tc>
          <w:tcPr>
            <w:tcW w:w="2337" w:type="pct"/>
            <w:vAlign w:val="center"/>
            <w:hideMark/>
          </w:tcPr>
          <w:p w14:paraId="6566DDD6" w14:textId="77777777" w:rsidR="00000000" w:rsidRDefault="001A570A">
            <w:pPr>
              <w:rPr>
                <w:rFonts w:eastAsia="Times New Roman"/>
                <w:sz w:val="20"/>
                <w:szCs w:val="20"/>
              </w:rPr>
            </w:pPr>
          </w:p>
        </w:tc>
        <w:tc>
          <w:tcPr>
            <w:tcW w:w="5" w:type="pct"/>
            <w:vAlign w:val="center"/>
            <w:hideMark/>
          </w:tcPr>
          <w:p w14:paraId="365938C7" w14:textId="77777777" w:rsidR="00000000" w:rsidRDefault="001A570A">
            <w:pPr>
              <w:rPr>
                <w:rFonts w:eastAsia="Times New Roman"/>
                <w:sz w:val="20"/>
                <w:szCs w:val="20"/>
              </w:rPr>
            </w:pPr>
          </w:p>
        </w:tc>
        <w:tc>
          <w:tcPr>
            <w:tcW w:w="50" w:type="pct"/>
            <w:vAlign w:val="center"/>
            <w:hideMark/>
          </w:tcPr>
          <w:p w14:paraId="17E40290" w14:textId="77777777" w:rsidR="00000000" w:rsidRDefault="001A570A">
            <w:pPr>
              <w:rPr>
                <w:rFonts w:eastAsia="Times New Roman"/>
                <w:sz w:val="20"/>
                <w:szCs w:val="20"/>
              </w:rPr>
            </w:pPr>
          </w:p>
        </w:tc>
        <w:tc>
          <w:tcPr>
            <w:tcW w:w="570" w:type="pct"/>
            <w:vAlign w:val="center"/>
            <w:hideMark/>
          </w:tcPr>
          <w:p w14:paraId="214300BE" w14:textId="77777777" w:rsidR="00000000" w:rsidRDefault="001A570A">
            <w:pPr>
              <w:rPr>
                <w:rFonts w:eastAsia="Times New Roman"/>
                <w:sz w:val="20"/>
                <w:szCs w:val="20"/>
              </w:rPr>
            </w:pPr>
          </w:p>
        </w:tc>
        <w:tc>
          <w:tcPr>
            <w:tcW w:w="5" w:type="pct"/>
            <w:vAlign w:val="center"/>
            <w:hideMark/>
          </w:tcPr>
          <w:p w14:paraId="228035DE" w14:textId="77777777" w:rsidR="00000000" w:rsidRDefault="001A570A">
            <w:pPr>
              <w:rPr>
                <w:rFonts w:eastAsia="Times New Roman"/>
                <w:sz w:val="20"/>
                <w:szCs w:val="20"/>
              </w:rPr>
            </w:pPr>
          </w:p>
        </w:tc>
        <w:tc>
          <w:tcPr>
            <w:tcW w:w="5" w:type="pct"/>
            <w:vAlign w:val="center"/>
            <w:hideMark/>
          </w:tcPr>
          <w:p w14:paraId="2B9F4C02" w14:textId="77777777" w:rsidR="00000000" w:rsidRDefault="001A570A">
            <w:pPr>
              <w:rPr>
                <w:rFonts w:eastAsia="Times New Roman"/>
                <w:sz w:val="20"/>
                <w:szCs w:val="20"/>
              </w:rPr>
            </w:pPr>
          </w:p>
        </w:tc>
        <w:tc>
          <w:tcPr>
            <w:tcW w:w="25" w:type="pct"/>
            <w:vAlign w:val="center"/>
            <w:hideMark/>
          </w:tcPr>
          <w:p w14:paraId="1933B1B6" w14:textId="77777777" w:rsidR="00000000" w:rsidRDefault="001A570A">
            <w:pPr>
              <w:rPr>
                <w:rFonts w:eastAsia="Times New Roman"/>
                <w:sz w:val="20"/>
                <w:szCs w:val="20"/>
              </w:rPr>
            </w:pPr>
          </w:p>
        </w:tc>
        <w:tc>
          <w:tcPr>
            <w:tcW w:w="5" w:type="pct"/>
            <w:vAlign w:val="center"/>
            <w:hideMark/>
          </w:tcPr>
          <w:p w14:paraId="6F354372" w14:textId="77777777" w:rsidR="00000000" w:rsidRDefault="001A570A">
            <w:pPr>
              <w:rPr>
                <w:rFonts w:eastAsia="Times New Roman"/>
                <w:sz w:val="20"/>
                <w:szCs w:val="20"/>
              </w:rPr>
            </w:pPr>
          </w:p>
        </w:tc>
        <w:tc>
          <w:tcPr>
            <w:tcW w:w="50" w:type="pct"/>
            <w:vAlign w:val="center"/>
            <w:hideMark/>
          </w:tcPr>
          <w:p w14:paraId="69694C52" w14:textId="77777777" w:rsidR="00000000" w:rsidRDefault="001A570A">
            <w:pPr>
              <w:rPr>
                <w:rFonts w:eastAsia="Times New Roman"/>
                <w:sz w:val="20"/>
                <w:szCs w:val="20"/>
              </w:rPr>
            </w:pPr>
          </w:p>
        </w:tc>
        <w:tc>
          <w:tcPr>
            <w:tcW w:w="570" w:type="pct"/>
            <w:vAlign w:val="center"/>
            <w:hideMark/>
          </w:tcPr>
          <w:p w14:paraId="07A1D2D0" w14:textId="77777777" w:rsidR="00000000" w:rsidRDefault="001A570A">
            <w:pPr>
              <w:rPr>
                <w:rFonts w:eastAsia="Times New Roman"/>
                <w:sz w:val="20"/>
                <w:szCs w:val="20"/>
              </w:rPr>
            </w:pPr>
          </w:p>
        </w:tc>
        <w:tc>
          <w:tcPr>
            <w:tcW w:w="5" w:type="pct"/>
            <w:vAlign w:val="center"/>
            <w:hideMark/>
          </w:tcPr>
          <w:p w14:paraId="6621340D" w14:textId="77777777" w:rsidR="00000000" w:rsidRDefault="001A570A">
            <w:pPr>
              <w:rPr>
                <w:rFonts w:eastAsia="Times New Roman"/>
                <w:sz w:val="20"/>
                <w:szCs w:val="20"/>
              </w:rPr>
            </w:pPr>
          </w:p>
        </w:tc>
        <w:tc>
          <w:tcPr>
            <w:tcW w:w="5" w:type="pct"/>
            <w:vAlign w:val="center"/>
            <w:hideMark/>
          </w:tcPr>
          <w:p w14:paraId="22D6C34C" w14:textId="77777777" w:rsidR="00000000" w:rsidRDefault="001A570A">
            <w:pPr>
              <w:rPr>
                <w:rFonts w:eastAsia="Times New Roman"/>
                <w:sz w:val="20"/>
                <w:szCs w:val="20"/>
              </w:rPr>
            </w:pPr>
          </w:p>
        </w:tc>
        <w:tc>
          <w:tcPr>
            <w:tcW w:w="25" w:type="pct"/>
            <w:vAlign w:val="center"/>
            <w:hideMark/>
          </w:tcPr>
          <w:p w14:paraId="240EF5A8" w14:textId="77777777" w:rsidR="00000000" w:rsidRDefault="001A570A">
            <w:pPr>
              <w:rPr>
                <w:rFonts w:eastAsia="Times New Roman"/>
                <w:sz w:val="20"/>
                <w:szCs w:val="20"/>
              </w:rPr>
            </w:pPr>
          </w:p>
        </w:tc>
        <w:tc>
          <w:tcPr>
            <w:tcW w:w="5" w:type="pct"/>
            <w:vAlign w:val="center"/>
            <w:hideMark/>
          </w:tcPr>
          <w:p w14:paraId="6CF2E69A" w14:textId="77777777" w:rsidR="00000000" w:rsidRDefault="001A570A">
            <w:pPr>
              <w:rPr>
                <w:rFonts w:eastAsia="Times New Roman"/>
                <w:sz w:val="20"/>
                <w:szCs w:val="20"/>
              </w:rPr>
            </w:pPr>
          </w:p>
        </w:tc>
        <w:tc>
          <w:tcPr>
            <w:tcW w:w="50" w:type="pct"/>
            <w:vAlign w:val="center"/>
            <w:hideMark/>
          </w:tcPr>
          <w:p w14:paraId="3D85811B" w14:textId="77777777" w:rsidR="00000000" w:rsidRDefault="001A570A">
            <w:pPr>
              <w:rPr>
                <w:rFonts w:eastAsia="Times New Roman"/>
                <w:sz w:val="20"/>
                <w:szCs w:val="20"/>
              </w:rPr>
            </w:pPr>
          </w:p>
        </w:tc>
        <w:tc>
          <w:tcPr>
            <w:tcW w:w="570" w:type="pct"/>
            <w:vAlign w:val="center"/>
            <w:hideMark/>
          </w:tcPr>
          <w:p w14:paraId="45B6B6A9" w14:textId="77777777" w:rsidR="00000000" w:rsidRDefault="001A570A">
            <w:pPr>
              <w:rPr>
                <w:rFonts w:eastAsia="Times New Roman"/>
                <w:sz w:val="20"/>
                <w:szCs w:val="20"/>
              </w:rPr>
            </w:pPr>
          </w:p>
        </w:tc>
        <w:tc>
          <w:tcPr>
            <w:tcW w:w="5" w:type="pct"/>
            <w:vAlign w:val="center"/>
            <w:hideMark/>
          </w:tcPr>
          <w:p w14:paraId="0D8A40AC" w14:textId="77777777" w:rsidR="00000000" w:rsidRDefault="001A570A">
            <w:pPr>
              <w:rPr>
                <w:rFonts w:eastAsia="Times New Roman"/>
                <w:sz w:val="20"/>
                <w:szCs w:val="20"/>
              </w:rPr>
            </w:pPr>
          </w:p>
        </w:tc>
        <w:tc>
          <w:tcPr>
            <w:tcW w:w="5" w:type="pct"/>
            <w:vAlign w:val="center"/>
            <w:hideMark/>
          </w:tcPr>
          <w:p w14:paraId="0BDFC0B5" w14:textId="77777777" w:rsidR="00000000" w:rsidRDefault="001A570A">
            <w:pPr>
              <w:rPr>
                <w:rFonts w:eastAsia="Times New Roman"/>
                <w:sz w:val="20"/>
                <w:szCs w:val="20"/>
              </w:rPr>
            </w:pPr>
          </w:p>
        </w:tc>
        <w:tc>
          <w:tcPr>
            <w:tcW w:w="25" w:type="pct"/>
            <w:vAlign w:val="center"/>
            <w:hideMark/>
          </w:tcPr>
          <w:p w14:paraId="21F09867" w14:textId="77777777" w:rsidR="00000000" w:rsidRDefault="001A570A">
            <w:pPr>
              <w:rPr>
                <w:rFonts w:eastAsia="Times New Roman"/>
                <w:sz w:val="20"/>
                <w:szCs w:val="20"/>
              </w:rPr>
            </w:pPr>
          </w:p>
        </w:tc>
        <w:tc>
          <w:tcPr>
            <w:tcW w:w="5" w:type="pct"/>
            <w:vAlign w:val="center"/>
            <w:hideMark/>
          </w:tcPr>
          <w:p w14:paraId="2613672F" w14:textId="77777777" w:rsidR="00000000" w:rsidRDefault="001A570A">
            <w:pPr>
              <w:rPr>
                <w:rFonts w:eastAsia="Times New Roman"/>
                <w:sz w:val="20"/>
                <w:szCs w:val="20"/>
              </w:rPr>
            </w:pPr>
          </w:p>
        </w:tc>
        <w:tc>
          <w:tcPr>
            <w:tcW w:w="50" w:type="pct"/>
            <w:vAlign w:val="center"/>
            <w:hideMark/>
          </w:tcPr>
          <w:p w14:paraId="516A3FA7" w14:textId="77777777" w:rsidR="00000000" w:rsidRDefault="001A570A">
            <w:pPr>
              <w:rPr>
                <w:rFonts w:eastAsia="Times New Roman"/>
                <w:sz w:val="20"/>
                <w:szCs w:val="20"/>
              </w:rPr>
            </w:pPr>
          </w:p>
        </w:tc>
        <w:tc>
          <w:tcPr>
            <w:tcW w:w="570" w:type="pct"/>
            <w:vAlign w:val="center"/>
            <w:hideMark/>
          </w:tcPr>
          <w:p w14:paraId="7418D1BE" w14:textId="77777777" w:rsidR="00000000" w:rsidRDefault="001A570A">
            <w:pPr>
              <w:rPr>
                <w:rFonts w:eastAsia="Times New Roman"/>
                <w:sz w:val="20"/>
                <w:szCs w:val="20"/>
              </w:rPr>
            </w:pPr>
          </w:p>
        </w:tc>
        <w:tc>
          <w:tcPr>
            <w:tcW w:w="5" w:type="pct"/>
            <w:vAlign w:val="center"/>
            <w:hideMark/>
          </w:tcPr>
          <w:p w14:paraId="77334B53" w14:textId="77777777" w:rsidR="00000000" w:rsidRDefault="001A570A">
            <w:pPr>
              <w:rPr>
                <w:rFonts w:eastAsia="Times New Roman"/>
                <w:sz w:val="20"/>
                <w:szCs w:val="20"/>
              </w:rPr>
            </w:pPr>
          </w:p>
        </w:tc>
      </w:tr>
      <w:tr w:rsidR="00000000" w14:paraId="24977DA3" w14:textId="77777777">
        <w:trPr>
          <w:divId w:val="697776482"/>
          <w:jc w:val="center"/>
        </w:trPr>
        <w:tc>
          <w:tcPr>
            <w:tcW w:w="0" w:type="auto"/>
            <w:gridSpan w:val="3"/>
            <w:tcMar>
              <w:top w:w="30" w:type="dxa"/>
              <w:left w:w="20" w:type="dxa"/>
              <w:bottom w:w="30" w:type="dxa"/>
              <w:right w:w="20" w:type="dxa"/>
            </w:tcMar>
            <w:vAlign w:val="bottom"/>
            <w:hideMark/>
          </w:tcPr>
          <w:p w14:paraId="223023BE"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BD7F1D0"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16647E79"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854AD7E"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539083D4"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A1E39AC"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7056258B" w14:textId="77777777">
        <w:trPr>
          <w:divId w:val="697776482"/>
          <w:jc w:val="center"/>
        </w:trPr>
        <w:tc>
          <w:tcPr>
            <w:tcW w:w="0" w:type="auto"/>
            <w:gridSpan w:val="3"/>
            <w:tcMar>
              <w:top w:w="30" w:type="dxa"/>
              <w:left w:w="20" w:type="dxa"/>
              <w:bottom w:w="30" w:type="dxa"/>
              <w:right w:w="20" w:type="dxa"/>
            </w:tcMar>
            <w:vAlign w:val="bottom"/>
            <w:hideMark/>
          </w:tcPr>
          <w:p w14:paraId="62BB9D3F"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28C5B38"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6D944B4F"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19F8FA"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18718296"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AB8065"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2F697C9B" w14:textId="77777777" w:rsidR="00000000" w:rsidRDefault="001A570A">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DE1EF2" w14:textId="77777777" w:rsidR="00000000" w:rsidRDefault="001A570A">
            <w:pPr>
              <w:jc w:val="center"/>
              <w:rPr>
                <w:rFonts w:eastAsia="Times New Roman"/>
              </w:rPr>
            </w:pPr>
            <w:r>
              <w:rPr>
                <w:rFonts w:eastAsia="Times New Roman"/>
                <w:b/>
                <w:bCs/>
                <w:color w:val="000000"/>
                <w:sz w:val="16"/>
                <w:szCs w:val="16"/>
              </w:rPr>
              <w:t>June 29, 2018</w:t>
            </w:r>
          </w:p>
        </w:tc>
      </w:tr>
      <w:tr w:rsidR="00000000" w14:paraId="0ADE1579" w14:textId="77777777">
        <w:trPr>
          <w:divId w:val="697776482"/>
          <w:jc w:val="center"/>
        </w:trPr>
        <w:tc>
          <w:tcPr>
            <w:tcW w:w="0" w:type="auto"/>
            <w:gridSpan w:val="3"/>
            <w:tcMar>
              <w:top w:w="30" w:type="dxa"/>
              <w:left w:w="20" w:type="dxa"/>
              <w:bottom w:w="30" w:type="dxa"/>
              <w:right w:w="20" w:type="dxa"/>
            </w:tcMar>
            <w:vAlign w:val="bottom"/>
            <w:hideMark/>
          </w:tcPr>
          <w:p w14:paraId="33EB3A9C" w14:textId="77777777" w:rsidR="00000000" w:rsidRDefault="001A570A">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0" w:type="dxa"/>
              <w:left w:w="20" w:type="dxa"/>
              <w:bottom w:w="0" w:type="dxa"/>
              <w:right w:w="20" w:type="dxa"/>
            </w:tcMar>
            <w:vAlign w:val="center"/>
            <w:hideMark/>
          </w:tcPr>
          <w:p w14:paraId="623448EA" w14:textId="77777777" w:rsidR="00000000" w:rsidRDefault="001A570A">
            <w:pPr>
              <w:rPr>
                <w:rFonts w:eastAsia="Times New Roman"/>
              </w:rPr>
            </w:pPr>
          </w:p>
        </w:tc>
      </w:tr>
      <w:tr w:rsidR="00000000" w14:paraId="561EEF1E" w14:textId="77777777">
        <w:trPr>
          <w:divId w:val="697776482"/>
          <w:jc w:val="center"/>
        </w:trPr>
        <w:tc>
          <w:tcPr>
            <w:tcW w:w="0" w:type="auto"/>
            <w:gridSpan w:val="3"/>
            <w:shd w:val="clear" w:color="auto" w:fill="CCEEFF"/>
            <w:tcMar>
              <w:top w:w="30" w:type="dxa"/>
              <w:left w:w="20" w:type="dxa"/>
              <w:bottom w:w="30" w:type="dxa"/>
              <w:right w:w="20" w:type="dxa"/>
            </w:tcMar>
            <w:hideMark/>
          </w:tcPr>
          <w:p w14:paraId="04EA7BFB" w14:textId="77777777" w:rsidR="00000000" w:rsidRDefault="001A570A">
            <w:pPr>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14:paraId="32A3086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8718F0" w14:textId="77777777" w:rsidR="00000000" w:rsidRDefault="001A570A">
            <w:pPr>
              <w:jc w:val="right"/>
              <w:rPr>
                <w:rFonts w:eastAsia="Times New Roman"/>
              </w:rPr>
            </w:pPr>
            <w:r>
              <w:rPr>
                <w:rFonts w:eastAsia="Times New Roman"/>
                <w:color w:val="000000"/>
                <w:sz w:val="20"/>
                <w:szCs w:val="20"/>
              </w:rPr>
              <w:t>1,086 </w:t>
            </w:r>
          </w:p>
        </w:tc>
        <w:tc>
          <w:tcPr>
            <w:tcW w:w="0" w:type="auto"/>
            <w:shd w:val="clear" w:color="auto" w:fill="CCEEFF"/>
            <w:tcMar>
              <w:top w:w="30" w:type="dxa"/>
              <w:left w:w="0" w:type="dxa"/>
              <w:bottom w:w="30" w:type="dxa"/>
              <w:right w:w="20" w:type="dxa"/>
            </w:tcMar>
            <w:vAlign w:val="bottom"/>
            <w:hideMark/>
          </w:tcPr>
          <w:p w14:paraId="60D472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3E9A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6674D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9D5484" w14:textId="77777777" w:rsidR="00000000" w:rsidRDefault="001A570A">
            <w:pPr>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14:paraId="4CC021D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E554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7A2C0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F8F5D1" w14:textId="77777777" w:rsidR="00000000" w:rsidRDefault="001A570A">
            <w:pPr>
              <w:jc w:val="right"/>
              <w:rPr>
                <w:rFonts w:eastAsia="Times New Roman"/>
              </w:rPr>
            </w:pPr>
            <w:r>
              <w:rPr>
                <w:rFonts w:eastAsia="Times New Roman"/>
                <w:color w:val="000000"/>
                <w:sz w:val="20"/>
                <w:szCs w:val="20"/>
              </w:rPr>
              <w:t>949 </w:t>
            </w:r>
          </w:p>
        </w:tc>
        <w:tc>
          <w:tcPr>
            <w:tcW w:w="0" w:type="auto"/>
            <w:shd w:val="clear" w:color="auto" w:fill="CCEEFF"/>
            <w:tcMar>
              <w:top w:w="30" w:type="dxa"/>
              <w:left w:w="0" w:type="dxa"/>
              <w:bottom w:w="30" w:type="dxa"/>
              <w:right w:w="20" w:type="dxa"/>
            </w:tcMar>
            <w:vAlign w:val="bottom"/>
            <w:hideMark/>
          </w:tcPr>
          <w:p w14:paraId="5FFB56D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0A44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EABD2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68B746" w14:textId="77777777" w:rsidR="00000000" w:rsidRDefault="001A570A">
            <w:pPr>
              <w:jc w:val="right"/>
              <w:rPr>
                <w:rFonts w:eastAsia="Times New Roman"/>
              </w:rPr>
            </w:pPr>
            <w:r>
              <w:rPr>
                <w:rFonts w:eastAsia="Times New Roman"/>
                <w:color w:val="000000"/>
                <w:sz w:val="20"/>
                <w:szCs w:val="20"/>
              </w:rPr>
              <w:t>699 </w:t>
            </w:r>
          </w:p>
        </w:tc>
        <w:tc>
          <w:tcPr>
            <w:tcW w:w="0" w:type="auto"/>
            <w:shd w:val="clear" w:color="auto" w:fill="CCEEFF"/>
            <w:tcMar>
              <w:top w:w="30" w:type="dxa"/>
              <w:left w:w="0" w:type="dxa"/>
              <w:bottom w:w="30" w:type="dxa"/>
              <w:right w:w="20" w:type="dxa"/>
            </w:tcMar>
            <w:vAlign w:val="bottom"/>
            <w:hideMark/>
          </w:tcPr>
          <w:p w14:paraId="764BD45D" w14:textId="77777777" w:rsidR="00000000" w:rsidRDefault="001A570A">
            <w:pPr>
              <w:jc w:val="right"/>
              <w:rPr>
                <w:rFonts w:eastAsia="Times New Roman"/>
              </w:rPr>
            </w:pPr>
          </w:p>
        </w:tc>
      </w:tr>
      <w:tr w:rsidR="00000000" w14:paraId="6862AA40" w14:textId="77777777">
        <w:trPr>
          <w:divId w:val="697776482"/>
          <w:jc w:val="center"/>
        </w:trPr>
        <w:tc>
          <w:tcPr>
            <w:tcW w:w="0" w:type="auto"/>
            <w:gridSpan w:val="3"/>
            <w:shd w:val="clear" w:color="auto" w:fill="FFFFFF"/>
            <w:tcMar>
              <w:top w:w="30" w:type="dxa"/>
              <w:left w:w="20" w:type="dxa"/>
              <w:bottom w:w="30" w:type="dxa"/>
              <w:right w:w="20" w:type="dxa"/>
            </w:tcMar>
            <w:hideMark/>
          </w:tcPr>
          <w:p w14:paraId="7BC82B22" w14:textId="77777777" w:rsidR="00000000" w:rsidRDefault="001A570A">
            <w:pPr>
              <w:rPr>
                <w:rFonts w:eastAsia="Times New Roman"/>
              </w:rPr>
            </w:pPr>
            <w:r>
              <w:rPr>
                <w:rFonts w:eastAsia="Times New Roman"/>
                <w:color w:val="000000"/>
                <w:sz w:val="20"/>
                <w:szCs w:val="20"/>
              </w:rPr>
              <w:t>Other comprehensive (loss) income:</w:t>
            </w:r>
          </w:p>
        </w:tc>
        <w:tc>
          <w:tcPr>
            <w:tcW w:w="0" w:type="auto"/>
            <w:gridSpan w:val="3"/>
            <w:shd w:val="clear" w:color="auto" w:fill="FFFFFF"/>
            <w:tcMar>
              <w:top w:w="0" w:type="dxa"/>
              <w:left w:w="20" w:type="dxa"/>
              <w:bottom w:w="0" w:type="dxa"/>
              <w:right w:w="20" w:type="dxa"/>
            </w:tcMar>
            <w:vAlign w:val="center"/>
            <w:hideMark/>
          </w:tcPr>
          <w:p w14:paraId="492BC45E"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91E4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ABFC6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FF27D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7C83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B86B2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F37F2D" w14:textId="77777777" w:rsidR="00000000" w:rsidRDefault="001A570A">
            <w:pPr>
              <w:rPr>
                <w:rFonts w:eastAsia="Times New Roman"/>
                <w:sz w:val="20"/>
                <w:szCs w:val="20"/>
              </w:rPr>
            </w:pPr>
          </w:p>
        </w:tc>
      </w:tr>
      <w:tr w:rsidR="00000000" w14:paraId="4E02DC72" w14:textId="77777777">
        <w:trPr>
          <w:divId w:val="697776482"/>
          <w:jc w:val="center"/>
        </w:trPr>
        <w:tc>
          <w:tcPr>
            <w:tcW w:w="0" w:type="auto"/>
            <w:gridSpan w:val="3"/>
            <w:shd w:val="clear" w:color="auto" w:fill="CCEEFF"/>
            <w:tcMar>
              <w:top w:w="30" w:type="dxa"/>
              <w:left w:w="410" w:type="dxa"/>
              <w:bottom w:w="30" w:type="dxa"/>
              <w:right w:w="20" w:type="dxa"/>
            </w:tcMar>
            <w:vAlign w:val="bottom"/>
            <w:hideMark/>
          </w:tcPr>
          <w:p w14:paraId="2C2A4F57" w14:textId="77777777" w:rsidR="00000000" w:rsidRDefault="001A570A">
            <w:pPr>
              <w:ind w:hanging="270"/>
              <w:rPr>
                <w:rFonts w:eastAsia="Times New Roman"/>
              </w:rPr>
            </w:pPr>
            <w:r>
              <w:rPr>
                <w:rFonts w:eastAsia="Times New Roman"/>
                <w:color w:val="000000"/>
                <w:sz w:val="20"/>
                <w:szCs w:val="20"/>
              </w:rPr>
              <w:t>Foreign currency translation gain (loss), net of income taxes</w:t>
            </w:r>
          </w:p>
        </w:tc>
        <w:tc>
          <w:tcPr>
            <w:tcW w:w="0" w:type="auto"/>
            <w:gridSpan w:val="2"/>
            <w:shd w:val="clear" w:color="auto" w:fill="CCEEFF"/>
            <w:tcMar>
              <w:top w:w="30" w:type="dxa"/>
              <w:left w:w="20" w:type="dxa"/>
              <w:bottom w:w="30" w:type="dxa"/>
              <w:right w:w="0" w:type="dxa"/>
            </w:tcMar>
            <w:vAlign w:val="bottom"/>
            <w:hideMark/>
          </w:tcPr>
          <w:p w14:paraId="6E327A45"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218995B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14FA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992F55"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49B980C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F502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01E50B"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50BCB5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C4A9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78376"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7CAB2DA4" w14:textId="77777777" w:rsidR="00000000" w:rsidRDefault="001A570A">
            <w:pPr>
              <w:jc w:val="right"/>
              <w:rPr>
                <w:rFonts w:eastAsia="Times New Roman"/>
              </w:rPr>
            </w:pPr>
          </w:p>
        </w:tc>
      </w:tr>
      <w:tr w:rsidR="00000000" w14:paraId="683FC5E3" w14:textId="77777777">
        <w:trPr>
          <w:divId w:val="697776482"/>
          <w:jc w:val="center"/>
        </w:trPr>
        <w:tc>
          <w:tcPr>
            <w:tcW w:w="0" w:type="auto"/>
            <w:gridSpan w:val="3"/>
            <w:shd w:val="clear" w:color="auto" w:fill="FFFFFF"/>
            <w:tcMar>
              <w:top w:w="30" w:type="dxa"/>
              <w:left w:w="410" w:type="dxa"/>
              <w:bottom w:w="30" w:type="dxa"/>
              <w:right w:w="20" w:type="dxa"/>
            </w:tcMar>
            <w:vAlign w:val="bottom"/>
            <w:hideMark/>
          </w:tcPr>
          <w:p w14:paraId="5ECFE298" w14:textId="77777777" w:rsidR="00000000" w:rsidRDefault="001A570A">
            <w:pPr>
              <w:ind w:hanging="270"/>
              <w:rPr>
                <w:rFonts w:eastAsia="Times New Roman"/>
              </w:rPr>
            </w:pPr>
            <w:r>
              <w:rPr>
                <w:rFonts w:eastAsia="Times New Roman"/>
                <w:color w:val="000000"/>
                <w:sz w:val="20"/>
                <w:szCs w:val="20"/>
              </w:rPr>
              <w:t>Net unrealized (loss) gain on hedging derivatives, net of income taxes</w:t>
            </w:r>
          </w:p>
        </w:tc>
        <w:tc>
          <w:tcPr>
            <w:tcW w:w="0" w:type="auto"/>
            <w:gridSpan w:val="2"/>
            <w:shd w:val="clear" w:color="auto" w:fill="FFFFFF"/>
            <w:tcMar>
              <w:top w:w="30" w:type="dxa"/>
              <w:left w:w="20" w:type="dxa"/>
              <w:bottom w:w="30" w:type="dxa"/>
              <w:right w:w="0" w:type="dxa"/>
            </w:tcMar>
            <w:vAlign w:val="bottom"/>
            <w:hideMark/>
          </w:tcPr>
          <w:p w14:paraId="6834D19C" w14:textId="77777777" w:rsidR="00000000" w:rsidRDefault="001A570A">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4D5A39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0FFB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6FE7ED" w14:textId="77777777" w:rsidR="00000000" w:rsidRDefault="001A570A">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072149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AD0B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266B35"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5BEB78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A420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42FE1A"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91AE7EB" w14:textId="77777777" w:rsidR="00000000" w:rsidRDefault="001A570A">
            <w:pPr>
              <w:jc w:val="right"/>
              <w:rPr>
                <w:rFonts w:eastAsia="Times New Roman"/>
              </w:rPr>
            </w:pPr>
          </w:p>
        </w:tc>
      </w:tr>
      <w:tr w:rsidR="00000000" w14:paraId="4AAA1ACF" w14:textId="77777777">
        <w:trPr>
          <w:divId w:val="697776482"/>
          <w:jc w:val="center"/>
        </w:trPr>
        <w:tc>
          <w:tcPr>
            <w:tcW w:w="0" w:type="auto"/>
            <w:gridSpan w:val="3"/>
            <w:shd w:val="clear" w:color="auto" w:fill="CCEEFF"/>
            <w:tcMar>
              <w:top w:w="30" w:type="dxa"/>
              <w:left w:w="410" w:type="dxa"/>
              <w:bottom w:w="30" w:type="dxa"/>
              <w:right w:w="20" w:type="dxa"/>
            </w:tcMar>
            <w:vAlign w:val="bottom"/>
            <w:hideMark/>
          </w:tcPr>
          <w:p w14:paraId="7197730C" w14:textId="77777777" w:rsidR="00000000" w:rsidRDefault="001A570A">
            <w:pPr>
              <w:ind w:hanging="270"/>
              <w:rPr>
                <w:rFonts w:eastAsia="Times New Roman"/>
              </w:rPr>
            </w:pPr>
            <w:r>
              <w:rPr>
                <w:rFonts w:eastAsia="Times New Roman"/>
                <w:color w:val="000000"/>
                <w:sz w:val="20"/>
                <w:szCs w:val="20"/>
              </w:rPr>
              <w:t>Net unrecognized (loss) gain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14:paraId="5A258E8A" w14:textId="77777777" w:rsidR="00000000" w:rsidRDefault="001A570A">
            <w:pPr>
              <w:jc w:val="right"/>
              <w:rPr>
                <w:rFonts w:eastAsia="Times New Roman"/>
              </w:rPr>
            </w:pPr>
            <w:r>
              <w:rPr>
                <w:rFonts w:eastAsia="Times New Roman"/>
                <w:color w:val="000000"/>
                <w:sz w:val="20"/>
                <w:szCs w:val="20"/>
              </w:rPr>
              <w:t>(313)</w:t>
            </w:r>
          </w:p>
        </w:tc>
        <w:tc>
          <w:tcPr>
            <w:tcW w:w="0" w:type="auto"/>
            <w:shd w:val="clear" w:color="auto" w:fill="CCEEFF"/>
            <w:tcMar>
              <w:top w:w="30" w:type="dxa"/>
              <w:left w:w="0" w:type="dxa"/>
              <w:bottom w:w="30" w:type="dxa"/>
              <w:right w:w="20" w:type="dxa"/>
            </w:tcMar>
            <w:vAlign w:val="bottom"/>
            <w:hideMark/>
          </w:tcPr>
          <w:p w14:paraId="6DDA35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9024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89FF9" w14:textId="77777777" w:rsidR="00000000" w:rsidRDefault="001A570A">
            <w:pPr>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14:paraId="554E19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CA28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63871B" w14:textId="77777777" w:rsidR="00000000" w:rsidRDefault="001A570A">
            <w:pPr>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14:paraId="7442F8E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313C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98D2F" w14:textId="77777777" w:rsidR="00000000" w:rsidRDefault="001A570A">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14:paraId="731A1525" w14:textId="77777777" w:rsidR="00000000" w:rsidRDefault="001A570A">
            <w:pPr>
              <w:jc w:val="right"/>
              <w:rPr>
                <w:rFonts w:eastAsia="Times New Roman"/>
              </w:rPr>
            </w:pPr>
          </w:p>
        </w:tc>
      </w:tr>
      <w:tr w:rsidR="00000000" w14:paraId="06E40C4E" w14:textId="77777777">
        <w:trPr>
          <w:divId w:val="697776482"/>
          <w:jc w:val="center"/>
        </w:trPr>
        <w:tc>
          <w:tcPr>
            <w:tcW w:w="0" w:type="auto"/>
            <w:gridSpan w:val="3"/>
            <w:shd w:val="clear" w:color="auto" w:fill="FFFFFF"/>
            <w:tcMar>
              <w:top w:w="30" w:type="dxa"/>
              <w:left w:w="410" w:type="dxa"/>
              <w:bottom w:w="30" w:type="dxa"/>
              <w:right w:w="20" w:type="dxa"/>
            </w:tcMar>
            <w:vAlign w:val="bottom"/>
            <w:hideMark/>
          </w:tcPr>
          <w:p w14:paraId="7AD36677" w14:textId="77777777" w:rsidR="00000000" w:rsidRDefault="001A570A">
            <w:pPr>
              <w:ind w:hanging="270"/>
              <w:rPr>
                <w:rFonts w:eastAsia="Times New Roman"/>
              </w:rPr>
            </w:pPr>
            <w:r>
              <w:rPr>
                <w:rFonts w:eastAsia="Times New Roman"/>
                <w:color w:val="000000"/>
                <w:sz w:val="20"/>
                <w:szCs w:val="20"/>
              </w:rPr>
              <w:t>Other comprehensive (loss) income,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0ED952" w14:textId="77777777" w:rsidR="00000000" w:rsidRDefault="001A570A">
            <w:pPr>
              <w:jc w:val="right"/>
              <w:rPr>
                <w:rFonts w:eastAsia="Times New Roman"/>
              </w:rPr>
            </w:pPr>
            <w:r>
              <w:rPr>
                <w:rFonts w:eastAsia="Times New Roman"/>
                <w:color w:val="000000"/>
                <w:sz w:val="20"/>
                <w:szCs w:val="20"/>
              </w:rPr>
              <w:t>(328)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B3DC7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D3AC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651964" w14:textId="77777777" w:rsidR="00000000" w:rsidRDefault="001A570A">
            <w:pPr>
              <w:jc w:val="right"/>
              <w:rPr>
                <w:rFonts w:eastAsia="Times New Roman"/>
              </w:rPr>
            </w:pPr>
            <w:r>
              <w:rPr>
                <w:rFonts w:eastAsia="Times New Roman"/>
                <w:color w:val="000000"/>
                <w:sz w:val="20"/>
                <w:szCs w:val="20"/>
              </w:rPr>
              <w:t>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8C128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EBE6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CB193C" w14:textId="77777777" w:rsidR="00000000" w:rsidRDefault="001A570A">
            <w:pPr>
              <w:jc w:val="right"/>
              <w:rPr>
                <w:rFonts w:eastAsia="Times New Roman"/>
              </w:rPr>
            </w:pPr>
            <w:r>
              <w:rPr>
                <w:rFonts w:eastAsia="Times New Roman"/>
                <w:color w:val="000000"/>
                <w:sz w:val="20"/>
                <w:szCs w:val="20"/>
              </w:rPr>
              <w:t>(505)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93E60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D064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16497A" w14:textId="77777777" w:rsidR="00000000" w:rsidRDefault="001A570A">
            <w:pPr>
              <w:jc w:val="right"/>
              <w:rPr>
                <w:rFonts w:eastAsia="Times New Roman"/>
              </w:rPr>
            </w:pPr>
            <w:r>
              <w:rPr>
                <w:rFonts w:eastAsia="Times New Roman"/>
                <w:color w:val="000000"/>
                <w:sz w:val="20"/>
                <w:szCs w:val="20"/>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0DA0F0" w14:textId="77777777" w:rsidR="00000000" w:rsidRDefault="001A570A">
            <w:pPr>
              <w:jc w:val="right"/>
              <w:rPr>
                <w:rFonts w:eastAsia="Times New Roman"/>
              </w:rPr>
            </w:pPr>
          </w:p>
        </w:tc>
      </w:tr>
      <w:tr w:rsidR="00000000" w14:paraId="73C414EB" w14:textId="77777777">
        <w:trPr>
          <w:divId w:val="697776482"/>
          <w:jc w:val="center"/>
        </w:trPr>
        <w:tc>
          <w:tcPr>
            <w:tcW w:w="0" w:type="auto"/>
            <w:gridSpan w:val="3"/>
            <w:shd w:val="clear" w:color="auto" w:fill="CCEEFF"/>
            <w:tcMar>
              <w:top w:w="30" w:type="dxa"/>
              <w:left w:w="290" w:type="dxa"/>
              <w:bottom w:w="30" w:type="dxa"/>
              <w:right w:w="20" w:type="dxa"/>
            </w:tcMar>
            <w:vAlign w:val="bottom"/>
            <w:hideMark/>
          </w:tcPr>
          <w:p w14:paraId="75B8BC23" w14:textId="77777777" w:rsidR="00000000" w:rsidRDefault="001A570A">
            <w:pPr>
              <w:ind w:hanging="270"/>
              <w:rPr>
                <w:rFonts w:eastAsia="Times New Roman"/>
              </w:rPr>
            </w:pPr>
            <w:r>
              <w:rPr>
                <w:rFonts w:eastAsia="Times New Roman"/>
                <w:color w:val="000000"/>
                <w:sz w:val="20"/>
                <w:szCs w:val="20"/>
              </w:rPr>
              <w:t>Less: reclassification adjustments for (gains) losses included in net income</w:t>
            </w:r>
          </w:p>
        </w:tc>
        <w:tc>
          <w:tcPr>
            <w:tcW w:w="0" w:type="auto"/>
            <w:gridSpan w:val="2"/>
            <w:shd w:val="clear" w:color="auto" w:fill="CCEEFF"/>
            <w:tcMar>
              <w:top w:w="30" w:type="dxa"/>
              <w:left w:w="20" w:type="dxa"/>
              <w:bottom w:w="30" w:type="dxa"/>
              <w:right w:w="0" w:type="dxa"/>
            </w:tcMar>
            <w:vAlign w:val="bottom"/>
            <w:hideMark/>
          </w:tcPr>
          <w:p w14:paraId="4B168692"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3A35729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B009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2C853"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D5BCA5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ED35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AF432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AFAA4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506D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8543A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80F858" w14:textId="77777777" w:rsidR="00000000" w:rsidRDefault="001A570A">
            <w:pPr>
              <w:jc w:val="right"/>
              <w:rPr>
                <w:rFonts w:eastAsia="Times New Roman"/>
              </w:rPr>
            </w:pPr>
          </w:p>
        </w:tc>
      </w:tr>
      <w:tr w:rsidR="00000000" w14:paraId="1B13E179" w14:textId="77777777">
        <w:trPr>
          <w:divId w:val="697776482"/>
          <w:jc w:val="center"/>
        </w:trPr>
        <w:tc>
          <w:tcPr>
            <w:tcW w:w="0" w:type="auto"/>
            <w:gridSpan w:val="3"/>
            <w:shd w:val="clear" w:color="auto" w:fill="FFFFFF"/>
            <w:tcMar>
              <w:top w:w="30" w:type="dxa"/>
              <w:left w:w="20" w:type="dxa"/>
              <w:bottom w:w="30" w:type="dxa"/>
              <w:right w:w="20" w:type="dxa"/>
            </w:tcMar>
            <w:hideMark/>
          </w:tcPr>
          <w:p w14:paraId="44636A1D" w14:textId="77777777" w:rsidR="00000000" w:rsidRDefault="001A570A">
            <w:pPr>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EAC65C" w14:textId="77777777" w:rsidR="00000000" w:rsidRDefault="001A570A">
            <w:pPr>
              <w:jc w:val="right"/>
              <w:rPr>
                <w:rFonts w:eastAsia="Times New Roman"/>
              </w:rPr>
            </w:pPr>
            <w:r>
              <w:rPr>
                <w:rFonts w:eastAsia="Times New Roman"/>
                <w:color w:val="000000"/>
                <w:sz w:val="20"/>
                <w:szCs w:val="20"/>
              </w:rPr>
              <w:t>(331)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C8798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A520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58F223" w14:textId="77777777" w:rsidR="00000000" w:rsidRDefault="001A570A">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E19A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A2B8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A3AA90" w14:textId="77777777" w:rsidR="00000000" w:rsidRDefault="001A570A">
            <w:pPr>
              <w:jc w:val="right"/>
              <w:rPr>
                <w:rFonts w:eastAsia="Times New Roman"/>
              </w:rPr>
            </w:pPr>
            <w:r>
              <w:rPr>
                <w:rFonts w:eastAsia="Times New Roman"/>
                <w:color w:val="000000"/>
                <w:sz w:val="20"/>
                <w:szCs w:val="20"/>
              </w:rPr>
              <w:t>(505)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D320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AF47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A1F104" w14:textId="77777777" w:rsidR="00000000" w:rsidRDefault="001A570A">
            <w:pPr>
              <w:jc w:val="right"/>
              <w:rPr>
                <w:rFonts w:eastAsia="Times New Roman"/>
              </w:rPr>
            </w:pPr>
            <w:r>
              <w:rPr>
                <w:rFonts w:eastAsia="Times New Roman"/>
                <w:color w:val="000000"/>
                <w:sz w:val="20"/>
                <w:szCs w:val="20"/>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A81AAB" w14:textId="77777777" w:rsidR="00000000" w:rsidRDefault="001A570A">
            <w:pPr>
              <w:jc w:val="right"/>
              <w:rPr>
                <w:rFonts w:eastAsia="Times New Roman"/>
              </w:rPr>
            </w:pPr>
          </w:p>
        </w:tc>
      </w:tr>
      <w:tr w:rsidR="00000000" w14:paraId="092CAD6A" w14:textId="77777777">
        <w:trPr>
          <w:divId w:val="697776482"/>
          <w:jc w:val="center"/>
        </w:trPr>
        <w:tc>
          <w:tcPr>
            <w:tcW w:w="0" w:type="auto"/>
            <w:gridSpan w:val="3"/>
            <w:shd w:val="clear" w:color="auto" w:fill="CCEEFF"/>
            <w:tcMar>
              <w:top w:w="30" w:type="dxa"/>
              <w:left w:w="20" w:type="dxa"/>
              <w:bottom w:w="30" w:type="dxa"/>
              <w:right w:w="20" w:type="dxa"/>
            </w:tcMar>
            <w:hideMark/>
          </w:tcPr>
          <w:p w14:paraId="64BDA025" w14:textId="77777777" w:rsidR="00000000" w:rsidRDefault="001A570A">
            <w:pPr>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B58654" w14:textId="77777777" w:rsidR="00000000" w:rsidRDefault="001A570A">
            <w:pPr>
              <w:jc w:val="right"/>
              <w:rPr>
                <w:rFonts w:eastAsia="Times New Roman"/>
              </w:rPr>
            </w:pPr>
            <w:r>
              <w:rPr>
                <w:rFonts w:eastAsia="Times New Roman"/>
                <w:color w:val="000000"/>
                <w:sz w:val="20"/>
                <w:szCs w:val="20"/>
              </w:rPr>
              <w:t>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EF2B0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224E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5D78D8" w14:textId="77777777" w:rsidR="00000000" w:rsidRDefault="001A570A">
            <w:pPr>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F1DDA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0E15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620E70" w14:textId="77777777" w:rsidR="00000000" w:rsidRDefault="001A570A">
            <w:pPr>
              <w:jc w:val="right"/>
              <w:rPr>
                <w:rFonts w:eastAsia="Times New Roman"/>
              </w:rPr>
            </w:pPr>
            <w:r>
              <w:rPr>
                <w:rFonts w:eastAsia="Times New Roman"/>
                <w:color w:val="000000"/>
                <w:sz w:val="20"/>
                <w:szCs w:val="20"/>
              </w:rPr>
              <w:t>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D0C93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4E7E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00577C" w14:textId="77777777" w:rsidR="00000000" w:rsidRDefault="001A570A">
            <w:pPr>
              <w:jc w:val="right"/>
              <w:rPr>
                <w:rFonts w:eastAsia="Times New Roman"/>
              </w:rPr>
            </w:pPr>
            <w:r>
              <w:rPr>
                <w:rFonts w:eastAsia="Times New Roman"/>
                <w:color w:val="000000"/>
                <w:sz w:val="20"/>
                <w:szCs w:val="20"/>
              </w:rPr>
              <w:t>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2936EB" w14:textId="77777777" w:rsidR="00000000" w:rsidRDefault="001A570A">
            <w:pPr>
              <w:jc w:val="right"/>
              <w:rPr>
                <w:rFonts w:eastAsia="Times New Roman"/>
              </w:rPr>
            </w:pPr>
          </w:p>
        </w:tc>
      </w:tr>
      <w:tr w:rsidR="00000000" w14:paraId="49B2F5A6" w14:textId="77777777">
        <w:trPr>
          <w:divId w:val="697776482"/>
          <w:jc w:val="center"/>
        </w:trPr>
        <w:tc>
          <w:tcPr>
            <w:tcW w:w="0" w:type="auto"/>
            <w:gridSpan w:val="3"/>
            <w:shd w:val="clear" w:color="auto" w:fill="FFFFFF"/>
            <w:tcMar>
              <w:top w:w="30" w:type="dxa"/>
              <w:left w:w="290" w:type="dxa"/>
              <w:bottom w:w="30" w:type="dxa"/>
              <w:right w:w="20" w:type="dxa"/>
            </w:tcMar>
            <w:vAlign w:val="bottom"/>
            <w:hideMark/>
          </w:tcPr>
          <w:p w14:paraId="12057F65" w14:textId="77777777" w:rsidR="00000000" w:rsidRDefault="001A570A">
            <w:pPr>
              <w:ind w:hanging="270"/>
              <w:rPr>
                <w:rFonts w:eastAsia="Times New Roman"/>
              </w:rPr>
            </w:pPr>
            <w:r>
              <w:rPr>
                <w:rFonts w:eastAsia="Times New Roman"/>
                <w:color w:val="000000"/>
                <w:sz w:val="20"/>
                <w:szCs w:val="20"/>
              </w:rPr>
              <w:t>Comprehensive loss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77F50EE5"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0F4952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9E2E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38C3E"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64A800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400A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AFA3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2EC6A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711D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C4288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542241" w14:textId="77777777" w:rsidR="00000000" w:rsidRDefault="001A570A">
            <w:pPr>
              <w:jc w:val="right"/>
              <w:rPr>
                <w:rFonts w:eastAsia="Times New Roman"/>
              </w:rPr>
            </w:pPr>
          </w:p>
        </w:tc>
      </w:tr>
      <w:tr w:rsidR="00000000" w14:paraId="69B15EC3" w14:textId="77777777">
        <w:trPr>
          <w:divId w:val="697776482"/>
          <w:jc w:val="center"/>
        </w:trPr>
        <w:tc>
          <w:tcPr>
            <w:tcW w:w="0" w:type="auto"/>
            <w:gridSpan w:val="3"/>
            <w:shd w:val="clear" w:color="auto" w:fill="CCEEFF"/>
            <w:tcMar>
              <w:top w:w="30" w:type="dxa"/>
              <w:left w:w="290" w:type="dxa"/>
              <w:bottom w:w="30" w:type="dxa"/>
              <w:right w:w="20" w:type="dxa"/>
            </w:tcMar>
            <w:vAlign w:val="bottom"/>
            <w:hideMark/>
          </w:tcPr>
          <w:p w14:paraId="7186B991" w14:textId="77777777" w:rsidR="00000000" w:rsidRDefault="001A570A">
            <w:pPr>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89EED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9C1E4C" w14:textId="77777777" w:rsidR="00000000" w:rsidRDefault="001A570A">
            <w:pPr>
              <w:jc w:val="right"/>
              <w:rPr>
                <w:rFonts w:eastAsia="Times New Roman"/>
              </w:rPr>
            </w:pPr>
            <w:r>
              <w:rPr>
                <w:rFonts w:eastAsia="Times New Roman"/>
                <w:color w:val="000000"/>
                <w:sz w:val="20"/>
                <w:szCs w:val="20"/>
              </w:rPr>
              <w:t>788 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4316F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3BA0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95356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2F72FC" w14:textId="77777777" w:rsidR="00000000" w:rsidRDefault="001A570A">
            <w:pPr>
              <w:jc w:val="right"/>
              <w:rPr>
                <w:rFonts w:eastAsia="Times New Roman"/>
              </w:rPr>
            </w:pPr>
            <w:r>
              <w:rPr>
                <w:rFonts w:eastAsia="Times New Roman"/>
                <w:color w:val="000000"/>
                <w:sz w:val="20"/>
                <w:szCs w:val="20"/>
              </w:rPr>
              <w:t>1,021 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5B05F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09519"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6494A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A8C4AE" w14:textId="77777777" w:rsidR="00000000" w:rsidRDefault="001A570A">
            <w:pPr>
              <w:jc w:val="right"/>
              <w:rPr>
                <w:rFonts w:eastAsia="Times New Roman"/>
              </w:rPr>
            </w:pPr>
            <w:r>
              <w:rPr>
                <w:rFonts w:eastAsia="Times New Roman"/>
                <w:color w:val="000000"/>
                <w:sz w:val="20"/>
                <w:szCs w:val="20"/>
              </w:rPr>
              <w:t>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8E2F8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1886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9BEDF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058024" w14:textId="77777777" w:rsidR="00000000" w:rsidRDefault="001A570A">
            <w:pPr>
              <w:jc w:val="right"/>
              <w:rPr>
                <w:rFonts w:eastAsia="Times New Roman"/>
              </w:rPr>
            </w:pPr>
            <w:r>
              <w:rPr>
                <w:rFonts w:eastAsia="Times New Roman"/>
                <w:color w:val="000000"/>
                <w:sz w:val="20"/>
                <w:szCs w:val="20"/>
              </w:rPr>
              <w:t>808 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11A345" w14:textId="77777777" w:rsidR="00000000" w:rsidRDefault="001A570A">
            <w:pPr>
              <w:jc w:val="right"/>
              <w:rPr>
                <w:rFonts w:eastAsia="Times New Roman"/>
              </w:rPr>
            </w:pPr>
          </w:p>
        </w:tc>
      </w:tr>
    </w:tbl>
    <w:p w14:paraId="548D50BB" w14:textId="77777777" w:rsidR="00000000" w:rsidRDefault="001A570A">
      <w:pPr>
        <w:divId w:val="2134015062"/>
        <w:rPr>
          <w:rFonts w:eastAsia="Times New Roman"/>
        </w:rPr>
      </w:pPr>
      <w:r>
        <w:rPr>
          <w:rFonts w:eastAsia="Times New Roman"/>
          <w:color w:val="000000"/>
          <w:sz w:val="20"/>
          <w:szCs w:val="20"/>
        </w:rPr>
        <w:t>See accompanying Notes to Consolidated Financial Statements.</w:t>
      </w:r>
    </w:p>
    <w:p w14:paraId="4C5EF35E" w14:textId="77777777" w:rsidR="00000000" w:rsidRDefault="001A570A">
      <w:pPr>
        <w:ind w:firstLine="450"/>
        <w:divId w:val="764378213"/>
        <w:rPr>
          <w:rFonts w:eastAsia="Times New Roman"/>
        </w:rPr>
      </w:pPr>
    </w:p>
    <w:p w14:paraId="71AB4A64" w14:textId="77777777" w:rsidR="00000000" w:rsidRDefault="001A570A">
      <w:pPr>
        <w:ind w:firstLine="450"/>
        <w:jc w:val="center"/>
        <w:divId w:val="1327172746"/>
        <w:rPr>
          <w:rFonts w:eastAsia="Times New Roman"/>
        </w:rPr>
      </w:pPr>
      <w:r>
        <w:rPr>
          <w:rFonts w:eastAsia="Times New Roman"/>
          <w:color w:val="000000"/>
          <w:sz w:val="20"/>
          <w:szCs w:val="20"/>
        </w:rPr>
        <w:t>77</w:t>
      </w:r>
    </w:p>
    <w:p w14:paraId="5351D816" w14:textId="77777777" w:rsidR="00000000" w:rsidRDefault="001A570A">
      <w:pPr>
        <w:rPr>
          <w:rFonts w:eastAsia="Times New Roman"/>
        </w:rPr>
      </w:pPr>
      <w:r>
        <w:rPr>
          <w:rFonts w:eastAsia="Times New Roman"/>
        </w:rPr>
        <w:pict w14:anchorId="5D3128E2">
          <v:rect id="_x0000_i1105" style="width:0;height:1.5pt" o:hralign="center" o:hrstd="t" o:hr="t" fillcolor="#a0a0a0" stroked="f"/>
        </w:pict>
      </w:r>
    </w:p>
    <w:p w14:paraId="05DBA447" w14:textId="77777777" w:rsidR="00000000" w:rsidRDefault="001A570A">
      <w:pPr>
        <w:ind w:firstLine="450"/>
        <w:divId w:val="200552043"/>
        <w:rPr>
          <w:rFonts w:eastAsia="Times New Roman"/>
        </w:rPr>
      </w:pPr>
    </w:p>
    <w:p w14:paraId="5639FAED" w14:textId="77777777" w:rsidR="00000000" w:rsidRDefault="001A570A">
      <w:pPr>
        <w:divId w:val="44842969"/>
        <w:rPr>
          <w:rFonts w:eastAsia="Times New Roman"/>
        </w:rPr>
      </w:pPr>
      <w:r>
        <w:rPr>
          <w:rFonts w:eastAsia="Times New Roman"/>
          <w:b/>
          <w:bCs/>
          <w:color w:val="000000"/>
          <w:sz w:val="20"/>
          <w:szCs w:val="20"/>
        </w:rPr>
        <w:t>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40"/>
        <w:gridCol w:w="5768"/>
        <w:gridCol w:w="36"/>
        <w:gridCol w:w="120"/>
        <w:gridCol w:w="1039"/>
        <w:gridCol w:w="36"/>
        <w:gridCol w:w="36"/>
        <w:gridCol w:w="36"/>
        <w:gridCol w:w="36"/>
        <w:gridCol w:w="120"/>
        <w:gridCol w:w="1003"/>
        <w:gridCol w:w="36"/>
      </w:tblGrid>
      <w:tr w:rsidR="00000000" w14:paraId="63B75491" w14:textId="77777777">
        <w:trPr>
          <w:divId w:val="1394278699"/>
        </w:trPr>
        <w:tc>
          <w:tcPr>
            <w:tcW w:w="50" w:type="pct"/>
            <w:vAlign w:val="center"/>
            <w:hideMark/>
          </w:tcPr>
          <w:p w14:paraId="095C4CB6" w14:textId="77777777" w:rsidR="00000000" w:rsidRDefault="001A570A">
            <w:pPr>
              <w:rPr>
                <w:rFonts w:eastAsia="Times New Roman"/>
              </w:rPr>
            </w:pPr>
          </w:p>
        </w:tc>
        <w:tc>
          <w:tcPr>
            <w:tcW w:w="3497" w:type="pct"/>
            <w:vAlign w:val="center"/>
            <w:hideMark/>
          </w:tcPr>
          <w:p w14:paraId="34F7AA33" w14:textId="77777777" w:rsidR="00000000" w:rsidRDefault="001A570A">
            <w:pPr>
              <w:rPr>
                <w:rFonts w:eastAsia="Times New Roman"/>
                <w:sz w:val="20"/>
                <w:szCs w:val="20"/>
              </w:rPr>
            </w:pPr>
          </w:p>
        </w:tc>
        <w:tc>
          <w:tcPr>
            <w:tcW w:w="5" w:type="pct"/>
            <w:vAlign w:val="center"/>
            <w:hideMark/>
          </w:tcPr>
          <w:p w14:paraId="1C493654" w14:textId="77777777" w:rsidR="00000000" w:rsidRDefault="001A570A">
            <w:pPr>
              <w:rPr>
                <w:rFonts w:eastAsia="Times New Roman"/>
                <w:sz w:val="20"/>
                <w:szCs w:val="20"/>
              </w:rPr>
            </w:pPr>
          </w:p>
        </w:tc>
        <w:tc>
          <w:tcPr>
            <w:tcW w:w="50" w:type="pct"/>
            <w:vAlign w:val="center"/>
            <w:hideMark/>
          </w:tcPr>
          <w:p w14:paraId="3FB5F926" w14:textId="77777777" w:rsidR="00000000" w:rsidRDefault="001A570A">
            <w:pPr>
              <w:rPr>
                <w:rFonts w:eastAsia="Times New Roman"/>
                <w:sz w:val="20"/>
                <w:szCs w:val="20"/>
              </w:rPr>
            </w:pPr>
          </w:p>
        </w:tc>
        <w:tc>
          <w:tcPr>
            <w:tcW w:w="651" w:type="pct"/>
            <w:vAlign w:val="center"/>
            <w:hideMark/>
          </w:tcPr>
          <w:p w14:paraId="43240F54" w14:textId="77777777" w:rsidR="00000000" w:rsidRDefault="001A570A">
            <w:pPr>
              <w:rPr>
                <w:rFonts w:eastAsia="Times New Roman"/>
                <w:sz w:val="20"/>
                <w:szCs w:val="20"/>
              </w:rPr>
            </w:pPr>
          </w:p>
        </w:tc>
        <w:tc>
          <w:tcPr>
            <w:tcW w:w="5" w:type="pct"/>
            <w:vAlign w:val="center"/>
            <w:hideMark/>
          </w:tcPr>
          <w:p w14:paraId="596CF244" w14:textId="77777777" w:rsidR="00000000" w:rsidRDefault="001A570A">
            <w:pPr>
              <w:rPr>
                <w:rFonts w:eastAsia="Times New Roman"/>
                <w:sz w:val="20"/>
                <w:szCs w:val="20"/>
              </w:rPr>
            </w:pPr>
          </w:p>
        </w:tc>
        <w:tc>
          <w:tcPr>
            <w:tcW w:w="5" w:type="pct"/>
            <w:vAlign w:val="center"/>
            <w:hideMark/>
          </w:tcPr>
          <w:p w14:paraId="4396F1FF" w14:textId="77777777" w:rsidR="00000000" w:rsidRDefault="001A570A">
            <w:pPr>
              <w:rPr>
                <w:rFonts w:eastAsia="Times New Roman"/>
                <w:sz w:val="20"/>
                <w:szCs w:val="20"/>
              </w:rPr>
            </w:pPr>
          </w:p>
        </w:tc>
        <w:tc>
          <w:tcPr>
            <w:tcW w:w="25" w:type="pct"/>
            <w:vAlign w:val="center"/>
            <w:hideMark/>
          </w:tcPr>
          <w:p w14:paraId="10CE8E91" w14:textId="77777777" w:rsidR="00000000" w:rsidRDefault="001A570A">
            <w:pPr>
              <w:rPr>
                <w:rFonts w:eastAsia="Times New Roman"/>
                <w:sz w:val="20"/>
                <w:szCs w:val="20"/>
              </w:rPr>
            </w:pPr>
          </w:p>
        </w:tc>
        <w:tc>
          <w:tcPr>
            <w:tcW w:w="5" w:type="pct"/>
            <w:vAlign w:val="center"/>
            <w:hideMark/>
          </w:tcPr>
          <w:p w14:paraId="5F401CBA" w14:textId="77777777" w:rsidR="00000000" w:rsidRDefault="001A570A">
            <w:pPr>
              <w:rPr>
                <w:rFonts w:eastAsia="Times New Roman"/>
                <w:sz w:val="20"/>
                <w:szCs w:val="20"/>
              </w:rPr>
            </w:pPr>
          </w:p>
        </w:tc>
        <w:tc>
          <w:tcPr>
            <w:tcW w:w="50" w:type="pct"/>
            <w:vAlign w:val="center"/>
            <w:hideMark/>
          </w:tcPr>
          <w:p w14:paraId="399AF36C" w14:textId="77777777" w:rsidR="00000000" w:rsidRDefault="001A570A">
            <w:pPr>
              <w:rPr>
                <w:rFonts w:eastAsia="Times New Roman"/>
                <w:sz w:val="20"/>
                <w:szCs w:val="20"/>
              </w:rPr>
            </w:pPr>
          </w:p>
        </w:tc>
        <w:tc>
          <w:tcPr>
            <w:tcW w:w="651" w:type="pct"/>
            <w:vAlign w:val="center"/>
            <w:hideMark/>
          </w:tcPr>
          <w:p w14:paraId="087946A3" w14:textId="77777777" w:rsidR="00000000" w:rsidRDefault="001A570A">
            <w:pPr>
              <w:rPr>
                <w:rFonts w:eastAsia="Times New Roman"/>
                <w:sz w:val="20"/>
                <w:szCs w:val="20"/>
              </w:rPr>
            </w:pPr>
          </w:p>
        </w:tc>
        <w:tc>
          <w:tcPr>
            <w:tcW w:w="5" w:type="pct"/>
            <w:vAlign w:val="center"/>
            <w:hideMark/>
          </w:tcPr>
          <w:p w14:paraId="2F978ADF" w14:textId="77777777" w:rsidR="00000000" w:rsidRDefault="001A570A">
            <w:pPr>
              <w:rPr>
                <w:rFonts w:eastAsia="Times New Roman"/>
                <w:sz w:val="20"/>
                <w:szCs w:val="20"/>
              </w:rPr>
            </w:pPr>
          </w:p>
        </w:tc>
      </w:tr>
      <w:tr w:rsidR="00000000" w14:paraId="1E627FA8" w14:textId="77777777">
        <w:trPr>
          <w:divId w:val="1394278699"/>
        </w:trPr>
        <w:tc>
          <w:tcPr>
            <w:tcW w:w="0" w:type="auto"/>
            <w:gridSpan w:val="3"/>
            <w:tcMar>
              <w:top w:w="30" w:type="dxa"/>
              <w:left w:w="20" w:type="dxa"/>
              <w:bottom w:w="30" w:type="dxa"/>
              <w:right w:w="20" w:type="dxa"/>
            </w:tcMar>
            <w:vAlign w:val="bottom"/>
            <w:hideMark/>
          </w:tcPr>
          <w:p w14:paraId="0B342A6D" w14:textId="77777777" w:rsidR="00000000" w:rsidRDefault="001A570A">
            <w:pPr>
              <w:rPr>
                <w:rFonts w:eastAsia="Times New Roman"/>
              </w:rPr>
            </w:pPr>
            <w:r>
              <w:rPr>
                <w:rFonts w:eastAsia="Times New Roman"/>
                <w:b/>
                <w:bCs/>
                <w:color w:val="000000"/>
                <w:sz w:val="16"/>
                <w:szCs w:val="16"/>
              </w:rPr>
              <w:t>(In millions, except shares)</w:t>
            </w:r>
          </w:p>
        </w:tc>
        <w:tc>
          <w:tcPr>
            <w:tcW w:w="0" w:type="auto"/>
            <w:gridSpan w:val="3"/>
            <w:tcMar>
              <w:top w:w="30" w:type="dxa"/>
              <w:left w:w="20" w:type="dxa"/>
              <w:bottom w:w="30" w:type="dxa"/>
              <w:right w:w="20" w:type="dxa"/>
            </w:tcMar>
            <w:vAlign w:val="bottom"/>
            <w:hideMark/>
          </w:tcPr>
          <w:p w14:paraId="6B4C52B7"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6A0E1C61"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A63B6A4" w14:textId="77777777" w:rsidR="00000000" w:rsidRDefault="001A570A">
            <w:pPr>
              <w:jc w:val="center"/>
              <w:rPr>
                <w:rFonts w:eastAsia="Times New Roman"/>
              </w:rPr>
            </w:pPr>
            <w:r>
              <w:rPr>
                <w:rFonts w:eastAsia="Times New Roman"/>
                <w:b/>
                <w:bCs/>
                <w:color w:val="000000"/>
                <w:sz w:val="16"/>
                <w:szCs w:val="16"/>
              </w:rPr>
              <w:t>January 3, 2020</w:t>
            </w:r>
          </w:p>
        </w:tc>
      </w:tr>
      <w:tr w:rsidR="00000000" w14:paraId="63FF729F" w14:textId="77777777">
        <w:trPr>
          <w:divId w:val="1394278699"/>
          <w:trHeight w:val="60"/>
        </w:trPr>
        <w:tc>
          <w:tcPr>
            <w:tcW w:w="0" w:type="auto"/>
            <w:gridSpan w:val="3"/>
            <w:tcMar>
              <w:top w:w="0" w:type="dxa"/>
              <w:left w:w="20" w:type="dxa"/>
              <w:bottom w:w="0" w:type="dxa"/>
              <w:right w:w="20" w:type="dxa"/>
            </w:tcMar>
            <w:vAlign w:val="center"/>
            <w:hideMark/>
          </w:tcPr>
          <w:p w14:paraId="43C80DD9"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C8120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2695CD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1C1932" w14:textId="77777777" w:rsidR="00000000" w:rsidRDefault="001A570A">
            <w:pPr>
              <w:rPr>
                <w:rFonts w:eastAsia="Times New Roman"/>
                <w:sz w:val="20"/>
                <w:szCs w:val="20"/>
              </w:rPr>
            </w:pPr>
          </w:p>
        </w:tc>
      </w:tr>
      <w:tr w:rsidR="00000000" w14:paraId="128434EB" w14:textId="77777777">
        <w:trPr>
          <w:divId w:val="1394278699"/>
        </w:trPr>
        <w:tc>
          <w:tcPr>
            <w:tcW w:w="0" w:type="auto"/>
            <w:gridSpan w:val="3"/>
            <w:shd w:val="clear" w:color="auto" w:fill="CCEEFF"/>
            <w:tcMar>
              <w:top w:w="30" w:type="dxa"/>
              <w:left w:w="20" w:type="dxa"/>
              <w:bottom w:w="30" w:type="dxa"/>
              <w:right w:w="20" w:type="dxa"/>
            </w:tcMar>
            <w:hideMark/>
          </w:tcPr>
          <w:p w14:paraId="59DD2756" w14:textId="77777777" w:rsidR="00000000" w:rsidRDefault="001A570A">
            <w:pPr>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143AE576"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1A3D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76CC31" w14:textId="77777777" w:rsidR="00000000" w:rsidRDefault="001A570A">
            <w:pPr>
              <w:rPr>
                <w:rFonts w:eastAsia="Times New Roman"/>
                <w:sz w:val="20"/>
                <w:szCs w:val="20"/>
              </w:rPr>
            </w:pPr>
          </w:p>
        </w:tc>
      </w:tr>
      <w:tr w:rsidR="00000000" w14:paraId="2EC870C0" w14:textId="77777777">
        <w:trPr>
          <w:divId w:val="1394278699"/>
        </w:trPr>
        <w:tc>
          <w:tcPr>
            <w:tcW w:w="0" w:type="auto"/>
            <w:gridSpan w:val="3"/>
            <w:shd w:val="clear" w:color="auto" w:fill="FFFFFF"/>
            <w:tcMar>
              <w:top w:w="30" w:type="dxa"/>
              <w:left w:w="20" w:type="dxa"/>
              <w:bottom w:w="30" w:type="dxa"/>
              <w:right w:w="20" w:type="dxa"/>
            </w:tcMar>
            <w:hideMark/>
          </w:tcPr>
          <w:p w14:paraId="74EEC8ED" w14:textId="77777777" w:rsidR="00000000" w:rsidRDefault="001A570A">
            <w:pPr>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079F16B9"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77CF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C1EDB1" w14:textId="77777777" w:rsidR="00000000" w:rsidRDefault="001A570A">
            <w:pPr>
              <w:rPr>
                <w:rFonts w:eastAsia="Times New Roman"/>
                <w:sz w:val="20"/>
                <w:szCs w:val="20"/>
              </w:rPr>
            </w:pPr>
          </w:p>
        </w:tc>
      </w:tr>
      <w:tr w:rsidR="00000000" w14:paraId="77F23D60" w14:textId="77777777">
        <w:trPr>
          <w:divId w:val="1394278699"/>
        </w:trPr>
        <w:tc>
          <w:tcPr>
            <w:tcW w:w="0" w:type="auto"/>
            <w:gridSpan w:val="3"/>
            <w:shd w:val="clear" w:color="auto" w:fill="CCEEFF"/>
            <w:tcMar>
              <w:top w:w="30" w:type="dxa"/>
              <w:left w:w="155" w:type="dxa"/>
              <w:bottom w:w="30" w:type="dxa"/>
              <w:right w:w="20" w:type="dxa"/>
            </w:tcMar>
            <w:hideMark/>
          </w:tcPr>
          <w:p w14:paraId="5A9A3A3C" w14:textId="77777777" w:rsidR="00000000" w:rsidRDefault="001A570A">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69B8EA6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04A297" w14:textId="77777777" w:rsidR="00000000" w:rsidRDefault="001A570A">
            <w:pPr>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14:paraId="2ADE77C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545E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76EB5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B2EFBDC" w14:textId="77777777" w:rsidR="00000000" w:rsidRDefault="001A570A">
            <w:pPr>
              <w:jc w:val="right"/>
              <w:rPr>
                <w:rFonts w:eastAsia="Times New Roman"/>
              </w:rPr>
            </w:pPr>
            <w:r>
              <w:rPr>
                <w:rFonts w:eastAsia="Times New Roman"/>
                <w:color w:val="000000"/>
                <w:sz w:val="20"/>
                <w:szCs w:val="20"/>
              </w:rPr>
              <w:t>824 </w:t>
            </w:r>
          </w:p>
        </w:tc>
        <w:tc>
          <w:tcPr>
            <w:tcW w:w="0" w:type="auto"/>
            <w:shd w:val="clear" w:color="auto" w:fill="CCEEFF"/>
            <w:tcMar>
              <w:top w:w="30" w:type="dxa"/>
              <w:left w:w="0" w:type="dxa"/>
              <w:bottom w:w="30" w:type="dxa"/>
              <w:right w:w="20" w:type="dxa"/>
            </w:tcMar>
            <w:vAlign w:val="bottom"/>
            <w:hideMark/>
          </w:tcPr>
          <w:p w14:paraId="54811AE9" w14:textId="77777777" w:rsidR="00000000" w:rsidRDefault="001A570A">
            <w:pPr>
              <w:jc w:val="right"/>
              <w:rPr>
                <w:rFonts w:eastAsia="Times New Roman"/>
              </w:rPr>
            </w:pPr>
          </w:p>
        </w:tc>
      </w:tr>
      <w:tr w:rsidR="00000000" w14:paraId="140D9452" w14:textId="77777777">
        <w:trPr>
          <w:divId w:val="1394278699"/>
        </w:trPr>
        <w:tc>
          <w:tcPr>
            <w:tcW w:w="0" w:type="auto"/>
            <w:gridSpan w:val="3"/>
            <w:shd w:val="clear" w:color="auto" w:fill="FFFFFF"/>
            <w:tcMar>
              <w:top w:w="30" w:type="dxa"/>
              <w:left w:w="155" w:type="dxa"/>
              <w:bottom w:w="30" w:type="dxa"/>
              <w:right w:w="20" w:type="dxa"/>
            </w:tcMar>
            <w:hideMark/>
          </w:tcPr>
          <w:p w14:paraId="232978D3" w14:textId="77777777" w:rsidR="00000000" w:rsidRDefault="001A570A">
            <w:pPr>
              <w:rPr>
                <w:rFonts w:eastAsia="Times New Roman"/>
              </w:rPr>
            </w:pPr>
            <w:r>
              <w:rPr>
                <w:rFonts w:eastAsia="Times New Roman"/>
                <w:color w:val="000000"/>
                <w:sz w:val="20"/>
                <w:szCs w:val="20"/>
              </w:rPr>
              <w:t>Receivables</w:t>
            </w:r>
          </w:p>
        </w:tc>
        <w:tc>
          <w:tcPr>
            <w:tcW w:w="0" w:type="auto"/>
            <w:gridSpan w:val="2"/>
            <w:shd w:val="clear" w:color="auto" w:fill="FFFFFF"/>
            <w:tcMar>
              <w:top w:w="30" w:type="dxa"/>
              <w:left w:w="20" w:type="dxa"/>
              <w:bottom w:w="30" w:type="dxa"/>
              <w:right w:w="0" w:type="dxa"/>
            </w:tcMar>
            <w:vAlign w:val="bottom"/>
            <w:hideMark/>
          </w:tcPr>
          <w:p w14:paraId="090CEE54" w14:textId="77777777" w:rsidR="00000000" w:rsidRDefault="001A570A">
            <w:pPr>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14:paraId="501FBE6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8E7A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C2199" w14:textId="77777777" w:rsidR="00000000" w:rsidRDefault="001A570A">
            <w:pPr>
              <w:jc w:val="right"/>
              <w:rPr>
                <w:rFonts w:eastAsia="Times New Roman"/>
              </w:rPr>
            </w:pPr>
            <w:r>
              <w:rPr>
                <w:rFonts w:eastAsia="Times New Roman"/>
                <w:color w:val="000000"/>
                <w:sz w:val="20"/>
                <w:szCs w:val="20"/>
              </w:rPr>
              <w:t>1,216 </w:t>
            </w:r>
          </w:p>
        </w:tc>
        <w:tc>
          <w:tcPr>
            <w:tcW w:w="0" w:type="auto"/>
            <w:shd w:val="clear" w:color="auto" w:fill="FFFFFF"/>
            <w:tcMar>
              <w:top w:w="30" w:type="dxa"/>
              <w:left w:w="0" w:type="dxa"/>
              <w:bottom w:w="30" w:type="dxa"/>
              <w:right w:w="20" w:type="dxa"/>
            </w:tcMar>
            <w:vAlign w:val="bottom"/>
            <w:hideMark/>
          </w:tcPr>
          <w:p w14:paraId="15E1D74E" w14:textId="77777777" w:rsidR="00000000" w:rsidRDefault="001A570A">
            <w:pPr>
              <w:jc w:val="right"/>
              <w:rPr>
                <w:rFonts w:eastAsia="Times New Roman"/>
              </w:rPr>
            </w:pPr>
          </w:p>
        </w:tc>
      </w:tr>
      <w:tr w:rsidR="00000000" w14:paraId="07C0A168" w14:textId="77777777">
        <w:trPr>
          <w:divId w:val="1394278699"/>
        </w:trPr>
        <w:tc>
          <w:tcPr>
            <w:tcW w:w="0" w:type="auto"/>
            <w:gridSpan w:val="3"/>
            <w:shd w:val="clear" w:color="auto" w:fill="CCEEFF"/>
            <w:tcMar>
              <w:top w:w="30" w:type="dxa"/>
              <w:left w:w="155" w:type="dxa"/>
              <w:bottom w:w="30" w:type="dxa"/>
              <w:right w:w="20" w:type="dxa"/>
            </w:tcMar>
            <w:hideMark/>
          </w:tcPr>
          <w:p w14:paraId="67FFBE1E" w14:textId="77777777" w:rsidR="00000000" w:rsidRDefault="001A570A">
            <w:pPr>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14:paraId="592D64CE" w14:textId="77777777" w:rsidR="00000000" w:rsidRDefault="001A570A">
            <w:pPr>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14:paraId="3D811F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FF96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001DB8" w14:textId="77777777" w:rsidR="00000000" w:rsidRDefault="001A570A">
            <w:pPr>
              <w:jc w:val="right"/>
              <w:rPr>
                <w:rFonts w:eastAsia="Times New Roman"/>
              </w:rPr>
            </w:pPr>
            <w:r>
              <w:rPr>
                <w:rFonts w:eastAsia="Times New Roman"/>
                <w:color w:val="000000"/>
                <w:sz w:val="20"/>
                <w:szCs w:val="20"/>
              </w:rPr>
              <w:t>2,459 </w:t>
            </w:r>
          </w:p>
        </w:tc>
        <w:tc>
          <w:tcPr>
            <w:tcW w:w="0" w:type="auto"/>
            <w:shd w:val="clear" w:color="auto" w:fill="CCEEFF"/>
            <w:tcMar>
              <w:top w:w="30" w:type="dxa"/>
              <w:left w:w="0" w:type="dxa"/>
              <w:bottom w:w="30" w:type="dxa"/>
              <w:right w:w="20" w:type="dxa"/>
            </w:tcMar>
            <w:vAlign w:val="bottom"/>
            <w:hideMark/>
          </w:tcPr>
          <w:p w14:paraId="3680D6E3" w14:textId="77777777" w:rsidR="00000000" w:rsidRDefault="001A570A">
            <w:pPr>
              <w:jc w:val="right"/>
              <w:rPr>
                <w:rFonts w:eastAsia="Times New Roman"/>
              </w:rPr>
            </w:pPr>
          </w:p>
        </w:tc>
      </w:tr>
      <w:tr w:rsidR="00000000" w14:paraId="1C056FFF" w14:textId="77777777">
        <w:trPr>
          <w:divId w:val="1394278699"/>
        </w:trPr>
        <w:tc>
          <w:tcPr>
            <w:tcW w:w="0" w:type="auto"/>
            <w:gridSpan w:val="3"/>
            <w:shd w:val="clear" w:color="auto" w:fill="FFFFFF"/>
            <w:tcMar>
              <w:top w:w="30" w:type="dxa"/>
              <w:left w:w="155" w:type="dxa"/>
              <w:bottom w:w="30" w:type="dxa"/>
              <w:right w:w="20" w:type="dxa"/>
            </w:tcMar>
            <w:hideMark/>
          </w:tcPr>
          <w:p w14:paraId="03FCBC38" w14:textId="77777777" w:rsidR="00000000" w:rsidRDefault="001A570A">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11CD74FB" w14:textId="77777777" w:rsidR="00000000" w:rsidRDefault="001A570A">
            <w:pPr>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14:paraId="120D835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4AFB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85FD23" w14:textId="77777777" w:rsidR="00000000" w:rsidRDefault="001A570A">
            <w:pPr>
              <w:jc w:val="right"/>
              <w:rPr>
                <w:rFonts w:eastAsia="Times New Roman"/>
              </w:rPr>
            </w:pPr>
            <w:r>
              <w:rPr>
                <w:rFonts w:eastAsia="Times New Roman"/>
                <w:color w:val="000000"/>
                <w:sz w:val="20"/>
                <w:szCs w:val="20"/>
              </w:rPr>
              <w:t>1,219 </w:t>
            </w:r>
          </w:p>
        </w:tc>
        <w:tc>
          <w:tcPr>
            <w:tcW w:w="0" w:type="auto"/>
            <w:shd w:val="clear" w:color="auto" w:fill="FFFFFF"/>
            <w:tcMar>
              <w:top w:w="30" w:type="dxa"/>
              <w:left w:w="0" w:type="dxa"/>
              <w:bottom w:w="30" w:type="dxa"/>
              <w:right w:w="20" w:type="dxa"/>
            </w:tcMar>
            <w:vAlign w:val="bottom"/>
            <w:hideMark/>
          </w:tcPr>
          <w:p w14:paraId="4D4CF2A5" w14:textId="77777777" w:rsidR="00000000" w:rsidRDefault="001A570A">
            <w:pPr>
              <w:jc w:val="right"/>
              <w:rPr>
                <w:rFonts w:eastAsia="Times New Roman"/>
              </w:rPr>
            </w:pPr>
          </w:p>
        </w:tc>
      </w:tr>
      <w:tr w:rsidR="00000000" w14:paraId="50EFECF6" w14:textId="77777777">
        <w:trPr>
          <w:divId w:val="1394278699"/>
        </w:trPr>
        <w:tc>
          <w:tcPr>
            <w:tcW w:w="0" w:type="auto"/>
            <w:gridSpan w:val="3"/>
            <w:shd w:val="clear" w:color="auto" w:fill="CCEEFF"/>
            <w:tcMar>
              <w:top w:w="30" w:type="dxa"/>
              <w:left w:w="155" w:type="dxa"/>
              <w:bottom w:w="30" w:type="dxa"/>
              <w:right w:w="20" w:type="dxa"/>
            </w:tcMar>
            <w:hideMark/>
          </w:tcPr>
          <w:p w14:paraId="17A64B20" w14:textId="77777777" w:rsidR="00000000" w:rsidRDefault="001A570A">
            <w:pPr>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14:paraId="619CDB05" w14:textId="77777777" w:rsidR="00000000" w:rsidRDefault="001A570A">
            <w:pPr>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14:paraId="598B4B3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0AB1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03061" w14:textId="77777777" w:rsidR="00000000" w:rsidRDefault="001A570A">
            <w:pPr>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14:paraId="208CB45C" w14:textId="77777777" w:rsidR="00000000" w:rsidRDefault="001A570A">
            <w:pPr>
              <w:jc w:val="right"/>
              <w:rPr>
                <w:rFonts w:eastAsia="Times New Roman"/>
              </w:rPr>
            </w:pPr>
          </w:p>
        </w:tc>
      </w:tr>
      <w:tr w:rsidR="00000000" w14:paraId="01E071E6" w14:textId="77777777">
        <w:trPr>
          <w:divId w:val="1394278699"/>
        </w:trPr>
        <w:tc>
          <w:tcPr>
            <w:tcW w:w="0" w:type="auto"/>
            <w:gridSpan w:val="3"/>
            <w:shd w:val="clear" w:color="auto" w:fill="FFFFFF"/>
            <w:tcMar>
              <w:top w:w="30" w:type="dxa"/>
              <w:left w:w="155" w:type="dxa"/>
              <w:bottom w:w="30" w:type="dxa"/>
              <w:right w:w="20" w:type="dxa"/>
            </w:tcMar>
            <w:hideMark/>
          </w:tcPr>
          <w:p w14:paraId="1F627468" w14:textId="77777777" w:rsidR="00000000" w:rsidRDefault="001A570A">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1F1887DC" w14:textId="77777777" w:rsidR="00000000" w:rsidRDefault="001A570A">
            <w:pPr>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14:paraId="0B20C0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EE6E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3C25DF" w14:textId="77777777" w:rsidR="00000000" w:rsidRDefault="001A570A">
            <w:pPr>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14:paraId="0185B795" w14:textId="77777777" w:rsidR="00000000" w:rsidRDefault="001A570A">
            <w:pPr>
              <w:jc w:val="right"/>
              <w:rPr>
                <w:rFonts w:eastAsia="Times New Roman"/>
              </w:rPr>
            </w:pPr>
          </w:p>
        </w:tc>
      </w:tr>
      <w:tr w:rsidR="00000000" w14:paraId="3F9BD6F8" w14:textId="77777777">
        <w:trPr>
          <w:divId w:val="1394278699"/>
        </w:trPr>
        <w:tc>
          <w:tcPr>
            <w:tcW w:w="0" w:type="auto"/>
            <w:gridSpan w:val="3"/>
            <w:shd w:val="clear" w:color="auto" w:fill="CCEEFF"/>
            <w:tcMar>
              <w:top w:w="30" w:type="dxa"/>
              <w:left w:w="155" w:type="dxa"/>
              <w:bottom w:w="30" w:type="dxa"/>
              <w:right w:w="20" w:type="dxa"/>
            </w:tcMar>
            <w:hideMark/>
          </w:tcPr>
          <w:p w14:paraId="1A7E42D3" w14:textId="77777777" w:rsidR="00000000" w:rsidRDefault="001A570A">
            <w:pPr>
              <w:rPr>
                <w:rFonts w:eastAsia="Times New Roman"/>
              </w:rPr>
            </w:pPr>
            <w:r>
              <w:rPr>
                <w:rFonts w:eastAsia="Times New Roman"/>
                <w:color w:val="000000"/>
                <w:sz w:val="20"/>
                <w:szCs w:val="20"/>
              </w:rPr>
              <w:t xml:space="preserve">Assets of disposal group held for sale </w:t>
            </w:r>
          </w:p>
        </w:tc>
        <w:tc>
          <w:tcPr>
            <w:tcW w:w="0" w:type="auto"/>
            <w:gridSpan w:val="2"/>
            <w:shd w:val="clear" w:color="auto" w:fill="CCEEFF"/>
            <w:tcMar>
              <w:top w:w="30" w:type="dxa"/>
              <w:left w:w="20" w:type="dxa"/>
              <w:bottom w:w="30" w:type="dxa"/>
              <w:right w:w="0" w:type="dxa"/>
            </w:tcMar>
            <w:vAlign w:val="bottom"/>
            <w:hideMark/>
          </w:tcPr>
          <w:p w14:paraId="78D65573" w14:textId="77777777" w:rsidR="00000000" w:rsidRDefault="001A570A">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14:paraId="5199288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5B6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6F4F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6180ED" w14:textId="77777777" w:rsidR="00000000" w:rsidRDefault="001A570A">
            <w:pPr>
              <w:jc w:val="right"/>
              <w:rPr>
                <w:rFonts w:eastAsia="Times New Roman"/>
              </w:rPr>
            </w:pPr>
          </w:p>
        </w:tc>
      </w:tr>
      <w:tr w:rsidR="00000000" w14:paraId="4E84A03F" w14:textId="77777777">
        <w:trPr>
          <w:divId w:val="1394278699"/>
        </w:trPr>
        <w:tc>
          <w:tcPr>
            <w:tcW w:w="0" w:type="auto"/>
            <w:gridSpan w:val="3"/>
            <w:shd w:val="clear" w:color="auto" w:fill="FFFFFF"/>
            <w:tcMar>
              <w:top w:w="30" w:type="dxa"/>
              <w:left w:w="380" w:type="dxa"/>
              <w:bottom w:w="30" w:type="dxa"/>
              <w:right w:w="20" w:type="dxa"/>
            </w:tcMar>
            <w:hideMark/>
          </w:tcPr>
          <w:p w14:paraId="5892BDE3" w14:textId="77777777" w:rsidR="00000000" w:rsidRDefault="001A570A">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8B867C" w14:textId="77777777" w:rsidR="00000000" w:rsidRDefault="001A570A">
            <w:pPr>
              <w:jc w:val="right"/>
              <w:rPr>
                <w:rFonts w:eastAsia="Times New Roman"/>
              </w:rPr>
            </w:pPr>
            <w:r>
              <w:rPr>
                <w:rFonts w:eastAsia="Times New Roman"/>
                <w:color w:val="000000"/>
                <w:sz w:val="20"/>
                <w:szCs w:val="20"/>
              </w:rPr>
              <w:t>6,667 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B2EE6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1D25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9E5DE5" w14:textId="77777777" w:rsidR="00000000" w:rsidRDefault="001A570A">
            <w:pPr>
              <w:jc w:val="right"/>
              <w:rPr>
                <w:rFonts w:eastAsia="Times New Roman"/>
              </w:rPr>
            </w:pPr>
            <w:r>
              <w:rPr>
                <w:rFonts w:eastAsia="Times New Roman"/>
                <w:color w:val="000000"/>
                <w:sz w:val="20"/>
                <w:szCs w:val="20"/>
              </w:rPr>
              <w:t>6,312 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4E651" w14:textId="77777777" w:rsidR="00000000" w:rsidRDefault="001A570A">
            <w:pPr>
              <w:jc w:val="right"/>
              <w:rPr>
                <w:rFonts w:eastAsia="Times New Roman"/>
              </w:rPr>
            </w:pPr>
          </w:p>
        </w:tc>
      </w:tr>
      <w:tr w:rsidR="00000000" w14:paraId="006800C4" w14:textId="77777777">
        <w:trPr>
          <w:divId w:val="1394278699"/>
        </w:trPr>
        <w:tc>
          <w:tcPr>
            <w:tcW w:w="0" w:type="auto"/>
            <w:gridSpan w:val="3"/>
            <w:shd w:val="clear" w:color="auto" w:fill="CCEEFF"/>
            <w:tcMar>
              <w:top w:w="30" w:type="dxa"/>
              <w:left w:w="20" w:type="dxa"/>
              <w:bottom w:w="30" w:type="dxa"/>
              <w:right w:w="20" w:type="dxa"/>
            </w:tcMar>
            <w:hideMark/>
          </w:tcPr>
          <w:p w14:paraId="51045D2A" w14:textId="77777777" w:rsidR="00000000" w:rsidRDefault="001A570A">
            <w:pPr>
              <w:rPr>
                <w:rFonts w:eastAsia="Times New Roman"/>
              </w:rPr>
            </w:pPr>
            <w:r>
              <w:rPr>
                <w:rFonts w:eastAsia="Times New Roman"/>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14:paraId="2F76EAA7"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4CCB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FDEC88" w14:textId="77777777" w:rsidR="00000000" w:rsidRDefault="001A570A">
            <w:pPr>
              <w:rPr>
                <w:rFonts w:eastAsia="Times New Roman"/>
                <w:sz w:val="20"/>
                <w:szCs w:val="20"/>
              </w:rPr>
            </w:pPr>
          </w:p>
        </w:tc>
      </w:tr>
      <w:tr w:rsidR="00000000" w14:paraId="646CD2EA" w14:textId="77777777">
        <w:trPr>
          <w:divId w:val="1394278699"/>
        </w:trPr>
        <w:tc>
          <w:tcPr>
            <w:tcW w:w="0" w:type="auto"/>
            <w:gridSpan w:val="3"/>
            <w:shd w:val="clear" w:color="auto" w:fill="FFFFFF"/>
            <w:tcMar>
              <w:top w:w="30" w:type="dxa"/>
              <w:left w:w="155" w:type="dxa"/>
              <w:bottom w:w="30" w:type="dxa"/>
              <w:right w:w="20" w:type="dxa"/>
            </w:tcMar>
            <w:hideMark/>
          </w:tcPr>
          <w:p w14:paraId="30F21AC6" w14:textId="77777777" w:rsidR="00000000" w:rsidRDefault="001A570A">
            <w:pPr>
              <w:rPr>
                <w:rFonts w:eastAsia="Times New Roman"/>
              </w:rPr>
            </w:pPr>
            <w:r>
              <w:rPr>
                <w:rFonts w:eastAsia="Times New Roman"/>
                <w:color w:val="00000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14:paraId="52F9E0EB" w14:textId="77777777" w:rsidR="00000000" w:rsidRDefault="001A570A">
            <w:pPr>
              <w:jc w:val="right"/>
              <w:rPr>
                <w:rFonts w:eastAsia="Times New Roman"/>
              </w:rPr>
            </w:pPr>
            <w:r>
              <w:rPr>
                <w:rFonts w:eastAsia="Times New Roman"/>
                <w:color w:val="000000"/>
                <w:sz w:val="20"/>
                <w:szCs w:val="20"/>
              </w:rPr>
              <w:t>2,102 </w:t>
            </w:r>
          </w:p>
        </w:tc>
        <w:tc>
          <w:tcPr>
            <w:tcW w:w="0" w:type="auto"/>
            <w:shd w:val="clear" w:color="auto" w:fill="FFFFFF"/>
            <w:tcMar>
              <w:top w:w="30" w:type="dxa"/>
              <w:left w:w="0" w:type="dxa"/>
              <w:bottom w:w="30" w:type="dxa"/>
              <w:right w:w="20" w:type="dxa"/>
            </w:tcMar>
            <w:vAlign w:val="bottom"/>
            <w:hideMark/>
          </w:tcPr>
          <w:p w14:paraId="5736681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3461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E3D79C" w14:textId="77777777" w:rsidR="00000000" w:rsidRDefault="001A570A">
            <w:pPr>
              <w:jc w:val="right"/>
              <w:rPr>
                <w:rFonts w:eastAsia="Times New Roman"/>
              </w:rPr>
            </w:pPr>
            <w:r>
              <w:rPr>
                <w:rFonts w:eastAsia="Times New Roman"/>
                <w:color w:val="000000"/>
                <w:sz w:val="20"/>
                <w:szCs w:val="20"/>
              </w:rPr>
              <w:t>2,117 </w:t>
            </w:r>
          </w:p>
        </w:tc>
        <w:tc>
          <w:tcPr>
            <w:tcW w:w="0" w:type="auto"/>
            <w:shd w:val="clear" w:color="auto" w:fill="FFFFFF"/>
            <w:tcMar>
              <w:top w:w="30" w:type="dxa"/>
              <w:left w:w="0" w:type="dxa"/>
              <w:bottom w:w="30" w:type="dxa"/>
              <w:right w:w="20" w:type="dxa"/>
            </w:tcMar>
            <w:vAlign w:val="bottom"/>
            <w:hideMark/>
          </w:tcPr>
          <w:p w14:paraId="57D368EB" w14:textId="77777777" w:rsidR="00000000" w:rsidRDefault="001A570A">
            <w:pPr>
              <w:jc w:val="right"/>
              <w:rPr>
                <w:rFonts w:eastAsia="Times New Roman"/>
              </w:rPr>
            </w:pPr>
          </w:p>
        </w:tc>
      </w:tr>
      <w:tr w:rsidR="00000000" w14:paraId="4DC0EB4B" w14:textId="77777777">
        <w:trPr>
          <w:divId w:val="1394278699"/>
        </w:trPr>
        <w:tc>
          <w:tcPr>
            <w:tcW w:w="0" w:type="auto"/>
            <w:gridSpan w:val="3"/>
            <w:shd w:val="clear" w:color="auto" w:fill="CCEEFF"/>
            <w:tcMar>
              <w:top w:w="30" w:type="dxa"/>
              <w:left w:w="155" w:type="dxa"/>
              <w:bottom w:w="30" w:type="dxa"/>
              <w:right w:w="20" w:type="dxa"/>
            </w:tcMar>
            <w:hideMark/>
          </w:tcPr>
          <w:p w14:paraId="3DE44927" w14:textId="77777777" w:rsidR="00000000" w:rsidRDefault="001A570A">
            <w:pPr>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79D73774" w14:textId="77777777" w:rsidR="00000000" w:rsidRDefault="001A570A">
            <w:pPr>
              <w:jc w:val="right"/>
              <w:rPr>
                <w:rFonts w:eastAsia="Times New Roman"/>
              </w:rPr>
            </w:pPr>
            <w:r>
              <w:rPr>
                <w:rFonts w:eastAsia="Times New Roman"/>
                <w:color w:val="000000"/>
                <w:sz w:val="20"/>
                <w:szCs w:val="20"/>
              </w:rPr>
              <w:t>766 </w:t>
            </w:r>
          </w:p>
        </w:tc>
        <w:tc>
          <w:tcPr>
            <w:tcW w:w="0" w:type="auto"/>
            <w:shd w:val="clear" w:color="auto" w:fill="CCEEFF"/>
            <w:tcMar>
              <w:top w:w="30" w:type="dxa"/>
              <w:left w:w="0" w:type="dxa"/>
              <w:bottom w:w="30" w:type="dxa"/>
              <w:right w:w="20" w:type="dxa"/>
            </w:tcMar>
            <w:vAlign w:val="bottom"/>
            <w:hideMark/>
          </w:tcPr>
          <w:p w14:paraId="5077589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8FB2C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ABFDB" w14:textId="77777777" w:rsidR="00000000" w:rsidRDefault="001A570A">
            <w:pPr>
              <w:jc w:val="right"/>
              <w:rPr>
                <w:rFonts w:eastAsia="Times New Roman"/>
              </w:rPr>
            </w:pPr>
            <w:r>
              <w:rPr>
                <w:rFonts w:eastAsia="Times New Roman"/>
                <w:color w:val="000000"/>
                <w:sz w:val="20"/>
                <w:szCs w:val="20"/>
              </w:rPr>
              <w:t>837 </w:t>
            </w:r>
          </w:p>
        </w:tc>
        <w:tc>
          <w:tcPr>
            <w:tcW w:w="0" w:type="auto"/>
            <w:shd w:val="clear" w:color="auto" w:fill="CCEEFF"/>
            <w:tcMar>
              <w:top w:w="30" w:type="dxa"/>
              <w:left w:w="0" w:type="dxa"/>
              <w:bottom w:w="30" w:type="dxa"/>
              <w:right w:w="20" w:type="dxa"/>
            </w:tcMar>
            <w:vAlign w:val="bottom"/>
            <w:hideMark/>
          </w:tcPr>
          <w:p w14:paraId="692F118B" w14:textId="77777777" w:rsidR="00000000" w:rsidRDefault="001A570A">
            <w:pPr>
              <w:jc w:val="right"/>
              <w:rPr>
                <w:rFonts w:eastAsia="Times New Roman"/>
              </w:rPr>
            </w:pPr>
          </w:p>
        </w:tc>
      </w:tr>
      <w:tr w:rsidR="00000000" w14:paraId="30BE44D2" w14:textId="77777777">
        <w:trPr>
          <w:divId w:val="1394278699"/>
        </w:trPr>
        <w:tc>
          <w:tcPr>
            <w:tcW w:w="0" w:type="auto"/>
            <w:gridSpan w:val="3"/>
            <w:shd w:val="clear" w:color="auto" w:fill="FFFFFF"/>
            <w:tcMar>
              <w:top w:w="30" w:type="dxa"/>
              <w:left w:w="155" w:type="dxa"/>
              <w:bottom w:w="30" w:type="dxa"/>
              <w:right w:w="20" w:type="dxa"/>
            </w:tcMar>
            <w:hideMark/>
          </w:tcPr>
          <w:p w14:paraId="7D0F885D" w14:textId="77777777" w:rsidR="00000000" w:rsidRDefault="001A570A">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57EF5C1B" w14:textId="77777777" w:rsidR="00000000" w:rsidRDefault="001A570A">
            <w:pPr>
              <w:jc w:val="right"/>
              <w:rPr>
                <w:rFonts w:eastAsia="Times New Roman"/>
              </w:rPr>
            </w:pPr>
            <w:r>
              <w:rPr>
                <w:rFonts w:eastAsia="Times New Roman"/>
                <w:color w:val="000000"/>
                <w:sz w:val="20"/>
                <w:szCs w:val="20"/>
              </w:rPr>
              <w:t>18,876 </w:t>
            </w:r>
          </w:p>
        </w:tc>
        <w:tc>
          <w:tcPr>
            <w:tcW w:w="0" w:type="auto"/>
            <w:shd w:val="clear" w:color="auto" w:fill="FFFFFF"/>
            <w:tcMar>
              <w:top w:w="30" w:type="dxa"/>
              <w:left w:w="0" w:type="dxa"/>
              <w:bottom w:w="30" w:type="dxa"/>
              <w:right w:w="20" w:type="dxa"/>
            </w:tcMar>
            <w:vAlign w:val="bottom"/>
            <w:hideMark/>
          </w:tcPr>
          <w:p w14:paraId="14AD6F9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FEB3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0AA79" w14:textId="77777777" w:rsidR="00000000" w:rsidRDefault="001A570A">
            <w:pPr>
              <w:jc w:val="right"/>
              <w:rPr>
                <w:rFonts w:eastAsia="Times New Roman"/>
              </w:rPr>
            </w:pPr>
            <w:r>
              <w:rPr>
                <w:rFonts w:eastAsia="Times New Roman"/>
                <w:color w:val="000000"/>
                <w:sz w:val="20"/>
                <w:szCs w:val="20"/>
              </w:rPr>
              <w:t>20,001 </w:t>
            </w:r>
          </w:p>
        </w:tc>
        <w:tc>
          <w:tcPr>
            <w:tcW w:w="0" w:type="auto"/>
            <w:shd w:val="clear" w:color="auto" w:fill="FFFFFF"/>
            <w:tcMar>
              <w:top w:w="30" w:type="dxa"/>
              <w:left w:w="0" w:type="dxa"/>
              <w:bottom w:w="30" w:type="dxa"/>
              <w:right w:w="20" w:type="dxa"/>
            </w:tcMar>
            <w:vAlign w:val="bottom"/>
            <w:hideMark/>
          </w:tcPr>
          <w:p w14:paraId="6068D4F2" w14:textId="77777777" w:rsidR="00000000" w:rsidRDefault="001A570A">
            <w:pPr>
              <w:jc w:val="right"/>
              <w:rPr>
                <w:rFonts w:eastAsia="Times New Roman"/>
              </w:rPr>
            </w:pPr>
          </w:p>
        </w:tc>
      </w:tr>
      <w:tr w:rsidR="00000000" w14:paraId="081BA154" w14:textId="77777777">
        <w:trPr>
          <w:divId w:val="1394278699"/>
        </w:trPr>
        <w:tc>
          <w:tcPr>
            <w:tcW w:w="0" w:type="auto"/>
            <w:gridSpan w:val="3"/>
            <w:shd w:val="clear" w:color="auto" w:fill="CCEEFF"/>
            <w:tcMar>
              <w:top w:w="30" w:type="dxa"/>
              <w:left w:w="155" w:type="dxa"/>
              <w:bottom w:w="30" w:type="dxa"/>
              <w:right w:w="20" w:type="dxa"/>
            </w:tcMar>
            <w:hideMark/>
          </w:tcPr>
          <w:p w14:paraId="0E62FE44" w14:textId="77777777" w:rsidR="00000000" w:rsidRDefault="001A570A">
            <w:pPr>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14:paraId="06C11F3E" w14:textId="77777777" w:rsidR="00000000" w:rsidRDefault="001A570A">
            <w:pPr>
              <w:jc w:val="right"/>
              <w:rPr>
                <w:rFonts w:eastAsia="Times New Roman"/>
              </w:rPr>
            </w:pPr>
            <w:r>
              <w:rPr>
                <w:rFonts w:eastAsia="Times New Roman"/>
                <w:color w:val="000000"/>
                <w:sz w:val="20"/>
                <w:szCs w:val="20"/>
              </w:rPr>
              <w:t>7,908 </w:t>
            </w:r>
          </w:p>
        </w:tc>
        <w:tc>
          <w:tcPr>
            <w:tcW w:w="0" w:type="auto"/>
            <w:shd w:val="clear" w:color="auto" w:fill="CCEEFF"/>
            <w:tcMar>
              <w:top w:w="30" w:type="dxa"/>
              <w:left w:w="0" w:type="dxa"/>
              <w:bottom w:w="30" w:type="dxa"/>
              <w:right w:w="20" w:type="dxa"/>
            </w:tcMar>
            <w:vAlign w:val="bottom"/>
            <w:hideMark/>
          </w:tcPr>
          <w:p w14:paraId="39D84B4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C3CF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4B40E4" w14:textId="77777777" w:rsidR="00000000" w:rsidRDefault="001A570A">
            <w:pPr>
              <w:jc w:val="right"/>
              <w:rPr>
                <w:rFonts w:eastAsia="Times New Roman"/>
              </w:rPr>
            </w:pPr>
            <w:r>
              <w:rPr>
                <w:rFonts w:eastAsia="Times New Roman"/>
                <w:color w:val="000000"/>
                <w:sz w:val="20"/>
                <w:szCs w:val="20"/>
              </w:rPr>
              <w:t>8,458 </w:t>
            </w:r>
          </w:p>
        </w:tc>
        <w:tc>
          <w:tcPr>
            <w:tcW w:w="0" w:type="auto"/>
            <w:shd w:val="clear" w:color="auto" w:fill="CCEEFF"/>
            <w:tcMar>
              <w:top w:w="30" w:type="dxa"/>
              <w:left w:w="0" w:type="dxa"/>
              <w:bottom w:w="30" w:type="dxa"/>
              <w:right w:w="20" w:type="dxa"/>
            </w:tcMar>
            <w:vAlign w:val="bottom"/>
            <w:hideMark/>
          </w:tcPr>
          <w:p w14:paraId="41056C61" w14:textId="77777777" w:rsidR="00000000" w:rsidRDefault="001A570A">
            <w:pPr>
              <w:jc w:val="right"/>
              <w:rPr>
                <w:rFonts w:eastAsia="Times New Roman"/>
              </w:rPr>
            </w:pPr>
          </w:p>
        </w:tc>
      </w:tr>
      <w:tr w:rsidR="00000000" w14:paraId="1421A9BE" w14:textId="77777777">
        <w:trPr>
          <w:divId w:val="1394278699"/>
        </w:trPr>
        <w:tc>
          <w:tcPr>
            <w:tcW w:w="0" w:type="auto"/>
            <w:gridSpan w:val="3"/>
            <w:shd w:val="clear" w:color="auto" w:fill="FFFFFF"/>
            <w:tcMar>
              <w:top w:w="30" w:type="dxa"/>
              <w:left w:w="155" w:type="dxa"/>
              <w:bottom w:w="30" w:type="dxa"/>
              <w:right w:w="20" w:type="dxa"/>
            </w:tcMar>
            <w:hideMark/>
          </w:tcPr>
          <w:p w14:paraId="2708D00F" w14:textId="77777777" w:rsidR="00000000" w:rsidRDefault="001A570A">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1822A04D" w14:textId="77777777" w:rsidR="00000000" w:rsidRDefault="001A570A">
            <w:pPr>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14:paraId="036C5D1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B771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4C1B6" w14:textId="77777777" w:rsidR="00000000" w:rsidRDefault="001A570A">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699855D5" w14:textId="77777777" w:rsidR="00000000" w:rsidRDefault="001A570A">
            <w:pPr>
              <w:jc w:val="right"/>
              <w:rPr>
                <w:rFonts w:eastAsia="Times New Roman"/>
              </w:rPr>
            </w:pPr>
          </w:p>
        </w:tc>
      </w:tr>
      <w:tr w:rsidR="00000000" w14:paraId="3EE1B742" w14:textId="77777777">
        <w:trPr>
          <w:divId w:val="1394278699"/>
        </w:trPr>
        <w:tc>
          <w:tcPr>
            <w:tcW w:w="0" w:type="auto"/>
            <w:gridSpan w:val="3"/>
            <w:shd w:val="clear" w:color="auto" w:fill="CCEEFF"/>
            <w:tcMar>
              <w:top w:w="30" w:type="dxa"/>
              <w:left w:w="155" w:type="dxa"/>
              <w:bottom w:w="30" w:type="dxa"/>
              <w:right w:w="20" w:type="dxa"/>
            </w:tcMar>
            <w:hideMark/>
          </w:tcPr>
          <w:p w14:paraId="6A799DEF" w14:textId="77777777" w:rsidR="00000000" w:rsidRDefault="001A570A">
            <w:pPr>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56ACD7B4" w14:textId="77777777" w:rsidR="00000000" w:rsidRDefault="001A570A">
            <w:pPr>
              <w:jc w:val="right"/>
              <w:rPr>
                <w:rFonts w:eastAsia="Times New Roman"/>
              </w:rPr>
            </w:pPr>
            <w:r>
              <w:rPr>
                <w:rFonts w:eastAsia="Times New Roman"/>
                <w:color w:val="000000"/>
                <w:sz w:val="20"/>
                <w:szCs w:val="20"/>
              </w:rPr>
              <w:t>522 </w:t>
            </w:r>
          </w:p>
        </w:tc>
        <w:tc>
          <w:tcPr>
            <w:tcW w:w="0" w:type="auto"/>
            <w:shd w:val="clear" w:color="auto" w:fill="CCEEFF"/>
            <w:tcMar>
              <w:top w:w="30" w:type="dxa"/>
              <w:left w:w="0" w:type="dxa"/>
              <w:bottom w:w="30" w:type="dxa"/>
              <w:right w:w="20" w:type="dxa"/>
            </w:tcMar>
            <w:vAlign w:val="bottom"/>
            <w:hideMark/>
          </w:tcPr>
          <w:p w14:paraId="3FDBF4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514C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A3F74" w14:textId="77777777" w:rsidR="00000000" w:rsidRDefault="001A570A">
            <w:pPr>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14:paraId="0E110B0D" w14:textId="77777777" w:rsidR="00000000" w:rsidRDefault="001A570A">
            <w:pPr>
              <w:jc w:val="right"/>
              <w:rPr>
                <w:rFonts w:eastAsia="Times New Roman"/>
              </w:rPr>
            </w:pPr>
          </w:p>
        </w:tc>
      </w:tr>
      <w:tr w:rsidR="00000000" w14:paraId="0A0F2975" w14:textId="77777777">
        <w:trPr>
          <w:divId w:val="1394278699"/>
        </w:trPr>
        <w:tc>
          <w:tcPr>
            <w:tcW w:w="0" w:type="auto"/>
            <w:gridSpan w:val="3"/>
            <w:vAlign w:val="center"/>
            <w:hideMark/>
          </w:tcPr>
          <w:p w14:paraId="74402807" w14:textId="77777777" w:rsidR="00000000" w:rsidRDefault="001A570A">
            <w:pPr>
              <w:jc w:val="right"/>
              <w:rPr>
                <w:rFonts w:eastAsia="Times New Roman"/>
                <w:sz w:val="20"/>
                <w:szCs w:val="20"/>
              </w:rPr>
            </w:pPr>
          </w:p>
        </w:tc>
        <w:tc>
          <w:tcPr>
            <w:tcW w:w="0" w:type="auto"/>
            <w:gridSpan w:val="3"/>
            <w:vAlign w:val="center"/>
            <w:hideMark/>
          </w:tcPr>
          <w:p w14:paraId="5C4C9891" w14:textId="77777777" w:rsidR="00000000" w:rsidRDefault="001A570A">
            <w:pPr>
              <w:rPr>
                <w:rFonts w:eastAsia="Times New Roman"/>
                <w:sz w:val="20"/>
                <w:szCs w:val="20"/>
              </w:rPr>
            </w:pPr>
          </w:p>
        </w:tc>
        <w:tc>
          <w:tcPr>
            <w:tcW w:w="0" w:type="auto"/>
            <w:gridSpan w:val="3"/>
            <w:vAlign w:val="center"/>
            <w:hideMark/>
          </w:tcPr>
          <w:p w14:paraId="0185CE9E" w14:textId="77777777" w:rsidR="00000000" w:rsidRDefault="001A570A">
            <w:pPr>
              <w:rPr>
                <w:rFonts w:eastAsia="Times New Roman"/>
                <w:sz w:val="20"/>
                <w:szCs w:val="20"/>
              </w:rPr>
            </w:pPr>
          </w:p>
        </w:tc>
        <w:tc>
          <w:tcPr>
            <w:tcW w:w="0" w:type="auto"/>
            <w:gridSpan w:val="3"/>
            <w:vAlign w:val="center"/>
            <w:hideMark/>
          </w:tcPr>
          <w:p w14:paraId="05543202" w14:textId="77777777" w:rsidR="00000000" w:rsidRDefault="001A570A">
            <w:pPr>
              <w:rPr>
                <w:rFonts w:eastAsia="Times New Roman"/>
                <w:sz w:val="20"/>
                <w:szCs w:val="20"/>
              </w:rPr>
            </w:pPr>
          </w:p>
        </w:tc>
      </w:tr>
      <w:tr w:rsidR="00000000" w14:paraId="2810C875" w14:textId="77777777">
        <w:trPr>
          <w:divId w:val="1394278699"/>
        </w:trPr>
        <w:tc>
          <w:tcPr>
            <w:tcW w:w="0" w:type="auto"/>
            <w:gridSpan w:val="3"/>
            <w:shd w:val="clear" w:color="auto" w:fill="FFFFFF"/>
            <w:tcMar>
              <w:top w:w="30" w:type="dxa"/>
              <w:left w:w="380" w:type="dxa"/>
              <w:bottom w:w="30" w:type="dxa"/>
              <w:right w:w="20" w:type="dxa"/>
            </w:tcMar>
            <w:hideMark/>
          </w:tcPr>
          <w:p w14:paraId="02B62B5B" w14:textId="77777777" w:rsidR="00000000" w:rsidRDefault="001A570A">
            <w:pPr>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A9FEF5" w14:textId="77777777" w:rsidR="00000000" w:rsidRDefault="001A570A">
            <w:pPr>
              <w:jc w:val="right"/>
              <w:rPr>
                <w:rFonts w:eastAsia="Times New Roman"/>
              </w:rPr>
            </w:pPr>
            <w:r>
              <w:rPr>
                <w:rFonts w:eastAsia="Times New Roman"/>
                <w:color w:val="000000"/>
                <w:sz w:val="20"/>
                <w:szCs w:val="20"/>
              </w:rPr>
              <w:t>30,293 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A6D2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A152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6B351B" w14:textId="77777777" w:rsidR="00000000" w:rsidRDefault="001A570A">
            <w:pPr>
              <w:jc w:val="right"/>
              <w:rPr>
                <w:rFonts w:eastAsia="Times New Roman"/>
              </w:rPr>
            </w:pPr>
            <w:r>
              <w:rPr>
                <w:rFonts w:eastAsia="Times New Roman"/>
                <w:color w:val="000000"/>
                <w:sz w:val="20"/>
                <w:szCs w:val="20"/>
              </w:rPr>
              <w:t>32,024 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E10F31" w14:textId="77777777" w:rsidR="00000000" w:rsidRDefault="001A570A">
            <w:pPr>
              <w:jc w:val="right"/>
              <w:rPr>
                <w:rFonts w:eastAsia="Times New Roman"/>
              </w:rPr>
            </w:pPr>
          </w:p>
        </w:tc>
      </w:tr>
      <w:tr w:rsidR="00000000" w14:paraId="3ED3A9BE" w14:textId="77777777">
        <w:trPr>
          <w:divId w:val="1394278699"/>
        </w:trPr>
        <w:tc>
          <w:tcPr>
            <w:tcW w:w="0" w:type="auto"/>
            <w:gridSpan w:val="3"/>
            <w:shd w:val="clear" w:color="auto" w:fill="CCEEFF"/>
            <w:tcMar>
              <w:top w:w="0" w:type="dxa"/>
              <w:left w:w="20" w:type="dxa"/>
              <w:bottom w:w="0" w:type="dxa"/>
              <w:right w:w="20" w:type="dxa"/>
            </w:tcMar>
            <w:vAlign w:val="center"/>
            <w:hideMark/>
          </w:tcPr>
          <w:p w14:paraId="26E6FB82"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4B7D4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0BD9E" w14:textId="77777777" w:rsidR="00000000" w:rsidRDefault="001A570A">
            <w:pPr>
              <w:jc w:val="right"/>
              <w:rPr>
                <w:rFonts w:eastAsia="Times New Roman"/>
              </w:rPr>
            </w:pPr>
            <w:r>
              <w:rPr>
                <w:rFonts w:eastAsia="Times New Roman"/>
                <w:color w:val="000000"/>
                <w:sz w:val="20"/>
                <w:szCs w:val="20"/>
              </w:rPr>
              <w:t>36,960 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47272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6957A"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9168F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75EC41" w14:textId="77777777" w:rsidR="00000000" w:rsidRDefault="001A570A">
            <w:pPr>
              <w:jc w:val="right"/>
              <w:rPr>
                <w:rFonts w:eastAsia="Times New Roman"/>
              </w:rPr>
            </w:pPr>
            <w:r>
              <w:rPr>
                <w:rFonts w:eastAsia="Times New Roman"/>
                <w:color w:val="000000"/>
                <w:sz w:val="20"/>
                <w:szCs w:val="20"/>
              </w:rPr>
              <w:t>38,336 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F56FEE" w14:textId="77777777" w:rsidR="00000000" w:rsidRDefault="001A570A">
            <w:pPr>
              <w:jc w:val="right"/>
              <w:rPr>
                <w:rFonts w:eastAsia="Times New Roman"/>
              </w:rPr>
            </w:pPr>
          </w:p>
        </w:tc>
      </w:tr>
      <w:tr w:rsidR="00000000" w14:paraId="0A0DEC2D" w14:textId="77777777">
        <w:trPr>
          <w:divId w:val="1394278699"/>
        </w:trPr>
        <w:tc>
          <w:tcPr>
            <w:tcW w:w="0" w:type="auto"/>
            <w:gridSpan w:val="3"/>
            <w:shd w:val="clear" w:color="auto" w:fill="FFFFFF"/>
            <w:tcMar>
              <w:top w:w="30" w:type="dxa"/>
              <w:left w:w="20" w:type="dxa"/>
              <w:bottom w:w="30" w:type="dxa"/>
              <w:right w:w="20" w:type="dxa"/>
            </w:tcMar>
            <w:vAlign w:val="bottom"/>
            <w:hideMark/>
          </w:tcPr>
          <w:p w14:paraId="5923C546" w14:textId="77777777" w:rsidR="00000000" w:rsidRDefault="001A570A">
            <w:pPr>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C53F3CF"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D1CD2"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078F37" w14:textId="77777777" w:rsidR="00000000" w:rsidRDefault="001A570A">
            <w:pPr>
              <w:rPr>
                <w:rFonts w:eastAsia="Times New Roman"/>
                <w:sz w:val="20"/>
                <w:szCs w:val="20"/>
              </w:rPr>
            </w:pPr>
          </w:p>
        </w:tc>
      </w:tr>
      <w:tr w:rsidR="00000000" w14:paraId="7DA94CD5" w14:textId="77777777">
        <w:trPr>
          <w:divId w:val="1394278699"/>
        </w:trPr>
        <w:tc>
          <w:tcPr>
            <w:tcW w:w="0" w:type="auto"/>
            <w:gridSpan w:val="3"/>
            <w:shd w:val="clear" w:color="auto" w:fill="CCEEFF"/>
            <w:tcMar>
              <w:top w:w="30" w:type="dxa"/>
              <w:left w:w="20" w:type="dxa"/>
              <w:bottom w:w="30" w:type="dxa"/>
              <w:right w:w="20" w:type="dxa"/>
            </w:tcMar>
            <w:hideMark/>
          </w:tcPr>
          <w:p w14:paraId="532A40DB" w14:textId="77777777" w:rsidR="00000000" w:rsidRDefault="001A570A">
            <w:pPr>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1706E87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15EC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6D8C39" w14:textId="77777777" w:rsidR="00000000" w:rsidRDefault="001A570A">
            <w:pPr>
              <w:rPr>
                <w:rFonts w:eastAsia="Times New Roman"/>
                <w:sz w:val="20"/>
                <w:szCs w:val="20"/>
              </w:rPr>
            </w:pPr>
          </w:p>
        </w:tc>
      </w:tr>
      <w:tr w:rsidR="00000000" w14:paraId="02D4D6AA" w14:textId="77777777">
        <w:trPr>
          <w:divId w:val="1394278699"/>
        </w:trPr>
        <w:tc>
          <w:tcPr>
            <w:tcW w:w="0" w:type="auto"/>
            <w:gridSpan w:val="3"/>
            <w:shd w:val="clear" w:color="auto" w:fill="FFFFFF"/>
            <w:tcMar>
              <w:top w:w="30" w:type="dxa"/>
              <w:left w:w="155" w:type="dxa"/>
              <w:bottom w:w="30" w:type="dxa"/>
              <w:right w:w="20" w:type="dxa"/>
            </w:tcMar>
            <w:hideMark/>
          </w:tcPr>
          <w:p w14:paraId="62F57752" w14:textId="77777777" w:rsidR="00000000" w:rsidRDefault="001A570A">
            <w:pPr>
              <w:rPr>
                <w:rFonts w:eastAsia="Times New Roman"/>
              </w:rPr>
            </w:pPr>
            <w:r>
              <w:rPr>
                <w:rFonts w:eastAsia="Times New Roman"/>
                <w:color w:val="000000"/>
                <w:sz w:val="20"/>
                <w:szCs w:val="20"/>
              </w:rPr>
              <w:t>Short-term debt</w:t>
            </w:r>
          </w:p>
        </w:tc>
        <w:tc>
          <w:tcPr>
            <w:tcW w:w="0" w:type="auto"/>
            <w:shd w:val="clear" w:color="auto" w:fill="FFFFFF"/>
            <w:tcMar>
              <w:top w:w="30" w:type="dxa"/>
              <w:left w:w="20" w:type="dxa"/>
              <w:bottom w:w="30" w:type="dxa"/>
              <w:right w:w="0" w:type="dxa"/>
            </w:tcMar>
            <w:vAlign w:val="bottom"/>
            <w:hideMark/>
          </w:tcPr>
          <w:p w14:paraId="7DEF6D0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35FF54"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391217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CC36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A1B1C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2D9A7F"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78CE25D" w14:textId="77777777" w:rsidR="00000000" w:rsidRDefault="001A570A">
            <w:pPr>
              <w:jc w:val="right"/>
              <w:rPr>
                <w:rFonts w:eastAsia="Times New Roman"/>
              </w:rPr>
            </w:pPr>
          </w:p>
        </w:tc>
      </w:tr>
      <w:tr w:rsidR="00000000" w14:paraId="70EFA430" w14:textId="77777777">
        <w:trPr>
          <w:divId w:val="1394278699"/>
        </w:trPr>
        <w:tc>
          <w:tcPr>
            <w:tcW w:w="0" w:type="auto"/>
            <w:gridSpan w:val="3"/>
            <w:shd w:val="clear" w:color="auto" w:fill="CCEEFF"/>
            <w:tcMar>
              <w:top w:w="30" w:type="dxa"/>
              <w:left w:w="155" w:type="dxa"/>
              <w:bottom w:w="30" w:type="dxa"/>
              <w:right w:w="20" w:type="dxa"/>
            </w:tcMar>
            <w:hideMark/>
          </w:tcPr>
          <w:p w14:paraId="3A3BF92C" w14:textId="77777777" w:rsidR="00000000" w:rsidRDefault="001A570A">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29D2D66B" w14:textId="77777777" w:rsidR="00000000" w:rsidRDefault="001A570A">
            <w:pPr>
              <w:jc w:val="right"/>
              <w:rPr>
                <w:rFonts w:eastAsia="Times New Roman"/>
              </w:rPr>
            </w:pPr>
            <w:r>
              <w:rPr>
                <w:rFonts w:eastAsia="Times New Roman"/>
                <w:color w:val="000000"/>
                <w:sz w:val="20"/>
                <w:szCs w:val="20"/>
              </w:rPr>
              <w:t>1,406 </w:t>
            </w:r>
          </w:p>
        </w:tc>
        <w:tc>
          <w:tcPr>
            <w:tcW w:w="0" w:type="auto"/>
            <w:shd w:val="clear" w:color="auto" w:fill="CCEEFF"/>
            <w:tcMar>
              <w:top w:w="30" w:type="dxa"/>
              <w:left w:w="0" w:type="dxa"/>
              <w:bottom w:w="30" w:type="dxa"/>
              <w:right w:w="20" w:type="dxa"/>
            </w:tcMar>
            <w:vAlign w:val="bottom"/>
            <w:hideMark/>
          </w:tcPr>
          <w:p w14:paraId="187891A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871C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1F5BF" w14:textId="77777777" w:rsidR="00000000" w:rsidRDefault="001A570A">
            <w:pPr>
              <w:jc w:val="right"/>
              <w:rPr>
                <w:rFonts w:eastAsia="Times New Roman"/>
              </w:rPr>
            </w:pPr>
            <w:r>
              <w:rPr>
                <w:rFonts w:eastAsia="Times New Roman"/>
                <w:color w:val="000000"/>
                <w:sz w:val="20"/>
                <w:szCs w:val="20"/>
              </w:rPr>
              <w:t>1,261 </w:t>
            </w:r>
          </w:p>
        </w:tc>
        <w:tc>
          <w:tcPr>
            <w:tcW w:w="0" w:type="auto"/>
            <w:shd w:val="clear" w:color="auto" w:fill="CCEEFF"/>
            <w:tcMar>
              <w:top w:w="30" w:type="dxa"/>
              <w:left w:w="0" w:type="dxa"/>
              <w:bottom w:w="30" w:type="dxa"/>
              <w:right w:w="20" w:type="dxa"/>
            </w:tcMar>
            <w:vAlign w:val="bottom"/>
            <w:hideMark/>
          </w:tcPr>
          <w:p w14:paraId="752D9665" w14:textId="77777777" w:rsidR="00000000" w:rsidRDefault="001A570A">
            <w:pPr>
              <w:jc w:val="right"/>
              <w:rPr>
                <w:rFonts w:eastAsia="Times New Roman"/>
              </w:rPr>
            </w:pPr>
          </w:p>
        </w:tc>
      </w:tr>
      <w:tr w:rsidR="00000000" w14:paraId="59EBC6DE" w14:textId="77777777">
        <w:trPr>
          <w:divId w:val="1394278699"/>
        </w:trPr>
        <w:tc>
          <w:tcPr>
            <w:tcW w:w="0" w:type="auto"/>
            <w:gridSpan w:val="3"/>
            <w:shd w:val="clear" w:color="auto" w:fill="FFFFFF"/>
            <w:tcMar>
              <w:top w:w="30" w:type="dxa"/>
              <w:left w:w="155" w:type="dxa"/>
              <w:bottom w:w="30" w:type="dxa"/>
              <w:right w:w="20" w:type="dxa"/>
            </w:tcMar>
            <w:hideMark/>
          </w:tcPr>
          <w:p w14:paraId="347ABD40" w14:textId="77777777" w:rsidR="00000000" w:rsidRDefault="001A570A">
            <w:pPr>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14:paraId="63BB04CF" w14:textId="77777777" w:rsidR="00000000" w:rsidRDefault="001A570A">
            <w:pPr>
              <w:jc w:val="right"/>
              <w:rPr>
                <w:rFonts w:eastAsia="Times New Roman"/>
              </w:rPr>
            </w:pPr>
            <w:r>
              <w:rPr>
                <w:rFonts w:eastAsia="Times New Roman"/>
                <w:color w:val="000000"/>
                <w:sz w:val="20"/>
                <w:szCs w:val="20"/>
              </w:rPr>
              <w:t>1,198 </w:t>
            </w:r>
          </w:p>
        </w:tc>
        <w:tc>
          <w:tcPr>
            <w:tcW w:w="0" w:type="auto"/>
            <w:shd w:val="clear" w:color="auto" w:fill="FFFFFF"/>
            <w:tcMar>
              <w:top w:w="30" w:type="dxa"/>
              <w:left w:w="0" w:type="dxa"/>
              <w:bottom w:w="30" w:type="dxa"/>
              <w:right w:w="20" w:type="dxa"/>
            </w:tcMar>
            <w:vAlign w:val="bottom"/>
            <w:hideMark/>
          </w:tcPr>
          <w:p w14:paraId="18B45AC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A8AF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2BC76" w14:textId="77777777" w:rsidR="00000000" w:rsidRDefault="001A570A">
            <w:pPr>
              <w:jc w:val="right"/>
              <w:rPr>
                <w:rFonts w:eastAsia="Times New Roman"/>
              </w:rPr>
            </w:pPr>
            <w:r>
              <w:rPr>
                <w:rFonts w:eastAsia="Times New Roman"/>
                <w:color w:val="000000"/>
                <w:sz w:val="20"/>
                <w:szCs w:val="20"/>
              </w:rPr>
              <w:t>1,214 </w:t>
            </w:r>
          </w:p>
        </w:tc>
        <w:tc>
          <w:tcPr>
            <w:tcW w:w="0" w:type="auto"/>
            <w:shd w:val="clear" w:color="auto" w:fill="FFFFFF"/>
            <w:tcMar>
              <w:top w:w="30" w:type="dxa"/>
              <w:left w:w="0" w:type="dxa"/>
              <w:bottom w:w="30" w:type="dxa"/>
              <w:right w:w="20" w:type="dxa"/>
            </w:tcMar>
            <w:vAlign w:val="bottom"/>
            <w:hideMark/>
          </w:tcPr>
          <w:p w14:paraId="6F84EFAE" w14:textId="77777777" w:rsidR="00000000" w:rsidRDefault="001A570A">
            <w:pPr>
              <w:jc w:val="right"/>
              <w:rPr>
                <w:rFonts w:eastAsia="Times New Roman"/>
              </w:rPr>
            </w:pPr>
          </w:p>
        </w:tc>
      </w:tr>
      <w:tr w:rsidR="00000000" w14:paraId="3AC6E9C9" w14:textId="77777777">
        <w:trPr>
          <w:divId w:val="1394278699"/>
        </w:trPr>
        <w:tc>
          <w:tcPr>
            <w:tcW w:w="0" w:type="auto"/>
            <w:gridSpan w:val="3"/>
            <w:shd w:val="clear" w:color="auto" w:fill="CCEEFF"/>
            <w:tcMar>
              <w:top w:w="30" w:type="dxa"/>
              <w:left w:w="155" w:type="dxa"/>
              <w:bottom w:w="30" w:type="dxa"/>
              <w:right w:w="20" w:type="dxa"/>
            </w:tcMar>
            <w:hideMark/>
          </w:tcPr>
          <w:p w14:paraId="453918C7" w14:textId="77777777" w:rsidR="00000000" w:rsidRDefault="001A570A">
            <w:pPr>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14:paraId="3A7853E0" w14:textId="77777777" w:rsidR="00000000" w:rsidRDefault="001A570A">
            <w:pPr>
              <w:jc w:val="right"/>
              <w:rPr>
                <w:rFonts w:eastAsia="Times New Roman"/>
              </w:rPr>
            </w:pPr>
            <w:r>
              <w:rPr>
                <w:rFonts w:eastAsia="Times New Roman"/>
                <w:color w:val="000000"/>
                <w:sz w:val="20"/>
                <w:szCs w:val="20"/>
              </w:rPr>
              <w:t>496 </w:t>
            </w:r>
          </w:p>
        </w:tc>
        <w:tc>
          <w:tcPr>
            <w:tcW w:w="0" w:type="auto"/>
            <w:shd w:val="clear" w:color="auto" w:fill="CCEEFF"/>
            <w:tcMar>
              <w:top w:w="30" w:type="dxa"/>
              <w:left w:w="0" w:type="dxa"/>
              <w:bottom w:w="30" w:type="dxa"/>
              <w:right w:w="20" w:type="dxa"/>
            </w:tcMar>
            <w:vAlign w:val="bottom"/>
            <w:hideMark/>
          </w:tcPr>
          <w:p w14:paraId="35367A1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6834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17C443" w14:textId="77777777" w:rsidR="00000000" w:rsidRDefault="001A570A">
            <w:pPr>
              <w:jc w:val="right"/>
              <w:rPr>
                <w:rFonts w:eastAsia="Times New Roman"/>
              </w:rPr>
            </w:pPr>
            <w:r>
              <w:rPr>
                <w:rFonts w:eastAsia="Times New Roman"/>
                <w:color w:val="000000"/>
                <w:sz w:val="20"/>
                <w:szCs w:val="20"/>
              </w:rPr>
              <w:t>460 </w:t>
            </w:r>
          </w:p>
        </w:tc>
        <w:tc>
          <w:tcPr>
            <w:tcW w:w="0" w:type="auto"/>
            <w:shd w:val="clear" w:color="auto" w:fill="CCEEFF"/>
            <w:tcMar>
              <w:top w:w="30" w:type="dxa"/>
              <w:left w:w="0" w:type="dxa"/>
              <w:bottom w:w="30" w:type="dxa"/>
              <w:right w:w="20" w:type="dxa"/>
            </w:tcMar>
            <w:vAlign w:val="bottom"/>
            <w:hideMark/>
          </w:tcPr>
          <w:p w14:paraId="73D12D61" w14:textId="77777777" w:rsidR="00000000" w:rsidRDefault="001A570A">
            <w:pPr>
              <w:jc w:val="right"/>
              <w:rPr>
                <w:rFonts w:eastAsia="Times New Roman"/>
              </w:rPr>
            </w:pPr>
          </w:p>
        </w:tc>
      </w:tr>
      <w:tr w:rsidR="00000000" w14:paraId="71436613" w14:textId="77777777">
        <w:trPr>
          <w:divId w:val="1394278699"/>
        </w:trPr>
        <w:tc>
          <w:tcPr>
            <w:tcW w:w="0" w:type="auto"/>
            <w:gridSpan w:val="3"/>
            <w:shd w:val="clear" w:color="auto" w:fill="FFFFFF"/>
            <w:tcMar>
              <w:top w:w="30" w:type="dxa"/>
              <w:left w:w="155" w:type="dxa"/>
              <w:bottom w:w="30" w:type="dxa"/>
              <w:right w:w="20" w:type="dxa"/>
            </w:tcMar>
            <w:hideMark/>
          </w:tcPr>
          <w:p w14:paraId="7C038E1F" w14:textId="77777777" w:rsidR="00000000" w:rsidRDefault="001A570A">
            <w:pPr>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14:paraId="2F702DC1" w14:textId="77777777" w:rsidR="00000000" w:rsidRDefault="001A570A">
            <w:pPr>
              <w:jc w:val="right"/>
              <w:rPr>
                <w:rFonts w:eastAsia="Times New Roman"/>
              </w:rPr>
            </w:pPr>
            <w:r>
              <w:rPr>
                <w:rFonts w:eastAsia="Times New Roman"/>
                <w:color w:val="000000"/>
                <w:sz w:val="20"/>
                <w:szCs w:val="20"/>
              </w:rPr>
              <w:t>1,068 </w:t>
            </w:r>
          </w:p>
        </w:tc>
        <w:tc>
          <w:tcPr>
            <w:tcW w:w="0" w:type="auto"/>
            <w:shd w:val="clear" w:color="auto" w:fill="FFFFFF"/>
            <w:tcMar>
              <w:top w:w="30" w:type="dxa"/>
              <w:left w:w="0" w:type="dxa"/>
              <w:bottom w:w="30" w:type="dxa"/>
              <w:right w:w="20" w:type="dxa"/>
            </w:tcMar>
            <w:vAlign w:val="bottom"/>
            <w:hideMark/>
          </w:tcPr>
          <w:p w14:paraId="7D980D9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D665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B07F8" w14:textId="77777777" w:rsidR="00000000" w:rsidRDefault="001A570A">
            <w:pPr>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14:paraId="184D8711" w14:textId="77777777" w:rsidR="00000000" w:rsidRDefault="001A570A">
            <w:pPr>
              <w:jc w:val="right"/>
              <w:rPr>
                <w:rFonts w:eastAsia="Times New Roman"/>
              </w:rPr>
            </w:pPr>
          </w:p>
        </w:tc>
      </w:tr>
      <w:tr w:rsidR="00000000" w14:paraId="4B680FF6" w14:textId="77777777">
        <w:trPr>
          <w:divId w:val="1394278699"/>
        </w:trPr>
        <w:tc>
          <w:tcPr>
            <w:tcW w:w="0" w:type="auto"/>
            <w:gridSpan w:val="3"/>
            <w:shd w:val="clear" w:color="auto" w:fill="CCEEFF"/>
            <w:tcMar>
              <w:top w:w="30" w:type="dxa"/>
              <w:left w:w="155" w:type="dxa"/>
              <w:bottom w:w="30" w:type="dxa"/>
              <w:right w:w="20" w:type="dxa"/>
            </w:tcMar>
            <w:hideMark/>
          </w:tcPr>
          <w:p w14:paraId="41AFCB02" w14:textId="77777777" w:rsidR="00000000" w:rsidRDefault="001A570A">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14:paraId="100BD8FB"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318FD31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15B1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05D5E"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3C7ABB16" w14:textId="77777777" w:rsidR="00000000" w:rsidRDefault="001A570A">
            <w:pPr>
              <w:jc w:val="right"/>
              <w:rPr>
                <w:rFonts w:eastAsia="Times New Roman"/>
              </w:rPr>
            </w:pPr>
          </w:p>
        </w:tc>
      </w:tr>
      <w:tr w:rsidR="00000000" w14:paraId="7CF989CE" w14:textId="77777777">
        <w:trPr>
          <w:divId w:val="1394278699"/>
        </w:trPr>
        <w:tc>
          <w:tcPr>
            <w:tcW w:w="0" w:type="auto"/>
            <w:gridSpan w:val="3"/>
            <w:shd w:val="clear" w:color="auto" w:fill="FFFFFF"/>
            <w:tcMar>
              <w:top w:w="30" w:type="dxa"/>
              <w:left w:w="155" w:type="dxa"/>
              <w:bottom w:w="30" w:type="dxa"/>
              <w:right w:w="20" w:type="dxa"/>
            </w:tcMar>
            <w:hideMark/>
          </w:tcPr>
          <w:p w14:paraId="72392974" w14:textId="77777777" w:rsidR="00000000" w:rsidRDefault="001A570A">
            <w:pPr>
              <w:rPr>
                <w:rFonts w:eastAsia="Times New Roman"/>
              </w:rPr>
            </w:pPr>
            <w:r>
              <w:rPr>
                <w:rFonts w:eastAsia="Times New Roman"/>
                <w:color w:val="00000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14:paraId="15F84639"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70AAAE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8549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2AD6D" w14:textId="77777777" w:rsidR="00000000" w:rsidRDefault="001A570A">
            <w:pPr>
              <w:jc w:val="right"/>
              <w:rPr>
                <w:rFonts w:eastAsia="Times New Roman"/>
              </w:rPr>
            </w:pPr>
            <w:r>
              <w:rPr>
                <w:rFonts w:eastAsia="Times New Roman"/>
                <w:color w:val="000000"/>
                <w:sz w:val="20"/>
                <w:szCs w:val="20"/>
              </w:rPr>
              <w:t>257 </w:t>
            </w:r>
          </w:p>
        </w:tc>
        <w:tc>
          <w:tcPr>
            <w:tcW w:w="0" w:type="auto"/>
            <w:shd w:val="clear" w:color="auto" w:fill="FFFFFF"/>
            <w:tcMar>
              <w:top w:w="30" w:type="dxa"/>
              <w:left w:w="0" w:type="dxa"/>
              <w:bottom w:w="30" w:type="dxa"/>
              <w:right w:w="20" w:type="dxa"/>
            </w:tcMar>
            <w:vAlign w:val="bottom"/>
            <w:hideMark/>
          </w:tcPr>
          <w:p w14:paraId="685416BF" w14:textId="77777777" w:rsidR="00000000" w:rsidRDefault="001A570A">
            <w:pPr>
              <w:jc w:val="right"/>
              <w:rPr>
                <w:rFonts w:eastAsia="Times New Roman"/>
              </w:rPr>
            </w:pPr>
          </w:p>
        </w:tc>
      </w:tr>
      <w:tr w:rsidR="00000000" w14:paraId="452DE5E8" w14:textId="77777777">
        <w:trPr>
          <w:divId w:val="1394278699"/>
        </w:trPr>
        <w:tc>
          <w:tcPr>
            <w:tcW w:w="0" w:type="auto"/>
            <w:gridSpan w:val="3"/>
            <w:shd w:val="clear" w:color="auto" w:fill="CCEEFF"/>
            <w:tcMar>
              <w:top w:w="30" w:type="dxa"/>
              <w:left w:w="155" w:type="dxa"/>
              <w:bottom w:w="30" w:type="dxa"/>
              <w:right w:w="20" w:type="dxa"/>
            </w:tcMar>
            <w:hideMark/>
          </w:tcPr>
          <w:p w14:paraId="0C289DAC" w14:textId="77777777" w:rsidR="00000000" w:rsidRDefault="001A570A">
            <w:pPr>
              <w:rPr>
                <w:rFonts w:eastAsia="Times New Roman"/>
              </w:rPr>
            </w:pPr>
            <w:r>
              <w:rPr>
                <w:rFonts w:eastAsia="Times New Roman"/>
                <w:color w:val="000000"/>
                <w:sz w:val="20"/>
                <w:szCs w:val="20"/>
              </w:rPr>
              <w:t xml:space="preserve">Liabilities of disposal group held for sale </w:t>
            </w:r>
          </w:p>
        </w:tc>
        <w:tc>
          <w:tcPr>
            <w:tcW w:w="0" w:type="auto"/>
            <w:gridSpan w:val="2"/>
            <w:shd w:val="clear" w:color="auto" w:fill="CCEEFF"/>
            <w:tcMar>
              <w:top w:w="30" w:type="dxa"/>
              <w:left w:w="20" w:type="dxa"/>
              <w:bottom w:w="30" w:type="dxa"/>
              <w:right w:w="0" w:type="dxa"/>
            </w:tcMar>
            <w:vAlign w:val="bottom"/>
            <w:hideMark/>
          </w:tcPr>
          <w:p w14:paraId="0D359073"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AF351C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4725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F35EE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8CA1F5" w14:textId="77777777" w:rsidR="00000000" w:rsidRDefault="001A570A">
            <w:pPr>
              <w:jc w:val="right"/>
              <w:rPr>
                <w:rFonts w:eastAsia="Times New Roman"/>
              </w:rPr>
            </w:pPr>
          </w:p>
        </w:tc>
      </w:tr>
      <w:tr w:rsidR="00000000" w14:paraId="7959F01B" w14:textId="77777777">
        <w:trPr>
          <w:divId w:val="1394278699"/>
        </w:trPr>
        <w:tc>
          <w:tcPr>
            <w:tcW w:w="0" w:type="auto"/>
            <w:gridSpan w:val="3"/>
            <w:shd w:val="clear" w:color="auto" w:fill="FFFFFF"/>
            <w:tcMar>
              <w:top w:w="30" w:type="dxa"/>
              <w:left w:w="20" w:type="dxa"/>
              <w:bottom w:w="30" w:type="dxa"/>
              <w:right w:w="20" w:type="dxa"/>
            </w:tcMar>
            <w:hideMark/>
          </w:tcPr>
          <w:p w14:paraId="0CD9CE13" w14:textId="77777777" w:rsidR="00000000" w:rsidRDefault="001A570A">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C36BBF" w14:textId="77777777" w:rsidR="00000000" w:rsidRDefault="001A570A">
            <w:pPr>
              <w:jc w:val="right"/>
              <w:rPr>
                <w:rFonts w:eastAsia="Times New Roman"/>
              </w:rPr>
            </w:pPr>
            <w:r>
              <w:rPr>
                <w:rFonts w:eastAsia="Times New Roman"/>
                <w:color w:val="000000"/>
                <w:sz w:val="20"/>
                <w:szCs w:val="20"/>
              </w:rPr>
              <w:t>4,240 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944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9F1C5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1018D7" w14:textId="77777777" w:rsidR="00000000" w:rsidRDefault="001A570A">
            <w:pPr>
              <w:jc w:val="right"/>
              <w:rPr>
                <w:rFonts w:eastAsia="Times New Roman"/>
              </w:rPr>
            </w:pPr>
            <w:r>
              <w:rPr>
                <w:rFonts w:eastAsia="Times New Roman"/>
                <w:color w:val="000000"/>
                <w:sz w:val="20"/>
                <w:szCs w:val="20"/>
              </w:rPr>
              <w:t>4,009 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95D003" w14:textId="77777777" w:rsidR="00000000" w:rsidRDefault="001A570A">
            <w:pPr>
              <w:jc w:val="right"/>
              <w:rPr>
                <w:rFonts w:eastAsia="Times New Roman"/>
              </w:rPr>
            </w:pPr>
          </w:p>
        </w:tc>
      </w:tr>
      <w:tr w:rsidR="00000000" w14:paraId="386BCDDF" w14:textId="77777777">
        <w:trPr>
          <w:divId w:val="1394278699"/>
        </w:trPr>
        <w:tc>
          <w:tcPr>
            <w:tcW w:w="0" w:type="auto"/>
            <w:gridSpan w:val="3"/>
            <w:shd w:val="clear" w:color="auto" w:fill="CCEEFF"/>
            <w:tcMar>
              <w:top w:w="30" w:type="dxa"/>
              <w:left w:w="20" w:type="dxa"/>
              <w:bottom w:w="30" w:type="dxa"/>
              <w:right w:w="20" w:type="dxa"/>
            </w:tcMar>
            <w:hideMark/>
          </w:tcPr>
          <w:p w14:paraId="0A5D4707" w14:textId="77777777" w:rsidR="00000000" w:rsidRDefault="001A570A">
            <w:pPr>
              <w:rPr>
                <w:rFonts w:eastAsia="Times New Roman"/>
              </w:rPr>
            </w:pPr>
            <w:r>
              <w:rPr>
                <w:rFonts w:eastAsia="Times New Roman"/>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14:paraId="377A9DE7"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86FE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B9A13F" w14:textId="77777777" w:rsidR="00000000" w:rsidRDefault="001A570A">
            <w:pPr>
              <w:rPr>
                <w:rFonts w:eastAsia="Times New Roman"/>
                <w:sz w:val="20"/>
                <w:szCs w:val="20"/>
              </w:rPr>
            </w:pPr>
          </w:p>
        </w:tc>
      </w:tr>
      <w:tr w:rsidR="00000000" w14:paraId="6F6F596E" w14:textId="77777777">
        <w:trPr>
          <w:divId w:val="1394278699"/>
        </w:trPr>
        <w:tc>
          <w:tcPr>
            <w:tcW w:w="0" w:type="auto"/>
            <w:gridSpan w:val="3"/>
            <w:shd w:val="clear" w:color="auto" w:fill="FFFFFF"/>
            <w:tcMar>
              <w:top w:w="30" w:type="dxa"/>
              <w:left w:w="155" w:type="dxa"/>
              <w:bottom w:w="30" w:type="dxa"/>
              <w:right w:w="20" w:type="dxa"/>
            </w:tcMar>
            <w:hideMark/>
          </w:tcPr>
          <w:p w14:paraId="1AC5B1A4" w14:textId="77777777" w:rsidR="00000000" w:rsidRDefault="001A570A">
            <w:pPr>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14:paraId="2D3C9AF3" w14:textId="77777777" w:rsidR="00000000" w:rsidRDefault="001A570A">
            <w:pPr>
              <w:jc w:val="right"/>
              <w:rPr>
                <w:rFonts w:eastAsia="Times New Roman"/>
              </w:rPr>
            </w:pPr>
            <w:r>
              <w:rPr>
                <w:rFonts w:eastAsia="Times New Roman"/>
                <w:color w:val="000000"/>
                <w:sz w:val="20"/>
                <w:szCs w:val="20"/>
              </w:rPr>
              <w:t>1,906 </w:t>
            </w:r>
          </w:p>
        </w:tc>
        <w:tc>
          <w:tcPr>
            <w:tcW w:w="0" w:type="auto"/>
            <w:shd w:val="clear" w:color="auto" w:fill="FFFFFF"/>
            <w:tcMar>
              <w:top w:w="30" w:type="dxa"/>
              <w:left w:w="0" w:type="dxa"/>
              <w:bottom w:w="30" w:type="dxa"/>
              <w:right w:w="20" w:type="dxa"/>
            </w:tcMar>
            <w:vAlign w:val="bottom"/>
            <w:hideMark/>
          </w:tcPr>
          <w:p w14:paraId="091122D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32FC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FDE287" w14:textId="77777777" w:rsidR="00000000" w:rsidRDefault="001A570A">
            <w:pPr>
              <w:jc w:val="right"/>
              <w:rPr>
                <w:rFonts w:eastAsia="Times New Roman"/>
              </w:rPr>
            </w:pPr>
            <w:r>
              <w:rPr>
                <w:rFonts w:eastAsia="Times New Roman"/>
                <w:color w:val="000000"/>
                <w:sz w:val="20"/>
                <w:szCs w:val="20"/>
              </w:rPr>
              <w:t>1,819 </w:t>
            </w:r>
          </w:p>
        </w:tc>
        <w:tc>
          <w:tcPr>
            <w:tcW w:w="0" w:type="auto"/>
            <w:shd w:val="clear" w:color="auto" w:fill="FFFFFF"/>
            <w:tcMar>
              <w:top w:w="30" w:type="dxa"/>
              <w:left w:w="0" w:type="dxa"/>
              <w:bottom w:w="30" w:type="dxa"/>
              <w:right w:w="20" w:type="dxa"/>
            </w:tcMar>
            <w:vAlign w:val="bottom"/>
            <w:hideMark/>
          </w:tcPr>
          <w:p w14:paraId="28E83614" w14:textId="77777777" w:rsidR="00000000" w:rsidRDefault="001A570A">
            <w:pPr>
              <w:jc w:val="right"/>
              <w:rPr>
                <w:rFonts w:eastAsia="Times New Roman"/>
              </w:rPr>
            </w:pPr>
          </w:p>
        </w:tc>
      </w:tr>
      <w:tr w:rsidR="00000000" w14:paraId="2DC25A2F" w14:textId="77777777">
        <w:trPr>
          <w:divId w:val="1394278699"/>
        </w:trPr>
        <w:tc>
          <w:tcPr>
            <w:tcW w:w="0" w:type="auto"/>
            <w:gridSpan w:val="3"/>
            <w:shd w:val="clear" w:color="auto" w:fill="CCEEFF"/>
            <w:tcMar>
              <w:top w:w="30" w:type="dxa"/>
              <w:left w:w="155" w:type="dxa"/>
              <w:bottom w:w="30" w:type="dxa"/>
              <w:right w:w="20" w:type="dxa"/>
            </w:tcMar>
            <w:hideMark/>
          </w:tcPr>
          <w:p w14:paraId="1DC6CBB2" w14:textId="77777777" w:rsidR="00000000" w:rsidRDefault="001A570A">
            <w:pPr>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14:paraId="6E813385" w14:textId="77777777" w:rsidR="00000000" w:rsidRDefault="001A570A">
            <w:pPr>
              <w:jc w:val="right"/>
              <w:rPr>
                <w:rFonts w:eastAsia="Times New Roman"/>
              </w:rPr>
            </w:pPr>
            <w:r>
              <w:rPr>
                <w:rFonts w:eastAsia="Times New Roman"/>
                <w:color w:val="000000"/>
                <w:sz w:val="20"/>
                <w:szCs w:val="20"/>
              </w:rPr>
              <w:t>734 </w:t>
            </w:r>
          </w:p>
        </w:tc>
        <w:tc>
          <w:tcPr>
            <w:tcW w:w="0" w:type="auto"/>
            <w:shd w:val="clear" w:color="auto" w:fill="CCEEFF"/>
            <w:tcMar>
              <w:top w:w="30" w:type="dxa"/>
              <w:left w:w="0" w:type="dxa"/>
              <w:bottom w:w="30" w:type="dxa"/>
              <w:right w:w="20" w:type="dxa"/>
            </w:tcMar>
            <w:vAlign w:val="bottom"/>
            <w:hideMark/>
          </w:tcPr>
          <w:p w14:paraId="6DA2569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0168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CDEE46" w14:textId="77777777" w:rsidR="00000000" w:rsidRDefault="001A570A">
            <w:pPr>
              <w:jc w:val="right"/>
              <w:rPr>
                <w:rFonts w:eastAsia="Times New Roman"/>
              </w:rPr>
            </w:pPr>
            <w:r>
              <w:rPr>
                <w:rFonts w:eastAsia="Times New Roman"/>
                <w:color w:val="000000"/>
                <w:sz w:val="20"/>
                <w:szCs w:val="20"/>
              </w:rPr>
              <w:t>781 </w:t>
            </w:r>
          </w:p>
        </w:tc>
        <w:tc>
          <w:tcPr>
            <w:tcW w:w="0" w:type="auto"/>
            <w:shd w:val="clear" w:color="auto" w:fill="CCEEFF"/>
            <w:tcMar>
              <w:top w:w="30" w:type="dxa"/>
              <w:left w:w="0" w:type="dxa"/>
              <w:bottom w:w="30" w:type="dxa"/>
              <w:right w:w="20" w:type="dxa"/>
            </w:tcMar>
            <w:vAlign w:val="bottom"/>
            <w:hideMark/>
          </w:tcPr>
          <w:p w14:paraId="093ABF1C" w14:textId="77777777" w:rsidR="00000000" w:rsidRDefault="001A570A">
            <w:pPr>
              <w:jc w:val="right"/>
              <w:rPr>
                <w:rFonts w:eastAsia="Times New Roman"/>
              </w:rPr>
            </w:pPr>
          </w:p>
        </w:tc>
      </w:tr>
      <w:tr w:rsidR="00000000" w14:paraId="1B380D70" w14:textId="77777777">
        <w:trPr>
          <w:divId w:val="1394278699"/>
        </w:trPr>
        <w:tc>
          <w:tcPr>
            <w:tcW w:w="0" w:type="auto"/>
            <w:gridSpan w:val="3"/>
            <w:shd w:val="clear" w:color="auto" w:fill="FFFFFF"/>
            <w:tcMar>
              <w:top w:w="30" w:type="dxa"/>
              <w:left w:w="155" w:type="dxa"/>
              <w:bottom w:w="30" w:type="dxa"/>
              <w:right w:w="20" w:type="dxa"/>
            </w:tcMar>
            <w:hideMark/>
          </w:tcPr>
          <w:p w14:paraId="140A7BB8" w14:textId="77777777" w:rsidR="00000000" w:rsidRDefault="001A570A">
            <w:pPr>
              <w:rPr>
                <w:rFonts w:eastAsia="Times New Roman"/>
              </w:rPr>
            </w:pPr>
            <w:r>
              <w:rPr>
                <w:rFonts w:eastAsia="Times New Roman"/>
                <w:color w:val="000000"/>
                <w:sz w:val="20"/>
                <w:szCs w:val="20"/>
              </w:rPr>
              <w:t>Long-term debt, net</w:t>
            </w:r>
          </w:p>
        </w:tc>
        <w:tc>
          <w:tcPr>
            <w:tcW w:w="0" w:type="auto"/>
            <w:gridSpan w:val="2"/>
            <w:shd w:val="clear" w:color="auto" w:fill="FFFFFF"/>
            <w:tcMar>
              <w:top w:w="30" w:type="dxa"/>
              <w:left w:w="20" w:type="dxa"/>
              <w:bottom w:w="30" w:type="dxa"/>
              <w:right w:w="0" w:type="dxa"/>
            </w:tcMar>
            <w:vAlign w:val="bottom"/>
            <w:hideMark/>
          </w:tcPr>
          <w:p w14:paraId="7138EF9F" w14:textId="77777777" w:rsidR="00000000" w:rsidRDefault="001A570A">
            <w:pPr>
              <w:jc w:val="right"/>
              <w:rPr>
                <w:rFonts w:eastAsia="Times New Roman"/>
              </w:rPr>
            </w:pPr>
            <w:r>
              <w:rPr>
                <w:rFonts w:eastAsia="Times New Roman"/>
                <w:color w:val="000000"/>
                <w:sz w:val="20"/>
                <w:szCs w:val="20"/>
              </w:rPr>
              <w:t>6,908 </w:t>
            </w:r>
          </w:p>
        </w:tc>
        <w:tc>
          <w:tcPr>
            <w:tcW w:w="0" w:type="auto"/>
            <w:shd w:val="clear" w:color="auto" w:fill="FFFFFF"/>
            <w:tcMar>
              <w:top w:w="30" w:type="dxa"/>
              <w:left w:w="0" w:type="dxa"/>
              <w:bottom w:w="30" w:type="dxa"/>
              <w:right w:w="20" w:type="dxa"/>
            </w:tcMar>
            <w:vAlign w:val="bottom"/>
            <w:hideMark/>
          </w:tcPr>
          <w:p w14:paraId="304DA64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144B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60689" w14:textId="77777777" w:rsidR="00000000" w:rsidRDefault="001A570A">
            <w:pPr>
              <w:jc w:val="right"/>
              <w:rPr>
                <w:rFonts w:eastAsia="Times New Roman"/>
              </w:rPr>
            </w:pPr>
            <w:r>
              <w:rPr>
                <w:rFonts w:eastAsia="Times New Roman"/>
                <w:color w:val="000000"/>
                <w:sz w:val="20"/>
                <w:szCs w:val="20"/>
              </w:rPr>
              <w:t>6,694 </w:t>
            </w:r>
          </w:p>
        </w:tc>
        <w:tc>
          <w:tcPr>
            <w:tcW w:w="0" w:type="auto"/>
            <w:shd w:val="clear" w:color="auto" w:fill="FFFFFF"/>
            <w:tcMar>
              <w:top w:w="30" w:type="dxa"/>
              <w:left w:w="0" w:type="dxa"/>
              <w:bottom w:w="30" w:type="dxa"/>
              <w:right w:w="20" w:type="dxa"/>
            </w:tcMar>
            <w:vAlign w:val="bottom"/>
            <w:hideMark/>
          </w:tcPr>
          <w:p w14:paraId="62957861" w14:textId="77777777" w:rsidR="00000000" w:rsidRDefault="001A570A">
            <w:pPr>
              <w:jc w:val="right"/>
              <w:rPr>
                <w:rFonts w:eastAsia="Times New Roman"/>
              </w:rPr>
            </w:pPr>
          </w:p>
        </w:tc>
      </w:tr>
      <w:tr w:rsidR="00000000" w14:paraId="70037034" w14:textId="77777777">
        <w:trPr>
          <w:divId w:val="1394278699"/>
        </w:trPr>
        <w:tc>
          <w:tcPr>
            <w:tcW w:w="0" w:type="auto"/>
            <w:gridSpan w:val="3"/>
            <w:shd w:val="clear" w:color="auto" w:fill="CCEEFF"/>
            <w:tcMar>
              <w:top w:w="30" w:type="dxa"/>
              <w:left w:w="155" w:type="dxa"/>
              <w:bottom w:w="30" w:type="dxa"/>
              <w:right w:w="20" w:type="dxa"/>
            </w:tcMar>
            <w:hideMark/>
          </w:tcPr>
          <w:p w14:paraId="50684040" w14:textId="77777777" w:rsidR="00000000" w:rsidRDefault="001A570A">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4A75CACA" w14:textId="77777777" w:rsidR="00000000" w:rsidRDefault="001A570A">
            <w:pPr>
              <w:jc w:val="right"/>
              <w:rPr>
                <w:rFonts w:eastAsia="Times New Roman"/>
              </w:rPr>
            </w:pPr>
            <w:r>
              <w:rPr>
                <w:rFonts w:eastAsia="Times New Roman"/>
                <w:color w:val="000000"/>
                <w:sz w:val="20"/>
                <w:szCs w:val="20"/>
              </w:rPr>
              <w:t>1,237 </w:t>
            </w:r>
          </w:p>
        </w:tc>
        <w:tc>
          <w:tcPr>
            <w:tcW w:w="0" w:type="auto"/>
            <w:shd w:val="clear" w:color="auto" w:fill="CCEEFF"/>
            <w:tcMar>
              <w:top w:w="30" w:type="dxa"/>
              <w:left w:w="0" w:type="dxa"/>
              <w:bottom w:w="30" w:type="dxa"/>
              <w:right w:w="20" w:type="dxa"/>
            </w:tcMar>
            <w:vAlign w:val="bottom"/>
            <w:hideMark/>
          </w:tcPr>
          <w:p w14:paraId="23F184A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B736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81E99" w14:textId="77777777" w:rsidR="00000000" w:rsidRDefault="001A570A">
            <w:pPr>
              <w:jc w:val="right"/>
              <w:rPr>
                <w:rFonts w:eastAsia="Times New Roman"/>
              </w:rPr>
            </w:pPr>
            <w:r>
              <w:rPr>
                <w:rFonts w:eastAsia="Times New Roman"/>
                <w:color w:val="000000"/>
                <w:sz w:val="20"/>
                <w:szCs w:val="20"/>
              </w:rPr>
              <w:t>1,481 </w:t>
            </w:r>
          </w:p>
        </w:tc>
        <w:tc>
          <w:tcPr>
            <w:tcW w:w="0" w:type="auto"/>
            <w:shd w:val="clear" w:color="auto" w:fill="CCEEFF"/>
            <w:tcMar>
              <w:top w:w="30" w:type="dxa"/>
              <w:left w:w="0" w:type="dxa"/>
              <w:bottom w:w="30" w:type="dxa"/>
              <w:right w:w="20" w:type="dxa"/>
            </w:tcMar>
            <w:vAlign w:val="bottom"/>
            <w:hideMark/>
          </w:tcPr>
          <w:p w14:paraId="7C8AB30A" w14:textId="77777777" w:rsidR="00000000" w:rsidRDefault="001A570A">
            <w:pPr>
              <w:jc w:val="right"/>
              <w:rPr>
                <w:rFonts w:eastAsia="Times New Roman"/>
              </w:rPr>
            </w:pPr>
          </w:p>
        </w:tc>
      </w:tr>
      <w:tr w:rsidR="00000000" w14:paraId="771C9501" w14:textId="77777777">
        <w:trPr>
          <w:divId w:val="1394278699"/>
        </w:trPr>
        <w:tc>
          <w:tcPr>
            <w:tcW w:w="0" w:type="auto"/>
            <w:gridSpan w:val="3"/>
            <w:shd w:val="clear" w:color="auto" w:fill="FFFFFF"/>
            <w:tcMar>
              <w:top w:w="30" w:type="dxa"/>
              <w:left w:w="155" w:type="dxa"/>
              <w:bottom w:w="30" w:type="dxa"/>
              <w:right w:w="20" w:type="dxa"/>
            </w:tcMar>
            <w:hideMark/>
          </w:tcPr>
          <w:p w14:paraId="4EF4788B" w14:textId="77777777" w:rsidR="00000000" w:rsidRDefault="001A570A">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13C15DDE" w14:textId="77777777" w:rsidR="00000000" w:rsidRDefault="001A570A">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14:paraId="7C3ABA4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A261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632B06" w14:textId="77777777" w:rsidR="00000000" w:rsidRDefault="001A570A">
            <w:pPr>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bottom"/>
            <w:hideMark/>
          </w:tcPr>
          <w:p w14:paraId="2B765EB8" w14:textId="77777777" w:rsidR="00000000" w:rsidRDefault="001A570A">
            <w:pPr>
              <w:jc w:val="right"/>
              <w:rPr>
                <w:rFonts w:eastAsia="Times New Roman"/>
              </w:rPr>
            </w:pPr>
          </w:p>
        </w:tc>
      </w:tr>
      <w:tr w:rsidR="00000000" w14:paraId="0828AF66" w14:textId="77777777">
        <w:trPr>
          <w:divId w:val="1394278699"/>
        </w:trPr>
        <w:tc>
          <w:tcPr>
            <w:tcW w:w="0" w:type="auto"/>
            <w:gridSpan w:val="3"/>
            <w:vAlign w:val="center"/>
            <w:hideMark/>
          </w:tcPr>
          <w:p w14:paraId="1E8D313D" w14:textId="77777777" w:rsidR="00000000" w:rsidRDefault="001A570A">
            <w:pPr>
              <w:jc w:val="right"/>
              <w:rPr>
                <w:rFonts w:eastAsia="Times New Roman"/>
                <w:sz w:val="20"/>
                <w:szCs w:val="20"/>
              </w:rPr>
            </w:pPr>
          </w:p>
        </w:tc>
        <w:tc>
          <w:tcPr>
            <w:tcW w:w="0" w:type="auto"/>
            <w:gridSpan w:val="3"/>
            <w:vAlign w:val="center"/>
            <w:hideMark/>
          </w:tcPr>
          <w:p w14:paraId="29A6BDF7" w14:textId="77777777" w:rsidR="00000000" w:rsidRDefault="001A570A">
            <w:pPr>
              <w:rPr>
                <w:rFonts w:eastAsia="Times New Roman"/>
                <w:sz w:val="20"/>
                <w:szCs w:val="20"/>
              </w:rPr>
            </w:pPr>
          </w:p>
        </w:tc>
        <w:tc>
          <w:tcPr>
            <w:tcW w:w="0" w:type="auto"/>
            <w:gridSpan w:val="3"/>
            <w:vAlign w:val="center"/>
            <w:hideMark/>
          </w:tcPr>
          <w:p w14:paraId="7CD2672C" w14:textId="77777777" w:rsidR="00000000" w:rsidRDefault="001A570A">
            <w:pPr>
              <w:rPr>
                <w:rFonts w:eastAsia="Times New Roman"/>
                <w:sz w:val="20"/>
                <w:szCs w:val="20"/>
              </w:rPr>
            </w:pPr>
          </w:p>
        </w:tc>
        <w:tc>
          <w:tcPr>
            <w:tcW w:w="0" w:type="auto"/>
            <w:gridSpan w:val="3"/>
            <w:vAlign w:val="center"/>
            <w:hideMark/>
          </w:tcPr>
          <w:p w14:paraId="2ECCF6E6" w14:textId="77777777" w:rsidR="00000000" w:rsidRDefault="001A570A">
            <w:pPr>
              <w:rPr>
                <w:rFonts w:eastAsia="Times New Roman"/>
                <w:sz w:val="20"/>
                <w:szCs w:val="20"/>
              </w:rPr>
            </w:pPr>
          </w:p>
        </w:tc>
      </w:tr>
      <w:tr w:rsidR="00000000" w14:paraId="72E6BBB0" w14:textId="77777777">
        <w:trPr>
          <w:divId w:val="1394278699"/>
        </w:trPr>
        <w:tc>
          <w:tcPr>
            <w:tcW w:w="0" w:type="auto"/>
            <w:gridSpan w:val="3"/>
            <w:shd w:val="clear" w:color="auto" w:fill="CCEEFF"/>
            <w:tcMar>
              <w:top w:w="30" w:type="dxa"/>
              <w:left w:w="380" w:type="dxa"/>
              <w:bottom w:w="30" w:type="dxa"/>
              <w:right w:w="20" w:type="dxa"/>
            </w:tcMar>
            <w:hideMark/>
          </w:tcPr>
          <w:p w14:paraId="1BDD875E" w14:textId="77777777" w:rsidR="00000000" w:rsidRDefault="001A570A">
            <w:pPr>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9ED42D" w14:textId="77777777" w:rsidR="00000000" w:rsidRDefault="001A570A">
            <w:pPr>
              <w:jc w:val="right"/>
              <w:rPr>
                <w:rFonts w:eastAsia="Times New Roman"/>
              </w:rPr>
            </w:pPr>
            <w:r>
              <w:rPr>
                <w:rFonts w:eastAsia="Times New Roman"/>
                <w:color w:val="000000"/>
                <w:sz w:val="20"/>
                <w:szCs w:val="20"/>
              </w:rPr>
              <w:t>11,879 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3E909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D232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7A8183" w14:textId="77777777" w:rsidR="00000000" w:rsidRDefault="001A570A">
            <w:pPr>
              <w:jc w:val="right"/>
              <w:rPr>
                <w:rFonts w:eastAsia="Times New Roman"/>
              </w:rPr>
            </w:pPr>
            <w:r>
              <w:rPr>
                <w:rFonts w:eastAsia="Times New Roman"/>
                <w:color w:val="000000"/>
                <w:sz w:val="20"/>
                <w:szCs w:val="20"/>
              </w:rPr>
              <w:t>11,583 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C7391C" w14:textId="77777777" w:rsidR="00000000" w:rsidRDefault="001A570A">
            <w:pPr>
              <w:jc w:val="right"/>
              <w:rPr>
                <w:rFonts w:eastAsia="Times New Roman"/>
              </w:rPr>
            </w:pPr>
          </w:p>
        </w:tc>
      </w:tr>
      <w:tr w:rsidR="00000000" w14:paraId="14B49AA1" w14:textId="77777777">
        <w:trPr>
          <w:divId w:val="1394278699"/>
        </w:trPr>
        <w:tc>
          <w:tcPr>
            <w:tcW w:w="0" w:type="auto"/>
            <w:gridSpan w:val="3"/>
            <w:shd w:val="clear" w:color="auto" w:fill="FFFFFF"/>
            <w:tcMar>
              <w:top w:w="30" w:type="dxa"/>
              <w:left w:w="20" w:type="dxa"/>
              <w:bottom w:w="30" w:type="dxa"/>
              <w:right w:w="20" w:type="dxa"/>
            </w:tcMar>
            <w:hideMark/>
          </w:tcPr>
          <w:p w14:paraId="18BB4AF2" w14:textId="77777777" w:rsidR="00000000" w:rsidRDefault="001A570A">
            <w:pPr>
              <w:rPr>
                <w:rFonts w:eastAsia="Times New Roman"/>
              </w:rPr>
            </w:pP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14:paraId="6436F111"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AFA2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AC5D7" w14:textId="77777777" w:rsidR="00000000" w:rsidRDefault="001A570A">
            <w:pPr>
              <w:rPr>
                <w:rFonts w:eastAsia="Times New Roman"/>
                <w:sz w:val="20"/>
                <w:szCs w:val="20"/>
              </w:rPr>
            </w:pPr>
          </w:p>
        </w:tc>
      </w:tr>
      <w:tr w:rsidR="00000000" w14:paraId="5AF53814" w14:textId="77777777">
        <w:trPr>
          <w:divId w:val="1394278699"/>
        </w:trPr>
        <w:tc>
          <w:tcPr>
            <w:tcW w:w="0" w:type="auto"/>
            <w:gridSpan w:val="3"/>
            <w:shd w:val="clear" w:color="auto" w:fill="CCEEFF"/>
            <w:tcMar>
              <w:top w:w="30" w:type="dxa"/>
              <w:left w:w="20" w:type="dxa"/>
              <w:bottom w:w="30" w:type="dxa"/>
              <w:right w:w="20" w:type="dxa"/>
            </w:tcMar>
            <w:hideMark/>
          </w:tcPr>
          <w:p w14:paraId="6F9CDDF0" w14:textId="77777777" w:rsidR="00000000" w:rsidRDefault="001A570A">
            <w:pPr>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14:paraId="6FFB3D04"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0B3F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51220" w14:textId="77777777" w:rsidR="00000000" w:rsidRDefault="001A570A">
            <w:pPr>
              <w:rPr>
                <w:rFonts w:eastAsia="Times New Roman"/>
                <w:sz w:val="20"/>
                <w:szCs w:val="20"/>
              </w:rPr>
            </w:pPr>
          </w:p>
        </w:tc>
      </w:tr>
      <w:tr w:rsidR="00000000" w14:paraId="7C3D7952" w14:textId="77777777">
        <w:trPr>
          <w:divId w:val="1394278699"/>
        </w:trPr>
        <w:tc>
          <w:tcPr>
            <w:tcW w:w="0" w:type="auto"/>
            <w:gridSpan w:val="3"/>
            <w:shd w:val="clear" w:color="auto" w:fill="FFFFFF"/>
            <w:tcMar>
              <w:top w:w="30" w:type="dxa"/>
              <w:left w:w="20" w:type="dxa"/>
              <w:bottom w:w="30" w:type="dxa"/>
              <w:right w:w="20" w:type="dxa"/>
            </w:tcMar>
            <w:hideMark/>
          </w:tcPr>
          <w:p w14:paraId="0C754B09" w14:textId="77777777" w:rsidR="00000000" w:rsidRDefault="001A570A">
            <w:pPr>
              <w:divId w:val="1990817053"/>
              <w:rPr>
                <w:rFonts w:eastAsia="Times New Roman"/>
              </w:rPr>
            </w:pPr>
            <w:r>
              <w:rPr>
                <w:rFonts w:eastAsia="Times New Roman"/>
                <w:color w:val="000000"/>
                <w:sz w:val="20"/>
                <w:szCs w:val="20"/>
              </w:rPr>
              <w:t>Preferred stock, without par value; 1,000,000 shares authorized; none issued</w:t>
            </w:r>
          </w:p>
        </w:tc>
        <w:tc>
          <w:tcPr>
            <w:tcW w:w="0" w:type="auto"/>
            <w:gridSpan w:val="2"/>
            <w:shd w:val="clear" w:color="auto" w:fill="FFFFFF"/>
            <w:tcMar>
              <w:top w:w="30" w:type="dxa"/>
              <w:left w:w="20" w:type="dxa"/>
              <w:bottom w:w="30" w:type="dxa"/>
              <w:right w:w="0" w:type="dxa"/>
            </w:tcMar>
            <w:vAlign w:val="bottom"/>
            <w:hideMark/>
          </w:tcPr>
          <w:p w14:paraId="0ACC3DB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69283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9AF4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6586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7AACA2" w14:textId="77777777" w:rsidR="00000000" w:rsidRDefault="001A570A">
            <w:pPr>
              <w:jc w:val="right"/>
              <w:rPr>
                <w:rFonts w:eastAsia="Times New Roman"/>
              </w:rPr>
            </w:pPr>
          </w:p>
        </w:tc>
      </w:tr>
      <w:tr w:rsidR="00000000" w14:paraId="6BBE7009" w14:textId="77777777">
        <w:trPr>
          <w:divId w:val="1394278699"/>
        </w:trPr>
        <w:tc>
          <w:tcPr>
            <w:tcW w:w="0" w:type="auto"/>
            <w:gridSpan w:val="3"/>
            <w:shd w:val="clear" w:color="auto" w:fill="CCEEFF"/>
            <w:tcMar>
              <w:top w:w="30" w:type="dxa"/>
              <w:left w:w="20" w:type="dxa"/>
              <w:bottom w:w="30" w:type="dxa"/>
              <w:right w:w="20" w:type="dxa"/>
            </w:tcMar>
            <w:hideMark/>
          </w:tcPr>
          <w:p w14:paraId="5D644103" w14:textId="77777777" w:rsidR="00000000" w:rsidRDefault="001A570A">
            <w:pPr>
              <w:ind w:hanging="270"/>
              <w:divId w:val="379522607"/>
              <w:rPr>
                <w:rFonts w:eastAsia="Times New Roman"/>
              </w:rPr>
            </w:pPr>
            <w:r>
              <w:rPr>
                <w:rFonts w:eastAsia="Times New Roman"/>
                <w:color w:val="000000"/>
                <w:sz w:val="20"/>
                <w:szCs w:val="20"/>
              </w:rPr>
              <w:t xml:space="preserve">Common stock, $1.00 par value; 500,000,000 </w:t>
            </w:r>
            <w:r>
              <w:rPr>
                <w:rFonts w:eastAsia="Times New Roman"/>
                <w:color w:val="000000"/>
                <w:sz w:val="20"/>
                <w:szCs w:val="20"/>
              </w:rPr>
              <w:t>shares authorized; issued and outstanding 208,230,353 and 218,226,614 shares at January 1, 2021 and January 3, 2020, respectively</w:t>
            </w:r>
          </w:p>
        </w:tc>
        <w:tc>
          <w:tcPr>
            <w:tcW w:w="0" w:type="auto"/>
            <w:gridSpan w:val="2"/>
            <w:shd w:val="clear" w:color="auto" w:fill="CCEEFF"/>
            <w:tcMar>
              <w:top w:w="30" w:type="dxa"/>
              <w:left w:w="20" w:type="dxa"/>
              <w:bottom w:w="30" w:type="dxa"/>
              <w:right w:w="0" w:type="dxa"/>
            </w:tcMar>
            <w:vAlign w:val="bottom"/>
            <w:hideMark/>
          </w:tcPr>
          <w:p w14:paraId="6A1F049A" w14:textId="77777777" w:rsidR="00000000" w:rsidRDefault="001A570A">
            <w:pPr>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14:paraId="4300731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C2FD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34570" w14:textId="77777777" w:rsidR="00000000" w:rsidRDefault="001A570A">
            <w:pPr>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bottom"/>
            <w:hideMark/>
          </w:tcPr>
          <w:p w14:paraId="701B8B5D" w14:textId="77777777" w:rsidR="00000000" w:rsidRDefault="001A570A">
            <w:pPr>
              <w:jc w:val="right"/>
              <w:rPr>
                <w:rFonts w:eastAsia="Times New Roman"/>
              </w:rPr>
            </w:pPr>
          </w:p>
        </w:tc>
      </w:tr>
      <w:tr w:rsidR="00000000" w14:paraId="56A5D325" w14:textId="77777777">
        <w:trPr>
          <w:divId w:val="1394278699"/>
        </w:trPr>
        <w:tc>
          <w:tcPr>
            <w:tcW w:w="0" w:type="auto"/>
            <w:gridSpan w:val="3"/>
            <w:shd w:val="clear" w:color="auto" w:fill="FFFFFF"/>
            <w:tcMar>
              <w:top w:w="30" w:type="dxa"/>
              <w:left w:w="155" w:type="dxa"/>
              <w:bottom w:w="30" w:type="dxa"/>
              <w:right w:w="20" w:type="dxa"/>
            </w:tcMar>
            <w:hideMark/>
          </w:tcPr>
          <w:p w14:paraId="03DCEFDA" w14:textId="77777777" w:rsidR="00000000" w:rsidRDefault="001A570A">
            <w:pPr>
              <w:rPr>
                <w:rFonts w:eastAsia="Times New Roman"/>
              </w:rPr>
            </w:pPr>
            <w:r>
              <w:rPr>
                <w:rFonts w:eastAsia="Times New Roman"/>
                <w:color w:val="000000"/>
                <w:sz w:val="20"/>
                <w:szCs w:val="20"/>
              </w:rPr>
              <w:t>Other capital</w:t>
            </w:r>
          </w:p>
        </w:tc>
        <w:tc>
          <w:tcPr>
            <w:tcW w:w="0" w:type="auto"/>
            <w:gridSpan w:val="2"/>
            <w:shd w:val="clear" w:color="auto" w:fill="FFFFFF"/>
            <w:tcMar>
              <w:top w:w="30" w:type="dxa"/>
              <w:left w:w="20" w:type="dxa"/>
              <w:bottom w:w="30" w:type="dxa"/>
              <w:right w:w="0" w:type="dxa"/>
            </w:tcMar>
            <w:vAlign w:val="bottom"/>
            <w:hideMark/>
          </w:tcPr>
          <w:p w14:paraId="4DEA24EF" w14:textId="77777777" w:rsidR="00000000" w:rsidRDefault="001A570A">
            <w:pPr>
              <w:jc w:val="right"/>
              <w:rPr>
                <w:rFonts w:eastAsia="Times New Roman"/>
              </w:rPr>
            </w:pPr>
            <w:r>
              <w:rPr>
                <w:rFonts w:eastAsia="Times New Roman"/>
                <w:color w:val="000000"/>
                <w:sz w:val="20"/>
                <w:szCs w:val="20"/>
              </w:rPr>
              <w:t>19,008 </w:t>
            </w:r>
          </w:p>
        </w:tc>
        <w:tc>
          <w:tcPr>
            <w:tcW w:w="0" w:type="auto"/>
            <w:shd w:val="clear" w:color="auto" w:fill="FFFFFF"/>
            <w:tcMar>
              <w:top w:w="30" w:type="dxa"/>
              <w:left w:w="0" w:type="dxa"/>
              <w:bottom w:w="30" w:type="dxa"/>
              <w:right w:w="20" w:type="dxa"/>
            </w:tcMar>
            <w:vAlign w:val="bottom"/>
            <w:hideMark/>
          </w:tcPr>
          <w:p w14:paraId="2A97BB2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337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5517E" w14:textId="77777777" w:rsidR="00000000" w:rsidRDefault="001A570A">
            <w:pPr>
              <w:jc w:val="right"/>
              <w:rPr>
                <w:rFonts w:eastAsia="Times New Roman"/>
              </w:rPr>
            </w:pPr>
            <w:r>
              <w:rPr>
                <w:rFonts w:eastAsia="Times New Roman"/>
                <w:color w:val="000000"/>
                <w:sz w:val="20"/>
                <w:szCs w:val="20"/>
              </w:rPr>
              <w:t>20,694 </w:t>
            </w:r>
          </w:p>
        </w:tc>
        <w:tc>
          <w:tcPr>
            <w:tcW w:w="0" w:type="auto"/>
            <w:shd w:val="clear" w:color="auto" w:fill="FFFFFF"/>
            <w:tcMar>
              <w:top w:w="30" w:type="dxa"/>
              <w:left w:w="0" w:type="dxa"/>
              <w:bottom w:w="30" w:type="dxa"/>
              <w:right w:w="20" w:type="dxa"/>
            </w:tcMar>
            <w:vAlign w:val="bottom"/>
            <w:hideMark/>
          </w:tcPr>
          <w:p w14:paraId="3B340B64" w14:textId="77777777" w:rsidR="00000000" w:rsidRDefault="001A570A">
            <w:pPr>
              <w:jc w:val="right"/>
              <w:rPr>
                <w:rFonts w:eastAsia="Times New Roman"/>
              </w:rPr>
            </w:pPr>
          </w:p>
        </w:tc>
      </w:tr>
      <w:tr w:rsidR="00000000" w14:paraId="302BB203" w14:textId="77777777">
        <w:trPr>
          <w:divId w:val="1394278699"/>
        </w:trPr>
        <w:tc>
          <w:tcPr>
            <w:tcW w:w="0" w:type="auto"/>
            <w:gridSpan w:val="3"/>
            <w:shd w:val="clear" w:color="auto" w:fill="CCEEFF"/>
            <w:tcMar>
              <w:top w:w="30" w:type="dxa"/>
              <w:left w:w="155" w:type="dxa"/>
              <w:bottom w:w="30" w:type="dxa"/>
              <w:right w:w="20" w:type="dxa"/>
            </w:tcMar>
            <w:hideMark/>
          </w:tcPr>
          <w:p w14:paraId="32A207C9" w14:textId="77777777" w:rsidR="00000000" w:rsidRDefault="001A570A">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14:paraId="0D117F97" w14:textId="77777777" w:rsidR="00000000" w:rsidRDefault="001A570A">
            <w:pPr>
              <w:jc w:val="right"/>
              <w:rPr>
                <w:rFonts w:eastAsia="Times New Roman"/>
              </w:rPr>
            </w:pPr>
            <w:r>
              <w:rPr>
                <w:rFonts w:eastAsia="Times New Roman"/>
                <w:color w:val="000000"/>
                <w:sz w:val="20"/>
                <w:szCs w:val="20"/>
              </w:rPr>
              <w:t>2,347 </w:t>
            </w:r>
          </w:p>
        </w:tc>
        <w:tc>
          <w:tcPr>
            <w:tcW w:w="0" w:type="auto"/>
            <w:shd w:val="clear" w:color="auto" w:fill="CCEEFF"/>
            <w:tcMar>
              <w:top w:w="30" w:type="dxa"/>
              <w:left w:w="0" w:type="dxa"/>
              <w:bottom w:w="30" w:type="dxa"/>
              <w:right w:w="20" w:type="dxa"/>
            </w:tcMar>
            <w:vAlign w:val="bottom"/>
            <w:hideMark/>
          </w:tcPr>
          <w:p w14:paraId="735887F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4ECD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ED358" w14:textId="77777777" w:rsidR="00000000" w:rsidRDefault="001A570A">
            <w:pPr>
              <w:jc w:val="right"/>
              <w:rPr>
                <w:rFonts w:eastAsia="Times New Roman"/>
              </w:rPr>
            </w:pPr>
            <w:r>
              <w:rPr>
                <w:rFonts w:eastAsia="Times New Roman"/>
                <w:color w:val="000000"/>
                <w:sz w:val="20"/>
                <w:szCs w:val="20"/>
              </w:rPr>
              <w:t>2,183 </w:t>
            </w:r>
          </w:p>
        </w:tc>
        <w:tc>
          <w:tcPr>
            <w:tcW w:w="0" w:type="auto"/>
            <w:shd w:val="clear" w:color="auto" w:fill="CCEEFF"/>
            <w:tcMar>
              <w:top w:w="30" w:type="dxa"/>
              <w:left w:w="0" w:type="dxa"/>
              <w:bottom w:w="30" w:type="dxa"/>
              <w:right w:w="20" w:type="dxa"/>
            </w:tcMar>
            <w:vAlign w:val="bottom"/>
            <w:hideMark/>
          </w:tcPr>
          <w:p w14:paraId="675E8546" w14:textId="77777777" w:rsidR="00000000" w:rsidRDefault="001A570A">
            <w:pPr>
              <w:jc w:val="right"/>
              <w:rPr>
                <w:rFonts w:eastAsia="Times New Roman"/>
              </w:rPr>
            </w:pPr>
          </w:p>
        </w:tc>
      </w:tr>
      <w:tr w:rsidR="00000000" w14:paraId="022E7FF7" w14:textId="77777777">
        <w:trPr>
          <w:divId w:val="1394278699"/>
        </w:trPr>
        <w:tc>
          <w:tcPr>
            <w:tcW w:w="0" w:type="auto"/>
            <w:gridSpan w:val="3"/>
            <w:shd w:val="clear" w:color="auto" w:fill="FFFFFF"/>
            <w:tcMar>
              <w:top w:w="30" w:type="dxa"/>
              <w:left w:w="155" w:type="dxa"/>
              <w:bottom w:w="30" w:type="dxa"/>
              <w:right w:w="20" w:type="dxa"/>
            </w:tcMar>
            <w:hideMark/>
          </w:tcPr>
          <w:p w14:paraId="1758DFEE" w14:textId="77777777" w:rsidR="00000000" w:rsidRDefault="001A570A">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479361D6" w14:textId="77777777" w:rsidR="00000000" w:rsidRDefault="001A570A">
            <w:pPr>
              <w:jc w:val="right"/>
              <w:rPr>
                <w:rFonts w:eastAsia="Times New Roman"/>
              </w:rPr>
            </w:pPr>
            <w:r>
              <w:rPr>
                <w:rFonts w:eastAsia="Times New Roman"/>
                <w:color w:val="000000"/>
                <w:sz w:val="20"/>
                <w:szCs w:val="20"/>
              </w:rPr>
              <w:t>(839)</w:t>
            </w:r>
          </w:p>
        </w:tc>
        <w:tc>
          <w:tcPr>
            <w:tcW w:w="0" w:type="auto"/>
            <w:shd w:val="clear" w:color="auto" w:fill="FFFFFF"/>
            <w:tcMar>
              <w:top w:w="30" w:type="dxa"/>
              <w:left w:w="0" w:type="dxa"/>
              <w:bottom w:w="30" w:type="dxa"/>
              <w:right w:w="20" w:type="dxa"/>
            </w:tcMar>
            <w:vAlign w:val="bottom"/>
            <w:hideMark/>
          </w:tcPr>
          <w:p w14:paraId="7C1D274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9D00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D62CC" w14:textId="77777777" w:rsidR="00000000" w:rsidRDefault="001A570A">
            <w:pPr>
              <w:jc w:val="right"/>
              <w:rPr>
                <w:rFonts w:eastAsia="Times New Roman"/>
              </w:rPr>
            </w:pPr>
            <w:r>
              <w:rPr>
                <w:rFonts w:eastAsia="Times New Roman"/>
                <w:color w:val="000000"/>
                <w:sz w:val="20"/>
                <w:szCs w:val="20"/>
              </w:rPr>
              <w:t>(508)</w:t>
            </w:r>
          </w:p>
        </w:tc>
        <w:tc>
          <w:tcPr>
            <w:tcW w:w="0" w:type="auto"/>
            <w:shd w:val="clear" w:color="auto" w:fill="FFFFFF"/>
            <w:tcMar>
              <w:top w:w="30" w:type="dxa"/>
              <w:left w:w="0" w:type="dxa"/>
              <w:bottom w:w="30" w:type="dxa"/>
              <w:right w:w="20" w:type="dxa"/>
            </w:tcMar>
            <w:vAlign w:val="bottom"/>
            <w:hideMark/>
          </w:tcPr>
          <w:p w14:paraId="4133FAEF" w14:textId="77777777" w:rsidR="00000000" w:rsidRDefault="001A570A">
            <w:pPr>
              <w:jc w:val="right"/>
              <w:rPr>
                <w:rFonts w:eastAsia="Times New Roman"/>
              </w:rPr>
            </w:pPr>
          </w:p>
        </w:tc>
      </w:tr>
      <w:tr w:rsidR="00000000" w14:paraId="2559B008" w14:textId="77777777">
        <w:trPr>
          <w:divId w:val="1394278699"/>
        </w:trPr>
        <w:tc>
          <w:tcPr>
            <w:tcW w:w="0" w:type="auto"/>
            <w:gridSpan w:val="3"/>
            <w:shd w:val="clear" w:color="auto" w:fill="CCEEFF"/>
            <w:tcMar>
              <w:top w:w="30" w:type="dxa"/>
              <w:left w:w="380" w:type="dxa"/>
              <w:bottom w:w="30" w:type="dxa"/>
              <w:right w:w="20" w:type="dxa"/>
            </w:tcMar>
            <w:hideMark/>
          </w:tcPr>
          <w:p w14:paraId="4CEFD1BD" w14:textId="77777777" w:rsidR="00000000" w:rsidRDefault="001A570A">
            <w:pPr>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4E238B" w14:textId="77777777" w:rsidR="00000000" w:rsidRDefault="001A570A">
            <w:pPr>
              <w:jc w:val="right"/>
              <w:rPr>
                <w:rFonts w:eastAsia="Times New Roman"/>
              </w:rPr>
            </w:pPr>
            <w:r>
              <w:rPr>
                <w:rFonts w:eastAsia="Times New Roman"/>
                <w:color w:val="000000"/>
                <w:sz w:val="20"/>
                <w:szCs w:val="20"/>
              </w:rPr>
              <w:t>20,724 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B65AD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7F80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82B2DB" w14:textId="77777777" w:rsidR="00000000" w:rsidRDefault="001A570A">
            <w:pPr>
              <w:jc w:val="right"/>
              <w:rPr>
                <w:rFonts w:eastAsia="Times New Roman"/>
              </w:rPr>
            </w:pPr>
            <w:r>
              <w:rPr>
                <w:rFonts w:eastAsia="Times New Roman"/>
                <w:color w:val="000000"/>
                <w:sz w:val="20"/>
                <w:szCs w:val="20"/>
              </w:rPr>
              <w:t>22,587 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1449A3" w14:textId="77777777" w:rsidR="00000000" w:rsidRDefault="001A570A">
            <w:pPr>
              <w:jc w:val="right"/>
              <w:rPr>
                <w:rFonts w:eastAsia="Times New Roman"/>
              </w:rPr>
            </w:pPr>
          </w:p>
        </w:tc>
      </w:tr>
      <w:tr w:rsidR="00000000" w14:paraId="3BB403A8" w14:textId="77777777">
        <w:trPr>
          <w:divId w:val="1394278699"/>
        </w:trPr>
        <w:tc>
          <w:tcPr>
            <w:tcW w:w="0" w:type="auto"/>
            <w:gridSpan w:val="3"/>
            <w:shd w:val="clear" w:color="auto" w:fill="FFFFFF"/>
            <w:tcMar>
              <w:top w:w="30" w:type="dxa"/>
              <w:left w:w="20" w:type="dxa"/>
              <w:bottom w:w="30" w:type="dxa"/>
              <w:right w:w="20" w:type="dxa"/>
            </w:tcMar>
            <w:hideMark/>
          </w:tcPr>
          <w:p w14:paraId="7CC2F720" w14:textId="77777777" w:rsidR="00000000" w:rsidRDefault="001A570A">
            <w:pPr>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14:paraId="5E8F7465"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407124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50C1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DD5C1" w14:textId="77777777" w:rsidR="00000000" w:rsidRDefault="001A570A">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14:paraId="5BFE0934" w14:textId="77777777" w:rsidR="00000000" w:rsidRDefault="001A570A">
            <w:pPr>
              <w:jc w:val="right"/>
              <w:rPr>
                <w:rFonts w:eastAsia="Times New Roman"/>
              </w:rPr>
            </w:pPr>
          </w:p>
        </w:tc>
      </w:tr>
      <w:tr w:rsidR="00000000" w14:paraId="76C93007" w14:textId="77777777">
        <w:trPr>
          <w:divId w:val="1394278699"/>
        </w:trPr>
        <w:tc>
          <w:tcPr>
            <w:tcW w:w="0" w:type="auto"/>
            <w:gridSpan w:val="3"/>
            <w:shd w:val="clear" w:color="auto" w:fill="CCEEFF"/>
            <w:tcMar>
              <w:top w:w="30" w:type="dxa"/>
              <w:left w:w="380" w:type="dxa"/>
              <w:bottom w:w="30" w:type="dxa"/>
              <w:right w:w="20" w:type="dxa"/>
            </w:tcMar>
            <w:hideMark/>
          </w:tcPr>
          <w:p w14:paraId="03FD0FDD" w14:textId="77777777" w:rsidR="00000000" w:rsidRDefault="001A570A">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563DDF" w14:textId="77777777" w:rsidR="00000000" w:rsidRDefault="001A570A">
            <w:pPr>
              <w:jc w:val="right"/>
              <w:rPr>
                <w:rFonts w:eastAsia="Times New Roman"/>
              </w:rPr>
            </w:pPr>
            <w:r>
              <w:rPr>
                <w:rFonts w:eastAsia="Times New Roman"/>
                <w:color w:val="000000"/>
                <w:sz w:val="20"/>
                <w:szCs w:val="20"/>
              </w:rPr>
              <w:t>20,841 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904A6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3730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E118D4" w14:textId="77777777" w:rsidR="00000000" w:rsidRDefault="001A570A">
            <w:pPr>
              <w:jc w:val="right"/>
              <w:rPr>
                <w:rFonts w:eastAsia="Times New Roman"/>
              </w:rPr>
            </w:pPr>
            <w:r>
              <w:rPr>
                <w:rFonts w:eastAsia="Times New Roman"/>
                <w:color w:val="000000"/>
                <w:sz w:val="20"/>
                <w:szCs w:val="20"/>
              </w:rPr>
              <w:t>22,744 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8260D1" w14:textId="77777777" w:rsidR="00000000" w:rsidRDefault="001A570A">
            <w:pPr>
              <w:jc w:val="right"/>
              <w:rPr>
                <w:rFonts w:eastAsia="Times New Roman"/>
              </w:rPr>
            </w:pPr>
          </w:p>
        </w:tc>
      </w:tr>
      <w:tr w:rsidR="00000000" w14:paraId="34B25BF1" w14:textId="77777777">
        <w:trPr>
          <w:divId w:val="1394278699"/>
        </w:trPr>
        <w:tc>
          <w:tcPr>
            <w:tcW w:w="0" w:type="auto"/>
            <w:gridSpan w:val="3"/>
            <w:shd w:val="clear" w:color="auto" w:fill="FFFFFF"/>
            <w:tcMar>
              <w:top w:w="0" w:type="dxa"/>
              <w:left w:w="20" w:type="dxa"/>
              <w:bottom w:w="0" w:type="dxa"/>
              <w:right w:w="20" w:type="dxa"/>
            </w:tcMar>
            <w:vAlign w:val="center"/>
            <w:hideMark/>
          </w:tcPr>
          <w:p w14:paraId="1F44715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BD90C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688254" w14:textId="77777777" w:rsidR="00000000" w:rsidRDefault="001A570A">
            <w:pPr>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5CAE6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B6FC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1AD36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2D9254" w14:textId="77777777" w:rsidR="00000000" w:rsidRDefault="001A570A">
            <w:pPr>
              <w:jc w:val="right"/>
              <w:rPr>
                <w:rFonts w:eastAsia="Times New Roman"/>
              </w:rPr>
            </w:pPr>
            <w:r>
              <w:rPr>
                <w:rFonts w:eastAsia="Times New Roman"/>
                <w:color w:val="000000"/>
                <w:sz w:val="20"/>
                <w:szCs w:val="20"/>
              </w:rPr>
              <w:t>38,336 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536E10" w14:textId="77777777" w:rsidR="00000000" w:rsidRDefault="001A570A">
            <w:pPr>
              <w:jc w:val="right"/>
              <w:rPr>
                <w:rFonts w:eastAsia="Times New Roman"/>
              </w:rPr>
            </w:pPr>
          </w:p>
        </w:tc>
      </w:tr>
    </w:tbl>
    <w:p w14:paraId="397DF768" w14:textId="77777777" w:rsidR="00000000" w:rsidRDefault="001A570A">
      <w:pPr>
        <w:divId w:val="1681466940"/>
        <w:rPr>
          <w:rFonts w:eastAsia="Times New Roman"/>
        </w:rPr>
      </w:pPr>
      <w:r>
        <w:rPr>
          <w:rFonts w:eastAsia="Times New Roman"/>
          <w:color w:val="000000"/>
          <w:sz w:val="20"/>
          <w:szCs w:val="20"/>
        </w:rPr>
        <w:t>See accompanying Notes to Consolidated Financial Statements.</w:t>
      </w:r>
    </w:p>
    <w:p w14:paraId="308915DE" w14:textId="77777777" w:rsidR="00000000" w:rsidRDefault="001A570A">
      <w:pPr>
        <w:ind w:firstLine="450"/>
        <w:jc w:val="center"/>
        <w:divId w:val="1886521467"/>
        <w:rPr>
          <w:rFonts w:eastAsia="Times New Roman"/>
        </w:rPr>
      </w:pPr>
      <w:r>
        <w:rPr>
          <w:rFonts w:eastAsia="Times New Roman"/>
          <w:color w:val="000000"/>
          <w:sz w:val="20"/>
          <w:szCs w:val="20"/>
        </w:rPr>
        <w:t>78</w:t>
      </w:r>
    </w:p>
    <w:p w14:paraId="1618AB42" w14:textId="77777777" w:rsidR="00000000" w:rsidRDefault="001A570A">
      <w:pPr>
        <w:rPr>
          <w:rFonts w:eastAsia="Times New Roman"/>
        </w:rPr>
      </w:pPr>
      <w:r>
        <w:rPr>
          <w:rFonts w:eastAsia="Times New Roman"/>
        </w:rPr>
        <w:pict w14:anchorId="41FA3B4C">
          <v:rect id="_x0000_i1106" style="width:0;height:1.5pt" o:hralign="center" o:hrstd="t" o:hr="t" fillcolor="#a0a0a0" stroked="f"/>
        </w:pict>
      </w:r>
    </w:p>
    <w:p w14:paraId="4B6ED300" w14:textId="77777777" w:rsidR="00000000" w:rsidRDefault="001A570A">
      <w:pPr>
        <w:ind w:firstLine="450"/>
        <w:divId w:val="1686394931"/>
        <w:rPr>
          <w:rFonts w:eastAsia="Times New Roman"/>
        </w:rPr>
      </w:pPr>
    </w:p>
    <w:p w14:paraId="75A18089" w14:textId="77777777" w:rsidR="00000000" w:rsidRDefault="001A570A">
      <w:pPr>
        <w:divId w:val="666904747"/>
        <w:rPr>
          <w:rFonts w:eastAsia="Times New Roman"/>
        </w:rPr>
      </w:pPr>
      <w:r>
        <w:rPr>
          <w:rFonts w:eastAsia="Times New Roman"/>
          <w:b/>
          <w:bCs/>
          <w:color w:val="000000"/>
          <w:sz w:val="20"/>
          <w:szCs w:val="20"/>
        </w:rPr>
        <w:t>CONSOLIDATED STATEMENT OF CASH FLOWS</w:t>
      </w:r>
    </w:p>
    <w:tbl>
      <w:tblPr>
        <w:tblW w:w="4971" w:type="pct"/>
        <w:tblCellMar>
          <w:top w:w="15" w:type="dxa"/>
          <w:left w:w="15" w:type="dxa"/>
          <w:bottom w:w="15" w:type="dxa"/>
          <w:right w:w="15" w:type="dxa"/>
        </w:tblCellMar>
        <w:tblLook w:val="04A0" w:firstRow="1" w:lastRow="0" w:firstColumn="1" w:lastColumn="0" w:noHBand="0" w:noVBand="1"/>
      </w:tblPr>
      <w:tblGrid>
        <w:gridCol w:w="42"/>
        <w:gridCol w:w="3775"/>
        <w:gridCol w:w="41"/>
        <w:gridCol w:w="120"/>
        <w:gridCol w:w="895"/>
        <w:gridCol w:w="36"/>
        <w:gridCol w:w="36"/>
        <w:gridCol w:w="36"/>
        <w:gridCol w:w="36"/>
        <w:gridCol w:w="121"/>
        <w:gridCol w:w="851"/>
        <w:gridCol w:w="36"/>
        <w:gridCol w:w="36"/>
        <w:gridCol w:w="36"/>
        <w:gridCol w:w="36"/>
        <w:gridCol w:w="121"/>
        <w:gridCol w:w="851"/>
        <w:gridCol w:w="36"/>
        <w:gridCol w:w="36"/>
        <w:gridCol w:w="36"/>
        <w:gridCol w:w="36"/>
        <w:gridCol w:w="122"/>
        <w:gridCol w:w="851"/>
        <w:gridCol w:w="36"/>
      </w:tblGrid>
      <w:tr w:rsidR="00000000" w14:paraId="559853A6" w14:textId="77777777">
        <w:trPr>
          <w:divId w:val="791823016"/>
        </w:trPr>
        <w:tc>
          <w:tcPr>
            <w:tcW w:w="50" w:type="pct"/>
            <w:vAlign w:val="center"/>
            <w:hideMark/>
          </w:tcPr>
          <w:p w14:paraId="4FCD0A4B" w14:textId="77777777" w:rsidR="00000000" w:rsidRDefault="001A570A">
            <w:pPr>
              <w:rPr>
                <w:rFonts w:eastAsia="Times New Roman"/>
              </w:rPr>
            </w:pPr>
          </w:p>
        </w:tc>
        <w:tc>
          <w:tcPr>
            <w:tcW w:w="2322" w:type="pct"/>
            <w:vAlign w:val="center"/>
            <w:hideMark/>
          </w:tcPr>
          <w:p w14:paraId="0810C946" w14:textId="77777777" w:rsidR="00000000" w:rsidRDefault="001A570A">
            <w:pPr>
              <w:rPr>
                <w:rFonts w:eastAsia="Times New Roman"/>
                <w:sz w:val="20"/>
                <w:szCs w:val="20"/>
              </w:rPr>
            </w:pPr>
          </w:p>
        </w:tc>
        <w:tc>
          <w:tcPr>
            <w:tcW w:w="5" w:type="pct"/>
            <w:vAlign w:val="center"/>
            <w:hideMark/>
          </w:tcPr>
          <w:p w14:paraId="070636BC" w14:textId="77777777" w:rsidR="00000000" w:rsidRDefault="001A570A">
            <w:pPr>
              <w:rPr>
                <w:rFonts w:eastAsia="Times New Roman"/>
                <w:sz w:val="20"/>
                <w:szCs w:val="20"/>
              </w:rPr>
            </w:pPr>
          </w:p>
        </w:tc>
        <w:tc>
          <w:tcPr>
            <w:tcW w:w="50" w:type="pct"/>
            <w:vAlign w:val="center"/>
            <w:hideMark/>
          </w:tcPr>
          <w:p w14:paraId="146E7589" w14:textId="77777777" w:rsidR="00000000" w:rsidRDefault="001A570A">
            <w:pPr>
              <w:rPr>
                <w:rFonts w:eastAsia="Times New Roman"/>
                <w:sz w:val="20"/>
                <w:szCs w:val="20"/>
              </w:rPr>
            </w:pPr>
          </w:p>
        </w:tc>
        <w:tc>
          <w:tcPr>
            <w:tcW w:w="573" w:type="pct"/>
            <w:vAlign w:val="center"/>
            <w:hideMark/>
          </w:tcPr>
          <w:p w14:paraId="6C9FB4D3" w14:textId="77777777" w:rsidR="00000000" w:rsidRDefault="001A570A">
            <w:pPr>
              <w:rPr>
                <w:rFonts w:eastAsia="Times New Roman"/>
                <w:sz w:val="20"/>
                <w:szCs w:val="20"/>
              </w:rPr>
            </w:pPr>
          </w:p>
        </w:tc>
        <w:tc>
          <w:tcPr>
            <w:tcW w:w="5" w:type="pct"/>
            <w:vAlign w:val="center"/>
            <w:hideMark/>
          </w:tcPr>
          <w:p w14:paraId="45E8FB5D" w14:textId="77777777" w:rsidR="00000000" w:rsidRDefault="001A570A">
            <w:pPr>
              <w:rPr>
                <w:rFonts w:eastAsia="Times New Roman"/>
                <w:sz w:val="20"/>
                <w:szCs w:val="20"/>
              </w:rPr>
            </w:pPr>
          </w:p>
        </w:tc>
        <w:tc>
          <w:tcPr>
            <w:tcW w:w="5" w:type="pct"/>
            <w:vAlign w:val="center"/>
            <w:hideMark/>
          </w:tcPr>
          <w:p w14:paraId="15FFEA3E" w14:textId="77777777" w:rsidR="00000000" w:rsidRDefault="001A570A">
            <w:pPr>
              <w:rPr>
                <w:rFonts w:eastAsia="Times New Roman"/>
                <w:sz w:val="20"/>
                <w:szCs w:val="20"/>
              </w:rPr>
            </w:pPr>
          </w:p>
        </w:tc>
        <w:tc>
          <w:tcPr>
            <w:tcW w:w="26" w:type="pct"/>
            <w:vAlign w:val="center"/>
            <w:hideMark/>
          </w:tcPr>
          <w:p w14:paraId="15C9FCA1" w14:textId="77777777" w:rsidR="00000000" w:rsidRDefault="001A570A">
            <w:pPr>
              <w:rPr>
                <w:rFonts w:eastAsia="Times New Roman"/>
                <w:sz w:val="20"/>
                <w:szCs w:val="20"/>
              </w:rPr>
            </w:pPr>
          </w:p>
        </w:tc>
        <w:tc>
          <w:tcPr>
            <w:tcW w:w="5" w:type="pct"/>
            <w:vAlign w:val="center"/>
            <w:hideMark/>
          </w:tcPr>
          <w:p w14:paraId="00ED777F" w14:textId="77777777" w:rsidR="00000000" w:rsidRDefault="001A570A">
            <w:pPr>
              <w:rPr>
                <w:rFonts w:eastAsia="Times New Roman"/>
                <w:sz w:val="20"/>
                <w:szCs w:val="20"/>
              </w:rPr>
            </w:pPr>
          </w:p>
        </w:tc>
        <w:tc>
          <w:tcPr>
            <w:tcW w:w="50" w:type="pct"/>
            <w:vAlign w:val="center"/>
            <w:hideMark/>
          </w:tcPr>
          <w:p w14:paraId="310DEFCC" w14:textId="77777777" w:rsidR="00000000" w:rsidRDefault="001A570A">
            <w:pPr>
              <w:rPr>
                <w:rFonts w:eastAsia="Times New Roman"/>
                <w:sz w:val="20"/>
                <w:szCs w:val="20"/>
              </w:rPr>
            </w:pPr>
          </w:p>
        </w:tc>
        <w:tc>
          <w:tcPr>
            <w:tcW w:w="573" w:type="pct"/>
            <w:vAlign w:val="center"/>
            <w:hideMark/>
          </w:tcPr>
          <w:p w14:paraId="7EB52279" w14:textId="77777777" w:rsidR="00000000" w:rsidRDefault="001A570A">
            <w:pPr>
              <w:rPr>
                <w:rFonts w:eastAsia="Times New Roman"/>
                <w:sz w:val="20"/>
                <w:szCs w:val="20"/>
              </w:rPr>
            </w:pPr>
          </w:p>
        </w:tc>
        <w:tc>
          <w:tcPr>
            <w:tcW w:w="5" w:type="pct"/>
            <w:vAlign w:val="center"/>
            <w:hideMark/>
          </w:tcPr>
          <w:p w14:paraId="05F87E99" w14:textId="77777777" w:rsidR="00000000" w:rsidRDefault="001A570A">
            <w:pPr>
              <w:rPr>
                <w:rFonts w:eastAsia="Times New Roman"/>
                <w:sz w:val="20"/>
                <w:szCs w:val="20"/>
              </w:rPr>
            </w:pPr>
          </w:p>
        </w:tc>
        <w:tc>
          <w:tcPr>
            <w:tcW w:w="5" w:type="pct"/>
            <w:vAlign w:val="center"/>
            <w:hideMark/>
          </w:tcPr>
          <w:p w14:paraId="291D6E67" w14:textId="77777777" w:rsidR="00000000" w:rsidRDefault="001A570A">
            <w:pPr>
              <w:rPr>
                <w:rFonts w:eastAsia="Times New Roman"/>
                <w:sz w:val="20"/>
                <w:szCs w:val="20"/>
              </w:rPr>
            </w:pPr>
          </w:p>
        </w:tc>
        <w:tc>
          <w:tcPr>
            <w:tcW w:w="26" w:type="pct"/>
            <w:vAlign w:val="center"/>
            <w:hideMark/>
          </w:tcPr>
          <w:p w14:paraId="69212F72" w14:textId="77777777" w:rsidR="00000000" w:rsidRDefault="001A570A">
            <w:pPr>
              <w:rPr>
                <w:rFonts w:eastAsia="Times New Roman"/>
                <w:sz w:val="20"/>
                <w:szCs w:val="20"/>
              </w:rPr>
            </w:pPr>
          </w:p>
        </w:tc>
        <w:tc>
          <w:tcPr>
            <w:tcW w:w="5" w:type="pct"/>
            <w:vAlign w:val="center"/>
            <w:hideMark/>
          </w:tcPr>
          <w:p w14:paraId="392613F0" w14:textId="77777777" w:rsidR="00000000" w:rsidRDefault="001A570A">
            <w:pPr>
              <w:rPr>
                <w:rFonts w:eastAsia="Times New Roman"/>
                <w:sz w:val="20"/>
                <w:szCs w:val="20"/>
              </w:rPr>
            </w:pPr>
          </w:p>
        </w:tc>
        <w:tc>
          <w:tcPr>
            <w:tcW w:w="50" w:type="pct"/>
            <w:vAlign w:val="center"/>
            <w:hideMark/>
          </w:tcPr>
          <w:p w14:paraId="04D7AAC5" w14:textId="77777777" w:rsidR="00000000" w:rsidRDefault="001A570A">
            <w:pPr>
              <w:rPr>
                <w:rFonts w:eastAsia="Times New Roman"/>
                <w:sz w:val="20"/>
                <w:szCs w:val="20"/>
              </w:rPr>
            </w:pPr>
          </w:p>
        </w:tc>
        <w:tc>
          <w:tcPr>
            <w:tcW w:w="573" w:type="pct"/>
            <w:vAlign w:val="center"/>
            <w:hideMark/>
          </w:tcPr>
          <w:p w14:paraId="60BEED1B" w14:textId="77777777" w:rsidR="00000000" w:rsidRDefault="001A570A">
            <w:pPr>
              <w:rPr>
                <w:rFonts w:eastAsia="Times New Roman"/>
                <w:sz w:val="20"/>
                <w:szCs w:val="20"/>
              </w:rPr>
            </w:pPr>
          </w:p>
        </w:tc>
        <w:tc>
          <w:tcPr>
            <w:tcW w:w="5" w:type="pct"/>
            <w:vAlign w:val="center"/>
            <w:hideMark/>
          </w:tcPr>
          <w:p w14:paraId="179AFEBA" w14:textId="77777777" w:rsidR="00000000" w:rsidRDefault="001A570A">
            <w:pPr>
              <w:rPr>
                <w:rFonts w:eastAsia="Times New Roman"/>
                <w:sz w:val="20"/>
                <w:szCs w:val="20"/>
              </w:rPr>
            </w:pPr>
          </w:p>
        </w:tc>
        <w:tc>
          <w:tcPr>
            <w:tcW w:w="5" w:type="pct"/>
            <w:vAlign w:val="center"/>
            <w:hideMark/>
          </w:tcPr>
          <w:p w14:paraId="302AD7D9" w14:textId="77777777" w:rsidR="00000000" w:rsidRDefault="001A570A">
            <w:pPr>
              <w:rPr>
                <w:rFonts w:eastAsia="Times New Roman"/>
                <w:sz w:val="20"/>
                <w:szCs w:val="20"/>
              </w:rPr>
            </w:pPr>
          </w:p>
        </w:tc>
        <w:tc>
          <w:tcPr>
            <w:tcW w:w="26" w:type="pct"/>
            <w:vAlign w:val="center"/>
            <w:hideMark/>
          </w:tcPr>
          <w:p w14:paraId="76A77519" w14:textId="77777777" w:rsidR="00000000" w:rsidRDefault="001A570A">
            <w:pPr>
              <w:rPr>
                <w:rFonts w:eastAsia="Times New Roman"/>
                <w:sz w:val="20"/>
                <w:szCs w:val="20"/>
              </w:rPr>
            </w:pPr>
          </w:p>
        </w:tc>
        <w:tc>
          <w:tcPr>
            <w:tcW w:w="5" w:type="pct"/>
            <w:vAlign w:val="center"/>
            <w:hideMark/>
          </w:tcPr>
          <w:p w14:paraId="1144350C" w14:textId="77777777" w:rsidR="00000000" w:rsidRDefault="001A570A">
            <w:pPr>
              <w:rPr>
                <w:rFonts w:eastAsia="Times New Roman"/>
                <w:sz w:val="20"/>
                <w:szCs w:val="20"/>
              </w:rPr>
            </w:pPr>
          </w:p>
        </w:tc>
        <w:tc>
          <w:tcPr>
            <w:tcW w:w="50" w:type="pct"/>
            <w:vAlign w:val="center"/>
            <w:hideMark/>
          </w:tcPr>
          <w:p w14:paraId="00B3D5AB" w14:textId="77777777" w:rsidR="00000000" w:rsidRDefault="001A570A">
            <w:pPr>
              <w:rPr>
                <w:rFonts w:eastAsia="Times New Roman"/>
                <w:sz w:val="20"/>
                <w:szCs w:val="20"/>
              </w:rPr>
            </w:pPr>
          </w:p>
        </w:tc>
        <w:tc>
          <w:tcPr>
            <w:tcW w:w="573" w:type="pct"/>
            <w:vAlign w:val="center"/>
            <w:hideMark/>
          </w:tcPr>
          <w:p w14:paraId="0E18BF77" w14:textId="77777777" w:rsidR="00000000" w:rsidRDefault="001A570A">
            <w:pPr>
              <w:rPr>
                <w:rFonts w:eastAsia="Times New Roman"/>
                <w:sz w:val="20"/>
                <w:szCs w:val="20"/>
              </w:rPr>
            </w:pPr>
          </w:p>
        </w:tc>
        <w:tc>
          <w:tcPr>
            <w:tcW w:w="5" w:type="pct"/>
            <w:vAlign w:val="center"/>
            <w:hideMark/>
          </w:tcPr>
          <w:p w14:paraId="6675F080" w14:textId="77777777" w:rsidR="00000000" w:rsidRDefault="001A570A">
            <w:pPr>
              <w:rPr>
                <w:rFonts w:eastAsia="Times New Roman"/>
                <w:sz w:val="20"/>
                <w:szCs w:val="20"/>
              </w:rPr>
            </w:pPr>
          </w:p>
        </w:tc>
      </w:tr>
      <w:tr w:rsidR="00000000" w14:paraId="5596FBEF" w14:textId="77777777">
        <w:trPr>
          <w:divId w:val="791823016"/>
        </w:trPr>
        <w:tc>
          <w:tcPr>
            <w:tcW w:w="0" w:type="auto"/>
            <w:gridSpan w:val="3"/>
            <w:tcMar>
              <w:top w:w="30" w:type="dxa"/>
              <w:left w:w="20" w:type="dxa"/>
              <w:bottom w:w="30" w:type="dxa"/>
              <w:right w:w="20" w:type="dxa"/>
            </w:tcMar>
            <w:vAlign w:val="bottom"/>
            <w:hideMark/>
          </w:tcPr>
          <w:p w14:paraId="4FCDF41A" w14:textId="77777777" w:rsidR="00000000" w:rsidRDefault="001A570A">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14:paraId="2B1A5965"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2CE44A44"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D01CC9F"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5913D942"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982AF96"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781DE036" w14:textId="77777777">
        <w:trPr>
          <w:divId w:val="791823016"/>
        </w:trPr>
        <w:tc>
          <w:tcPr>
            <w:tcW w:w="0" w:type="auto"/>
            <w:gridSpan w:val="3"/>
            <w:tcMar>
              <w:top w:w="30" w:type="dxa"/>
              <w:left w:w="20" w:type="dxa"/>
              <w:bottom w:w="30" w:type="dxa"/>
              <w:right w:w="20" w:type="dxa"/>
            </w:tcMar>
            <w:vAlign w:val="bottom"/>
            <w:hideMark/>
          </w:tcPr>
          <w:p w14:paraId="1C4BF5FD"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928AF8C"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18E3500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81B890"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029269F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F81A06"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5A0B243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79EA49" w14:textId="77777777" w:rsidR="00000000" w:rsidRDefault="001A570A">
            <w:pPr>
              <w:jc w:val="center"/>
              <w:rPr>
                <w:rFonts w:eastAsia="Times New Roman"/>
              </w:rPr>
            </w:pPr>
            <w:r>
              <w:rPr>
                <w:rFonts w:eastAsia="Times New Roman"/>
                <w:b/>
                <w:bCs/>
                <w:color w:val="000000"/>
                <w:sz w:val="16"/>
                <w:szCs w:val="16"/>
              </w:rPr>
              <w:t>June 29, 2018</w:t>
            </w:r>
          </w:p>
        </w:tc>
      </w:tr>
      <w:tr w:rsidR="00000000" w14:paraId="788C1480" w14:textId="77777777">
        <w:trPr>
          <w:divId w:val="791823016"/>
          <w:trHeight w:val="60"/>
        </w:trPr>
        <w:tc>
          <w:tcPr>
            <w:tcW w:w="0" w:type="auto"/>
            <w:gridSpan w:val="3"/>
            <w:tcMar>
              <w:top w:w="0" w:type="dxa"/>
              <w:left w:w="20" w:type="dxa"/>
              <w:bottom w:w="0" w:type="dxa"/>
              <w:right w:w="20" w:type="dxa"/>
            </w:tcMar>
            <w:vAlign w:val="center"/>
            <w:hideMark/>
          </w:tcPr>
          <w:p w14:paraId="2D2F74D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0A18A3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03FFF0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26847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AB5489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AE7D8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C12987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708ADE" w14:textId="77777777" w:rsidR="00000000" w:rsidRDefault="001A570A">
            <w:pPr>
              <w:rPr>
                <w:rFonts w:eastAsia="Times New Roman"/>
                <w:sz w:val="20"/>
                <w:szCs w:val="20"/>
              </w:rPr>
            </w:pPr>
          </w:p>
        </w:tc>
      </w:tr>
      <w:tr w:rsidR="00000000" w14:paraId="0282E1BC" w14:textId="77777777">
        <w:trPr>
          <w:divId w:val="791823016"/>
        </w:trPr>
        <w:tc>
          <w:tcPr>
            <w:tcW w:w="0" w:type="auto"/>
            <w:gridSpan w:val="3"/>
            <w:shd w:val="clear" w:color="auto" w:fill="CCEEFF"/>
            <w:tcMar>
              <w:top w:w="30" w:type="dxa"/>
              <w:left w:w="20" w:type="dxa"/>
              <w:bottom w:w="30" w:type="dxa"/>
              <w:right w:w="20" w:type="dxa"/>
            </w:tcMar>
            <w:vAlign w:val="center"/>
            <w:hideMark/>
          </w:tcPr>
          <w:p w14:paraId="30FB7900" w14:textId="77777777" w:rsidR="00000000" w:rsidRDefault="001A570A">
            <w:pPr>
              <w:rPr>
                <w:rFonts w:eastAsia="Times New Roman"/>
              </w:rPr>
            </w:pPr>
            <w:r>
              <w:rPr>
                <w:rFonts w:eastAsia="Times New Roman"/>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14:paraId="3A5DB5D0"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4CAF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BB873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E9A1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A9AFF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10B4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B37A7" w14:textId="77777777" w:rsidR="00000000" w:rsidRDefault="001A570A">
            <w:pPr>
              <w:rPr>
                <w:rFonts w:eastAsia="Times New Roman"/>
                <w:sz w:val="20"/>
                <w:szCs w:val="20"/>
              </w:rPr>
            </w:pPr>
          </w:p>
        </w:tc>
      </w:tr>
      <w:tr w:rsidR="00000000" w14:paraId="66B3F518" w14:textId="77777777">
        <w:trPr>
          <w:divId w:val="791823016"/>
        </w:trPr>
        <w:tc>
          <w:tcPr>
            <w:tcW w:w="0" w:type="auto"/>
            <w:gridSpan w:val="3"/>
            <w:shd w:val="clear" w:color="auto" w:fill="FFFFFF"/>
            <w:tcMar>
              <w:top w:w="30" w:type="dxa"/>
              <w:left w:w="155" w:type="dxa"/>
              <w:bottom w:w="30" w:type="dxa"/>
              <w:right w:w="20" w:type="dxa"/>
            </w:tcMar>
            <w:vAlign w:val="center"/>
            <w:hideMark/>
          </w:tcPr>
          <w:p w14:paraId="721A882A" w14:textId="77777777" w:rsidR="00000000" w:rsidRDefault="001A570A">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7EE6AD2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8E2967" w14:textId="77777777" w:rsidR="00000000" w:rsidRDefault="001A570A">
            <w:pPr>
              <w:jc w:val="right"/>
              <w:rPr>
                <w:rFonts w:eastAsia="Times New Roman"/>
              </w:rPr>
            </w:pPr>
            <w:r>
              <w:rPr>
                <w:rFonts w:eastAsia="Times New Roman"/>
                <w:color w:val="000000"/>
                <w:sz w:val="20"/>
                <w:szCs w:val="20"/>
              </w:rPr>
              <w:t>1,086 </w:t>
            </w:r>
          </w:p>
        </w:tc>
        <w:tc>
          <w:tcPr>
            <w:tcW w:w="0" w:type="auto"/>
            <w:shd w:val="clear" w:color="auto" w:fill="FFFFFF"/>
            <w:tcMar>
              <w:top w:w="30" w:type="dxa"/>
              <w:left w:w="0" w:type="dxa"/>
              <w:bottom w:w="30" w:type="dxa"/>
              <w:right w:w="20" w:type="dxa"/>
            </w:tcMar>
            <w:vAlign w:val="bottom"/>
            <w:hideMark/>
          </w:tcPr>
          <w:p w14:paraId="52D74C1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E7841"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A8190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D5CD7B" w14:textId="77777777" w:rsidR="00000000" w:rsidRDefault="001A570A">
            <w:pPr>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14:paraId="4038C5B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5FC1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A596F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9D3E92" w14:textId="77777777" w:rsidR="00000000" w:rsidRDefault="001A570A">
            <w:pPr>
              <w:jc w:val="right"/>
              <w:rPr>
                <w:rFonts w:eastAsia="Times New Roman"/>
              </w:rPr>
            </w:pPr>
            <w:r>
              <w:rPr>
                <w:rFonts w:eastAsia="Times New Roman"/>
                <w:color w:val="000000"/>
                <w:sz w:val="20"/>
                <w:szCs w:val="20"/>
              </w:rPr>
              <w:t>949 </w:t>
            </w:r>
          </w:p>
        </w:tc>
        <w:tc>
          <w:tcPr>
            <w:tcW w:w="0" w:type="auto"/>
            <w:shd w:val="clear" w:color="auto" w:fill="FFFFFF"/>
            <w:tcMar>
              <w:top w:w="30" w:type="dxa"/>
              <w:left w:w="0" w:type="dxa"/>
              <w:bottom w:w="30" w:type="dxa"/>
              <w:right w:w="20" w:type="dxa"/>
            </w:tcMar>
            <w:vAlign w:val="bottom"/>
            <w:hideMark/>
          </w:tcPr>
          <w:p w14:paraId="5B7653C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828E5"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C5B6D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04A4FC" w14:textId="77777777" w:rsidR="00000000" w:rsidRDefault="001A570A">
            <w:pPr>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14:paraId="0E3A1E95" w14:textId="77777777" w:rsidR="00000000" w:rsidRDefault="001A570A">
            <w:pPr>
              <w:jc w:val="right"/>
              <w:rPr>
                <w:rFonts w:eastAsia="Times New Roman"/>
              </w:rPr>
            </w:pPr>
          </w:p>
        </w:tc>
      </w:tr>
      <w:tr w:rsidR="00000000" w14:paraId="1E70A10D" w14:textId="77777777">
        <w:trPr>
          <w:divId w:val="791823016"/>
        </w:trPr>
        <w:tc>
          <w:tcPr>
            <w:tcW w:w="0" w:type="auto"/>
            <w:gridSpan w:val="3"/>
            <w:shd w:val="clear" w:color="auto" w:fill="CCEEFF"/>
            <w:tcMar>
              <w:top w:w="30" w:type="dxa"/>
              <w:left w:w="410" w:type="dxa"/>
              <w:bottom w:w="30" w:type="dxa"/>
              <w:right w:w="20" w:type="dxa"/>
            </w:tcMar>
            <w:vAlign w:val="center"/>
            <w:hideMark/>
          </w:tcPr>
          <w:p w14:paraId="20CE980D" w14:textId="77777777" w:rsidR="00000000" w:rsidRDefault="001A570A">
            <w:pPr>
              <w:ind w:hanging="27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30ABE7A4" w14:textId="77777777" w:rsidR="00000000" w:rsidRDefault="001A570A">
            <w:pPr>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24BE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6C82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8E42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53BF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AACC2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67929F" w14:textId="77777777" w:rsidR="00000000" w:rsidRDefault="001A570A">
            <w:pPr>
              <w:rPr>
                <w:rFonts w:eastAsia="Times New Roman"/>
                <w:sz w:val="20"/>
                <w:szCs w:val="20"/>
              </w:rPr>
            </w:pPr>
          </w:p>
        </w:tc>
      </w:tr>
      <w:tr w:rsidR="00000000" w14:paraId="7D9DE48F" w14:textId="77777777">
        <w:trPr>
          <w:divId w:val="791823016"/>
        </w:trPr>
        <w:tc>
          <w:tcPr>
            <w:tcW w:w="0" w:type="auto"/>
            <w:gridSpan w:val="3"/>
            <w:shd w:val="clear" w:color="auto" w:fill="FFFFFF"/>
            <w:tcMar>
              <w:top w:w="30" w:type="dxa"/>
              <w:left w:w="380" w:type="dxa"/>
              <w:bottom w:w="30" w:type="dxa"/>
              <w:right w:w="20" w:type="dxa"/>
            </w:tcMar>
            <w:hideMark/>
          </w:tcPr>
          <w:p w14:paraId="61DF278B" w14:textId="77777777" w:rsidR="00000000" w:rsidRDefault="001A570A">
            <w:pPr>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14:paraId="48FCE5B3" w14:textId="77777777" w:rsidR="00000000" w:rsidRDefault="001A570A">
            <w:pPr>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14:paraId="2904D4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BEF5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A5BBD" w14:textId="77777777" w:rsidR="00000000" w:rsidRDefault="001A570A">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1D9E27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9712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27FB22" w14:textId="77777777" w:rsidR="00000000" w:rsidRDefault="001A570A">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2FD9FF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6202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7C651E"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1B3FE76C" w14:textId="77777777" w:rsidR="00000000" w:rsidRDefault="001A570A">
            <w:pPr>
              <w:jc w:val="right"/>
              <w:rPr>
                <w:rFonts w:eastAsia="Times New Roman"/>
              </w:rPr>
            </w:pPr>
          </w:p>
        </w:tc>
      </w:tr>
      <w:tr w:rsidR="00000000" w14:paraId="67F7BD12" w14:textId="77777777">
        <w:trPr>
          <w:divId w:val="791823016"/>
        </w:trPr>
        <w:tc>
          <w:tcPr>
            <w:tcW w:w="0" w:type="auto"/>
            <w:gridSpan w:val="3"/>
            <w:shd w:val="clear" w:color="auto" w:fill="CCEEFF"/>
            <w:tcMar>
              <w:top w:w="30" w:type="dxa"/>
              <w:left w:w="380" w:type="dxa"/>
              <w:bottom w:w="30" w:type="dxa"/>
              <w:right w:w="20" w:type="dxa"/>
            </w:tcMar>
            <w:hideMark/>
          </w:tcPr>
          <w:p w14:paraId="2D564959" w14:textId="77777777" w:rsidR="00000000" w:rsidRDefault="001A570A">
            <w:pPr>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14:paraId="6248977F" w14:textId="77777777" w:rsidR="00000000" w:rsidRDefault="001A570A">
            <w:pPr>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14:paraId="15E8DDD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47BB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5B152A" w14:textId="77777777" w:rsidR="00000000" w:rsidRDefault="001A570A">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3947C58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07FC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33C61" w14:textId="77777777" w:rsidR="00000000" w:rsidRDefault="001A570A">
            <w:pPr>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5F90207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A5D2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149EE6" w14:textId="77777777" w:rsidR="00000000" w:rsidRDefault="001A570A">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14:paraId="1320AF74" w14:textId="77777777" w:rsidR="00000000" w:rsidRDefault="001A570A">
            <w:pPr>
              <w:jc w:val="right"/>
              <w:rPr>
                <w:rFonts w:eastAsia="Times New Roman"/>
              </w:rPr>
            </w:pPr>
          </w:p>
        </w:tc>
      </w:tr>
      <w:tr w:rsidR="00000000" w14:paraId="22A1074C" w14:textId="77777777">
        <w:trPr>
          <w:divId w:val="791823016"/>
        </w:trPr>
        <w:tc>
          <w:tcPr>
            <w:tcW w:w="0" w:type="auto"/>
            <w:gridSpan w:val="3"/>
            <w:shd w:val="clear" w:color="auto" w:fill="FFFFFF"/>
            <w:tcMar>
              <w:top w:w="30" w:type="dxa"/>
              <w:left w:w="380" w:type="dxa"/>
              <w:bottom w:w="30" w:type="dxa"/>
              <w:right w:w="20" w:type="dxa"/>
            </w:tcMar>
            <w:vAlign w:val="center"/>
            <w:hideMark/>
          </w:tcPr>
          <w:p w14:paraId="261D43C4" w14:textId="77777777" w:rsidR="00000000" w:rsidRDefault="001A570A">
            <w:pPr>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14:paraId="4BBD8314" w14:textId="77777777" w:rsidR="00000000" w:rsidRDefault="001A570A">
            <w:pPr>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14:paraId="405A7E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2356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870BC" w14:textId="77777777" w:rsidR="00000000" w:rsidRDefault="001A570A">
            <w:pPr>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14:paraId="4F39C9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12C8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5EE58" w14:textId="77777777" w:rsidR="00000000" w:rsidRDefault="001A570A">
            <w:pPr>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7B655B8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5B87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329D67" w14:textId="77777777" w:rsidR="00000000" w:rsidRDefault="001A570A">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14:paraId="5DCD28BF" w14:textId="77777777" w:rsidR="00000000" w:rsidRDefault="001A570A">
            <w:pPr>
              <w:jc w:val="right"/>
              <w:rPr>
                <w:rFonts w:eastAsia="Times New Roman"/>
              </w:rPr>
            </w:pPr>
          </w:p>
        </w:tc>
      </w:tr>
      <w:tr w:rsidR="00000000" w14:paraId="4E107EE3" w14:textId="77777777">
        <w:trPr>
          <w:divId w:val="791823016"/>
        </w:trPr>
        <w:tc>
          <w:tcPr>
            <w:tcW w:w="0" w:type="auto"/>
            <w:gridSpan w:val="3"/>
            <w:shd w:val="clear" w:color="auto" w:fill="CCEEFF"/>
            <w:tcMar>
              <w:top w:w="30" w:type="dxa"/>
              <w:left w:w="650" w:type="dxa"/>
              <w:bottom w:w="30" w:type="dxa"/>
              <w:right w:w="20" w:type="dxa"/>
            </w:tcMar>
            <w:vAlign w:val="center"/>
            <w:hideMark/>
          </w:tcPr>
          <w:p w14:paraId="16A1B545" w14:textId="77777777" w:rsidR="00000000" w:rsidRDefault="001A570A">
            <w:pPr>
              <w:ind w:hanging="27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14:paraId="54B3D68E" w14:textId="77777777" w:rsidR="00000000" w:rsidRDefault="001A570A">
            <w:pPr>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14:paraId="123AF22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8C9E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17DB20" w14:textId="77777777" w:rsidR="00000000" w:rsidRDefault="001A570A">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14:paraId="2B3E137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EC3C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A996B"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14:paraId="6E4C60B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6DA7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8EC6B"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79B273C6" w14:textId="77777777" w:rsidR="00000000" w:rsidRDefault="001A570A">
            <w:pPr>
              <w:jc w:val="right"/>
              <w:rPr>
                <w:rFonts w:eastAsia="Times New Roman"/>
              </w:rPr>
            </w:pPr>
          </w:p>
        </w:tc>
      </w:tr>
      <w:tr w:rsidR="00000000" w14:paraId="20F46CD2" w14:textId="77777777">
        <w:trPr>
          <w:divId w:val="791823016"/>
        </w:trPr>
        <w:tc>
          <w:tcPr>
            <w:tcW w:w="0" w:type="auto"/>
            <w:gridSpan w:val="3"/>
            <w:shd w:val="clear" w:color="auto" w:fill="FFFFFF"/>
            <w:tcMar>
              <w:top w:w="30" w:type="dxa"/>
              <w:left w:w="380" w:type="dxa"/>
              <w:bottom w:w="30" w:type="dxa"/>
              <w:right w:w="20" w:type="dxa"/>
            </w:tcMar>
            <w:vAlign w:val="center"/>
            <w:hideMark/>
          </w:tcPr>
          <w:p w14:paraId="69E0A0DB" w14:textId="77777777" w:rsidR="00000000" w:rsidRDefault="001A570A">
            <w:pPr>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14:paraId="6987DBF4"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1C0E1D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0F7C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F2167" w14:textId="77777777" w:rsidR="00000000" w:rsidRDefault="001A570A">
            <w:pPr>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14:paraId="53A153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DECC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40A758"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F609EE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DE0A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F8E54" w14:textId="77777777" w:rsidR="00000000" w:rsidRDefault="001A570A">
            <w:pPr>
              <w:jc w:val="right"/>
              <w:rPr>
                <w:rFonts w:eastAsia="Times New Roman"/>
              </w:rPr>
            </w:pPr>
            <w:r>
              <w:rPr>
                <w:rFonts w:eastAsia="Times New Roman"/>
                <w:color w:val="000000"/>
                <w:sz w:val="20"/>
                <w:szCs w:val="20"/>
              </w:rPr>
              <w:t>(301)</w:t>
            </w:r>
          </w:p>
        </w:tc>
        <w:tc>
          <w:tcPr>
            <w:tcW w:w="0" w:type="auto"/>
            <w:shd w:val="clear" w:color="auto" w:fill="FFFFFF"/>
            <w:tcMar>
              <w:top w:w="30" w:type="dxa"/>
              <w:left w:w="0" w:type="dxa"/>
              <w:bottom w:w="30" w:type="dxa"/>
              <w:right w:w="20" w:type="dxa"/>
            </w:tcMar>
            <w:vAlign w:val="bottom"/>
            <w:hideMark/>
          </w:tcPr>
          <w:p w14:paraId="17E40083" w14:textId="77777777" w:rsidR="00000000" w:rsidRDefault="001A570A">
            <w:pPr>
              <w:jc w:val="right"/>
              <w:rPr>
                <w:rFonts w:eastAsia="Times New Roman"/>
              </w:rPr>
            </w:pPr>
          </w:p>
        </w:tc>
      </w:tr>
      <w:tr w:rsidR="00000000" w14:paraId="15C56479" w14:textId="77777777">
        <w:trPr>
          <w:divId w:val="791823016"/>
        </w:trPr>
        <w:tc>
          <w:tcPr>
            <w:tcW w:w="0" w:type="auto"/>
            <w:gridSpan w:val="3"/>
            <w:shd w:val="clear" w:color="auto" w:fill="CCEEFF"/>
            <w:tcMar>
              <w:top w:w="30" w:type="dxa"/>
              <w:left w:w="380" w:type="dxa"/>
              <w:bottom w:w="30" w:type="dxa"/>
              <w:right w:w="20" w:type="dxa"/>
            </w:tcMar>
            <w:vAlign w:val="center"/>
            <w:hideMark/>
          </w:tcPr>
          <w:p w14:paraId="5BFF75DA" w14:textId="77777777" w:rsidR="00000000" w:rsidRDefault="001A570A">
            <w:pPr>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14:paraId="7259038F" w14:textId="77777777" w:rsidR="00000000" w:rsidRDefault="001A570A">
            <w:pPr>
              <w:jc w:val="right"/>
              <w:rPr>
                <w:rFonts w:eastAsia="Times New Roman"/>
              </w:rPr>
            </w:pPr>
            <w:r>
              <w:rPr>
                <w:rFonts w:eastAsia="Times New Roman"/>
                <w:color w:val="000000"/>
                <w:sz w:val="20"/>
                <w:szCs w:val="20"/>
              </w:rPr>
              <w:t>(321)</w:t>
            </w:r>
          </w:p>
        </w:tc>
        <w:tc>
          <w:tcPr>
            <w:tcW w:w="0" w:type="auto"/>
            <w:shd w:val="clear" w:color="auto" w:fill="CCEEFF"/>
            <w:tcMar>
              <w:top w:w="30" w:type="dxa"/>
              <w:left w:w="0" w:type="dxa"/>
              <w:bottom w:w="30" w:type="dxa"/>
              <w:right w:w="20" w:type="dxa"/>
            </w:tcMar>
            <w:vAlign w:val="bottom"/>
            <w:hideMark/>
          </w:tcPr>
          <w:p w14:paraId="5BEA7D3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2489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38EAF5" w14:textId="77777777" w:rsidR="00000000" w:rsidRDefault="001A570A">
            <w:pPr>
              <w:jc w:val="right"/>
              <w:rPr>
                <w:rFonts w:eastAsia="Times New Roman"/>
              </w:rPr>
            </w:pPr>
            <w:r>
              <w:rPr>
                <w:rFonts w:eastAsia="Times New Roman"/>
                <w:color w:val="000000"/>
                <w:sz w:val="20"/>
                <w:szCs w:val="20"/>
              </w:rPr>
              <w:t>(129)</w:t>
            </w:r>
          </w:p>
        </w:tc>
        <w:tc>
          <w:tcPr>
            <w:tcW w:w="0" w:type="auto"/>
            <w:shd w:val="clear" w:color="auto" w:fill="CCEEFF"/>
            <w:tcMar>
              <w:top w:w="30" w:type="dxa"/>
              <w:left w:w="0" w:type="dxa"/>
              <w:bottom w:w="30" w:type="dxa"/>
              <w:right w:w="20" w:type="dxa"/>
            </w:tcMar>
            <w:vAlign w:val="bottom"/>
            <w:hideMark/>
          </w:tcPr>
          <w:p w14:paraId="7D9A81C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0D7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D018C" w14:textId="77777777" w:rsidR="00000000" w:rsidRDefault="001A570A">
            <w:pPr>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14:paraId="45012B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81CB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A190B6" w14:textId="77777777" w:rsidR="00000000" w:rsidRDefault="001A570A">
            <w:pPr>
              <w:jc w:val="right"/>
              <w:rPr>
                <w:rFonts w:eastAsia="Times New Roman"/>
              </w:rPr>
            </w:pPr>
            <w:r>
              <w:rPr>
                <w:rFonts w:eastAsia="Times New Roman"/>
                <w:color w:val="000000"/>
                <w:sz w:val="20"/>
                <w:szCs w:val="20"/>
              </w:rPr>
              <w:t>(144)</w:t>
            </w:r>
          </w:p>
        </w:tc>
        <w:tc>
          <w:tcPr>
            <w:tcW w:w="0" w:type="auto"/>
            <w:shd w:val="clear" w:color="auto" w:fill="CCEEFF"/>
            <w:tcMar>
              <w:top w:w="30" w:type="dxa"/>
              <w:left w:w="0" w:type="dxa"/>
              <w:bottom w:w="30" w:type="dxa"/>
              <w:right w:w="20" w:type="dxa"/>
            </w:tcMar>
            <w:vAlign w:val="bottom"/>
            <w:hideMark/>
          </w:tcPr>
          <w:p w14:paraId="60396ADC" w14:textId="77777777" w:rsidR="00000000" w:rsidRDefault="001A570A">
            <w:pPr>
              <w:jc w:val="right"/>
              <w:rPr>
                <w:rFonts w:eastAsia="Times New Roman"/>
              </w:rPr>
            </w:pPr>
          </w:p>
        </w:tc>
      </w:tr>
      <w:tr w:rsidR="00000000" w14:paraId="52EC740F" w14:textId="77777777">
        <w:trPr>
          <w:divId w:val="791823016"/>
        </w:trPr>
        <w:tc>
          <w:tcPr>
            <w:tcW w:w="0" w:type="auto"/>
            <w:gridSpan w:val="3"/>
            <w:shd w:val="clear" w:color="auto" w:fill="FFFFFF"/>
            <w:tcMar>
              <w:top w:w="30" w:type="dxa"/>
              <w:left w:w="410" w:type="dxa"/>
              <w:bottom w:w="30" w:type="dxa"/>
              <w:right w:w="20" w:type="dxa"/>
            </w:tcMar>
            <w:vAlign w:val="center"/>
            <w:hideMark/>
          </w:tcPr>
          <w:p w14:paraId="50AC34AC" w14:textId="77777777" w:rsidR="00000000" w:rsidRDefault="001A570A">
            <w:pPr>
              <w:rPr>
                <w:rFonts w:eastAsia="Times New Roman"/>
              </w:rPr>
            </w:pPr>
            <w:r>
              <w:rPr>
                <w:rFonts w:eastAsia="Times New Roman"/>
                <w:color w:val="000000"/>
                <w:sz w:val="20"/>
                <w:szCs w:val="20"/>
              </w:rPr>
              <w:t>Gain on pension plan curtailment</w:t>
            </w:r>
          </w:p>
        </w:tc>
        <w:tc>
          <w:tcPr>
            <w:tcW w:w="0" w:type="auto"/>
            <w:gridSpan w:val="2"/>
            <w:shd w:val="clear" w:color="auto" w:fill="FFFFFF"/>
            <w:tcMar>
              <w:top w:w="30" w:type="dxa"/>
              <w:left w:w="20" w:type="dxa"/>
              <w:bottom w:w="30" w:type="dxa"/>
              <w:right w:w="0" w:type="dxa"/>
            </w:tcMar>
            <w:vAlign w:val="bottom"/>
            <w:hideMark/>
          </w:tcPr>
          <w:p w14:paraId="796D859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AB139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CC14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2EDC9C" w14:textId="77777777" w:rsidR="00000000" w:rsidRDefault="001A570A">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2DD252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395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B0E4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E00F1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0AA6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5BCE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ABFBED" w14:textId="77777777" w:rsidR="00000000" w:rsidRDefault="001A570A">
            <w:pPr>
              <w:jc w:val="right"/>
              <w:rPr>
                <w:rFonts w:eastAsia="Times New Roman"/>
              </w:rPr>
            </w:pPr>
          </w:p>
        </w:tc>
      </w:tr>
      <w:tr w:rsidR="00000000" w14:paraId="260974D9" w14:textId="77777777">
        <w:trPr>
          <w:divId w:val="791823016"/>
        </w:trPr>
        <w:tc>
          <w:tcPr>
            <w:tcW w:w="0" w:type="auto"/>
            <w:gridSpan w:val="3"/>
            <w:shd w:val="clear" w:color="auto" w:fill="CCEEFF"/>
            <w:tcMar>
              <w:top w:w="30" w:type="dxa"/>
              <w:left w:w="410" w:type="dxa"/>
              <w:bottom w:w="30" w:type="dxa"/>
              <w:right w:w="20" w:type="dxa"/>
            </w:tcMar>
            <w:vAlign w:val="center"/>
            <w:hideMark/>
          </w:tcPr>
          <w:p w14:paraId="542D4FCB" w14:textId="77777777" w:rsidR="00000000" w:rsidRDefault="001A570A">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695B119C" w14:textId="77777777" w:rsidR="00000000" w:rsidRDefault="001A570A">
            <w:pPr>
              <w:jc w:val="right"/>
              <w:rPr>
                <w:rFonts w:eastAsia="Times New Roman"/>
              </w:rPr>
            </w:pPr>
            <w:r>
              <w:rPr>
                <w:rFonts w:eastAsia="Times New Roman"/>
                <w:color w:val="000000"/>
                <w:sz w:val="20"/>
                <w:szCs w:val="20"/>
              </w:rPr>
              <w:t>767 </w:t>
            </w:r>
          </w:p>
        </w:tc>
        <w:tc>
          <w:tcPr>
            <w:tcW w:w="0" w:type="auto"/>
            <w:shd w:val="clear" w:color="auto" w:fill="CCEEFF"/>
            <w:tcMar>
              <w:top w:w="30" w:type="dxa"/>
              <w:left w:w="0" w:type="dxa"/>
              <w:bottom w:w="30" w:type="dxa"/>
              <w:right w:w="20" w:type="dxa"/>
            </w:tcMar>
            <w:vAlign w:val="bottom"/>
            <w:hideMark/>
          </w:tcPr>
          <w:p w14:paraId="65BF78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0A02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5BEA41" w14:textId="77777777" w:rsidR="00000000" w:rsidRDefault="001A570A">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14:paraId="513698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74A5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CB64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29186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B29F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A6128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2142B8" w14:textId="77777777" w:rsidR="00000000" w:rsidRDefault="001A570A">
            <w:pPr>
              <w:jc w:val="right"/>
              <w:rPr>
                <w:rFonts w:eastAsia="Times New Roman"/>
              </w:rPr>
            </w:pPr>
          </w:p>
        </w:tc>
      </w:tr>
      <w:tr w:rsidR="00000000" w14:paraId="42436CC9" w14:textId="77777777">
        <w:trPr>
          <w:divId w:val="791823016"/>
        </w:trPr>
        <w:tc>
          <w:tcPr>
            <w:tcW w:w="0" w:type="auto"/>
            <w:gridSpan w:val="3"/>
            <w:vAlign w:val="center"/>
            <w:hideMark/>
          </w:tcPr>
          <w:p w14:paraId="53D46C44" w14:textId="77777777" w:rsidR="00000000" w:rsidRDefault="001A570A">
            <w:pPr>
              <w:jc w:val="right"/>
              <w:rPr>
                <w:rFonts w:eastAsia="Times New Roman"/>
                <w:sz w:val="20"/>
                <w:szCs w:val="20"/>
              </w:rPr>
            </w:pPr>
          </w:p>
        </w:tc>
        <w:tc>
          <w:tcPr>
            <w:tcW w:w="0" w:type="auto"/>
            <w:gridSpan w:val="3"/>
            <w:vAlign w:val="center"/>
            <w:hideMark/>
          </w:tcPr>
          <w:p w14:paraId="174A58D4" w14:textId="77777777" w:rsidR="00000000" w:rsidRDefault="001A570A">
            <w:pPr>
              <w:rPr>
                <w:rFonts w:eastAsia="Times New Roman"/>
                <w:sz w:val="20"/>
                <w:szCs w:val="20"/>
              </w:rPr>
            </w:pPr>
          </w:p>
        </w:tc>
        <w:tc>
          <w:tcPr>
            <w:tcW w:w="0" w:type="auto"/>
            <w:gridSpan w:val="3"/>
            <w:vAlign w:val="center"/>
            <w:hideMark/>
          </w:tcPr>
          <w:p w14:paraId="1A3E749D" w14:textId="77777777" w:rsidR="00000000" w:rsidRDefault="001A570A">
            <w:pPr>
              <w:rPr>
                <w:rFonts w:eastAsia="Times New Roman"/>
                <w:sz w:val="20"/>
                <w:szCs w:val="20"/>
              </w:rPr>
            </w:pPr>
          </w:p>
        </w:tc>
        <w:tc>
          <w:tcPr>
            <w:tcW w:w="0" w:type="auto"/>
            <w:gridSpan w:val="3"/>
            <w:vAlign w:val="center"/>
            <w:hideMark/>
          </w:tcPr>
          <w:p w14:paraId="690C7C55" w14:textId="77777777" w:rsidR="00000000" w:rsidRDefault="001A570A">
            <w:pPr>
              <w:rPr>
                <w:rFonts w:eastAsia="Times New Roman"/>
                <w:sz w:val="20"/>
                <w:szCs w:val="20"/>
              </w:rPr>
            </w:pPr>
          </w:p>
        </w:tc>
        <w:tc>
          <w:tcPr>
            <w:tcW w:w="0" w:type="auto"/>
            <w:gridSpan w:val="3"/>
            <w:vAlign w:val="center"/>
            <w:hideMark/>
          </w:tcPr>
          <w:p w14:paraId="1F0AA5CB" w14:textId="77777777" w:rsidR="00000000" w:rsidRDefault="001A570A">
            <w:pPr>
              <w:rPr>
                <w:rFonts w:eastAsia="Times New Roman"/>
                <w:sz w:val="20"/>
                <w:szCs w:val="20"/>
              </w:rPr>
            </w:pPr>
          </w:p>
        </w:tc>
        <w:tc>
          <w:tcPr>
            <w:tcW w:w="0" w:type="auto"/>
            <w:gridSpan w:val="3"/>
            <w:vAlign w:val="center"/>
            <w:hideMark/>
          </w:tcPr>
          <w:p w14:paraId="76871936" w14:textId="77777777" w:rsidR="00000000" w:rsidRDefault="001A570A">
            <w:pPr>
              <w:rPr>
                <w:rFonts w:eastAsia="Times New Roman"/>
                <w:sz w:val="20"/>
                <w:szCs w:val="20"/>
              </w:rPr>
            </w:pPr>
          </w:p>
        </w:tc>
        <w:tc>
          <w:tcPr>
            <w:tcW w:w="0" w:type="auto"/>
            <w:gridSpan w:val="3"/>
            <w:vAlign w:val="center"/>
            <w:hideMark/>
          </w:tcPr>
          <w:p w14:paraId="37DF1CDC" w14:textId="77777777" w:rsidR="00000000" w:rsidRDefault="001A570A">
            <w:pPr>
              <w:rPr>
                <w:rFonts w:eastAsia="Times New Roman"/>
                <w:sz w:val="20"/>
                <w:szCs w:val="20"/>
              </w:rPr>
            </w:pPr>
          </w:p>
        </w:tc>
        <w:tc>
          <w:tcPr>
            <w:tcW w:w="0" w:type="auto"/>
            <w:gridSpan w:val="3"/>
            <w:vAlign w:val="center"/>
            <w:hideMark/>
          </w:tcPr>
          <w:p w14:paraId="056301A9" w14:textId="77777777" w:rsidR="00000000" w:rsidRDefault="001A570A">
            <w:pPr>
              <w:rPr>
                <w:rFonts w:eastAsia="Times New Roman"/>
                <w:sz w:val="20"/>
                <w:szCs w:val="20"/>
              </w:rPr>
            </w:pPr>
          </w:p>
        </w:tc>
      </w:tr>
      <w:tr w:rsidR="00000000" w14:paraId="10538D24" w14:textId="77777777">
        <w:trPr>
          <w:divId w:val="791823016"/>
        </w:trPr>
        <w:tc>
          <w:tcPr>
            <w:tcW w:w="0" w:type="auto"/>
            <w:gridSpan w:val="3"/>
            <w:vAlign w:val="center"/>
            <w:hideMark/>
          </w:tcPr>
          <w:p w14:paraId="2FB1444C" w14:textId="77777777" w:rsidR="00000000" w:rsidRDefault="001A570A">
            <w:pPr>
              <w:rPr>
                <w:rFonts w:eastAsia="Times New Roman"/>
                <w:sz w:val="20"/>
                <w:szCs w:val="20"/>
              </w:rPr>
            </w:pPr>
          </w:p>
        </w:tc>
        <w:tc>
          <w:tcPr>
            <w:tcW w:w="0" w:type="auto"/>
            <w:gridSpan w:val="3"/>
            <w:vAlign w:val="center"/>
            <w:hideMark/>
          </w:tcPr>
          <w:p w14:paraId="3E95D2F4" w14:textId="77777777" w:rsidR="00000000" w:rsidRDefault="001A570A">
            <w:pPr>
              <w:rPr>
                <w:rFonts w:eastAsia="Times New Roman"/>
                <w:sz w:val="20"/>
                <w:szCs w:val="20"/>
              </w:rPr>
            </w:pPr>
          </w:p>
        </w:tc>
        <w:tc>
          <w:tcPr>
            <w:tcW w:w="0" w:type="auto"/>
            <w:gridSpan w:val="3"/>
            <w:vAlign w:val="center"/>
            <w:hideMark/>
          </w:tcPr>
          <w:p w14:paraId="14CAAF16" w14:textId="77777777" w:rsidR="00000000" w:rsidRDefault="001A570A">
            <w:pPr>
              <w:rPr>
                <w:rFonts w:eastAsia="Times New Roman"/>
                <w:sz w:val="20"/>
                <w:szCs w:val="20"/>
              </w:rPr>
            </w:pPr>
          </w:p>
        </w:tc>
        <w:tc>
          <w:tcPr>
            <w:tcW w:w="0" w:type="auto"/>
            <w:gridSpan w:val="3"/>
            <w:vAlign w:val="center"/>
            <w:hideMark/>
          </w:tcPr>
          <w:p w14:paraId="3EABADAB" w14:textId="77777777" w:rsidR="00000000" w:rsidRDefault="001A570A">
            <w:pPr>
              <w:rPr>
                <w:rFonts w:eastAsia="Times New Roman"/>
                <w:sz w:val="20"/>
                <w:szCs w:val="20"/>
              </w:rPr>
            </w:pPr>
          </w:p>
        </w:tc>
        <w:tc>
          <w:tcPr>
            <w:tcW w:w="0" w:type="auto"/>
            <w:gridSpan w:val="3"/>
            <w:vAlign w:val="center"/>
            <w:hideMark/>
          </w:tcPr>
          <w:p w14:paraId="5B324852" w14:textId="77777777" w:rsidR="00000000" w:rsidRDefault="001A570A">
            <w:pPr>
              <w:rPr>
                <w:rFonts w:eastAsia="Times New Roman"/>
                <w:sz w:val="20"/>
                <w:szCs w:val="20"/>
              </w:rPr>
            </w:pPr>
          </w:p>
        </w:tc>
        <w:tc>
          <w:tcPr>
            <w:tcW w:w="0" w:type="auto"/>
            <w:gridSpan w:val="3"/>
            <w:vAlign w:val="center"/>
            <w:hideMark/>
          </w:tcPr>
          <w:p w14:paraId="330D4B68" w14:textId="77777777" w:rsidR="00000000" w:rsidRDefault="001A570A">
            <w:pPr>
              <w:rPr>
                <w:rFonts w:eastAsia="Times New Roman"/>
                <w:sz w:val="20"/>
                <w:szCs w:val="20"/>
              </w:rPr>
            </w:pPr>
          </w:p>
        </w:tc>
        <w:tc>
          <w:tcPr>
            <w:tcW w:w="0" w:type="auto"/>
            <w:gridSpan w:val="3"/>
            <w:vAlign w:val="center"/>
            <w:hideMark/>
          </w:tcPr>
          <w:p w14:paraId="2012918D" w14:textId="77777777" w:rsidR="00000000" w:rsidRDefault="001A570A">
            <w:pPr>
              <w:rPr>
                <w:rFonts w:eastAsia="Times New Roman"/>
                <w:sz w:val="20"/>
                <w:szCs w:val="20"/>
              </w:rPr>
            </w:pPr>
          </w:p>
        </w:tc>
        <w:tc>
          <w:tcPr>
            <w:tcW w:w="0" w:type="auto"/>
            <w:gridSpan w:val="3"/>
            <w:vAlign w:val="center"/>
            <w:hideMark/>
          </w:tcPr>
          <w:p w14:paraId="03668D9E" w14:textId="77777777" w:rsidR="00000000" w:rsidRDefault="001A570A">
            <w:pPr>
              <w:rPr>
                <w:rFonts w:eastAsia="Times New Roman"/>
                <w:sz w:val="20"/>
                <w:szCs w:val="20"/>
              </w:rPr>
            </w:pPr>
          </w:p>
        </w:tc>
      </w:tr>
      <w:tr w:rsidR="00000000" w14:paraId="49395683" w14:textId="77777777">
        <w:trPr>
          <w:divId w:val="791823016"/>
        </w:trPr>
        <w:tc>
          <w:tcPr>
            <w:tcW w:w="0" w:type="auto"/>
            <w:gridSpan w:val="3"/>
            <w:shd w:val="clear" w:color="auto" w:fill="FFFFFF"/>
            <w:tcMar>
              <w:top w:w="30" w:type="dxa"/>
              <w:left w:w="380" w:type="dxa"/>
              <w:bottom w:w="30" w:type="dxa"/>
              <w:right w:w="20" w:type="dxa"/>
            </w:tcMar>
            <w:vAlign w:val="center"/>
            <w:hideMark/>
          </w:tcPr>
          <w:p w14:paraId="705A4E08"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14:paraId="53706C56" w14:textId="77777777" w:rsidR="00000000" w:rsidRDefault="001A570A">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14:paraId="1AF8FA9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1E9B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5FE52D" w14:textId="77777777" w:rsidR="00000000" w:rsidRDefault="001A570A">
            <w:pPr>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14:paraId="69E7C51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FEF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09339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0C6E8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9596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7CA3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466FBD" w14:textId="77777777" w:rsidR="00000000" w:rsidRDefault="001A570A">
            <w:pPr>
              <w:jc w:val="right"/>
              <w:rPr>
                <w:rFonts w:eastAsia="Times New Roman"/>
              </w:rPr>
            </w:pPr>
          </w:p>
        </w:tc>
      </w:tr>
      <w:tr w:rsidR="00000000" w14:paraId="2C26CECA" w14:textId="77777777">
        <w:trPr>
          <w:divId w:val="791823016"/>
        </w:trPr>
        <w:tc>
          <w:tcPr>
            <w:tcW w:w="0" w:type="auto"/>
            <w:gridSpan w:val="3"/>
            <w:shd w:val="clear" w:color="auto" w:fill="CCEEFF"/>
            <w:tcMar>
              <w:top w:w="30" w:type="dxa"/>
              <w:left w:w="380" w:type="dxa"/>
              <w:bottom w:w="30" w:type="dxa"/>
              <w:right w:w="20" w:type="dxa"/>
            </w:tcMar>
            <w:vAlign w:val="center"/>
            <w:hideMark/>
          </w:tcPr>
          <w:p w14:paraId="37B8C9EA" w14:textId="77777777" w:rsidR="00000000" w:rsidRDefault="001A570A">
            <w:pPr>
              <w:rPr>
                <w:rFonts w:eastAsia="Times New Roman"/>
              </w:rPr>
            </w:pPr>
            <w:r>
              <w:rPr>
                <w:rFonts w:eastAsia="Times New Roman"/>
                <w:color w:val="000000"/>
                <w:sz w:val="20"/>
                <w:szCs w:val="20"/>
              </w:rPr>
              <w:t>Gain on sale of property, plant and equipment</w:t>
            </w:r>
          </w:p>
        </w:tc>
        <w:tc>
          <w:tcPr>
            <w:tcW w:w="0" w:type="auto"/>
            <w:gridSpan w:val="2"/>
            <w:shd w:val="clear" w:color="auto" w:fill="CCEEFF"/>
            <w:tcMar>
              <w:top w:w="30" w:type="dxa"/>
              <w:left w:w="20" w:type="dxa"/>
              <w:bottom w:w="30" w:type="dxa"/>
              <w:right w:w="0" w:type="dxa"/>
            </w:tcMar>
            <w:vAlign w:val="bottom"/>
            <w:hideMark/>
          </w:tcPr>
          <w:p w14:paraId="4726E62E" w14:textId="77777777" w:rsidR="00000000" w:rsidRDefault="001A570A">
            <w:pPr>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3A595A3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5B75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B808A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31E7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1A5F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8F08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BFAE2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7E7F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B404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3ECC0C" w14:textId="77777777" w:rsidR="00000000" w:rsidRDefault="001A570A">
            <w:pPr>
              <w:jc w:val="right"/>
              <w:rPr>
                <w:rFonts w:eastAsia="Times New Roman"/>
              </w:rPr>
            </w:pPr>
          </w:p>
        </w:tc>
      </w:tr>
      <w:tr w:rsidR="00000000" w14:paraId="2AA5A5B0" w14:textId="77777777">
        <w:trPr>
          <w:divId w:val="791823016"/>
        </w:trPr>
        <w:tc>
          <w:tcPr>
            <w:tcW w:w="0" w:type="auto"/>
            <w:gridSpan w:val="3"/>
            <w:shd w:val="clear" w:color="auto" w:fill="FFFFFF"/>
            <w:tcMar>
              <w:top w:w="30" w:type="dxa"/>
              <w:left w:w="380" w:type="dxa"/>
              <w:bottom w:w="30" w:type="dxa"/>
              <w:right w:w="20" w:type="dxa"/>
            </w:tcMar>
            <w:vAlign w:val="center"/>
            <w:hideMark/>
          </w:tcPr>
          <w:p w14:paraId="67D7DA78" w14:textId="77777777" w:rsidR="00000000" w:rsidRDefault="001A570A">
            <w:pPr>
              <w:rPr>
                <w:rFonts w:eastAsia="Times New Roman"/>
              </w:rPr>
            </w:pPr>
            <w:r>
              <w:rPr>
                <w:rFonts w:eastAsia="Times New Roman"/>
                <w:color w:val="00000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14:paraId="5EE52B8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C480A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8B55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11A81"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478289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553A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F7BC8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089F8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CA3A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F44E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839987" w14:textId="77777777" w:rsidR="00000000" w:rsidRDefault="001A570A">
            <w:pPr>
              <w:jc w:val="right"/>
              <w:rPr>
                <w:rFonts w:eastAsia="Times New Roman"/>
              </w:rPr>
            </w:pPr>
          </w:p>
        </w:tc>
      </w:tr>
      <w:tr w:rsidR="00000000" w14:paraId="4549B005" w14:textId="77777777">
        <w:trPr>
          <w:divId w:val="791823016"/>
        </w:trPr>
        <w:tc>
          <w:tcPr>
            <w:tcW w:w="0" w:type="auto"/>
            <w:gridSpan w:val="3"/>
            <w:vAlign w:val="center"/>
            <w:hideMark/>
          </w:tcPr>
          <w:p w14:paraId="2FD21C04" w14:textId="77777777" w:rsidR="00000000" w:rsidRDefault="001A570A">
            <w:pPr>
              <w:jc w:val="right"/>
              <w:rPr>
                <w:rFonts w:eastAsia="Times New Roman"/>
                <w:sz w:val="20"/>
                <w:szCs w:val="20"/>
              </w:rPr>
            </w:pPr>
          </w:p>
        </w:tc>
        <w:tc>
          <w:tcPr>
            <w:tcW w:w="0" w:type="auto"/>
            <w:gridSpan w:val="3"/>
            <w:vAlign w:val="center"/>
            <w:hideMark/>
          </w:tcPr>
          <w:p w14:paraId="2A899F72" w14:textId="77777777" w:rsidR="00000000" w:rsidRDefault="001A570A">
            <w:pPr>
              <w:rPr>
                <w:rFonts w:eastAsia="Times New Roman"/>
                <w:sz w:val="20"/>
                <w:szCs w:val="20"/>
              </w:rPr>
            </w:pPr>
          </w:p>
        </w:tc>
        <w:tc>
          <w:tcPr>
            <w:tcW w:w="0" w:type="auto"/>
            <w:gridSpan w:val="3"/>
            <w:vAlign w:val="center"/>
            <w:hideMark/>
          </w:tcPr>
          <w:p w14:paraId="7CB691A8" w14:textId="77777777" w:rsidR="00000000" w:rsidRDefault="001A570A">
            <w:pPr>
              <w:rPr>
                <w:rFonts w:eastAsia="Times New Roman"/>
                <w:sz w:val="20"/>
                <w:szCs w:val="20"/>
              </w:rPr>
            </w:pPr>
          </w:p>
        </w:tc>
        <w:tc>
          <w:tcPr>
            <w:tcW w:w="0" w:type="auto"/>
            <w:gridSpan w:val="3"/>
            <w:vAlign w:val="center"/>
            <w:hideMark/>
          </w:tcPr>
          <w:p w14:paraId="02FED18C" w14:textId="77777777" w:rsidR="00000000" w:rsidRDefault="001A570A">
            <w:pPr>
              <w:rPr>
                <w:rFonts w:eastAsia="Times New Roman"/>
                <w:sz w:val="20"/>
                <w:szCs w:val="20"/>
              </w:rPr>
            </w:pPr>
          </w:p>
        </w:tc>
        <w:tc>
          <w:tcPr>
            <w:tcW w:w="0" w:type="auto"/>
            <w:gridSpan w:val="3"/>
            <w:vAlign w:val="center"/>
            <w:hideMark/>
          </w:tcPr>
          <w:p w14:paraId="04B9908D" w14:textId="77777777" w:rsidR="00000000" w:rsidRDefault="001A570A">
            <w:pPr>
              <w:rPr>
                <w:rFonts w:eastAsia="Times New Roman"/>
                <w:sz w:val="20"/>
                <w:szCs w:val="20"/>
              </w:rPr>
            </w:pPr>
          </w:p>
        </w:tc>
        <w:tc>
          <w:tcPr>
            <w:tcW w:w="0" w:type="auto"/>
            <w:gridSpan w:val="3"/>
            <w:vAlign w:val="center"/>
            <w:hideMark/>
          </w:tcPr>
          <w:p w14:paraId="5DEB168A" w14:textId="77777777" w:rsidR="00000000" w:rsidRDefault="001A570A">
            <w:pPr>
              <w:rPr>
                <w:rFonts w:eastAsia="Times New Roman"/>
                <w:sz w:val="20"/>
                <w:szCs w:val="20"/>
              </w:rPr>
            </w:pPr>
          </w:p>
        </w:tc>
        <w:tc>
          <w:tcPr>
            <w:tcW w:w="0" w:type="auto"/>
            <w:gridSpan w:val="3"/>
            <w:vAlign w:val="center"/>
            <w:hideMark/>
          </w:tcPr>
          <w:p w14:paraId="1ECC8823" w14:textId="77777777" w:rsidR="00000000" w:rsidRDefault="001A570A">
            <w:pPr>
              <w:rPr>
                <w:rFonts w:eastAsia="Times New Roman"/>
                <w:sz w:val="20"/>
                <w:szCs w:val="20"/>
              </w:rPr>
            </w:pPr>
          </w:p>
        </w:tc>
        <w:tc>
          <w:tcPr>
            <w:tcW w:w="0" w:type="auto"/>
            <w:gridSpan w:val="3"/>
            <w:vAlign w:val="center"/>
            <w:hideMark/>
          </w:tcPr>
          <w:p w14:paraId="278F735E" w14:textId="77777777" w:rsidR="00000000" w:rsidRDefault="001A570A">
            <w:pPr>
              <w:rPr>
                <w:rFonts w:eastAsia="Times New Roman"/>
                <w:sz w:val="20"/>
                <w:szCs w:val="20"/>
              </w:rPr>
            </w:pPr>
          </w:p>
        </w:tc>
      </w:tr>
      <w:tr w:rsidR="00000000" w14:paraId="1F2E47CC" w14:textId="77777777">
        <w:trPr>
          <w:divId w:val="791823016"/>
        </w:trPr>
        <w:tc>
          <w:tcPr>
            <w:tcW w:w="0" w:type="auto"/>
            <w:gridSpan w:val="3"/>
            <w:shd w:val="clear" w:color="auto" w:fill="CCEEFF"/>
            <w:tcMar>
              <w:top w:w="30" w:type="dxa"/>
              <w:left w:w="380" w:type="dxa"/>
              <w:bottom w:w="30" w:type="dxa"/>
              <w:right w:w="20" w:type="dxa"/>
            </w:tcMar>
            <w:vAlign w:val="center"/>
            <w:hideMark/>
          </w:tcPr>
          <w:p w14:paraId="36F2859C" w14:textId="77777777" w:rsidR="00000000" w:rsidRDefault="001A570A">
            <w:pPr>
              <w:rPr>
                <w:rFonts w:eastAsia="Times New Roman"/>
              </w:rPr>
            </w:pPr>
            <w:r>
              <w:rPr>
                <w:rFonts w:eastAsia="Times New Roman"/>
                <w:color w:val="000000"/>
                <w:sz w:val="20"/>
                <w:szCs w:val="20"/>
              </w:rPr>
              <w:t>(Gain) loss on extinguishment of debts</w:t>
            </w:r>
          </w:p>
        </w:tc>
        <w:tc>
          <w:tcPr>
            <w:tcW w:w="0" w:type="auto"/>
            <w:gridSpan w:val="2"/>
            <w:shd w:val="clear" w:color="auto" w:fill="CCEEFF"/>
            <w:tcMar>
              <w:top w:w="30" w:type="dxa"/>
              <w:left w:w="20" w:type="dxa"/>
              <w:bottom w:w="30" w:type="dxa"/>
              <w:right w:w="0" w:type="dxa"/>
            </w:tcMar>
            <w:vAlign w:val="bottom"/>
            <w:hideMark/>
          </w:tcPr>
          <w:p w14:paraId="10FC8AB1"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436153A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440F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CBDAED"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B9AA89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2715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01D65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889E0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22A0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B3726A"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58390980" w14:textId="77777777" w:rsidR="00000000" w:rsidRDefault="001A570A">
            <w:pPr>
              <w:jc w:val="right"/>
              <w:rPr>
                <w:rFonts w:eastAsia="Times New Roman"/>
              </w:rPr>
            </w:pPr>
          </w:p>
        </w:tc>
      </w:tr>
      <w:tr w:rsidR="00000000" w14:paraId="505379DD" w14:textId="77777777">
        <w:trPr>
          <w:divId w:val="791823016"/>
        </w:trPr>
        <w:tc>
          <w:tcPr>
            <w:tcW w:w="0" w:type="auto"/>
            <w:gridSpan w:val="3"/>
            <w:shd w:val="clear" w:color="auto" w:fill="FFFFFF"/>
            <w:tcMar>
              <w:top w:w="30" w:type="dxa"/>
              <w:left w:w="380" w:type="dxa"/>
              <w:bottom w:w="30" w:type="dxa"/>
              <w:right w:w="20" w:type="dxa"/>
            </w:tcMar>
            <w:vAlign w:val="center"/>
            <w:hideMark/>
          </w:tcPr>
          <w:p w14:paraId="4D851DD9" w14:textId="77777777" w:rsidR="00000000" w:rsidRDefault="001A570A">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06D6E547" w14:textId="77777777" w:rsidR="00000000" w:rsidRDefault="001A570A">
            <w:pPr>
              <w:jc w:val="right"/>
              <w:rPr>
                <w:rFonts w:eastAsia="Times New Roman"/>
              </w:rPr>
            </w:pPr>
            <w:r>
              <w:rPr>
                <w:rFonts w:eastAsia="Times New Roman"/>
                <w:color w:val="000000"/>
                <w:sz w:val="20"/>
                <w:szCs w:val="20"/>
              </w:rPr>
              <w:t>(215)</w:t>
            </w:r>
          </w:p>
        </w:tc>
        <w:tc>
          <w:tcPr>
            <w:tcW w:w="0" w:type="auto"/>
            <w:shd w:val="clear" w:color="auto" w:fill="FFFFFF"/>
            <w:tcMar>
              <w:top w:w="30" w:type="dxa"/>
              <w:left w:w="0" w:type="dxa"/>
              <w:bottom w:w="30" w:type="dxa"/>
              <w:right w:w="20" w:type="dxa"/>
            </w:tcMar>
            <w:vAlign w:val="bottom"/>
            <w:hideMark/>
          </w:tcPr>
          <w:p w14:paraId="7D26874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1326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81B8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659A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8CC2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1BB34F" w14:textId="77777777" w:rsidR="00000000" w:rsidRDefault="001A570A">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41BA7C5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120F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9AD2FD" w14:textId="77777777" w:rsidR="00000000" w:rsidRDefault="001A570A">
            <w:pPr>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14:paraId="119D0848" w14:textId="77777777" w:rsidR="00000000" w:rsidRDefault="001A570A">
            <w:pPr>
              <w:jc w:val="right"/>
              <w:rPr>
                <w:rFonts w:eastAsia="Times New Roman"/>
              </w:rPr>
            </w:pPr>
          </w:p>
        </w:tc>
      </w:tr>
      <w:tr w:rsidR="00000000" w14:paraId="667C8CE1" w14:textId="77777777">
        <w:trPr>
          <w:divId w:val="791823016"/>
        </w:trPr>
        <w:tc>
          <w:tcPr>
            <w:tcW w:w="0" w:type="auto"/>
            <w:gridSpan w:val="3"/>
            <w:shd w:val="clear" w:color="auto" w:fill="CCEEFF"/>
            <w:tcMar>
              <w:top w:w="30" w:type="dxa"/>
              <w:left w:w="380" w:type="dxa"/>
              <w:bottom w:w="30" w:type="dxa"/>
              <w:right w:w="20" w:type="dxa"/>
            </w:tcMar>
            <w:vAlign w:val="center"/>
            <w:hideMark/>
          </w:tcPr>
          <w:p w14:paraId="2D76E69B" w14:textId="77777777" w:rsidR="00000000" w:rsidRDefault="001A570A">
            <w:pPr>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14:paraId="4579A18C"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75E8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319B9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2A94B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83EC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ACE2E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8ABCDE" w14:textId="77777777" w:rsidR="00000000" w:rsidRDefault="001A570A">
            <w:pPr>
              <w:rPr>
                <w:rFonts w:eastAsia="Times New Roman"/>
                <w:sz w:val="20"/>
                <w:szCs w:val="20"/>
              </w:rPr>
            </w:pPr>
          </w:p>
        </w:tc>
      </w:tr>
      <w:tr w:rsidR="00000000" w14:paraId="2DDA406F" w14:textId="77777777">
        <w:trPr>
          <w:divId w:val="791823016"/>
        </w:trPr>
        <w:tc>
          <w:tcPr>
            <w:tcW w:w="0" w:type="auto"/>
            <w:gridSpan w:val="3"/>
            <w:shd w:val="clear" w:color="auto" w:fill="FFFFFF"/>
            <w:tcMar>
              <w:top w:w="30" w:type="dxa"/>
              <w:left w:w="605" w:type="dxa"/>
              <w:bottom w:w="30" w:type="dxa"/>
              <w:right w:w="20" w:type="dxa"/>
            </w:tcMar>
            <w:vAlign w:val="center"/>
            <w:hideMark/>
          </w:tcPr>
          <w:p w14:paraId="533573DF" w14:textId="77777777" w:rsidR="00000000" w:rsidRDefault="001A570A">
            <w:pPr>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14:paraId="44AB0D93" w14:textId="77777777" w:rsidR="00000000" w:rsidRDefault="001A570A">
            <w:pPr>
              <w:jc w:val="right"/>
              <w:rPr>
                <w:rFonts w:eastAsia="Times New Roman"/>
              </w:rPr>
            </w:pPr>
            <w:r>
              <w:rPr>
                <w:rFonts w:eastAsia="Times New Roman"/>
                <w:color w:val="000000"/>
                <w:sz w:val="20"/>
                <w:szCs w:val="20"/>
              </w:rPr>
              <w:t>(250)</w:t>
            </w:r>
          </w:p>
        </w:tc>
        <w:tc>
          <w:tcPr>
            <w:tcW w:w="0" w:type="auto"/>
            <w:shd w:val="clear" w:color="auto" w:fill="FFFFFF"/>
            <w:tcMar>
              <w:top w:w="30" w:type="dxa"/>
              <w:left w:w="0" w:type="dxa"/>
              <w:bottom w:w="30" w:type="dxa"/>
              <w:right w:w="20" w:type="dxa"/>
            </w:tcMar>
            <w:vAlign w:val="bottom"/>
            <w:hideMark/>
          </w:tcPr>
          <w:p w14:paraId="713498E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A508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4FFB86" w14:textId="77777777" w:rsidR="00000000" w:rsidRDefault="001A570A">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72710B2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608A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79429"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5A0BD57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917A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DCA726" w14:textId="77777777" w:rsidR="00000000" w:rsidRDefault="001A570A">
            <w:pPr>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bottom"/>
            <w:hideMark/>
          </w:tcPr>
          <w:p w14:paraId="52053BF6" w14:textId="77777777" w:rsidR="00000000" w:rsidRDefault="001A570A">
            <w:pPr>
              <w:jc w:val="right"/>
              <w:rPr>
                <w:rFonts w:eastAsia="Times New Roman"/>
              </w:rPr>
            </w:pPr>
          </w:p>
        </w:tc>
      </w:tr>
      <w:tr w:rsidR="00000000" w14:paraId="69642B80" w14:textId="77777777">
        <w:trPr>
          <w:divId w:val="791823016"/>
        </w:trPr>
        <w:tc>
          <w:tcPr>
            <w:tcW w:w="0" w:type="auto"/>
            <w:gridSpan w:val="3"/>
            <w:shd w:val="clear" w:color="auto" w:fill="CCEEFF"/>
            <w:tcMar>
              <w:top w:w="30" w:type="dxa"/>
              <w:left w:w="605" w:type="dxa"/>
              <w:bottom w:w="30" w:type="dxa"/>
              <w:right w:w="20" w:type="dxa"/>
            </w:tcMar>
            <w:vAlign w:val="center"/>
            <w:hideMark/>
          </w:tcPr>
          <w:p w14:paraId="28E6A3AA" w14:textId="77777777" w:rsidR="00000000" w:rsidRDefault="001A570A">
            <w:pPr>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14:paraId="33217338" w14:textId="77777777" w:rsidR="00000000" w:rsidRDefault="001A570A">
            <w:pPr>
              <w:jc w:val="right"/>
              <w:rPr>
                <w:rFonts w:eastAsia="Times New Roman"/>
              </w:rPr>
            </w:pPr>
            <w:r>
              <w:rPr>
                <w:rFonts w:eastAsia="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14:paraId="254E099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346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5B953"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411389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E15E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B90DE" w14:textId="77777777" w:rsidR="00000000" w:rsidRDefault="001A570A">
            <w:pPr>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26216CD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945E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DC7C6C" w14:textId="77777777" w:rsidR="00000000" w:rsidRDefault="001A570A">
            <w:pPr>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14:paraId="579E27A8" w14:textId="77777777" w:rsidR="00000000" w:rsidRDefault="001A570A">
            <w:pPr>
              <w:jc w:val="right"/>
              <w:rPr>
                <w:rFonts w:eastAsia="Times New Roman"/>
              </w:rPr>
            </w:pPr>
          </w:p>
        </w:tc>
      </w:tr>
      <w:tr w:rsidR="00000000" w14:paraId="17699FC6" w14:textId="77777777">
        <w:trPr>
          <w:divId w:val="791823016"/>
        </w:trPr>
        <w:tc>
          <w:tcPr>
            <w:tcW w:w="0" w:type="auto"/>
            <w:gridSpan w:val="3"/>
            <w:shd w:val="clear" w:color="auto" w:fill="FFFFFF"/>
            <w:tcMar>
              <w:top w:w="30" w:type="dxa"/>
              <w:left w:w="605" w:type="dxa"/>
              <w:bottom w:w="30" w:type="dxa"/>
              <w:right w:w="20" w:type="dxa"/>
            </w:tcMar>
            <w:vAlign w:val="center"/>
            <w:hideMark/>
          </w:tcPr>
          <w:p w14:paraId="42E5B4AD" w14:textId="77777777" w:rsidR="00000000" w:rsidRDefault="001A570A">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01512F43" w14:textId="77777777" w:rsidR="00000000" w:rsidRDefault="001A570A">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228ECB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A3C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BB8E8" w14:textId="77777777" w:rsidR="00000000" w:rsidRDefault="001A570A">
            <w:pPr>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1FD1861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1996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3648EC"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7987D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F68A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2F9EA6" w14:textId="77777777" w:rsidR="00000000" w:rsidRDefault="001A570A">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5FE60C10" w14:textId="77777777" w:rsidR="00000000" w:rsidRDefault="001A570A">
            <w:pPr>
              <w:jc w:val="right"/>
              <w:rPr>
                <w:rFonts w:eastAsia="Times New Roman"/>
              </w:rPr>
            </w:pPr>
          </w:p>
        </w:tc>
      </w:tr>
      <w:tr w:rsidR="00000000" w14:paraId="21C06B5E" w14:textId="77777777">
        <w:trPr>
          <w:divId w:val="791823016"/>
        </w:trPr>
        <w:tc>
          <w:tcPr>
            <w:tcW w:w="0" w:type="auto"/>
            <w:gridSpan w:val="3"/>
            <w:shd w:val="clear" w:color="auto" w:fill="CCEEFF"/>
            <w:tcMar>
              <w:top w:w="30" w:type="dxa"/>
              <w:left w:w="380" w:type="dxa"/>
              <w:bottom w:w="30" w:type="dxa"/>
              <w:right w:w="20" w:type="dxa"/>
            </w:tcMar>
            <w:vAlign w:val="center"/>
            <w:hideMark/>
          </w:tcPr>
          <w:p w14:paraId="4A23403A" w14:textId="77777777" w:rsidR="00000000" w:rsidRDefault="001A570A">
            <w:pPr>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14:paraId="4563CDFB"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1F90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1AD85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A127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3340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80A1E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EEF55" w14:textId="77777777" w:rsidR="00000000" w:rsidRDefault="001A570A">
            <w:pPr>
              <w:rPr>
                <w:rFonts w:eastAsia="Times New Roman"/>
                <w:sz w:val="20"/>
                <w:szCs w:val="20"/>
              </w:rPr>
            </w:pPr>
          </w:p>
        </w:tc>
      </w:tr>
      <w:tr w:rsidR="00000000" w14:paraId="2893675D" w14:textId="77777777">
        <w:trPr>
          <w:divId w:val="791823016"/>
        </w:trPr>
        <w:tc>
          <w:tcPr>
            <w:tcW w:w="0" w:type="auto"/>
            <w:gridSpan w:val="3"/>
            <w:shd w:val="clear" w:color="auto" w:fill="FFFFFF"/>
            <w:tcMar>
              <w:top w:w="30" w:type="dxa"/>
              <w:left w:w="605" w:type="dxa"/>
              <w:bottom w:w="30" w:type="dxa"/>
              <w:right w:w="20" w:type="dxa"/>
            </w:tcMar>
            <w:vAlign w:val="center"/>
            <w:hideMark/>
          </w:tcPr>
          <w:p w14:paraId="6DE3C6AB" w14:textId="77777777" w:rsidR="00000000" w:rsidRDefault="001A570A">
            <w:pPr>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56497FF0" w14:textId="77777777" w:rsidR="00000000" w:rsidRDefault="001A570A">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14:paraId="5CBDF0B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907E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11E2F" w14:textId="77777777" w:rsidR="00000000" w:rsidRDefault="001A570A">
            <w:pPr>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14:paraId="712FAEE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5350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0ED7E" w14:textId="77777777" w:rsidR="00000000" w:rsidRDefault="001A570A">
            <w:pPr>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14:paraId="4803D6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279B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4E8A1" w14:textId="77777777" w:rsidR="00000000" w:rsidRDefault="001A570A">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14:paraId="219D3F55" w14:textId="77777777" w:rsidR="00000000" w:rsidRDefault="001A570A">
            <w:pPr>
              <w:jc w:val="right"/>
              <w:rPr>
                <w:rFonts w:eastAsia="Times New Roman"/>
              </w:rPr>
            </w:pPr>
          </w:p>
        </w:tc>
      </w:tr>
      <w:tr w:rsidR="00000000" w14:paraId="0AB69DAC" w14:textId="77777777">
        <w:trPr>
          <w:divId w:val="791823016"/>
        </w:trPr>
        <w:tc>
          <w:tcPr>
            <w:tcW w:w="0" w:type="auto"/>
            <w:gridSpan w:val="3"/>
            <w:shd w:val="clear" w:color="auto" w:fill="CCEEFF"/>
            <w:tcMar>
              <w:top w:w="30" w:type="dxa"/>
              <w:left w:w="605" w:type="dxa"/>
              <w:bottom w:w="30" w:type="dxa"/>
              <w:right w:w="20" w:type="dxa"/>
            </w:tcMar>
            <w:vAlign w:val="center"/>
            <w:hideMark/>
          </w:tcPr>
          <w:p w14:paraId="39F11933" w14:textId="77777777" w:rsidR="00000000" w:rsidRDefault="001A570A">
            <w:pPr>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14:paraId="71609F21"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22C59A8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5989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7B9C2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21EF4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4C38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E7C0C" w14:textId="77777777" w:rsidR="00000000" w:rsidRDefault="001A570A">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025995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A70F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C2D23" w14:textId="77777777" w:rsidR="00000000" w:rsidRDefault="001A570A">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14:paraId="5DCC8928" w14:textId="77777777" w:rsidR="00000000" w:rsidRDefault="001A570A">
            <w:pPr>
              <w:jc w:val="right"/>
              <w:rPr>
                <w:rFonts w:eastAsia="Times New Roman"/>
              </w:rPr>
            </w:pPr>
          </w:p>
        </w:tc>
      </w:tr>
      <w:tr w:rsidR="00000000" w14:paraId="2A766AE9" w14:textId="77777777">
        <w:trPr>
          <w:divId w:val="791823016"/>
        </w:trPr>
        <w:tc>
          <w:tcPr>
            <w:tcW w:w="0" w:type="auto"/>
            <w:gridSpan w:val="3"/>
            <w:shd w:val="clear" w:color="auto" w:fill="FFFFFF"/>
            <w:tcMar>
              <w:top w:w="30" w:type="dxa"/>
              <w:left w:w="605" w:type="dxa"/>
              <w:bottom w:w="30" w:type="dxa"/>
              <w:right w:w="20" w:type="dxa"/>
            </w:tcMar>
            <w:vAlign w:val="center"/>
            <w:hideMark/>
          </w:tcPr>
          <w:p w14:paraId="1ACB96AB" w14:textId="77777777" w:rsidR="00000000" w:rsidRDefault="001A570A">
            <w:pPr>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14:paraId="0F5FE708" w14:textId="77777777" w:rsidR="00000000" w:rsidRDefault="001A570A">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6D2EC74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F5F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875A8"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7A36770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084C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72CCA3"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5E217D3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D149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D04B5"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DCA71A4" w14:textId="77777777" w:rsidR="00000000" w:rsidRDefault="001A570A">
            <w:pPr>
              <w:jc w:val="right"/>
              <w:rPr>
                <w:rFonts w:eastAsia="Times New Roman"/>
              </w:rPr>
            </w:pPr>
          </w:p>
        </w:tc>
      </w:tr>
      <w:tr w:rsidR="00000000" w14:paraId="26D25922" w14:textId="77777777">
        <w:trPr>
          <w:divId w:val="791823016"/>
        </w:trPr>
        <w:tc>
          <w:tcPr>
            <w:tcW w:w="0" w:type="auto"/>
            <w:gridSpan w:val="3"/>
            <w:shd w:val="clear" w:color="auto" w:fill="CCEEFF"/>
            <w:tcMar>
              <w:top w:w="30" w:type="dxa"/>
              <w:left w:w="605" w:type="dxa"/>
              <w:bottom w:w="30" w:type="dxa"/>
              <w:right w:w="20" w:type="dxa"/>
            </w:tcMar>
            <w:vAlign w:val="center"/>
            <w:hideMark/>
          </w:tcPr>
          <w:p w14:paraId="1BF02751" w14:textId="77777777" w:rsidR="00000000" w:rsidRDefault="001A570A">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14:paraId="67210A84"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799D5DB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127A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FBC46F" w14:textId="77777777" w:rsidR="00000000" w:rsidRDefault="001A570A">
            <w:pPr>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14:paraId="6CAB8CB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26A1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D39A4" w14:textId="77777777" w:rsidR="00000000" w:rsidRDefault="001A570A">
            <w:pPr>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14:paraId="29C92C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8835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39558" w14:textId="77777777" w:rsidR="00000000" w:rsidRDefault="001A570A">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14:paraId="62D52AA8" w14:textId="77777777" w:rsidR="00000000" w:rsidRDefault="001A570A">
            <w:pPr>
              <w:jc w:val="right"/>
              <w:rPr>
                <w:rFonts w:eastAsia="Times New Roman"/>
              </w:rPr>
            </w:pPr>
          </w:p>
        </w:tc>
      </w:tr>
      <w:tr w:rsidR="00000000" w14:paraId="13801633" w14:textId="77777777">
        <w:trPr>
          <w:divId w:val="791823016"/>
        </w:trPr>
        <w:tc>
          <w:tcPr>
            <w:tcW w:w="0" w:type="auto"/>
            <w:gridSpan w:val="3"/>
            <w:shd w:val="clear" w:color="auto" w:fill="FFFFFF"/>
            <w:tcMar>
              <w:top w:w="30" w:type="dxa"/>
              <w:left w:w="605" w:type="dxa"/>
              <w:bottom w:w="30" w:type="dxa"/>
              <w:right w:w="20" w:type="dxa"/>
            </w:tcMar>
            <w:vAlign w:val="center"/>
            <w:hideMark/>
          </w:tcPr>
          <w:p w14:paraId="6EB2289E"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43CD293D" w14:textId="77777777" w:rsidR="00000000" w:rsidRDefault="001A570A">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30B3DC1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FD49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AB9EF" w14:textId="77777777" w:rsidR="00000000" w:rsidRDefault="001A570A">
            <w:pPr>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14:paraId="3C9BD80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B1B9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F7A81" w14:textId="77777777" w:rsidR="00000000" w:rsidRDefault="001A570A">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4CAB753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D7ED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B834EE" w14:textId="77777777" w:rsidR="00000000" w:rsidRDefault="001A570A">
            <w:pPr>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14:paraId="5DD37017" w14:textId="77777777" w:rsidR="00000000" w:rsidRDefault="001A570A">
            <w:pPr>
              <w:jc w:val="right"/>
              <w:rPr>
                <w:rFonts w:eastAsia="Times New Roman"/>
              </w:rPr>
            </w:pPr>
          </w:p>
        </w:tc>
      </w:tr>
      <w:tr w:rsidR="00000000" w14:paraId="671A39A6" w14:textId="77777777">
        <w:trPr>
          <w:divId w:val="791823016"/>
        </w:trPr>
        <w:tc>
          <w:tcPr>
            <w:tcW w:w="0" w:type="auto"/>
            <w:gridSpan w:val="3"/>
            <w:shd w:val="clear" w:color="auto" w:fill="CCEEFF"/>
            <w:tcMar>
              <w:top w:w="30" w:type="dxa"/>
              <w:left w:w="380" w:type="dxa"/>
              <w:bottom w:w="30" w:type="dxa"/>
              <w:right w:w="20" w:type="dxa"/>
            </w:tcMar>
            <w:vAlign w:val="center"/>
            <w:hideMark/>
          </w:tcPr>
          <w:p w14:paraId="33E04EF6"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F420231" w14:textId="77777777" w:rsidR="00000000" w:rsidRDefault="001A570A">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625AEEE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D3E8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A5D7D5" w14:textId="77777777" w:rsidR="00000000" w:rsidRDefault="001A570A">
            <w:pPr>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4355BE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2AF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00BB7"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69EE520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ED68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09B589"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27865291" w14:textId="77777777" w:rsidR="00000000" w:rsidRDefault="001A570A">
            <w:pPr>
              <w:jc w:val="right"/>
              <w:rPr>
                <w:rFonts w:eastAsia="Times New Roman"/>
              </w:rPr>
            </w:pPr>
          </w:p>
        </w:tc>
      </w:tr>
      <w:tr w:rsidR="00000000" w14:paraId="5A663203" w14:textId="77777777">
        <w:trPr>
          <w:divId w:val="791823016"/>
        </w:trPr>
        <w:tc>
          <w:tcPr>
            <w:tcW w:w="0" w:type="auto"/>
            <w:gridSpan w:val="3"/>
            <w:shd w:val="clear" w:color="auto" w:fill="FFFFFF"/>
            <w:tcMar>
              <w:top w:w="30" w:type="dxa"/>
              <w:left w:w="20" w:type="dxa"/>
              <w:bottom w:w="30" w:type="dxa"/>
              <w:right w:w="20" w:type="dxa"/>
            </w:tcMar>
            <w:vAlign w:val="center"/>
            <w:hideMark/>
          </w:tcPr>
          <w:p w14:paraId="74227F40" w14:textId="77777777" w:rsidR="00000000" w:rsidRDefault="001A570A">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78B44E" w14:textId="77777777" w:rsidR="00000000" w:rsidRDefault="001A570A">
            <w:pPr>
              <w:jc w:val="right"/>
              <w:rPr>
                <w:rFonts w:eastAsia="Times New Roman"/>
              </w:rPr>
            </w:pPr>
            <w:r>
              <w:rPr>
                <w:rFonts w:eastAsia="Times New Roman"/>
                <w:color w:val="000000"/>
                <w:sz w:val="20"/>
                <w:szCs w:val="20"/>
              </w:rPr>
              <w:t>2,790 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AA107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78AC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A43921" w14:textId="77777777" w:rsidR="00000000" w:rsidRDefault="001A570A">
            <w:pPr>
              <w:jc w:val="right"/>
              <w:rPr>
                <w:rFonts w:eastAsia="Times New Roman"/>
              </w:rPr>
            </w:pPr>
            <w:r>
              <w:rPr>
                <w:rFonts w:eastAsia="Times New Roman"/>
                <w:color w:val="000000"/>
                <w:sz w:val="20"/>
                <w:szCs w:val="20"/>
              </w:rPr>
              <w:t>939 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30875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52B7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2033E4" w14:textId="77777777" w:rsidR="00000000" w:rsidRDefault="001A570A">
            <w:pPr>
              <w:jc w:val="right"/>
              <w:rPr>
                <w:rFonts w:eastAsia="Times New Roman"/>
              </w:rPr>
            </w:pPr>
            <w:r>
              <w:rPr>
                <w:rFonts w:eastAsia="Times New Roman"/>
                <w:color w:val="000000"/>
                <w:sz w:val="20"/>
                <w:szCs w:val="20"/>
              </w:rPr>
              <w:t>1,185 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73814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262C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03F656" w14:textId="77777777" w:rsidR="00000000" w:rsidRDefault="001A570A">
            <w:pPr>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0E01C1" w14:textId="77777777" w:rsidR="00000000" w:rsidRDefault="001A570A">
            <w:pPr>
              <w:jc w:val="right"/>
              <w:rPr>
                <w:rFonts w:eastAsia="Times New Roman"/>
              </w:rPr>
            </w:pPr>
          </w:p>
        </w:tc>
      </w:tr>
      <w:tr w:rsidR="00000000" w14:paraId="2D1A2194" w14:textId="77777777">
        <w:trPr>
          <w:divId w:val="791823016"/>
        </w:trPr>
        <w:tc>
          <w:tcPr>
            <w:tcW w:w="0" w:type="auto"/>
            <w:gridSpan w:val="3"/>
            <w:shd w:val="clear" w:color="auto" w:fill="CCEEFF"/>
            <w:tcMar>
              <w:top w:w="30" w:type="dxa"/>
              <w:left w:w="20" w:type="dxa"/>
              <w:bottom w:w="30" w:type="dxa"/>
              <w:right w:w="20" w:type="dxa"/>
            </w:tcMar>
            <w:vAlign w:val="center"/>
            <w:hideMark/>
          </w:tcPr>
          <w:p w14:paraId="1D998252" w14:textId="77777777" w:rsidR="00000000" w:rsidRDefault="001A570A">
            <w:pPr>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29467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1831F"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901D1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80918"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41913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BFCD6"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CF7722" w14:textId="77777777" w:rsidR="00000000" w:rsidRDefault="001A570A">
            <w:pPr>
              <w:rPr>
                <w:rFonts w:eastAsia="Times New Roman"/>
                <w:sz w:val="20"/>
                <w:szCs w:val="20"/>
              </w:rPr>
            </w:pPr>
          </w:p>
        </w:tc>
      </w:tr>
      <w:tr w:rsidR="00000000" w14:paraId="3E5C97EA" w14:textId="77777777">
        <w:trPr>
          <w:divId w:val="791823016"/>
        </w:trPr>
        <w:tc>
          <w:tcPr>
            <w:tcW w:w="0" w:type="auto"/>
            <w:gridSpan w:val="3"/>
            <w:shd w:val="clear" w:color="auto" w:fill="FFFFFF"/>
            <w:tcMar>
              <w:top w:w="30" w:type="dxa"/>
              <w:left w:w="155" w:type="dxa"/>
              <w:bottom w:w="30" w:type="dxa"/>
              <w:right w:w="20" w:type="dxa"/>
            </w:tcMar>
            <w:vAlign w:val="center"/>
            <w:hideMark/>
          </w:tcPr>
          <w:p w14:paraId="5E86F684" w14:textId="77777777" w:rsidR="00000000" w:rsidRDefault="001A570A">
            <w:pPr>
              <w:rPr>
                <w:rFonts w:eastAsia="Times New Roman"/>
              </w:rPr>
            </w:pPr>
            <w:r>
              <w:rPr>
                <w:rFonts w:eastAsia="Times New Roman"/>
                <w:color w:val="000000"/>
                <w:sz w:val="20"/>
                <w:szCs w:val="20"/>
              </w:rPr>
              <w:t>Net cash acquired in L3Harris Merger</w:t>
            </w:r>
          </w:p>
        </w:tc>
        <w:tc>
          <w:tcPr>
            <w:tcW w:w="0" w:type="auto"/>
            <w:gridSpan w:val="2"/>
            <w:shd w:val="clear" w:color="auto" w:fill="FFFFFF"/>
            <w:tcMar>
              <w:top w:w="30" w:type="dxa"/>
              <w:left w:w="20" w:type="dxa"/>
              <w:bottom w:w="30" w:type="dxa"/>
              <w:right w:w="0" w:type="dxa"/>
            </w:tcMar>
            <w:vAlign w:val="bottom"/>
            <w:hideMark/>
          </w:tcPr>
          <w:p w14:paraId="7AAC184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2CD6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F849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E24BE" w14:textId="77777777" w:rsidR="00000000" w:rsidRDefault="001A570A">
            <w:pPr>
              <w:jc w:val="right"/>
              <w:rPr>
                <w:rFonts w:eastAsia="Times New Roman"/>
              </w:rPr>
            </w:pPr>
            <w:r>
              <w:rPr>
                <w:rFonts w:eastAsia="Times New Roman"/>
                <w:color w:val="000000"/>
                <w:sz w:val="20"/>
                <w:szCs w:val="20"/>
              </w:rPr>
              <w:t>1,130 </w:t>
            </w:r>
          </w:p>
        </w:tc>
        <w:tc>
          <w:tcPr>
            <w:tcW w:w="0" w:type="auto"/>
            <w:shd w:val="clear" w:color="auto" w:fill="FFFFFF"/>
            <w:tcMar>
              <w:top w:w="30" w:type="dxa"/>
              <w:left w:w="0" w:type="dxa"/>
              <w:bottom w:w="30" w:type="dxa"/>
              <w:right w:w="20" w:type="dxa"/>
            </w:tcMar>
            <w:vAlign w:val="bottom"/>
            <w:hideMark/>
          </w:tcPr>
          <w:p w14:paraId="474453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69E8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0D3CF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E7F2D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B332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59F2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787CE8" w14:textId="77777777" w:rsidR="00000000" w:rsidRDefault="001A570A">
            <w:pPr>
              <w:jc w:val="right"/>
              <w:rPr>
                <w:rFonts w:eastAsia="Times New Roman"/>
              </w:rPr>
            </w:pPr>
          </w:p>
        </w:tc>
      </w:tr>
      <w:tr w:rsidR="00000000" w14:paraId="70C86C08" w14:textId="77777777">
        <w:trPr>
          <w:divId w:val="791823016"/>
        </w:trPr>
        <w:tc>
          <w:tcPr>
            <w:tcW w:w="0" w:type="auto"/>
            <w:gridSpan w:val="3"/>
            <w:shd w:val="clear" w:color="auto" w:fill="CCEEFF"/>
            <w:tcMar>
              <w:top w:w="30" w:type="dxa"/>
              <w:left w:w="155" w:type="dxa"/>
              <w:bottom w:w="30" w:type="dxa"/>
              <w:right w:w="20" w:type="dxa"/>
            </w:tcMar>
            <w:vAlign w:val="center"/>
            <w:hideMark/>
          </w:tcPr>
          <w:p w14:paraId="013CB85D" w14:textId="77777777" w:rsidR="00000000" w:rsidRDefault="001A570A">
            <w:pPr>
              <w:rPr>
                <w:rFonts w:eastAsia="Times New Roman"/>
              </w:rPr>
            </w:pPr>
            <w:r>
              <w:rPr>
                <w:rFonts w:eastAsia="Times New Roman"/>
                <w:color w:val="000000"/>
                <w:sz w:val="20"/>
                <w:szCs w:val="20"/>
              </w:rPr>
              <w:t>Additions to property, plant and equipment</w:t>
            </w:r>
          </w:p>
        </w:tc>
        <w:tc>
          <w:tcPr>
            <w:tcW w:w="0" w:type="auto"/>
            <w:gridSpan w:val="2"/>
            <w:shd w:val="clear" w:color="auto" w:fill="CCEEFF"/>
            <w:tcMar>
              <w:top w:w="30" w:type="dxa"/>
              <w:left w:w="20" w:type="dxa"/>
              <w:bottom w:w="30" w:type="dxa"/>
              <w:right w:w="0" w:type="dxa"/>
            </w:tcMar>
            <w:vAlign w:val="bottom"/>
            <w:hideMark/>
          </w:tcPr>
          <w:p w14:paraId="11797EC9" w14:textId="77777777" w:rsidR="00000000" w:rsidRDefault="001A570A">
            <w:pPr>
              <w:jc w:val="right"/>
              <w:rPr>
                <w:rFonts w:eastAsia="Times New Roman"/>
              </w:rPr>
            </w:pPr>
            <w:r>
              <w:rPr>
                <w:rFonts w:eastAsia="Times New Roman"/>
                <w:color w:val="000000"/>
                <w:sz w:val="20"/>
                <w:szCs w:val="20"/>
              </w:rPr>
              <w:t>(368)</w:t>
            </w:r>
          </w:p>
        </w:tc>
        <w:tc>
          <w:tcPr>
            <w:tcW w:w="0" w:type="auto"/>
            <w:shd w:val="clear" w:color="auto" w:fill="CCEEFF"/>
            <w:tcMar>
              <w:top w:w="30" w:type="dxa"/>
              <w:left w:w="0" w:type="dxa"/>
              <w:bottom w:w="30" w:type="dxa"/>
              <w:right w:w="20" w:type="dxa"/>
            </w:tcMar>
            <w:vAlign w:val="bottom"/>
            <w:hideMark/>
          </w:tcPr>
          <w:p w14:paraId="7D01A4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147D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CDF19F" w14:textId="77777777" w:rsidR="00000000" w:rsidRDefault="001A570A">
            <w:pPr>
              <w:jc w:val="right"/>
              <w:rPr>
                <w:rFonts w:eastAsia="Times New Roman"/>
              </w:rPr>
            </w:pPr>
            <w:r>
              <w:rPr>
                <w:rFonts w:eastAsia="Times New Roman"/>
                <w:color w:val="000000"/>
                <w:sz w:val="20"/>
                <w:szCs w:val="20"/>
              </w:rPr>
              <w:t>(173)</w:t>
            </w:r>
          </w:p>
        </w:tc>
        <w:tc>
          <w:tcPr>
            <w:tcW w:w="0" w:type="auto"/>
            <w:shd w:val="clear" w:color="auto" w:fill="CCEEFF"/>
            <w:tcMar>
              <w:top w:w="30" w:type="dxa"/>
              <w:left w:w="0" w:type="dxa"/>
              <w:bottom w:w="30" w:type="dxa"/>
              <w:right w:w="20" w:type="dxa"/>
            </w:tcMar>
            <w:vAlign w:val="bottom"/>
            <w:hideMark/>
          </w:tcPr>
          <w:p w14:paraId="6DBB5D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DDAD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91D41B" w14:textId="77777777" w:rsidR="00000000" w:rsidRDefault="001A570A">
            <w:pPr>
              <w:jc w:val="right"/>
              <w:rPr>
                <w:rFonts w:eastAsia="Times New Roman"/>
              </w:rPr>
            </w:pPr>
            <w:r>
              <w:rPr>
                <w:rFonts w:eastAsia="Times New Roman"/>
                <w:color w:val="000000"/>
                <w:sz w:val="20"/>
                <w:szCs w:val="20"/>
              </w:rPr>
              <w:t>(161)</w:t>
            </w:r>
          </w:p>
        </w:tc>
        <w:tc>
          <w:tcPr>
            <w:tcW w:w="0" w:type="auto"/>
            <w:shd w:val="clear" w:color="auto" w:fill="CCEEFF"/>
            <w:tcMar>
              <w:top w:w="30" w:type="dxa"/>
              <w:left w:w="0" w:type="dxa"/>
              <w:bottom w:w="30" w:type="dxa"/>
              <w:right w:w="20" w:type="dxa"/>
            </w:tcMar>
            <w:vAlign w:val="bottom"/>
            <w:hideMark/>
          </w:tcPr>
          <w:p w14:paraId="3382F3C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E658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196574" w14:textId="77777777" w:rsidR="00000000" w:rsidRDefault="001A570A">
            <w:pPr>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14:paraId="3755C737" w14:textId="77777777" w:rsidR="00000000" w:rsidRDefault="001A570A">
            <w:pPr>
              <w:jc w:val="right"/>
              <w:rPr>
                <w:rFonts w:eastAsia="Times New Roman"/>
              </w:rPr>
            </w:pPr>
          </w:p>
        </w:tc>
      </w:tr>
      <w:tr w:rsidR="00000000" w14:paraId="50F56A70" w14:textId="77777777">
        <w:trPr>
          <w:divId w:val="791823016"/>
        </w:trPr>
        <w:tc>
          <w:tcPr>
            <w:tcW w:w="0" w:type="auto"/>
            <w:gridSpan w:val="3"/>
            <w:shd w:val="clear" w:color="auto" w:fill="FFFFFF"/>
            <w:tcMar>
              <w:top w:w="30" w:type="dxa"/>
              <w:left w:w="155" w:type="dxa"/>
              <w:bottom w:w="30" w:type="dxa"/>
              <w:right w:w="20" w:type="dxa"/>
            </w:tcMar>
            <w:vAlign w:val="center"/>
            <w:hideMark/>
          </w:tcPr>
          <w:p w14:paraId="53E5740E" w14:textId="77777777" w:rsidR="00000000" w:rsidRDefault="001A570A">
            <w:pPr>
              <w:rPr>
                <w:rFonts w:eastAsia="Times New Roman"/>
              </w:rPr>
            </w:pPr>
            <w:r>
              <w:rPr>
                <w:rFonts w:eastAsia="Times New Roman"/>
                <w:color w:val="000000"/>
                <w:sz w:val="20"/>
                <w:szCs w:val="20"/>
              </w:rPr>
              <w:t>Proceeds from sale of property, plant and equipment, net</w:t>
            </w:r>
          </w:p>
        </w:tc>
        <w:tc>
          <w:tcPr>
            <w:tcW w:w="0" w:type="auto"/>
            <w:gridSpan w:val="2"/>
            <w:shd w:val="clear" w:color="auto" w:fill="FFFFFF"/>
            <w:tcMar>
              <w:top w:w="30" w:type="dxa"/>
              <w:left w:w="20" w:type="dxa"/>
              <w:bottom w:w="30" w:type="dxa"/>
              <w:right w:w="0" w:type="dxa"/>
            </w:tcMar>
            <w:vAlign w:val="bottom"/>
            <w:hideMark/>
          </w:tcPr>
          <w:p w14:paraId="24A20E63" w14:textId="77777777" w:rsidR="00000000" w:rsidRDefault="001A570A">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14:paraId="780EA28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D5E6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C1F3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6558F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3D8F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793F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57507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0158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5D03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121D29" w14:textId="77777777" w:rsidR="00000000" w:rsidRDefault="001A570A">
            <w:pPr>
              <w:jc w:val="right"/>
              <w:rPr>
                <w:rFonts w:eastAsia="Times New Roman"/>
              </w:rPr>
            </w:pPr>
          </w:p>
        </w:tc>
      </w:tr>
      <w:tr w:rsidR="00000000" w14:paraId="37F6CC3B" w14:textId="77777777">
        <w:trPr>
          <w:divId w:val="791823016"/>
        </w:trPr>
        <w:tc>
          <w:tcPr>
            <w:tcW w:w="0" w:type="auto"/>
            <w:gridSpan w:val="3"/>
            <w:shd w:val="clear" w:color="auto" w:fill="CCEEFF"/>
            <w:tcMar>
              <w:top w:w="30" w:type="dxa"/>
              <w:left w:w="155" w:type="dxa"/>
              <w:bottom w:w="30" w:type="dxa"/>
              <w:right w:w="20" w:type="dxa"/>
            </w:tcMar>
            <w:vAlign w:val="center"/>
            <w:hideMark/>
          </w:tcPr>
          <w:p w14:paraId="72011B88" w14:textId="77777777" w:rsidR="00000000" w:rsidRDefault="001A570A">
            <w:pPr>
              <w:rPr>
                <w:rFonts w:eastAsia="Times New Roman"/>
              </w:rPr>
            </w:pPr>
            <w:r>
              <w:rPr>
                <w:rFonts w:eastAsia="Times New Roman"/>
                <w:color w:val="000000"/>
                <w:sz w:val="20"/>
                <w:szCs w:val="20"/>
              </w:rPr>
              <w:t>Proceeds from sales of businesses, net</w:t>
            </w:r>
          </w:p>
        </w:tc>
        <w:tc>
          <w:tcPr>
            <w:tcW w:w="0" w:type="auto"/>
            <w:gridSpan w:val="2"/>
            <w:shd w:val="clear" w:color="auto" w:fill="CCEEFF"/>
            <w:tcMar>
              <w:top w:w="30" w:type="dxa"/>
              <w:left w:w="20" w:type="dxa"/>
              <w:bottom w:w="30" w:type="dxa"/>
              <w:right w:w="0" w:type="dxa"/>
            </w:tcMar>
            <w:vAlign w:val="bottom"/>
            <w:hideMark/>
          </w:tcPr>
          <w:p w14:paraId="2F8A303C" w14:textId="77777777" w:rsidR="00000000" w:rsidRDefault="001A570A">
            <w:pPr>
              <w:jc w:val="right"/>
              <w:rPr>
                <w:rFonts w:eastAsia="Times New Roman"/>
              </w:rPr>
            </w:pPr>
            <w:r>
              <w:rPr>
                <w:rFonts w:eastAsia="Times New Roman"/>
                <w:color w:val="000000"/>
                <w:sz w:val="20"/>
                <w:szCs w:val="20"/>
              </w:rPr>
              <w:t>1,040 </w:t>
            </w:r>
          </w:p>
        </w:tc>
        <w:tc>
          <w:tcPr>
            <w:tcW w:w="0" w:type="auto"/>
            <w:shd w:val="clear" w:color="auto" w:fill="CCEEFF"/>
            <w:tcMar>
              <w:top w:w="30" w:type="dxa"/>
              <w:left w:w="0" w:type="dxa"/>
              <w:bottom w:w="30" w:type="dxa"/>
              <w:right w:w="20" w:type="dxa"/>
            </w:tcMar>
            <w:vAlign w:val="bottom"/>
            <w:hideMark/>
          </w:tcPr>
          <w:p w14:paraId="6369432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191A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7D516A" w14:textId="77777777" w:rsidR="00000000" w:rsidRDefault="001A570A">
            <w:pPr>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14:paraId="70A92D9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7E5A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414C9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244D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83D4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3CE4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6D021B" w14:textId="77777777" w:rsidR="00000000" w:rsidRDefault="001A570A">
            <w:pPr>
              <w:jc w:val="right"/>
              <w:rPr>
                <w:rFonts w:eastAsia="Times New Roman"/>
              </w:rPr>
            </w:pPr>
          </w:p>
        </w:tc>
      </w:tr>
      <w:tr w:rsidR="00000000" w14:paraId="011000DA" w14:textId="77777777">
        <w:trPr>
          <w:divId w:val="791823016"/>
        </w:trPr>
        <w:tc>
          <w:tcPr>
            <w:tcW w:w="0" w:type="auto"/>
            <w:gridSpan w:val="3"/>
            <w:vAlign w:val="center"/>
            <w:hideMark/>
          </w:tcPr>
          <w:p w14:paraId="1205C82E" w14:textId="77777777" w:rsidR="00000000" w:rsidRDefault="001A570A">
            <w:pPr>
              <w:jc w:val="right"/>
              <w:rPr>
                <w:rFonts w:eastAsia="Times New Roman"/>
                <w:sz w:val="20"/>
                <w:szCs w:val="20"/>
              </w:rPr>
            </w:pPr>
          </w:p>
        </w:tc>
        <w:tc>
          <w:tcPr>
            <w:tcW w:w="0" w:type="auto"/>
            <w:gridSpan w:val="3"/>
            <w:vAlign w:val="center"/>
            <w:hideMark/>
          </w:tcPr>
          <w:p w14:paraId="02DD50E6" w14:textId="77777777" w:rsidR="00000000" w:rsidRDefault="001A570A">
            <w:pPr>
              <w:rPr>
                <w:rFonts w:eastAsia="Times New Roman"/>
                <w:sz w:val="20"/>
                <w:szCs w:val="20"/>
              </w:rPr>
            </w:pPr>
          </w:p>
        </w:tc>
        <w:tc>
          <w:tcPr>
            <w:tcW w:w="0" w:type="auto"/>
            <w:gridSpan w:val="3"/>
            <w:vAlign w:val="center"/>
            <w:hideMark/>
          </w:tcPr>
          <w:p w14:paraId="7F754644" w14:textId="77777777" w:rsidR="00000000" w:rsidRDefault="001A570A">
            <w:pPr>
              <w:rPr>
                <w:rFonts w:eastAsia="Times New Roman"/>
                <w:sz w:val="20"/>
                <w:szCs w:val="20"/>
              </w:rPr>
            </w:pPr>
          </w:p>
        </w:tc>
        <w:tc>
          <w:tcPr>
            <w:tcW w:w="0" w:type="auto"/>
            <w:gridSpan w:val="3"/>
            <w:vAlign w:val="center"/>
            <w:hideMark/>
          </w:tcPr>
          <w:p w14:paraId="5115A02E" w14:textId="77777777" w:rsidR="00000000" w:rsidRDefault="001A570A">
            <w:pPr>
              <w:rPr>
                <w:rFonts w:eastAsia="Times New Roman"/>
                <w:sz w:val="20"/>
                <w:szCs w:val="20"/>
              </w:rPr>
            </w:pPr>
          </w:p>
        </w:tc>
        <w:tc>
          <w:tcPr>
            <w:tcW w:w="0" w:type="auto"/>
            <w:gridSpan w:val="3"/>
            <w:vAlign w:val="center"/>
            <w:hideMark/>
          </w:tcPr>
          <w:p w14:paraId="45AEF0D5" w14:textId="77777777" w:rsidR="00000000" w:rsidRDefault="001A570A">
            <w:pPr>
              <w:rPr>
                <w:rFonts w:eastAsia="Times New Roman"/>
                <w:sz w:val="20"/>
                <w:szCs w:val="20"/>
              </w:rPr>
            </w:pPr>
          </w:p>
        </w:tc>
        <w:tc>
          <w:tcPr>
            <w:tcW w:w="0" w:type="auto"/>
            <w:gridSpan w:val="3"/>
            <w:vAlign w:val="center"/>
            <w:hideMark/>
          </w:tcPr>
          <w:p w14:paraId="6359F956" w14:textId="77777777" w:rsidR="00000000" w:rsidRDefault="001A570A">
            <w:pPr>
              <w:rPr>
                <w:rFonts w:eastAsia="Times New Roman"/>
                <w:sz w:val="20"/>
                <w:szCs w:val="20"/>
              </w:rPr>
            </w:pPr>
          </w:p>
        </w:tc>
        <w:tc>
          <w:tcPr>
            <w:tcW w:w="0" w:type="auto"/>
            <w:gridSpan w:val="3"/>
            <w:vAlign w:val="center"/>
            <w:hideMark/>
          </w:tcPr>
          <w:p w14:paraId="0DBF4FE8" w14:textId="77777777" w:rsidR="00000000" w:rsidRDefault="001A570A">
            <w:pPr>
              <w:rPr>
                <w:rFonts w:eastAsia="Times New Roman"/>
                <w:sz w:val="20"/>
                <w:szCs w:val="20"/>
              </w:rPr>
            </w:pPr>
          </w:p>
        </w:tc>
        <w:tc>
          <w:tcPr>
            <w:tcW w:w="0" w:type="auto"/>
            <w:gridSpan w:val="3"/>
            <w:vAlign w:val="center"/>
            <w:hideMark/>
          </w:tcPr>
          <w:p w14:paraId="7F692DD3" w14:textId="77777777" w:rsidR="00000000" w:rsidRDefault="001A570A">
            <w:pPr>
              <w:rPr>
                <w:rFonts w:eastAsia="Times New Roman"/>
                <w:sz w:val="20"/>
                <w:szCs w:val="20"/>
              </w:rPr>
            </w:pPr>
          </w:p>
        </w:tc>
      </w:tr>
      <w:tr w:rsidR="00000000" w14:paraId="042D5C6C" w14:textId="77777777">
        <w:trPr>
          <w:divId w:val="791823016"/>
        </w:trPr>
        <w:tc>
          <w:tcPr>
            <w:tcW w:w="0" w:type="auto"/>
            <w:gridSpan w:val="3"/>
            <w:shd w:val="clear" w:color="auto" w:fill="FFFFFF"/>
            <w:tcMar>
              <w:top w:w="30" w:type="dxa"/>
              <w:left w:w="155" w:type="dxa"/>
              <w:bottom w:w="30" w:type="dxa"/>
              <w:right w:w="20" w:type="dxa"/>
            </w:tcMar>
            <w:vAlign w:val="center"/>
            <w:hideMark/>
          </w:tcPr>
          <w:p w14:paraId="5DFD4EC9" w14:textId="77777777" w:rsidR="00000000" w:rsidRDefault="001A570A">
            <w:pPr>
              <w:rPr>
                <w:rFonts w:eastAsia="Times New Roman"/>
              </w:rPr>
            </w:pPr>
            <w:r>
              <w:rPr>
                <w:rFonts w:eastAsia="Times New Roman"/>
                <w:color w:val="000000"/>
                <w:sz w:val="20"/>
                <w:szCs w:val="20"/>
              </w:rPr>
              <w:t>Proceeds from sale of asset group</w:t>
            </w:r>
          </w:p>
        </w:tc>
        <w:tc>
          <w:tcPr>
            <w:tcW w:w="0" w:type="auto"/>
            <w:gridSpan w:val="2"/>
            <w:shd w:val="clear" w:color="auto" w:fill="FFFFFF"/>
            <w:tcMar>
              <w:top w:w="30" w:type="dxa"/>
              <w:left w:w="20" w:type="dxa"/>
              <w:bottom w:w="30" w:type="dxa"/>
              <w:right w:w="0" w:type="dxa"/>
            </w:tcMar>
            <w:vAlign w:val="bottom"/>
            <w:hideMark/>
          </w:tcPr>
          <w:p w14:paraId="59C4599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AD389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FD62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A8BC2B" w14:textId="77777777" w:rsidR="00000000" w:rsidRDefault="001A570A">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7B47711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A9DC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2CEA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8EB8E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866C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6B0F9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422260" w14:textId="77777777" w:rsidR="00000000" w:rsidRDefault="001A570A">
            <w:pPr>
              <w:jc w:val="right"/>
              <w:rPr>
                <w:rFonts w:eastAsia="Times New Roman"/>
              </w:rPr>
            </w:pPr>
          </w:p>
        </w:tc>
      </w:tr>
      <w:tr w:rsidR="00000000" w14:paraId="1ED6F112" w14:textId="77777777">
        <w:trPr>
          <w:divId w:val="791823016"/>
        </w:trPr>
        <w:tc>
          <w:tcPr>
            <w:tcW w:w="0" w:type="auto"/>
            <w:gridSpan w:val="3"/>
            <w:shd w:val="clear" w:color="auto" w:fill="CCEEFF"/>
            <w:tcMar>
              <w:top w:w="30" w:type="dxa"/>
              <w:left w:w="155" w:type="dxa"/>
              <w:bottom w:w="30" w:type="dxa"/>
              <w:right w:w="20" w:type="dxa"/>
            </w:tcMar>
            <w:vAlign w:val="center"/>
            <w:hideMark/>
          </w:tcPr>
          <w:p w14:paraId="5B3F60C5" w14:textId="77777777" w:rsidR="00000000" w:rsidRDefault="001A570A">
            <w:pPr>
              <w:rPr>
                <w:rFonts w:eastAsia="Times New Roman"/>
              </w:rPr>
            </w:pPr>
            <w:r>
              <w:rPr>
                <w:rFonts w:eastAsia="Times New Roman"/>
                <w:color w:val="000000"/>
                <w:sz w:val="20"/>
                <w:szCs w:val="20"/>
              </w:rPr>
              <w:t>Other investing activities</w:t>
            </w:r>
          </w:p>
        </w:tc>
        <w:tc>
          <w:tcPr>
            <w:tcW w:w="0" w:type="auto"/>
            <w:gridSpan w:val="2"/>
            <w:shd w:val="clear" w:color="auto" w:fill="CCEEFF"/>
            <w:tcMar>
              <w:top w:w="30" w:type="dxa"/>
              <w:left w:w="20" w:type="dxa"/>
              <w:bottom w:w="30" w:type="dxa"/>
              <w:right w:w="0" w:type="dxa"/>
            </w:tcMar>
            <w:vAlign w:val="bottom"/>
            <w:hideMark/>
          </w:tcPr>
          <w:p w14:paraId="29703CFF"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51E0C4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E4EF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6317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93398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1DCF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68DC7"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D89DEF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C65A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3A389"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297594B7" w14:textId="77777777" w:rsidR="00000000" w:rsidRDefault="001A570A">
            <w:pPr>
              <w:jc w:val="right"/>
              <w:rPr>
                <w:rFonts w:eastAsia="Times New Roman"/>
              </w:rPr>
            </w:pPr>
          </w:p>
        </w:tc>
      </w:tr>
      <w:tr w:rsidR="00000000" w14:paraId="2F095E1D" w14:textId="77777777">
        <w:trPr>
          <w:divId w:val="791823016"/>
        </w:trPr>
        <w:tc>
          <w:tcPr>
            <w:tcW w:w="0" w:type="auto"/>
            <w:gridSpan w:val="3"/>
            <w:shd w:val="clear" w:color="auto" w:fill="FFFFFF"/>
            <w:tcMar>
              <w:top w:w="30" w:type="dxa"/>
              <w:left w:w="20" w:type="dxa"/>
              <w:bottom w:w="30" w:type="dxa"/>
              <w:right w:w="20" w:type="dxa"/>
            </w:tcMar>
            <w:vAlign w:val="center"/>
            <w:hideMark/>
          </w:tcPr>
          <w:p w14:paraId="36EB090B" w14:textId="77777777" w:rsidR="00000000" w:rsidRDefault="001A570A">
            <w:pPr>
              <w:rPr>
                <w:rFonts w:eastAsia="Times New Roman"/>
              </w:rPr>
            </w:pPr>
            <w:r>
              <w:rPr>
                <w:rFonts w:eastAsia="Times New Roman"/>
                <w:color w:val="000000"/>
                <w:sz w:val="20"/>
                <w:szCs w:val="20"/>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C6CC1A" w14:textId="77777777" w:rsidR="00000000" w:rsidRDefault="001A570A">
            <w:pPr>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90EAD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F365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258764" w14:textId="77777777" w:rsidR="00000000" w:rsidRDefault="001A570A">
            <w:pPr>
              <w:jc w:val="right"/>
              <w:rPr>
                <w:rFonts w:eastAsia="Times New Roman"/>
              </w:rPr>
            </w:pPr>
            <w:r>
              <w:rPr>
                <w:rFonts w:eastAsia="Times New Roman"/>
                <w:color w:val="000000"/>
                <w:sz w:val="20"/>
                <w:szCs w:val="20"/>
              </w:rPr>
              <w:t>1,320 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C7FFF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36B2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2217B3" w14:textId="77777777" w:rsidR="00000000" w:rsidRDefault="001A570A">
            <w:pPr>
              <w:jc w:val="right"/>
              <w:rPr>
                <w:rFonts w:eastAsia="Times New Roman"/>
              </w:rPr>
            </w:pPr>
            <w:r>
              <w:rPr>
                <w:rFonts w:eastAsia="Times New Roman"/>
                <w:color w:val="000000"/>
                <w:sz w:val="20"/>
                <w:szCs w:val="20"/>
              </w:rPr>
              <w:t>(159)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F3FC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5347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2A6882" w14:textId="77777777" w:rsidR="00000000" w:rsidRDefault="001A570A">
            <w:pPr>
              <w:jc w:val="right"/>
              <w:rPr>
                <w:rFonts w:eastAsia="Times New Roman"/>
              </w:rPr>
            </w:pPr>
            <w:r>
              <w:rPr>
                <w:rFonts w:eastAsia="Times New Roman"/>
                <w:color w:val="000000"/>
                <w:sz w:val="20"/>
                <w:szCs w:val="20"/>
              </w:rPr>
              <w:t>(141)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F834AB" w14:textId="77777777" w:rsidR="00000000" w:rsidRDefault="001A570A">
            <w:pPr>
              <w:jc w:val="right"/>
              <w:rPr>
                <w:rFonts w:eastAsia="Times New Roman"/>
              </w:rPr>
            </w:pPr>
          </w:p>
        </w:tc>
      </w:tr>
      <w:tr w:rsidR="00000000" w14:paraId="5611648E" w14:textId="77777777">
        <w:trPr>
          <w:divId w:val="791823016"/>
        </w:trPr>
        <w:tc>
          <w:tcPr>
            <w:tcW w:w="0" w:type="auto"/>
            <w:gridSpan w:val="3"/>
            <w:shd w:val="clear" w:color="auto" w:fill="CCEEFF"/>
            <w:tcMar>
              <w:top w:w="30" w:type="dxa"/>
              <w:left w:w="20" w:type="dxa"/>
              <w:bottom w:w="30" w:type="dxa"/>
              <w:right w:w="20" w:type="dxa"/>
            </w:tcMar>
            <w:vAlign w:val="center"/>
            <w:hideMark/>
          </w:tcPr>
          <w:p w14:paraId="156C37C9" w14:textId="77777777" w:rsidR="00000000" w:rsidRDefault="001A570A">
            <w:pPr>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A4C4CD"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EE1D0"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C9AD6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0EDF4D"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99695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6BC6D7"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B7E679" w14:textId="77777777" w:rsidR="00000000" w:rsidRDefault="001A570A">
            <w:pPr>
              <w:rPr>
                <w:rFonts w:eastAsia="Times New Roman"/>
                <w:sz w:val="20"/>
                <w:szCs w:val="20"/>
              </w:rPr>
            </w:pPr>
          </w:p>
        </w:tc>
      </w:tr>
      <w:tr w:rsidR="00000000" w14:paraId="7417694D" w14:textId="77777777">
        <w:trPr>
          <w:divId w:val="791823016"/>
        </w:trPr>
        <w:tc>
          <w:tcPr>
            <w:tcW w:w="0" w:type="auto"/>
            <w:gridSpan w:val="3"/>
            <w:shd w:val="clear" w:color="auto" w:fill="FFFFFF"/>
            <w:tcMar>
              <w:top w:w="30" w:type="dxa"/>
              <w:left w:w="155" w:type="dxa"/>
              <w:bottom w:w="30" w:type="dxa"/>
              <w:right w:w="20" w:type="dxa"/>
            </w:tcMar>
            <w:vAlign w:val="center"/>
            <w:hideMark/>
          </w:tcPr>
          <w:p w14:paraId="744B890E" w14:textId="77777777" w:rsidR="00000000" w:rsidRDefault="001A570A">
            <w:pPr>
              <w:rPr>
                <w:rFonts w:eastAsia="Times New Roman"/>
              </w:rPr>
            </w:pPr>
            <w:r>
              <w:rPr>
                <w:rFonts w:eastAsia="Times New Roman"/>
                <w:color w:val="000000"/>
                <w:sz w:val="20"/>
                <w:szCs w:val="20"/>
              </w:rPr>
              <w:t>Net proceeds from borrowings</w:t>
            </w:r>
          </w:p>
        </w:tc>
        <w:tc>
          <w:tcPr>
            <w:tcW w:w="0" w:type="auto"/>
            <w:gridSpan w:val="2"/>
            <w:shd w:val="clear" w:color="auto" w:fill="FFFFFF"/>
            <w:tcMar>
              <w:top w:w="30" w:type="dxa"/>
              <w:left w:w="20" w:type="dxa"/>
              <w:bottom w:w="30" w:type="dxa"/>
              <w:right w:w="0" w:type="dxa"/>
            </w:tcMar>
            <w:vAlign w:val="bottom"/>
            <w:hideMark/>
          </w:tcPr>
          <w:p w14:paraId="10D5C664" w14:textId="77777777" w:rsidR="00000000" w:rsidRDefault="001A570A">
            <w:pPr>
              <w:jc w:val="right"/>
              <w:rPr>
                <w:rFonts w:eastAsia="Times New Roman"/>
              </w:rPr>
            </w:pPr>
            <w:r>
              <w:rPr>
                <w:rFonts w:eastAsia="Times New Roman"/>
                <w:color w:val="000000"/>
                <w:sz w:val="20"/>
                <w:szCs w:val="20"/>
              </w:rPr>
              <w:t>901 </w:t>
            </w:r>
          </w:p>
        </w:tc>
        <w:tc>
          <w:tcPr>
            <w:tcW w:w="0" w:type="auto"/>
            <w:shd w:val="clear" w:color="auto" w:fill="FFFFFF"/>
            <w:tcMar>
              <w:top w:w="30" w:type="dxa"/>
              <w:left w:w="0" w:type="dxa"/>
              <w:bottom w:w="30" w:type="dxa"/>
              <w:right w:w="20" w:type="dxa"/>
            </w:tcMar>
            <w:vAlign w:val="bottom"/>
            <w:hideMark/>
          </w:tcPr>
          <w:p w14:paraId="742897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4C3D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A7283" w14:textId="77777777" w:rsidR="00000000" w:rsidRDefault="001A570A">
            <w:pPr>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14:paraId="0737F0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48C2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810C9B" w14:textId="77777777" w:rsidR="00000000" w:rsidRDefault="001A570A">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3ECD73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E2D4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7B8376" w14:textId="77777777" w:rsidR="00000000" w:rsidRDefault="001A570A">
            <w:pPr>
              <w:jc w:val="right"/>
              <w:rPr>
                <w:rFonts w:eastAsia="Times New Roman"/>
              </w:rPr>
            </w:pPr>
            <w:r>
              <w:rPr>
                <w:rFonts w:eastAsia="Times New Roman"/>
                <w:color w:val="000000"/>
                <w:sz w:val="20"/>
                <w:szCs w:val="20"/>
              </w:rPr>
              <w:t>1,387 </w:t>
            </w:r>
          </w:p>
        </w:tc>
        <w:tc>
          <w:tcPr>
            <w:tcW w:w="0" w:type="auto"/>
            <w:shd w:val="clear" w:color="auto" w:fill="FFFFFF"/>
            <w:tcMar>
              <w:top w:w="30" w:type="dxa"/>
              <w:left w:w="0" w:type="dxa"/>
              <w:bottom w:w="30" w:type="dxa"/>
              <w:right w:w="20" w:type="dxa"/>
            </w:tcMar>
            <w:vAlign w:val="bottom"/>
            <w:hideMark/>
          </w:tcPr>
          <w:p w14:paraId="656F2626" w14:textId="77777777" w:rsidR="00000000" w:rsidRDefault="001A570A">
            <w:pPr>
              <w:jc w:val="right"/>
              <w:rPr>
                <w:rFonts w:eastAsia="Times New Roman"/>
              </w:rPr>
            </w:pPr>
          </w:p>
        </w:tc>
      </w:tr>
      <w:tr w:rsidR="00000000" w14:paraId="0BF480CA" w14:textId="77777777">
        <w:trPr>
          <w:divId w:val="791823016"/>
        </w:trPr>
        <w:tc>
          <w:tcPr>
            <w:tcW w:w="0" w:type="auto"/>
            <w:gridSpan w:val="3"/>
            <w:shd w:val="clear" w:color="auto" w:fill="CCEEFF"/>
            <w:tcMar>
              <w:top w:w="30" w:type="dxa"/>
              <w:left w:w="155" w:type="dxa"/>
              <w:bottom w:w="30" w:type="dxa"/>
              <w:right w:w="20" w:type="dxa"/>
            </w:tcMar>
            <w:vAlign w:val="center"/>
            <w:hideMark/>
          </w:tcPr>
          <w:p w14:paraId="412FA596" w14:textId="77777777" w:rsidR="00000000" w:rsidRDefault="001A570A">
            <w:pPr>
              <w:rPr>
                <w:rFonts w:eastAsia="Times New Roman"/>
              </w:rPr>
            </w:pPr>
            <w:r>
              <w:rPr>
                <w:rFonts w:eastAsia="Times New Roman"/>
                <w:color w:val="000000"/>
                <w:sz w:val="20"/>
                <w:szCs w:val="20"/>
              </w:rPr>
              <w:t>Repayments of borrowings</w:t>
            </w:r>
          </w:p>
        </w:tc>
        <w:tc>
          <w:tcPr>
            <w:tcW w:w="0" w:type="auto"/>
            <w:gridSpan w:val="2"/>
            <w:shd w:val="clear" w:color="auto" w:fill="CCEEFF"/>
            <w:tcMar>
              <w:top w:w="30" w:type="dxa"/>
              <w:left w:w="20" w:type="dxa"/>
              <w:bottom w:w="30" w:type="dxa"/>
              <w:right w:w="0" w:type="dxa"/>
            </w:tcMar>
            <w:vAlign w:val="bottom"/>
            <w:hideMark/>
          </w:tcPr>
          <w:p w14:paraId="5BF033A6" w14:textId="77777777" w:rsidR="00000000" w:rsidRDefault="001A570A">
            <w:pPr>
              <w:jc w:val="right"/>
              <w:rPr>
                <w:rFonts w:eastAsia="Times New Roman"/>
              </w:rPr>
            </w:pPr>
            <w:r>
              <w:rPr>
                <w:rFonts w:eastAsia="Times New Roman"/>
                <w:color w:val="000000"/>
                <w:sz w:val="20"/>
                <w:szCs w:val="20"/>
              </w:rPr>
              <w:t>(931)</w:t>
            </w:r>
          </w:p>
        </w:tc>
        <w:tc>
          <w:tcPr>
            <w:tcW w:w="0" w:type="auto"/>
            <w:shd w:val="clear" w:color="auto" w:fill="CCEEFF"/>
            <w:tcMar>
              <w:top w:w="30" w:type="dxa"/>
              <w:left w:w="0" w:type="dxa"/>
              <w:bottom w:w="30" w:type="dxa"/>
              <w:right w:w="20" w:type="dxa"/>
            </w:tcMar>
            <w:vAlign w:val="bottom"/>
            <w:hideMark/>
          </w:tcPr>
          <w:p w14:paraId="28FA3E1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C1F6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E0E68" w14:textId="77777777" w:rsidR="00000000" w:rsidRDefault="001A570A">
            <w:pPr>
              <w:jc w:val="right"/>
              <w:rPr>
                <w:rFonts w:eastAsia="Times New Roman"/>
              </w:rPr>
            </w:pPr>
            <w:r>
              <w:rPr>
                <w:rFonts w:eastAsia="Times New Roman"/>
                <w:color w:val="000000"/>
                <w:sz w:val="20"/>
                <w:szCs w:val="20"/>
              </w:rPr>
              <w:t>(505)</w:t>
            </w:r>
          </w:p>
        </w:tc>
        <w:tc>
          <w:tcPr>
            <w:tcW w:w="0" w:type="auto"/>
            <w:shd w:val="clear" w:color="auto" w:fill="CCEEFF"/>
            <w:tcMar>
              <w:top w:w="30" w:type="dxa"/>
              <w:left w:w="0" w:type="dxa"/>
              <w:bottom w:w="30" w:type="dxa"/>
              <w:right w:w="20" w:type="dxa"/>
            </w:tcMar>
            <w:vAlign w:val="bottom"/>
            <w:hideMark/>
          </w:tcPr>
          <w:p w14:paraId="0C3B910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6E2D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998F8" w14:textId="77777777" w:rsidR="00000000" w:rsidRDefault="001A570A">
            <w:pPr>
              <w:jc w:val="right"/>
              <w:rPr>
                <w:rFonts w:eastAsia="Times New Roman"/>
              </w:rPr>
            </w:pPr>
            <w:r>
              <w:rPr>
                <w:rFonts w:eastAsia="Times New Roman"/>
                <w:color w:val="000000"/>
                <w:sz w:val="20"/>
                <w:szCs w:val="20"/>
              </w:rPr>
              <w:t>(308)</w:t>
            </w:r>
          </w:p>
        </w:tc>
        <w:tc>
          <w:tcPr>
            <w:tcW w:w="0" w:type="auto"/>
            <w:shd w:val="clear" w:color="auto" w:fill="CCEEFF"/>
            <w:tcMar>
              <w:top w:w="30" w:type="dxa"/>
              <w:left w:w="0" w:type="dxa"/>
              <w:bottom w:w="30" w:type="dxa"/>
              <w:right w:w="20" w:type="dxa"/>
            </w:tcMar>
            <w:vAlign w:val="bottom"/>
            <w:hideMark/>
          </w:tcPr>
          <w:p w14:paraId="0D5E186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B8EC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01FE5B" w14:textId="77777777" w:rsidR="00000000" w:rsidRDefault="001A570A">
            <w:pPr>
              <w:jc w:val="right"/>
              <w:rPr>
                <w:rFonts w:eastAsia="Times New Roman"/>
              </w:rPr>
            </w:pPr>
            <w:r>
              <w:rPr>
                <w:rFonts w:eastAsia="Times New Roman"/>
                <w:color w:val="000000"/>
                <w:sz w:val="20"/>
                <w:szCs w:val="20"/>
              </w:rPr>
              <w:t>(1,658)</w:t>
            </w:r>
          </w:p>
        </w:tc>
        <w:tc>
          <w:tcPr>
            <w:tcW w:w="0" w:type="auto"/>
            <w:shd w:val="clear" w:color="auto" w:fill="CCEEFF"/>
            <w:tcMar>
              <w:top w:w="30" w:type="dxa"/>
              <w:left w:w="0" w:type="dxa"/>
              <w:bottom w:w="30" w:type="dxa"/>
              <w:right w:w="20" w:type="dxa"/>
            </w:tcMar>
            <w:vAlign w:val="bottom"/>
            <w:hideMark/>
          </w:tcPr>
          <w:p w14:paraId="36879F3C" w14:textId="77777777" w:rsidR="00000000" w:rsidRDefault="001A570A">
            <w:pPr>
              <w:jc w:val="right"/>
              <w:rPr>
                <w:rFonts w:eastAsia="Times New Roman"/>
              </w:rPr>
            </w:pPr>
          </w:p>
        </w:tc>
      </w:tr>
      <w:tr w:rsidR="00000000" w14:paraId="576BEE1E" w14:textId="77777777">
        <w:trPr>
          <w:divId w:val="791823016"/>
        </w:trPr>
        <w:tc>
          <w:tcPr>
            <w:tcW w:w="0" w:type="auto"/>
            <w:gridSpan w:val="3"/>
            <w:vAlign w:val="center"/>
            <w:hideMark/>
          </w:tcPr>
          <w:p w14:paraId="3DFD7D81" w14:textId="77777777" w:rsidR="00000000" w:rsidRDefault="001A570A">
            <w:pPr>
              <w:jc w:val="right"/>
              <w:rPr>
                <w:rFonts w:eastAsia="Times New Roman"/>
                <w:sz w:val="20"/>
                <w:szCs w:val="20"/>
              </w:rPr>
            </w:pPr>
          </w:p>
        </w:tc>
        <w:tc>
          <w:tcPr>
            <w:tcW w:w="0" w:type="auto"/>
            <w:gridSpan w:val="3"/>
            <w:vAlign w:val="center"/>
            <w:hideMark/>
          </w:tcPr>
          <w:p w14:paraId="40C49993" w14:textId="77777777" w:rsidR="00000000" w:rsidRDefault="001A570A">
            <w:pPr>
              <w:rPr>
                <w:rFonts w:eastAsia="Times New Roman"/>
                <w:sz w:val="20"/>
                <w:szCs w:val="20"/>
              </w:rPr>
            </w:pPr>
          </w:p>
        </w:tc>
        <w:tc>
          <w:tcPr>
            <w:tcW w:w="0" w:type="auto"/>
            <w:gridSpan w:val="3"/>
            <w:vAlign w:val="center"/>
            <w:hideMark/>
          </w:tcPr>
          <w:p w14:paraId="514482D4" w14:textId="77777777" w:rsidR="00000000" w:rsidRDefault="001A570A">
            <w:pPr>
              <w:rPr>
                <w:rFonts w:eastAsia="Times New Roman"/>
                <w:sz w:val="20"/>
                <w:szCs w:val="20"/>
              </w:rPr>
            </w:pPr>
          </w:p>
        </w:tc>
        <w:tc>
          <w:tcPr>
            <w:tcW w:w="0" w:type="auto"/>
            <w:gridSpan w:val="3"/>
            <w:vAlign w:val="center"/>
            <w:hideMark/>
          </w:tcPr>
          <w:p w14:paraId="4C5BE478" w14:textId="77777777" w:rsidR="00000000" w:rsidRDefault="001A570A">
            <w:pPr>
              <w:rPr>
                <w:rFonts w:eastAsia="Times New Roman"/>
                <w:sz w:val="20"/>
                <w:szCs w:val="20"/>
              </w:rPr>
            </w:pPr>
          </w:p>
        </w:tc>
        <w:tc>
          <w:tcPr>
            <w:tcW w:w="0" w:type="auto"/>
            <w:gridSpan w:val="3"/>
            <w:vAlign w:val="center"/>
            <w:hideMark/>
          </w:tcPr>
          <w:p w14:paraId="7C58A72E" w14:textId="77777777" w:rsidR="00000000" w:rsidRDefault="001A570A">
            <w:pPr>
              <w:rPr>
                <w:rFonts w:eastAsia="Times New Roman"/>
                <w:sz w:val="20"/>
                <w:szCs w:val="20"/>
              </w:rPr>
            </w:pPr>
          </w:p>
        </w:tc>
        <w:tc>
          <w:tcPr>
            <w:tcW w:w="0" w:type="auto"/>
            <w:gridSpan w:val="3"/>
            <w:vAlign w:val="center"/>
            <w:hideMark/>
          </w:tcPr>
          <w:p w14:paraId="70129CE0" w14:textId="77777777" w:rsidR="00000000" w:rsidRDefault="001A570A">
            <w:pPr>
              <w:rPr>
                <w:rFonts w:eastAsia="Times New Roman"/>
                <w:sz w:val="20"/>
                <w:szCs w:val="20"/>
              </w:rPr>
            </w:pPr>
          </w:p>
        </w:tc>
        <w:tc>
          <w:tcPr>
            <w:tcW w:w="0" w:type="auto"/>
            <w:gridSpan w:val="3"/>
            <w:vAlign w:val="center"/>
            <w:hideMark/>
          </w:tcPr>
          <w:p w14:paraId="15191F4F" w14:textId="77777777" w:rsidR="00000000" w:rsidRDefault="001A570A">
            <w:pPr>
              <w:rPr>
                <w:rFonts w:eastAsia="Times New Roman"/>
                <w:sz w:val="20"/>
                <w:szCs w:val="20"/>
              </w:rPr>
            </w:pPr>
          </w:p>
        </w:tc>
        <w:tc>
          <w:tcPr>
            <w:tcW w:w="0" w:type="auto"/>
            <w:gridSpan w:val="3"/>
            <w:vAlign w:val="center"/>
            <w:hideMark/>
          </w:tcPr>
          <w:p w14:paraId="7FD2DCC2" w14:textId="77777777" w:rsidR="00000000" w:rsidRDefault="001A570A">
            <w:pPr>
              <w:rPr>
                <w:rFonts w:eastAsia="Times New Roman"/>
                <w:sz w:val="20"/>
                <w:szCs w:val="20"/>
              </w:rPr>
            </w:pPr>
          </w:p>
        </w:tc>
      </w:tr>
      <w:tr w:rsidR="00000000" w14:paraId="7813CAE8" w14:textId="77777777">
        <w:trPr>
          <w:divId w:val="791823016"/>
        </w:trPr>
        <w:tc>
          <w:tcPr>
            <w:tcW w:w="0" w:type="auto"/>
            <w:gridSpan w:val="3"/>
            <w:shd w:val="clear" w:color="auto" w:fill="FFFFFF"/>
            <w:tcMar>
              <w:top w:w="30" w:type="dxa"/>
              <w:left w:w="140" w:type="dxa"/>
              <w:bottom w:w="30" w:type="dxa"/>
              <w:right w:w="20" w:type="dxa"/>
            </w:tcMar>
            <w:vAlign w:val="center"/>
            <w:hideMark/>
          </w:tcPr>
          <w:p w14:paraId="629AE79D" w14:textId="77777777" w:rsidR="00000000" w:rsidRDefault="001A570A">
            <w:pPr>
              <w:rPr>
                <w:rFonts w:eastAsia="Times New Roman"/>
              </w:rPr>
            </w:pPr>
            <w:r>
              <w:rPr>
                <w:rFonts w:eastAsia="Times New Roman"/>
                <w:color w:val="000000"/>
                <w:sz w:val="20"/>
                <w:szCs w:val="20"/>
              </w:rPr>
              <w:t>Payments of interest rate derivative obligations</w:t>
            </w:r>
          </w:p>
        </w:tc>
        <w:tc>
          <w:tcPr>
            <w:tcW w:w="0" w:type="auto"/>
            <w:gridSpan w:val="2"/>
            <w:shd w:val="clear" w:color="auto" w:fill="FFFFFF"/>
            <w:tcMar>
              <w:top w:w="30" w:type="dxa"/>
              <w:left w:w="20" w:type="dxa"/>
              <w:bottom w:w="30" w:type="dxa"/>
              <w:right w:w="0" w:type="dxa"/>
            </w:tcMar>
            <w:vAlign w:val="bottom"/>
            <w:hideMark/>
          </w:tcPr>
          <w:p w14:paraId="6BB44F65" w14:textId="77777777" w:rsidR="00000000" w:rsidRDefault="001A570A">
            <w:pPr>
              <w:jc w:val="right"/>
              <w:rPr>
                <w:rFonts w:eastAsia="Times New Roman"/>
              </w:rPr>
            </w:pPr>
            <w:r>
              <w:rPr>
                <w:rFonts w:eastAsia="Times New Roman"/>
                <w:color w:val="000000"/>
                <w:sz w:val="20"/>
                <w:szCs w:val="20"/>
              </w:rPr>
              <w:t>(113)</w:t>
            </w:r>
          </w:p>
        </w:tc>
        <w:tc>
          <w:tcPr>
            <w:tcW w:w="0" w:type="auto"/>
            <w:shd w:val="clear" w:color="auto" w:fill="FFFFFF"/>
            <w:tcMar>
              <w:top w:w="30" w:type="dxa"/>
              <w:left w:w="0" w:type="dxa"/>
              <w:bottom w:w="30" w:type="dxa"/>
              <w:right w:w="20" w:type="dxa"/>
            </w:tcMar>
            <w:vAlign w:val="bottom"/>
            <w:hideMark/>
          </w:tcPr>
          <w:p w14:paraId="7F56BBF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5F0A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F5073" w14:textId="77777777" w:rsidR="00000000" w:rsidRDefault="001A570A">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14:paraId="2ADE34A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7B61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0DFF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0C60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CAFD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53587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75F3B8" w14:textId="77777777" w:rsidR="00000000" w:rsidRDefault="001A570A">
            <w:pPr>
              <w:jc w:val="right"/>
              <w:rPr>
                <w:rFonts w:eastAsia="Times New Roman"/>
              </w:rPr>
            </w:pPr>
          </w:p>
        </w:tc>
      </w:tr>
      <w:tr w:rsidR="00000000" w14:paraId="6195A0CC" w14:textId="77777777">
        <w:trPr>
          <w:divId w:val="791823016"/>
        </w:trPr>
        <w:tc>
          <w:tcPr>
            <w:tcW w:w="0" w:type="auto"/>
            <w:gridSpan w:val="3"/>
            <w:shd w:val="clear" w:color="auto" w:fill="CCEEFF"/>
            <w:tcMar>
              <w:top w:w="30" w:type="dxa"/>
              <w:left w:w="155" w:type="dxa"/>
              <w:bottom w:w="30" w:type="dxa"/>
              <w:right w:w="20" w:type="dxa"/>
            </w:tcMar>
            <w:vAlign w:val="center"/>
            <w:hideMark/>
          </w:tcPr>
          <w:p w14:paraId="2A5C2A3B" w14:textId="77777777" w:rsidR="00000000" w:rsidRDefault="001A570A">
            <w:pPr>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14:paraId="2CCCEE54" w14:textId="77777777" w:rsidR="00000000" w:rsidRDefault="001A570A">
            <w:pPr>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14:paraId="4CDFDEA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CF00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1FE96"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14:paraId="0FD08E7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754F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41FE4" w14:textId="77777777" w:rsidR="00000000" w:rsidRDefault="001A570A">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44C827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594C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7A01F0" w14:textId="77777777" w:rsidR="00000000" w:rsidRDefault="001A570A">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29A95E5B" w14:textId="77777777" w:rsidR="00000000" w:rsidRDefault="001A570A">
            <w:pPr>
              <w:jc w:val="right"/>
              <w:rPr>
                <w:rFonts w:eastAsia="Times New Roman"/>
              </w:rPr>
            </w:pPr>
          </w:p>
        </w:tc>
      </w:tr>
      <w:tr w:rsidR="00000000" w14:paraId="7B3DA992" w14:textId="77777777">
        <w:trPr>
          <w:divId w:val="791823016"/>
        </w:trPr>
        <w:tc>
          <w:tcPr>
            <w:tcW w:w="0" w:type="auto"/>
            <w:gridSpan w:val="3"/>
            <w:shd w:val="clear" w:color="auto" w:fill="FFFFFF"/>
            <w:tcMar>
              <w:top w:w="30" w:type="dxa"/>
              <w:left w:w="155" w:type="dxa"/>
              <w:bottom w:w="30" w:type="dxa"/>
              <w:right w:w="20" w:type="dxa"/>
            </w:tcMar>
            <w:vAlign w:val="center"/>
            <w:hideMark/>
          </w:tcPr>
          <w:p w14:paraId="4446A6D9" w14:textId="77777777" w:rsidR="00000000" w:rsidRDefault="001A570A">
            <w:pPr>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14:paraId="657BAC85" w14:textId="77777777" w:rsidR="00000000" w:rsidRDefault="001A570A">
            <w:pPr>
              <w:jc w:val="right"/>
              <w:rPr>
                <w:rFonts w:eastAsia="Times New Roman"/>
              </w:rPr>
            </w:pPr>
            <w:r>
              <w:rPr>
                <w:rFonts w:eastAsia="Times New Roman"/>
                <w:color w:val="000000"/>
                <w:sz w:val="20"/>
                <w:szCs w:val="20"/>
              </w:rPr>
              <w:t>(2,290)</w:t>
            </w:r>
          </w:p>
        </w:tc>
        <w:tc>
          <w:tcPr>
            <w:tcW w:w="0" w:type="auto"/>
            <w:shd w:val="clear" w:color="auto" w:fill="FFFFFF"/>
            <w:tcMar>
              <w:top w:w="30" w:type="dxa"/>
              <w:left w:w="0" w:type="dxa"/>
              <w:bottom w:w="30" w:type="dxa"/>
              <w:right w:w="20" w:type="dxa"/>
            </w:tcMar>
            <w:vAlign w:val="bottom"/>
            <w:hideMark/>
          </w:tcPr>
          <w:p w14:paraId="5496546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1482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95A8E" w14:textId="77777777" w:rsidR="00000000" w:rsidRDefault="001A570A">
            <w:pPr>
              <w:jc w:val="right"/>
              <w:rPr>
                <w:rFonts w:eastAsia="Times New Roman"/>
              </w:rPr>
            </w:pPr>
            <w:r>
              <w:rPr>
                <w:rFonts w:eastAsia="Times New Roman"/>
                <w:color w:val="000000"/>
                <w:sz w:val="20"/>
                <w:szCs w:val="20"/>
              </w:rPr>
              <w:t>(1,500)</w:t>
            </w:r>
          </w:p>
        </w:tc>
        <w:tc>
          <w:tcPr>
            <w:tcW w:w="0" w:type="auto"/>
            <w:shd w:val="clear" w:color="auto" w:fill="FFFFFF"/>
            <w:tcMar>
              <w:top w:w="30" w:type="dxa"/>
              <w:left w:w="0" w:type="dxa"/>
              <w:bottom w:w="30" w:type="dxa"/>
              <w:right w:w="20" w:type="dxa"/>
            </w:tcMar>
            <w:vAlign w:val="bottom"/>
            <w:hideMark/>
          </w:tcPr>
          <w:p w14:paraId="3B03CC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49A6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524BB" w14:textId="77777777" w:rsidR="00000000" w:rsidRDefault="001A570A">
            <w:pPr>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14:paraId="233F11A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5B10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B42BB6" w14:textId="77777777" w:rsidR="00000000" w:rsidRDefault="001A570A">
            <w:pPr>
              <w:jc w:val="right"/>
              <w:rPr>
                <w:rFonts w:eastAsia="Times New Roman"/>
              </w:rPr>
            </w:pPr>
            <w:r>
              <w:rPr>
                <w:rFonts w:eastAsia="Times New Roman"/>
                <w:color w:val="000000"/>
                <w:sz w:val="20"/>
                <w:szCs w:val="20"/>
              </w:rPr>
              <w:t>(272)</w:t>
            </w:r>
          </w:p>
        </w:tc>
        <w:tc>
          <w:tcPr>
            <w:tcW w:w="0" w:type="auto"/>
            <w:shd w:val="clear" w:color="auto" w:fill="FFFFFF"/>
            <w:tcMar>
              <w:top w:w="30" w:type="dxa"/>
              <w:left w:w="0" w:type="dxa"/>
              <w:bottom w:w="30" w:type="dxa"/>
              <w:right w:w="20" w:type="dxa"/>
            </w:tcMar>
            <w:vAlign w:val="bottom"/>
            <w:hideMark/>
          </w:tcPr>
          <w:p w14:paraId="0CFDAF60" w14:textId="77777777" w:rsidR="00000000" w:rsidRDefault="001A570A">
            <w:pPr>
              <w:jc w:val="right"/>
              <w:rPr>
                <w:rFonts w:eastAsia="Times New Roman"/>
              </w:rPr>
            </w:pPr>
          </w:p>
        </w:tc>
      </w:tr>
      <w:tr w:rsidR="00000000" w14:paraId="2F334124" w14:textId="77777777">
        <w:trPr>
          <w:divId w:val="791823016"/>
        </w:trPr>
        <w:tc>
          <w:tcPr>
            <w:tcW w:w="0" w:type="auto"/>
            <w:gridSpan w:val="3"/>
            <w:shd w:val="clear" w:color="auto" w:fill="CCEEFF"/>
            <w:tcMar>
              <w:top w:w="30" w:type="dxa"/>
              <w:left w:w="155" w:type="dxa"/>
              <w:bottom w:w="30" w:type="dxa"/>
              <w:right w:w="20" w:type="dxa"/>
            </w:tcMar>
            <w:vAlign w:val="center"/>
            <w:hideMark/>
          </w:tcPr>
          <w:p w14:paraId="079F52FC" w14:textId="77777777" w:rsidR="00000000" w:rsidRDefault="001A570A">
            <w:pPr>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14:paraId="063F344A" w14:textId="77777777" w:rsidR="00000000" w:rsidRDefault="001A570A">
            <w:pPr>
              <w:jc w:val="right"/>
              <w:rPr>
                <w:rFonts w:eastAsia="Times New Roman"/>
              </w:rPr>
            </w:pPr>
            <w:r>
              <w:rPr>
                <w:rFonts w:eastAsia="Times New Roman"/>
                <w:color w:val="000000"/>
                <w:sz w:val="20"/>
                <w:szCs w:val="20"/>
              </w:rPr>
              <w:t>(725)</w:t>
            </w:r>
          </w:p>
        </w:tc>
        <w:tc>
          <w:tcPr>
            <w:tcW w:w="0" w:type="auto"/>
            <w:shd w:val="clear" w:color="auto" w:fill="CCEEFF"/>
            <w:tcMar>
              <w:top w:w="30" w:type="dxa"/>
              <w:left w:w="0" w:type="dxa"/>
              <w:bottom w:w="30" w:type="dxa"/>
              <w:right w:w="20" w:type="dxa"/>
            </w:tcMar>
            <w:vAlign w:val="bottom"/>
            <w:hideMark/>
          </w:tcPr>
          <w:p w14:paraId="41C5AA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7B72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7AEE40" w14:textId="77777777" w:rsidR="00000000" w:rsidRDefault="001A570A">
            <w:pPr>
              <w:jc w:val="right"/>
              <w:rPr>
                <w:rFonts w:eastAsia="Times New Roman"/>
              </w:rPr>
            </w:pPr>
            <w:r>
              <w:rPr>
                <w:rFonts w:eastAsia="Times New Roman"/>
                <w:color w:val="000000"/>
                <w:sz w:val="20"/>
                <w:szCs w:val="20"/>
              </w:rPr>
              <w:t>(337)</w:t>
            </w:r>
          </w:p>
        </w:tc>
        <w:tc>
          <w:tcPr>
            <w:tcW w:w="0" w:type="auto"/>
            <w:shd w:val="clear" w:color="auto" w:fill="CCEEFF"/>
            <w:tcMar>
              <w:top w:w="30" w:type="dxa"/>
              <w:left w:w="0" w:type="dxa"/>
              <w:bottom w:w="30" w:type="dxa"/>
              <w:right w:w="20" w:type="dxa"/>
            </w:tcMar>
            <w:vAlign w:val="bottom"/>
            <w:hideMark/>
          </w:tcPr>
          <w:p w14:paraId="7A12C9D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7217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BA794" w14:textId="77777777" w:rsidR="00000000" w:rsidRDefault="001A570A">
            <w:pPr>
              <w:jc w:val="right"/>
              <w:rPr>
                <w:rFonts w:eastAsia="Times New Roman"/>
              </w:rPr>
            </w:pPr>
            <w:r>
              <w:rPr>
                <w:rFonts w:eastAsia="Times New Roman"/>
                <w:color w:val="000000"/>
                <w:sz w:val="20"/>
                <w:szCs w:val="20"/>
              </w:rPr>
              <w:t>(325)</w:t>
            </w:r>
          </w:p>
        </w:tc>
        <w:tc>
          <w:tcPr>
            <w:tcW w:w="0" w:type="auto"/>
            <w:shd w:val="clear" w:color="auto" w:fill="CCEEFF"/>
            <w:tcMar>
              <w:top w:w="30" w:type="dxa"/>
              <w:left w:w="0" w:type="dxa"/>
              <w:bottom w:w="30" w:type="dxa"/>
              <w:right w:w="20" w:type="dxa"/>
            </w:tcMar>
            <w:vAlign w:val="bottom"/>
            <w:hideMark/>
          </w:tcPr>
          <w:p w14:paraId="02C887F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51F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8E749" w14:textId="77777777" w:rsidR="00000000" w:rsidRDefault="001A570A">
            <w:pPr>
              <w:jc w:val="right"/>
              <w:rPr>
                <w:rFonts w:eastAsia="Times New Roman"/>
              </w:rPr>
            </w:pPr>
            <w:r>
              <w:rPr>
                <w:rFonts w:eastAsia="Times New Roman"/>
                <w:color w:val="000000"/>
                <w:sz w:val="20"/>
                <w:szCs w:val="20"/>
              </w:rPr>
              <w:t>(272)</w:t>
            </w:r>
          </w:p>
        </w:tc>
        <w:tc>
          <w:tcPr>
            <w:tcW w:w="0" w:type="auto"/>
            <w:shd w:val="clear" w:color="auto" w:fill="CCEEFF"/>
            <w:tcMar>
              <w:top w:w="30" w:type="dxa"/>
              <w:left w:w="0" w:type="dxa"/>
              <w:bottom w:w="30" w:type="dxa"/>
              <w:right w:w="20" w:type="dxa"/>
            </w:tcMar>
            <w:vAlign w:val="bottom"/>
            <w:hideMark/>
          </w:tcPr>
          <w:p w14:paraId="567DB26F" w14:textId="77777777" w:rsidR="00000000" w:rsidRDefault="001A570A">
            <w:pPr>
              <w:jc w:val="right"/>
              <w:rPr>
                <w:rFonts w:eastAsia="Times New Roman"/>
              </w:rPr>
            </w:pPr>
          </w:p>
        </w:tc>
      </w:tr>
      <w:tr w:rsidR="00000000" w14:paraId="23267255" w14:textId="77777777">
        <w:trPr>
          <w:divId w:val="791823016"/>
        </w:trPr>
        <w:tc>
          <w:tcPr>
            <w:tcW w:w="0" w:type="auto"/>
            <w:gridSpan w:val="3"/>
            <w:vAlign w:val="center"/>
            <w:hideMark/>
          </w:tcPr>
          <w:p w14:paraId="5C56BC5F" w14:textId="77777777" w:rsidR="00000000" w:rsidRDefault="001A570A">
            <w:pPr>
              <w:jc w:val="right"/>
              <w:rPr>
                <w:rFonts w:eastAsia="Times New Roman"/>
                <w:sz w:val="20"/>
                <w:szCs w:val="20"/>
              </w:rPr>
            </w:pPr>
          </w:p>
        </w:tc>
        <w:tc>
          <w:tcPr>
            <w:tcW w:w="0" w:type="auto"/>
            <w:gridSpan w:val="3"/>
            <w:vAlign w:val="center"/>
            <w:hideMark/>
          </w:tcPr>
          <w:p w14:paraId="06856E7E" w14:textId="77777777" w:rsidR="00000000" w:rsidRDefault="001A570A">
            <w:pPr>
              <w:rPr>
                <w:rFonts w:eastAsia="Times New Roman"/>
                <w:sz w:val="20"/>
                <w:szCs w:val="20"/>
              </w:rPr>
            </w:pPr>
          </w:p>
        </w:tc>
        <w:tc>
          <w:tcPr>
            <w:tcW w:w="0" w:type="auto"/>
            <w:gridSpan w:val="3"/>
            <w:vAlign w:val="center"/>
            <w:hideMark/>
          </w:tcPr>
          <w:p w14:paraId="47EC936B" w14:textId="77777777" w:rsidR="00000000" w:rsidRDefault="001A570A">
            <w:pPr>
              <w:rPr>
                <w:rFonts w:eastAsia="Times New Roman"/>
                <w:sz w:val="20"/>
                <w:szCs w:val="20"/>
              </w:rPr>
            </w:pPr>
          </w:p>
        </w:tc>
        <w:tc>
          <w:tcPr>
            <w:tcW w:w="0" w:type="auto"/>
            <w:gridSpan w:val="3"/>
            <w:vAlign w:val="center"/>
            <w:hideMark/>
          </w:tcPr>
          <w:p w14:paraId="59E039D3" w14:textId="77777777" w:rsidR="00000000" w:rsidRDefault="001A570A">
            <w:pPr>
              <w:rPr>
                <w:rFonts w:eastAsia="Times New Roman"/>
                <w:sz w:val="20"/>
                <w:szCs w:val="20"/>
              </w:rPr>
            </w:pPr>
          </w:p>
        </w:tc>
        <w:tc>
          <w:tcPr>
            <w:tcW w:w="0" w:type="auto"/>
            <w:gridSpan w:val="3"/>
            <w:vAlign w:val="center"/>
            <w:hideMark/>
          </w:tcPr>
          <w:p w14:paraId="0A173836" w14:textId="77777777" w:rsidR="00000000" w:rsidRDefault="001A570A">
            <w:pPr>
              <w:rPr>
                <w:rFonts w:eastAsia="Times New Roman"/>
                <w:sz w:val="20"/>
                <w:szCs w:val="20"/>
              </w:rPr>
            </w:pPr>
          </w:p>
        </w:tc>
        <w:tc>
          <w:tcPr>
            <w:tcW w:w="0" w:type="auto"/>
            <w:gridSpan w:val="3"/>
            <w:vAlign w:val="center"/>
            <w:hideMark/>
          </w:tcPr>
          <w:p w14:paraId="37D419F4" w14:textId="77777777" w:rsidR="00000000" w:rsidRDefault="001A570A">
            <w:pPr>
              <w:rPr>
                <w:rFonts w:eastAsia="Times New Roman"/>
                <w:sz w:val="20"/>
                <w:szCs w:val="20"/>
              </w:rPr>
            </w:pPr>
          </w:p>
        </w:tc>
        <w:tc>
          <w:tcPr>
            <w:tcW w:w="0" w:type="auto"/>
            <w:gridSpan w:val="3"/>
            <w:vAlign w:val="center"/>
            <w:hideMark/>
          </w:tcPr>
          <w:p w14:paraId="5EF4712B" w14:textId="77777777" w:rsidR="00000000" w:rsidRDefault="001A570A">
            <w:pPr>
              <w:rPr>
                <w:rFonts w:eastAsia="Times New Roman"/>
                <w:sz w:val="20"/>
                <w:szCs w:val="20"/>
              </w:rPr>
            </w:pPr>
          </w:p>
        </w:tc>
        <w:tc>
          <w:tcPr>
            <w:tcW w:w="0" w:type="auto"/>
            <w:gridSpan w:val="3"/>
            <w:vAlign w:val="center"/>
            <w:hideMark/>
          </w:tcPr>
          <w:p w14:paraId="62A65C0E" w14:textId="77777777" w:rsidR="00000000" w:rsidRDefault="001A570A">
            <w:pPr>
              <w:rPr>
                <w:rFonts w:eastAsia="Times New Roman"/>
                <w:sz w:val="20"/>
                <w:szCs w:val="20"/>
              </w:rPr>
            </w:pPr>
          </w:p>
        </w:tc>
      </w:tr>
      <w:tr w:rsidR="00000000" w14:paraId="6ADDC758" w14:textId="77777777">
        <w:trPr>
          <w:divId w:val="791823016"/>
        </w:trPr>
        <w:tc>
          <w:tcPr>
            <w:tcW w:w="0" w:type="auto"/>
            <w:gridSpan w:val="3"/>
            <w:shd w:val="clear" w:color="auto" w:fill="FFFFFF"/>
            <w:tcMar>
              <w:top w:w="30" w:type="dxa"/>
              <w:left w:w="410" w:type="dxa"/>
              <w:bottom w:w="30" w:type="dxa"/>
              <w:right w:w="20" w:type="dxa"/>
            </w:tcMar>
            <w:vAlign w:val="center"/>
            <w:hideMark/>
          </w:tcPr>
          <w:p w14:paraId="14FCFA47" w14:textId="77777777" w:rsidR="00000000" w:rsidRDefault="001A570A">
            <w:pPr>
              <w:ind w:hanging="270"/>
              <w:rPr>
                <w:rFonts w:eastAsia="Times New Roman"/>
              </w:rPr>
            </w:pPr>
            <w:r>
              <w:rPr>
                <w:rFonts w:eastAsia="Times New Roman"/>
                <w:color w:val="000000"/>
                <w:sz w:val="20"/>
                <w:szCs w:val="20"/>
              </w:rPr>
              <w:t>Tax withholding payments associated with vested share-based awards</w:t>
            </w:r>
          </w:p>
        </w:tc>
        <w:tc>
          <w:tcPr>
            <w:tcW w:w="0" w:type="auto"/>
            <w:gridSpan w:val="2"/>
            <w:shd w:val="clear" w:color="auto" w:fill="FFFFFF"/>
            <w:tcMar>
              <w:top w:w="30" w:type="dxa"/>
              <w:left w:w="20" w:type="dxa"/>
              <w:bottom w:w="30" w:type="dxa"/>
              <w:right w:w="0" w:type="dxa"/>
            </w:tcMar>
            <w:vAlign w:val="bottom"/>
            <w:hideMark/>
          </w:tcPr>
          <w:p w14:paraId="481A2FA3"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2FA262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30DC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39330" w14:textId="77777777" w:rsidR="00000000" w:rsidRDefault="001A570A">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14:paraId="7AD245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D0CE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5ED30"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728925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F876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AA1205" w14:textId="77777777" w:rsidR="00000000" w:rsidRDefault="001A570A">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26822BF9" w14:textId="77777777" w:rsidR="00000000" w:rsidRDefault="001A570A">
            <w:pPr>
              <w:jc w:val="right"/>
              <w:rPr>
                <w:rFonts w:eastAsia="Times New Roman"/>
              </w:rPr>
            </w:pPr>
          </w:p>
        </w:tc>
      </w:tr>
      <w:tr w:rsidR="00000000" w14:paraId="1FD44DC3" w14:textId="77777777">
        <w:trPr>
          <w:divId w:val="791823016"/>
        </w:trPr>
        <w:tc>
          <w:tcPr>
            <w:tcW w:w="0" w:type="auto"/>
            <w:gridSpan w:val="3"/>
            <w:shd w:val="clear" w:color="auto" w:fill="CCEEFF"/>
            <w:tcMar>
              <w:top w:w="30" w:type="dxa"/>
              <w:left w:w="155" w:type="dxa"/>
              <w:bottom w:w="30" w:type="dxa"/>
              <w:right w:w="20" w:type="dxa"/>
            </w:tcMar>
            <w:vAlign w:val="center"/>
            <w:hideMark/>
          </w:tcPr>
          <w:p w14:paraId="59357DA4" w14:textId="77777777" w:rsidR="00000000" w:rsidRDefault="001A570A">
            <w:pPr>
              <w:rPr>
                <w:rFonts w:eastAsia="Times New Roman"/>
              </w:rPr>
            </w:pPr>
            <w:r>
              <w:rPr>
                <w:rFonts w:eastAsia="Times New Roman"/>
                <w:color w:val="000000"/>
                <w:sz w:val="20"/>
                <w:szCs w:val="20"/>
              </w:rPr>
              <w:t>Other financing activities</w:t>
            </w:r>
          </w:p>
        </w:tc>
        <w:tc>
          <w:tcPr>
            <w:tcW w:w="0" w:type="auto"/>
            <w:gridSpan w:val="2"/>
            <w:shd w:val="clear" w:color="auto" w:fill="CCEEFF"/>
            <w:tcMar>
              <w:top w:w="30" w:type="dxa"/>
              <w:left w:w="20" w:type="dxa"/>
              <w:bottom w:w="30" w:type="dxa"/>
              <w:right w:w="0" w:type="dxa"/>
            </w:tcMar>
            <w:vAlign w:val="bottom"/>
            <w:hideMark/>
          </w:tcPr>
          <w:p w14:paraId="7421F463" w14:textId="77777777" w:rsidR="00000000" w:rsidRDefault="001A570A">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55A964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D5A4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E1489"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4FF6C06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1351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FB517"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71F2EA2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CC55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C3E73"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22F4AE6D" w14:textId="77777777" w:rsidR="00000000" w:rsidRDefault="001A570A">
            <w:pPr>
              <w:jc w:val="right"/>
              <w:rPr>
                <w:rFonts w:eastAsia="Times New Roman"/>
              </w:rPr>
            </w:pPr>
          </w:p>
        </w:tc>
      </w:tr>
      <w:tr w:rsidR="00000000" w14:paraId="24EF175C" w14:textId="77777777">
        <w:trPr>
          <w:divId w:val="791823016"/>
        </w:trPr>
        <w:tc>
          <w:tcPr>
            <w:tcW w:w="0" w:type="auto"/>
            <w:gridSpan w:val="3"/>
            <w:shd w:val="clear" w:color="auto" w:fill="FFFFFF"/>
            <w:tcMar>
              <w:top w:w="30" w:type="dxa"/>
              <w:left w:w="20" w:type="dxa"/>
              <w:bottom w:w="30" w:type="dxa"/>
              <w:right w:w="20" w:type="dxa"/>
            </w:tcMar>
            <w:vAlign w:val="center"/>
            <w:hideMark/>
          </w:tcPr>
          <w:p w14:paraId="2EB7F43A" w14:textId="77777777" w:rsidR="00000000" w:rsidRDefault="001A570A">
            <w:pPr>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212C5C" w14:textId="77777777" w:rsidR="00000000" w:rsidRDefault="001A570A">
            <w:pPr>
              <w:jc w:val="right"/>
              <w:rPr>
                <w:rFonts w:eastAsia="Times New Roman"/>
              </w:rPr>
            </w:pPr>
            <w:r>
              <w:rPr>
                <w:rFonts w:eastAsia="Times New Roman"/>
                <w:color w:val="000000"/>
                <w:sz w:val="20"/>
                <w:szCs w:val="20"/>
              </w:rPr>
              <w:t>(3,112)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AFB6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1568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618742" w14:textId="77777777" w:rsidR="00000000" w:rsidRDefault="001A570A">
            <w:pPr>
              <w:jc w:val="right"/>
              <w:rPr>
                <w:rFonts w:eastAsia="Times New Roman"/>
              </w:rPr>
            </w:pPr>
            <w:r>
              <w:rPr>
                <w:rFonts w:eastAsia="Times New Roman"/>
                <w:color w:val="000000"/>
                <w:sz w:val="20"/>
                <w:szCs w:val="20"/>
              </w:rPr>
              <w:t>(1,971)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8EBF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09BE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7967BF" w14:textId="77777777" w:rsidR="00000000" w:rsidRDefault="001A570A">
            <w:pPr>
              <w:jc w:val="right"/>
              <w:rPr>
                <w:rFonts w:eastAsia="Times New Roman"/>
              </w:rPr>
            </w:pPr>
            <w:r>
              <w:rPr>
                <w:rFonts w:eastAsia="Times New Roman"/>
                <w:color w:val="000000"/>
                <w:sz w:val="20"/>
                <w:szCs w:val="20"/>
              </w:rPr>
              <w:t>(781)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8DF62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86ED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30E495" w14:textId="77777777" w:rsidR="00000000" w:rsidRDefault="001A570A">
            <w:pPr>
              <w:jc w:val="right"/>
              <w:rPr>
                <w:rFonts w:eastAsia="Times New Roman"/>
              </w:rPr>
            </w:pPr>
            <w:r>
              <w:rPr>
                <w:rFonts w:eastAsia="Times New Roman"/>
                <w:color w:val="000000"/>
                <w:sz w:val="20"/>
                <w:szCs w:val="20"/>
              </w:rPr>
              <w:t>(805)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BDDDB5" w14:textId="77777777" w:rsidR="00000000" w:rsidRDefault="001A570A">
            <w:pPr>
              <w:jc w:val="right"/>
              <w:rPr>
                <w:rFonts w:eastAsia="Times New Roman"/>
              </w:rPr>
            </w:pPr>
          </w:p>
        </w:tc>
      </w:tr>
      <w:tr w:rsidR="00000000" w14:paraId="66288D37" w14:textId="77777777">
        <w:trPr>
          <w:divId w:val="791823016"/>
        </w:trPr>
        <w:tc>
          <w:tcPr>
            <w:tcW w:w="0" w:type="auto"/>
            <w:gridSpan w:val="3"/>
            <w:shd w:val="clear" w:color="auto" w:fill="CCEEFF"/>
            <w:tcMar>
              <w:top w:w="30" w:type="dxa"/>
              <w:left w:w="290" w:type="dxa"/>
              <w:bottom w:w="30" w:type="dxa"/>
              <w:right w:w="20" w:type="dxa"/>
            </w:tcMar>
            <w:vAlign w:val="center"/>
            <w:hideMark/>
          </w:tcPr>
          <w:p w14:paraId="035FFD84" w14:textId="77777777" w:rsidR="00000000" w:rsidRDefault="001A570A">
            <w:pPr>
              <w:ind w:hanging="27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8D634F" w14:textId="77777777" w:rsidR="00000000" w:rsidRDefault="001A570A">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27839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F68E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976EB4" w14:textId="77777777" w:rsidR="00000000" w:rsidRDefault="001A570A">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7EF00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BAB3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733E82" w14:textId="77777777" w:rsidR="00000000" w:rsidRDefault="001A570A">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31D4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3D81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761DBD" w14:textId="77777777" w:rsidR="00000000" w:rsidRDefault="001A570A">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5F8971" w14:textId="77777777" w:rsidR="00000000" w:rsidRDefault="001A570A">
            <w:pPr>
              <w:jc w:val="right"/>
              <w:rPr>
                <w:rFonts w:eastAsia="Times New Roman"/>
              </w:rPr>
            </w:pPr>
          </w:p>
        </w:tc>
      </w:tr>
      <w:tr w:rsidR="00000000" w14:paraId="18C35716" w14:textId="77777777">
        <w:trPr>
          <w:divId w:val="791823016"/>
        </w:trPr>
        <w:tc>
          <w:tcPr>
            <w:tcW w:w="0" w:type="auto"/>
            <w:gridSpan w:val="3"/>
            <w:shd w:val="clear" w:color="auto" w:fill="FFFFFF"/>
            <w:tcMar>
              <w:top w:w="30" w:type="dxa"/>
              <w:left w:w="20" w:type="dxa"/>
              <w:bottom w:w="30" w:type="dxa"/>
              <w:right w:w="20" w:type="dxa"/>
            </w:tcMar>
            <w:vAlign w:val="center"/>
            <w:hideMark/>
          </w:tcPr>
          <w:p w14:paraId="3CBE56AA" w14:textId="77777777" w:rsidR="00000000" w:rsidRDefault="001A570A">
            <w:pPr>
              <w:rPr>
                <w:rFonts w:eastAsia="Times New Roman"/>
              </w:rPr>
            </w:pPr>
            <w:r>
              <w:rPr>
                <w:rFonts w:eastAsia="Times New Roman"/>
                <w:color w:val="000000"/>
                <w:sz w:val="20"/>
                <w:szCs w:val="20"/>
              </w:rPr>
              <w:t>Net increase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6D0F8FDF" w14:textId="77777777" w:rsidR="00000000" w:rsidRDefault="001A570A">
            <w:pPr>
              <w:jc w:val="right"/>
              <w:rPr>
                <w:rFonts w:eastAsia="Times New Roman"/>
              </w:rPr>
            </w:pPr>
            <w:r>
              <w:rPr>
                <w:rFonts w:eastAsia="Times New Roman"/>
                <w:color w:val="000000"/>
                <w:sz w:val="20"/>
                <w:szCs w:val="20"/>
              </w:rPr>
              <w:t>452 </w:t>
            </w:r>
          </w:p>
        </w:tc>
        <w:tc>
          <w:tcPr>
            <w:tcW w:w="0" w:type="auto"/>
            <w:tcBorders>
              <w:top w:val="single" w:sz="8" w:space="0" w:color="000000"/>
            </w:tcBorders>
            <w:shd w:val="clear" w:color="auto" w:fill="FFFFFF"/>
            <w:tcMar>
              <w:top w:w="30" w:type="dxa"/>
              <w:left w:w="0" w:type="dxa"/>
              <w:bottom w:w="30" w:type="dxa"/>
              <w:right w:w="20" w:type="dxa"/>
            </w:tcMar>
            <w:hideMark/>
          </w:tcPr>
          <w:p w14:paraId="090F4F3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F4F9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27D46CD" w14:textId="77777777" w:rsidR="00000000" w:rsidRDefault="001A570A">
            <w:pPr>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FFFFFF"/>
            <w:tcMar>
              <w:top w:w="30" w:type="dxa"/>
              <w:left w:w="0" w:type="dxa"/>
              <w:bottom w:w="30" w:type="dxa"/>
              <w:right w:w="20" w:type="dxa"/>
            </w:tcMar>
            <w:hideMark/>
          </w:tcPr>
          <w:p w14:paraId="1B11CC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C690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0E53B03" w14:textId="77777777" w:rsidR="00000000" w:rsidRDefault="001A570A">
            <w:pPr>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FFFFFF"/>
            <w:tcMar>
              <w:top w:w="30" w:type="dxa"/>
              <w:left w:w="0" w:type="dxa"/>
              <w:bottom w:w="30" w:type="dxa"/>
              <w:right w:w="20" w:type="dxa"/>
            </w:tcMar>
            <w:hideMark/>
          </w:tcPr>
          <w:p w14:paraId="751587E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C84E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3952CC29" w14:textId="77777777" w:rsidR="00000000" w:rsidRDefault="001A570A">
            <w:pPr>
              <w:jc w:val="right"/>
              <w:rPr>
                <w:rFonts w:eastAsia="Times New Roman"/>
              </w:rPr>
            </w:pPr>
            <w:r>
              <w:rPr>
                <w:rFonts w:eastAsia="Times New Roman"/>
                <w:color w:val="000000"/>
                <w:sz w:val="20"/>
                <w:szCs w:val="20"/>
              </w:rPr>
              <w:t>(196)</w:t>
            </w:r>
          </w:p>
        </w:tc>
        <w:tc>
          <w:tcPr>
            <w:tcW w:w="0" w:type="auto"/>
            <w:tcBorders>
              <w:top w:val="single" w:sz="8" w:space="0" w:color="000000"/>
            </w:tcBorders>
            <w:shd w:val="clear" w:color="auto" w:fill="FFFFFF"/>
            <w:tcMar>
              <w:top w:w="30" w:type="dxa"/>
              <w:left w:w="0" w:type="dxa"/>
              <w:bottom w:w="30" w:type="dxa"/>
              <w:right w:w="20" w:type="dxa"/>
            </w:tcMar>
            <w:hideMark/>
          </w:tcPr>
          <w:p w14:paraId="386F169D" w14:textId="77777777" w:rsidR="00000000" w:rsidRDefault="001A570A">
            <w:pPr>
              <w:jc w:val="right"/>
              <w:rPr>
                <w:rFonts w:eastAsia="Times New Roman"/>
              </w:rPr>
            </w:pPr>
          </w:p>
        </w:tc>
      </w:tr>
      <w:tr w:rsidR="00000000" w14:paraId="794AE3BC" w14:textId="77777777">
        <w:trPr>
          <w:divId w:val="791823016"/>
        </w:trPr>
        <w:tc>
          <w:tcPr>
            <w:tcW w:w="0" w:type="auto"/>
            <w:gridSpan w:val="3"/>
            <w:shd w:val="clear" w:color="auto" w:fill="CCEEFF"/>
            <w:tcMar>
              <w:top w:w="30" w:type="dxa"/>
              <w:left w:w="20" w:type="dxa"/>
              <w:bottom w:w="30" w:type="dxa"/>
              <w:right w:w="20" w:type="dxa"/>
            </w:tcMar>
            <w:vAlign w:val="center"/>
            <w:hideMark/>
          </w:tcPr>
          <w:p w14:paraId="18F09680" w14:textId="77777777" w:rsidR="00000000" w:rsidRDefault="001A570A">
            <w:pPr>
              <w:rPr>
                <w:rFonts w:eastAsia="Times New Roman"/>
              </w:rPr>
            </w:pPr>
            <w:r>
              <w:rPr>
                <w:rFonts w:eastAsia="Times New Roman"/>
                <w:color w:val="000000"/>
                <w:sz w:val="20"/>
                <w:szCs w:val="20"/>
              </w:rPr>
              <w:t>Cash and cash equivalents, beginning of period</w:t>
            </w:r>
          </w:p>
        </w:tc>
        <w:tc>
          <w:tcPr>
            <w:tcW w:w="0" w:type="auto"/>
            <w:gridSpan w:val="2"/>
            <w:shd w:val="clear" w:color="auto" w:fill="CCEEFF"/>
            <w:tcMar>
              <w:top w:w="30" w:type="dxa"/>
              <w:left w:w="20" w:type="dxa"/>
              <w:bottom w:w="30" w:type="dxa"/>
              <w:right w:w="0" w:type="dxa"/>
            </w:tcMar>
            <w:hideMark/>
          </w:tcPr>
          <w:p w14:paraId="60CA661E" w14:textId="77777777" w:rsidR="00000000" w:rsidRDefault="001A570A">
            <w:pPr>
              <w:jc w:val="right"/>
              <w:rPr>
                <w:rFonts w:eastAsia="Times New Roman"/>
              </w:rPr>
            </w:pPr>
            <w:r>
              <w:rPr>
                <w:rFonts w:eastAsia="Times New Roman"/>
                <w:color w:val="000000"/>
                <w:sz w:val="20"/>
                <w:szCs w:val="20"/>
              </w:rPr>
              <w:t>824 </w:t>
            </w:r>
          </w:p>
        </w:tc>
        <w:tc>
          <w:tcPr>
            <w:tcW w:w="0" w:type="auto"/>
            <w:shd w:val="clear" w:color="auto" w:fill="CCEEFF"/>
            <w:tcMar>
              <w:top w:w="30" w:type="dxa"/>
              <w:left w:w="0" w:type="dxa"/>
              <w:bottom w:w="30" w:type="dxa"/>
              <w:right w:w="20" w:type="dxa"/>
            </w:tcMar>
            <w:hideMark/>
          </w:tcPr>
          <w:p w14:paraId="4FBC80E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9653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69C1C1C" w14:textId="77777777" w:rsidR="00000000" w:rsidRDefault="001A570A">
            <w:pPr>
              <w:jc w:val="right"/>
              <w:rPr>
                <w:rFonts w:eastAsia="Times New Roman"/>
              </w:rPr>
            </w:pPr>
            <w:r>
              <w:rPr>
                <w:rFonts w:eastAsia="Times New Roman"/>
                <w:color w:val="000000"/>
                <w:sz w:val="20"/>
                <w:szCs w:val="20"/>
              </w:rPr>
              <w:t>530 </w:t>
            </w:r>
          </w:p>
        </w:tc>
        <w:tc>
          <w:tcPr>
            <w:tcW w:w="0" w:type="auto"/>
            <w:shd w:val="clear" w:color="auto" w:fill="CCEEFF"/>
            <w:tcMar>
              <w:top w:w="30" w:type="dxa"/>
              <w:left w:w="0" w:type="dxa"/>
              <w:bottom w:w="30" w:type="dxa"/>
              <w:right w:w="20" w:type="dxa"/>
            </w:tcMar>
            <w:hideMark/>
          </w:tcPr>
          <w:p w14:paraId="1DEF3C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FD5C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F191454" w14:textId="77777777" w:rsidR="00000000" w:rsidRDefault="001A570A">
            <w:pPr>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hideMark/>
          </w:tcPr>
          <w:p w14:paraId="502D96A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A8BF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9D78A9F" w14:textId="77777777" w:rsidR="00000000" w:rsidRDefault="001A570A">
            <w:pPr>
              <w:jc w:val="right"/>
              <w:rPr>
                <w:rFonts w:eastAsia="Times New Roman"/>
              </w:rPr>
            </w:pPr>
            <w:r>
              <w:rPr>
                <w:rFonts w:eastAsia="Times New Roman"/>
                <w:color w:val="000000"/>
                <w:sz w:val="20"/>
                <w:szCs w:val="20"/>
              </w:rPr>
              <w:t>484 </w:t>
            </w:r>
          </w:p>
        </w:tc>
        <w:tc>
          <w:tcPr>
            <w:tcW w:w="0" w:type="auto"/>
            <w:shd w:val="clear" w:color="auto" w:fill="CCEEFF"/>
            <w:tcMar>
              <w:top w:w="30" w:type="dxa"/>
              <w:left w:w="0" w:type="dxa"/>
              <w:bottom w:w="30" w:type="dxa"/>
              <w:right w:w="20" w:type="dxa"/>
            </w:tcMar>
            <w:hideMark/>
          </w:tcPr>
          <w:p w14:paraId="6CEDC928" w14:textId="77777777" w:rsidR="00000000" w:rsidRDefault="001A570A">
            <w:pPr>
              <w:jc w:val="right"/>
              <w:rPr>
                <w:rFonts w:eastAsia="Times New Roman"/>
              </w:rPr>
            </w:pPr>
          </w:p>
        </w:tc>
      </w:tr>
      <w:tr w:rsidR="00000000" w14:paraId="5F7A9F9B" w14:textId="77777777">
        <w:trPr>
          <w:divId w:val="791823016"/>
        </w:trPr>
        <w:tc>
          <w:tcPr>
            <w:tcW w:w="0" w:type="auto"/>
            <w:gridSpan w:val="3"/>
            <w:shd w:val="clear" w:color="auto" w:fill="FFFFFF"/>
            <w:tcMar>
              <w:top w:w="30" w:type="dxa"/>
              <w:left w:w="20" w:type="dxa"/>
              <w:bottom w:w="30" w:type="dxa"/>
              <w:right w:w="20" w:type="dxa"/>
            </w:tcMar>
            <w:vAlign w:val="center"/>
            <w:hideMark/>
          </w:tcPr>
          <w:p w14:paraId="490FAC31" w14:textId="77777777" w:rsidR="00000000" w:rsidRDefault="001A570A">
            <w:pPr>
              <w:rPr>
                <w:rFonts w:eastAsia="Times New Roman"/>
              </w:rPr>
            </w:pPr>
            <w:r>
              <w:rPr>
                <w:rFonts w:eastAsia="Times New Roman"/>
                <w:color w:val="000000"/>
                <w:sz w:val="20"/>
                <w:szCs w:val="20"/>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794DA83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333C4790" w14:textId="77777777" w:rsidR="00000000" w:rsidRDefault="001A570A">
            <w:pPr>
              <w:jc w:val="right"/>
              <w:rPr>
                <w:rFonts w:eastAsia="Times New Roman"/>
              </w:rPr>
            </w:pPr>
            <w:r>
              <w:rPr>
                <w:rFonts w:eastAsia="Times New Roman"/>
                <w:color w:val="000000"/>
                <w:sz w:val="20"/>
                <w:szCs w:val="20"/>
              </w:rPr>
              <w:t>1,276 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2A922EA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4F0F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4F6C4EC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0917F4FA" w14:textId="77777777" w:rsidR="00000000" w:rsidRDefault="001A570A">
            <w:pPr>
              <w:jc w:val="right"/>
              <w:rPr>
                <w:rFonts w:eastAsia="Times New Roman"/>
              </w:rPr>
            </w:pPr>
            <w:r>
              <w:rPr>
                <w:rFonts w:eastAsia="Times New Roman"/>
                <w:color w:val="000000"/>
                <w:sz w:val="20"/>
                <w:szCs w:val="20"/>
              </w:rPr>
              <w:t>824 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771DE0E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8EB3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1874379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3D85151D" w14:textId="77777777" w:rsidR="00000000" w:rsidRDefault="001A570A">
            <w:pPr>
              <w:jc w:val="right"/>
              <w:rPr>
                <w:rFonts w:eastAsia="Times New Roman"/>
              </w:rPr>
            </w:pPr>
            <w:r>
              <w:rPr>
                <w:rFonts w:eastAsia="Times New Roman"/>
                <w:color w:val="000000"/>
                <w:sz w:val="20"/>
                <w:szCs w:val="20"/>
              </w:rPr>
              <w:t>530 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3587C60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53291"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0C31C2B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6C079861" w14:textId="77777777" w:rsidR="00000000" w:rsidRDefault="001A570A">
            <w:pPr>
              <w:jc w:val="right"/>
              <w:rPr>
                <w:rFonts w:eastAsia="Times New Roman"/>
              </w:rPr>
            </w:pPr>
            <w:r>
              <w:rPr>
                <w:rFonts w:eastAsia="Times New Roman"/>
                <w:color w:val="000000"/>
                <w:sz w:val="20"/>
                <w:szCs w:val="20"/>
              </w:rPr>
              <w:t>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7A6DC063" w14:textId="77777777" w:rsidR="00000000" w:rsidRDefault="001A570A">
            <w:pPr>
              <w:jc w:val="right"/>
              <w:rPr>
                <w:rFonts w:eastAsia="Times New Roman"/>
              </w:rPr>
            </w:pPr>
          </w:p>
        </w:tc>
      </w:tr>
    </w:tbl>
    <w:p w14:paraId="7E49F112" w14:textId="77777777" w:rsidR="00000000" w:rsidRDefault="001A570A">
      <w:pPr>
        <w:divId w:val="962224919"/>
        <w:rPr>
          <w:rFonts w:eastAsia="Times New Roman"/>
        </w:rPr>
      </w:pPr>
      <w:r>
        <w:rPr>
          <w:rFonts w:eastAsia="Times New Roman"/>
          <w:color w:val="000000"/>
          <w:sz w:val="20"/>
          <w:szCs w:val="20"/>
        </w:rPr>
        <w:t>See accompanying Notes to Consolidated F</w:t>
      </w:r>
      <w:r>
        <w:rPr>
          <w:rFonts w:eastAsia="Times New Roman"/>
          <w:color w:val="000000"/>
          <w:sz w:val="20"/>
          <w:szCs w:val="20"/>
        </w:rPr>
        <w:t>inancial Statements.</w:t>
      </w:r>
    </w:p>
    <w:p w14:paraId="75B231BA" w14:textId="77777777" w:rsidR="00000000" w:rsidRDefault="001A570A">
      <w:pPr>
        <w:ind w:firstLine="450"/>
        <w:jc w:val="center"/>
        <w:divId w:val="86657765"/>
        <w:rPr>
          <w:rFonts w:eastAsia="Times New Roman"/>
        </w:rPr>
      </w:pPr>
      <w:r>
        <w:rPr>
          <w:rFonts w:eastAsia="Times New Roman"/>
          <w:color w:val="000000"/>
          <w:sz w:val="20"/>
          <w:szCs w:val="20"/>
        </w:rPr>
        <w:t>79</w:t>
      </w:r>
    </w:p>
    <w:p w14:paraId="502AA5E1" w14:textId="77777777" w:rsidR="00000000" w:rsidRDefault="001A570A">
      <w:pPr>
        <w:rPr>
          <w:rFonts w:eastAsia="Times New Roman"/>
        </w:rPr>
      </w:pPr>
      <w:r>
        <w:rPr>
          <w:rFonts w:eastAsia="Times New Roman"/>
        </w:rPr>
        <w:pict w14:anchorId="37C19A3E">
          <v:rect id="_x0000_i1107" style="width:0;height:1.5pt" o:hralign="center" o:hrstd="t" o:hr="t" fillcolor="#a0a0a0" stroked="f"/>
        </w:pict>
      </w:r>
    </w:p>
    <w:p w14:paraId="0F2A8594" w14:textId="77777777" w:rsidR="00000000" w:rsidRDefault="001A570A">
      <w:pPr>
        <w:ind w:firstLine="450"/>
        <w:divId w:val="1452868992"/>
        <w:rPr>
          <w:rFonts w:eastAsia="Times New Roman"/>
        </w:rPr>
      </w:pPr>
    </w:p>
    <w:p w14:paraId="6D533443" w14:textId="77777777" w:rsidR="00000000" w:rsidRDefault="001A570A">
      <w:pPr>
        <w:divId w:val="76051261"/>
        <w:rPr>
          <w:rFonts w:eastAsia="Times New Roman"/>
        </w:rPr>
      </w:pPr>
      <w:r>
        <w:rPr>
          <w:rFonts w:eastAsia="Times New Roman"/>
          <w:b/>
          <w:bCs/>
          <w:color w:val="000000"/>
          <w:sz w:val="20"/>
          <w:szCs w:val="20"/>
        </w:rPr>
        <w:t>CONSOLIDATED STATEMENT OF EQUITY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64"/>
        <w:gridCol w:w="38"/>
        <w:gridCol w:w="121"/>
        <w:gridCol w:w="569"/>
        <w:gridCol w:w="36"/>
        <w:gridCol w:w="36"/>
        <w:gridCol w:w="36"/>
        <w:gridCol w:w="36"/>
        <w:gridCol w:w="120"/>
        <w:gridCol w:w="600"/>
        <w:gridCol w:w="36"/>
        <w:gridCol w:w="36"/>
        <w:gridCol w:w="36"/>
        <w:gridCol w:w="36"/>
        <w:gridCol w:w="121"/>
        <w:gridCol w:w="559"/>
        <w:gridCol w:w="36"/>
        <w:gridCol w:w="36"/>
        <w:gridCol w:w="36"/>
        <w:gridCol w:w="36"/>
        <w:gridCol w:w="121"/>
        <w:gridCol w:w="996"/>
        <w:gridCol w:w="36"/>
        <w:gridCol w:w="36"/>
        <w:gridCol w:w="36"/>
        <w:gridCol w:w="36"/>
        <w:gridCol w:w="121"/>
        <w:gridCol w:w="961"/>
        <w:gridCol w:w="36"/>
        <w:gridCol w:w="36"/>
        <w:gridCol w:w="36"/>
        <w:gridCol w:w="36"/>
        <w:gridCol w:w="120"/>
        <w:gridCol w:w="600"/>
        <w:gridCol w:w="36"/>
      </w:tblGrid>
      <w:tr w:rsidR="00000000" w14:paraId="4DE0192F" w14:textId="77777777">
        <w:trPr>
          <w:divId w:val="610626430"/>
          <w:jc w:val="center"/>
        </w:trPr>
        <w:tc>
          <w:tcPr>
            <w:tcW w:w="50" w:type="pct"/>
            <w:vAlign w:val="center"/>
            <w:hideMark/>
          </w:tcPr>
          <w:p w14:paraId="2C08E2B4" w14:textId="77777777" w:rsidR="00000000" w:rsidRDefault="001A570A">
            <w:pPr>
              <w:rPr>
                <w:rFonts w:eastAsia="Times New Roman"/>
              </w:rPr>
            </w:pPr>
          </w:p>
        </w:tc>
        <w:tc>
          <w:tcPr>
            <w:tcW w:w="2244" w:type="pct"/>
            <w:vAlign w:val="center"/>
            <w:hideMark/>
          </w:tcPr>
          <w:p w14:paraId="6BEDF0AD" w14:textId="77777777" w:rsidR="00000000" w:rsidRDefault="001A570A">
            <w:pPr>
              <w:rPr>
                <w:rFonts w:eastAsia="Times New Roman"/>
                <w:sz w:val="20"/>
                <w:szCs w:val="20"/>
              </w:rPr>
            </w:pPr>
          </w:p>
        </w:tc>
        <w:tc>
          <w:tcPr>
            <w:tcW w:w="5" w:type="pct"/>
            <w:vAlign w:val="center"/>
            <w:hideMark/>
          </w:tcPr>
          <w:p w14:paraId="2236FC29" w14:textId="77777777" w:rsidR="00000000" w:rsidRDefault="001A570A">
            <w:pPr>
              <w:rPr>
                <w:rFonts w:eastAsia="Times New Roman"/>
                <w:sz w:val="20"/>
                <w:szCs w:val="20"/>
              </w:rPr>
            </w:pPr>
          </w:p>
        </w:tc>
        <w:tc>
          <w:tcPr>
            <w:tcW w:w="50" w:type="pct"/>
            <w:vAlign w:val="center"/>
            <w:hideMark/>
          </w:tcPr>
          <w:p w14:paraId="3274662B" w14:textId="77777777" w:rsidR="00000000" w:rsidRDefault="001A570A">
            <w:pPr>
              <w:rPr>
                <w:rFonts w:eastAsia="Times New Roman"/>
                <w:sz w:val="20"/>
                <w:szCs w:val="20"/>
              </w:rPr>
            </w:pPr>
          </w:p>
        </w:tc>
        <w:tc>
          <w:tcPr>
            <w:tcW w:w="304" w:type="pct"/>
            <w:vAlign w:val="center"/>
            <w:hideMark/>
          </w:tcPr>
          <w:p w14:paraId="36805F15" w14:textId="77777777" w:rsidR="00000000" w:rsidRDefault="001A570A">
            <w:pPr>
              <w:rPr>
                <w:rFonts w:eastAsia="Times New Roman"/>
                <w:sz w:val="20"/>
                <w:szCs w:val="20"/>
              </w:rPr>
            </w:pPr>
          </w:p>
        </w:tc>
        <w:tc>
          <w:tcPr>
            <w:tcW w:w="5" w:type="pct"/>
            <w:vAlign w:val="center"/>
            <w:hideMark/>
          </w:tcPr>
          <w:p w14:paraId="75CC6BD6" w14:textId="77777777" w:rsidR="00000000" w:rsidRDefault="001A570A">
            <w:pPr>
              <w:rPr>
                <w:rFonts w:eastAsia="Times New Roman"/>
                <w:sz w:val="20"/>
                <w:szCs w:val="20"/>
              </w:rPr>
            </w:pPr>
          </w:p>
        </w:tc>
        <w:tc>
          <w:tcPr>
            <w:tcW w:w="5" w:type="pct"/>
            <w:vAlign w:val="center"/>
            <w:hideMark/>
          </w:tcPr>
          <w:p w14:paraId="3E51EE53" w14:textId="77777777" w:rsidR="00000000" w:rsidRDefault="001A570A">
            <w:pPr>
              <w:rPr>
                <w:rFonts w:eastAsia="Times New Roman"/>
                <w:sz w:val="20"/>
                <w:szCs w:val="20"/>
              </w:rPr>
            </w:pPr>
          </w:p>
        </w:tc>
        <w:tc>
          <w:tcPr>
            <w:tcW w:w="24" w:type="pct"/>
            <w:vAlign w:val="center"/>
            <w:hideMark/>
          </w:tcPr>
          <w:p w14:paraId="6830AA1C" w14:textId="77777777" w:rsidR="00000000" w:rsidRDefault="001A570A">
            <w:pPr>
              <w:rPr>
                <w:rFonts w:eastAsia="Times New Roman"/>
                <w:sz w:val="20"/>
                <w:szCs w:val="20"/>
              </w:rPr>
            </w:pPr>
          </w:p>
        </w:tc>
        <w:tc>
          <w:tcPr>
            <w:tcW w:w="5" w:type="pct"/>
            <w:vAlign w:val="center"/>
            <w:hideMark/>
          </w:tcPr>
          <w:p w14:paraId="2DFAEAB6" w14:textId="77777777" w:rsidR="00000000" w:rsidRDefault="001A570A">
            <w:pPr>
              <w:rPr>
                <w:rFonts w:eastAsia="Times New Roman"/>
                <w:sz w:val="20"/>
                <w:szCs w:val="20"/>
              </w:rPr>
            </w:pPr>
          </w:p>
        </w:tc>
        <w:tc>
          <w:tcPr>
            <w:tcW w:w="50" w:type="pct"/>
            <w:vAlign w:val="center"/>
            <w:hideMark/>
          </w:tcPr>
          <w:p w14:paraId="0E0B093C" w14:textId="77777777" w:rsidR="00000000" w:rsidRDefault="001A570A">
            <w:pPr>
              <w:rPr>
                <w:rFonts w:eastAsia="Times New Roman"/>
                <w:sz w:val="20"/>
                <w:szCs w:val="20"/>
              </w:rPr>
            </w:pPr>
          </w:p>
        </w:tc>
        <w:tc>
          <w:tcPr>
            <w:tcW w:w="311" w:type="pct"/>
            <w:vAlign w:val="center"/>
            <w:hideMark/>
          </w:tcPr>
          <w:p w14:paraId="586DF05A" w14:textId="77777777" w:rsidR="00000000" w:rsidRDefault="001A570A">
            <w:pPr>
              <w:rPr>
                <w:rFonts w:eastAsia="Times New Roman"/>
                <w:sz w:val="20"/>
                <w:szCs w:val="20"/>
              </w:rPr>
            </w:pPr>
          </w:p>
        </w:tc>
        <w:tc>
          <w:tcPr>
            <w:tcW w:w="5" w:type="pct"/>
            <w:vAlign w:val="center"/>
            <w:hideMark/>
          </w:tcPr>
          <w:p w14:paraId="0CAA9752" w14:textId="77777777" w:rsidR="00000000" w:rsidRDefault="001A570A">
            <w:pPr>
              <w:rPr>
                <w:rFonts w:eastAsia="Times New Roman"/>
                <w:sz w:val="20"/>
                <w:szCs w:val="20"/>
              </w:rPr>
            </w:pPr>
          </w:p>
        </w:tc>
        <w:tc>
          <w:tcPr>
            <w:tcW w:w="5" w:type="pct"/>
            <w:vAlign w:val="center"/>
            <w:hideMark/>
          </w:tcPr>
          <w:p w14:paraId="077BEA7A" w14:textId="77777777" w:rsidR="00000000" w:rsidRDefault="001A570A">
            <w:pPr>
              <w:rPr>
                <w:rFonts w:eastAsia="Times New Roman"/>
                <w:sz w:val="20"/>
                <w:szCs w:val="20"/>
              </w:rPr>
            </w:pPr>
          </w:p>
        </w:tc>
        <w:tc>
          <w:tcPr>
            <w:tcW w:w="24" w:type="pct"/>
            <w:vAlign w:val="center"/>
            <w:hideMark/>
          </w:tcPr>
          <w:p w14:paraId="37DEFAF3" w14:textId="77777777" w:rsidR="00000000" w:rsidRDefault="001A570A">
            <w:pPr>
              <w:rPr>
                <w:rFonts w:eastAsia="Times New Roman"/>
                <w:sz w:val="20"/>
                <w:szCs w:val="20"/>
              </w:rPr>
            </w:pPr>
          </w:p>
        </w:tc>
        <w:tc>
          <w:tcPr>
            <w:tcW w:w="5" w:type="pct"/>
            <w:vAlign w:val="center"/>
            <w:hideMark/>
          </w:tcPr>
          <w:p w14:paraId="004E11B3" w14:textId="77777777" w:rsidR="00000000" w:rsidRDefault="001A570A">
            <w:pPr>
              <w:rPr>
                <w:rFonts w:eastAsia="Times New Roman"/>
                <w:sz w:val="20"/>
                <w:szCs w:val="20"/>
              </w:rPr>
            </w:pPr>
          </w:p>
        </w:tc>
        <w:tc>
          <w:tcPr>
            <w:tcW w:w="50" w:type="pct"/>
            <w:vAlign w:val="center"/>
            <w:hideMark/>
          </w:tcPr>
          <w:p w14:paraId="4E09B633" w14:textId="77777777" w:rsidR="00000000" w:rsidRDefault="001A570A">
            <w:pPr>
              <w:rPr>
                <w:rFonts w:eastAsia="Times New Roman"/>
                <w:sz w:val="20"/>
                <w:szCs w:val="20"/>
              </w:rPr>
            </w:pPr>
          </w:p>
        </w:tc>
        <w:tc>
          <w:tcPr>
            <w:tcW w:w="297" w:type="pct"/>
            <w:vAlign w:val="center"/>
            <w:hideMark/>
          </w:tcPr>
          <w:p w14:paraId="659FA8E1" w14:textId="77777777" w:rsidR="00000000" w:rsidRDefault="001A570A">
            <w:pPr>
              <w:rPr>
                <w:rFonts w:eastAsia="Times New Roman"/>
                <w:sz w:val="20"/>
                <w:szCs w:val="20"/>
              </w:rPr>
            </w:pPr>
          </w:p>
        </w:tc>
        <w:tc>
          <w:tcPr>
            <w:tcW w:w="5" w:type="pct"/>
            <w:vAlign w:val="center"/>
            <w:hideMark/>
          </w:tcPr>
          <w:p w14:paraId="391EAC9C" w14:textId="77777777" w:rsidR="00000000" w:rsidRDefault="001A570A">
            <w:pPr>
              <w:rPr>
                <w:rFonts w:eastAsia="Times New Roman"/>
                <w:sz w:val="20"/>
                <w:szCs w:val="20"/>
              </w:rPr>
            </w:pPr>
          </w:p>
        </w:tc>
        <w:tc>
          <w:tcPr>
            <w:tcW w:w="5" w:type="pct"/>
            <w:vAlign w:val="center"/>
            <w:hideMark/>
          </w:tcPr>
          <w:p w14:paraId="68D0B396" w14:textId="77777777" w:rsidR="00000000" w:rsidRDefault="001A570A">
            <w:pPr>
              <w:rPr>
                <w:rFonts w:eastAsia="Times New Roman"/>
                <w:sz w:val="20"/>
                <w:szCs w:val="20"/>
              </w:rPr>
            </w:pPr>
          </w:p>
        </w:tc>
        <w:tc>
          <w:tcPr>
            <w:tcW w:w="24" w:type="pct"/>
            <w:vAlign w:val="center"/>
            <w:hideMark/>
          </w:tcPr>
          <w:p w14:paraId="2986764F" w14:textId="77777777" w:rsidR="00000000" w:rsidRDefault="001A570A">
            <w:pPr>
              <w:rPr>
                <w:rFonts w:eastAsia="Times New Roman"/>
                <w:sz w:val="20"/>
                <w:szCs w:val="20"/>
              </w:rPr>
            </w:pPr>
          </w:p>
        </w:tc>
        <w:tc>
          <w:tcPr>
            <w:tcW w:w="5" w:type="pct"/>
            <w:vAlign w:val="center"/>
            <w:hideMark/>
          </w:tcPr>
          <w:p w14:paraId="26756EFF" w14:textId="77777777" w:rsidR="00000000" w:rsidRDefault="001A570A">
            <w:pPr>
              <w:rPr>
                <w:rFonts w:eastAsia="Times New Roman"/>
                <w:sz w:val="20"/>
                <w:szCs w:val="20"/>
              </w:rPr>
            </w:pPr>
          </w:p>
        </w:tc>
        <w:tc>
          <w:tcPr>
            <w:tcW w:w="50" w:type="pct"/>
            <w:vAlign w:val="center"/>
            <w:hideMark/>
          </w:tcPr>
          <w:p w14:paraId="022FEC41" w14:textId="77777777" w:rsidR="00000000" w:rsidRDefault="001A570A">
            <w:pPr>
              <w:rPr>
                <w:rFonts w:eastAsia="Times New Roman"/>
                <w:sz w:val="20"/>
                <w:szCs w:val="20"/>
              </w:rPr>
            </w:pPr>
          </w:p>
        </w:tc>
        <w:tc>
          <w:tcPr>
            <w:tcW w:w="497" w:type="pct"/>
            <w:vAlign w:val="center"/>
            <w:hideMark/>
          </w:tcPr>
          <w:p w14:paraId="03873543" w14:textId="77777777" w:rsidR="00000000" w:rsidRDefault="001A570A">
            <w:pPr>
              <w:rPr>
                <w:rFonts w:eastAsia="Times New Roman"/>
                <w:sz w:val="20"/>
                <w:szCs w:val="20"/>
              </w:rPr>
            </w:pPr>
          </w:p>
        </w:tc>
        <w:tc>
          <w:tcPr>
            <w:tcW w:w="5" w:type="pct"/>
            <w:vAlign w:val="center"/>
            <w:hideMark/>
          </w:tcPr>
          <w:p w14:paraId="7512EEEE" w14:textId="77777777" w:rsidR="00000000" w:rsidRDefault="001A570A">
            <w:pPr>
              <w:rPr>
                <w:rFonts w:eastAsia="Times New Roman"/>
                <w:sz w:val="20"/>
                <w:szCs w:val="20"/>
              </w:rPr>
            </w:pPr>
          </w:p>
        </w:tc>
        <w:tc>
          <w:tcPr>
            <w:tcW w:w="5" w:type="pct"/>
            <w:vAlign w:val="center"/>
            <w:hideMark/>
          </w:tcPr>
          <w:p w14:paraId="72651C01" w14:textId="77777777" w:rsidR="00000000" w:rsidRDefault="001A570A">
            <w:pPr>
              <w:rPr>
                <w:rFonts w:eastAsia="Times New Roman"/>
                <w:sz w:val="20"/>
                <w:szCs w:val="20"/>
              </w:rPr>
            </w:pPr>
          </w:p>
        </w:tc>
        <w:tc>
          <w:tcPr>
            <w:tcW w:w="24" w:type="pct"/>
            <w:vAlign w:val="center"/>
            <w:hideMark/>
          </w:tcPr>
          <w:p w14:paraId="2BF05783" w14:textId="77777777" w:rsidR="00000000" w:rsidRDefault="001A570A">
            <w:pPr>
              <w:rPr>
                <w:rFonts w:eastAsia="Times New Roman"/>
                <w:sz w:val="20"/>
                <w:szCs w:val="20"/>
              </w:rPr>
            </w:pPr>
          </w:p>
        </w:tc>
        <w:tc>
          <w:tcPr>
            <w:tcW w:w="5" w:type="pct"/>
            <w:vAlign w:val="center"/>
            <w:hideMark/>
          </w:tcPr>
          <w:p w14:paraId="3E5A0DE3" w14:textId="77777777" w:rsidR="00000000" w:rsidRDefault="001A570A">
            <w:pPr>
              <w:rPr>
                <w:rFonts w:eastAsia="Times New Roman"/>
                <w:sz w:val="20"/>
                <w:szCs w:val="20"/>
              </w:rPr>
            </w:pPr>
          </w:p>
        </w:tc>
        <w:tc>
          <w:tcPr>
            <w:tcW w:w="50" w:type="pct"/>
            <w:vAlign w:val="center"/>
            <w:hideMark/>
          </w:tcPr>
          <w:p w14:paraId="1FD39A61" w14:textId="77777777" w:rsidR="00000000" w:rsidRDefault="001A570A">
            <w:pPr>
              <w:rPr>
                <w:rFonts w:eastAsia="Times New Roman"/>
                <w:sz w:val="20"/>
                <w:szCs w:val="20"/>
              </w:rPr>
            </w:pPr>
          </w:p>
        </w:tc>
        <w:tc>
          <w:tcPr>
            <w:tcW w:w="476" w:type="pct"/>
            <w:vAlign w:val="center"/>
            <w:hideMark/>
          </w:tcPr>
          <w:p w14:paraId="13D637B5" w14:textId="77777777" w:rsidR="00000000" w:rsidRDefault="001A570A">
            <w:pPr>
              <w:rPr>
                <w:rFonts w:eastAsia="Times New Roman"/>
                <w:sz w:val="20"/>
                <w:szCs w:val="20"/>
              </w:rPr>
            </w:pPr>
          </w:p>
        </w:tc>
        <w:tc>
          <w:tcPr>
            <w:tcW w:w="5" w:type="pct"/>
            <w:vAlign w:val="center"/>
            <w:hideMark/>
          </w:tcPr>
          <w:p w14:paraId="1C23E4A3" w14:textId="77777777" w:rsidR="00000000" w:rsidRDefault="001A570A">
            <w:pPr>
              <w:rPr>
                <w:rFonts w:eastAsia="Times New Roman"/>
                <w:sz w:val="20"/>
                <w:szCs w:val="20"/>
              </w:rPr>
            </w:pPr>
          </w:p>
        </w:tc>
        <w:tc>
          <w:tcPr>
            <w:tcW w:w="5" w:type="pct"/>
            <w:vAlign w:val="center"/>
            <w:hideMark/>
          </w:tcPr>
          <w:p w14:paraId="2806F870" w14:textId="77777777" w:rsidR="00000000" w:rsidRDefault="001A570A">
            <w:pPr>
              <w:rPr>
                <w:rFonts w:eastAsia="Times New Roman"/>
                <w:sz w:val="20"/>
                <w:szCs w:val="20"/>
              </w:rPr>
            </w:pPr>
          </w:p>
        </w:tc>
        <w:tc>
          <w:tcPr>
            <w:tcW w:w="24" w:type="pct"/>
            <w:vAlign w:val="center"/>
            <w:hideMark/>
          </w:tcPr>
          <w:p w14:paraId="2E75B582" w14:textId="77777777" w:rsidR="00000000" w:rsidRDefault="001A570A">
            <w:pPr>
              <w:rPr>
                <w:rFonts w:eastAsia="Times New Roman"/>
                <w:sz w:val="20"/>
                <w:szCs w:val="20"/>
              </w:rPr>
            </w:pPr>
          </w:p>
        </w:tc>
        <w:tc>
          <w:tcPr>
            <w:tcW w:w="5" w:type="pct"/>
            <w:vAlign w:val="center"/>
            <w:hideMark/>
          </w:tcPr>
          <w:p w14:paraId="74C10760" w14:textId="77777777" w:rsidR="00000000" w:rsidRDefault="001A570A">
            <w:pPr>
              <w:rPr>
                <w:rFonts w:eastAsia="Times New Roman"/>
                <w:sz w:val="20"/>
                <w:szCs w:val="20"/>
              </w:rPr>
            </w:pPr>
          </w:p>
        </w:tc>
        <w:tc>
          <w:tcPr>
            <w:tcW w:w="50" w:type="pct"/>
            <w:vAlign w:val="center"/>
            <w:hideMark/>
          </w:tcPr>
          <w:p w14:paraId="2C44F532" w14:textId="77777777" w:rsidR="00000000" w:rsidRDefault="001A570A">
            <w:pPr>
              <w:rPr>
                <w:rFonts w:eastAsia="Times New Roman"/>
                <w:sz w:val="20"/>
                <w:szCs w:val="20"/>
              </w:rPr>
            </w:pPr>
          </w:p>
        </w:tc>
        <w:tc>
          <w:tcPr>
            <w:tcW w:w="311" w:type="pct"/>
            <w:vAlign w:val="center"/>
            <w:hideMark/>
          </w:tcPr>
          <w:p w14:paraId="6C7F5ACD" w14:textId="77777777" w:rsidR="00000000" w:rsidRDefault="001A570A">
            <w:pPr>
              <w:rPr>
                <w:rFonts w:eastAsia="Times New Roman"/>
                <w:sz w:val="20"/>
                <w:szCs w:val="20"/>
              </w:rPr>
            </w:pPr>
          </w:p>
        </w:tc>
        <w:tc>
          <w:tcPr>
            <w:tcW w:w="5" w:type="pct"/>
            <w:vAlign w:val="center"/>
            <w:hideMark/>
          </w:tcPr>
          <w:p w14:paraId="6CCB49EE" w14:textId="77777777" w:rsidR="00000000" w:rsidRDefault="001A570A">
            <w:pPr>
              <w:rPr>
                <w:rFonts w:eastAsia="Times New Roman"/>
                <w:sz w:val="20"/>
                <w:szCs w:val="20"/>
              </w:rPr>
            </w:pPr>
          </w:p>
        </w:tc>
      </w:tr>
      <w:tr w:rsidR="00000000" w14:paraId="437A7106" w14:textId="77777777">
        <w:trPr>
          <w:divId w:val="610626430"/>
          <w:jc w:val="center"/>
        </w:trPr>
        <w:tc>
          <w:tcPr>
            <w:tcW w:w="0" w:type="auto"/>
            <w:gridSpan w:val="3"/>
            <w:tcMar>
              <w:top w:w="30" w:type="dxa"/>
              <w:left w:w="20" w:type="dxa"/>
              <w:bottom w:w="30" w:type="dxa"/>
              <w:right w:w="20" w:type="dxa"/>
            </w:tcMar>
            <w:vAlign w:val="bottom"/>
            <w:hideMark/>
          </w:tcPr>
          <w:p w14:paraId="2933054E" w14:textId="77777777" w:rsidR="00000000" w:rsidRDefault="001A570A">
            <w:pPr>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14:paraId="255F4406" w14:textId="77777777" w:rsidR="00000000" w:rsidRDefault="001A570A">
            <w:pPr>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14:paraId="52C166F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0988BFD"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14:paraId="573F5CD3"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4D8E46B" w14:textId="77777777" w:rsidR="00000000" w:rsidRDefault="001A570A">
            <w:pPr>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7FBFA79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68C8FE9" w14:textId="77777777" w:rsidR="00000000" w:rsidRDefault="001A570A">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Income</w:t>
            </w:r>
          </w:p>
        </w:tc>
        <w:tc>
          <w:tcPr>
            <w:tcW w:w="0" w:type="auto"/>
            <w:gridSpan w:val="3"/>
            <w:tcMar>
              <w:top w:w="0" w:type="dxa"/>
              <w:left w:w="20" w:type="dxa"/>
              <w:bottom w:w="0" w:type="dxa"/>
              <w:right w:w="20" w:type="dxa"/>
            </w:tcMar>
            <w:vAlign w:val="center"/>
            <w:hideMark/>
          </w:tcPr>
          <w:p w14:paraId="0979D1D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174B446" w14:textId="77777777" w:rsidR="00000000" w:rsidRDefault="001A570A">
            <w:pPr>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14:paraId="1534A29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1F4F624A" w14:textId="77777777" w:rsidR="00000000" w:rsidRDefault="001A570A">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14:paraId="12E5D255" w14:textId="77777777">
        <w:trPr>
          <w:divId w:val="610626430"/>
          <w:trHeight w:val="60"/>
          <w:jc w:val="center"/>
        </w:trPr>
        <w:tc>
          <w:tcPr>
            <w:tcW w:w="0" w:type="auto"/>
            <w:gridSpan w:val="3"/>
            <w:tcMar>
              <w:top w:w="0" w:type="dxa"/>
              <w:left w:w="20" w:type="dxa"/>
              <w:bottom w:w="0" w:type="dxa"/>
              <w:right w:w="20" w:type="dxa"/>
            </w:tcMar>
            <w:vAlign w:val="center"/>
            <w:hideMark/>
          </w:tcPr>
          <w:p w14:paraId="4B4EB93D"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6252CA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B2E03A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4F6F2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568995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D06F5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F4BF4F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01361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985F1F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9F8A9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D95574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41A864" w14:textId="77777777" w:rsidR="00000000" w:rsidRDefault="001A570A">
            <w:pPr>
              <w:rPr>
                <w:rFonts w:eastAsia="Times New Roman"/>
                <w:sz w:val="20"/>
                <w:szCs w:val="20"/>
              </w:rPr>
            </w:pPr>
          </w:p>
        </w:tc>
      </w:tr>
      <w:tr w:rsidR="00000000" w14:paraId="7073C03D"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15C2BDBB" w14:textId="77777777" w:rsidR="00000000" w:rsidRDefault="001A570A">
            <w:pPr>
              <w:rPr>
                <w:rFonts w:eastAsia="Times New Roman"/>
              </w:rPr>
            </w:pPr>
            <w:r>
              <w:rPr>
                <w:rFonts w:eastAsia="Times New Roman"/>
                <w:b/>
                <w:bCs/>
                <w:color w:val="000000"/>
                <w:sz w:val="20"/>
                <w:szCs w:val="20"/>
              </w:rPr>
              <w:t>Balance at June 30, 2017</w:t>
            </w:r>
          </w:p>
        </w:tc>
        <w:tc>
          <w:tcPr>
            <w:tcW w:w="0" w:type="auto"/>
            <w:shd w:val="clear" w:color="auto" w:fill="CCEEFF"/>
            <w:tcMar>
              <w:top w:w="30" w:type="dxa"/>
              <w:left w:w="20" w:type="dxa"/>
              <w:bottom w:w="30" w:type="dxa"/>
              <w:right w:w="0" w:type="dxa"/>
            </w:tcMar>
            <w:vAlign w:val="bottom"/>
            <w:hideMark/>
          </w:tcPr>
          <w:p w14:paraId="6AF560E9"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6293AA67" w14:textId="77777777" w:rsidR="00000000" w:rsidRDefault="001A570A">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FD10A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4AB5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DDE5D2"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1C6927E" w14:textId="77777777" w:rsidR="00000000" w:rsidRDefault="001A570A">
            <w:pPr>
              <w:jc w:val="right"/>
              <w:rPr>
                <w:rFonts w:eastAsia="Times New Roman"/>
              </w:rPr>
            </w:pPr>
            <w:r>
              <w:rPr>
                <w:rFonts w:eastAsia="Times New Roman"/>
                <w:b/>
                <w:bCs/>
                <w:color w:val="000000"/>
                <w:sz w:val="20"/>
                <w:szCs w:val="20"/>
              </w:rPr>
              <w:t>1,741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EEA02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2AA6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CEE3D1"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1069294" w14:textId="77777777" w:rsidR="00000000" w:rsidRDefault="001A570A">
            <w:pPr>
              <w:jc w:val="right"/>
              <w:rPr>
                <w:rFonts w:eastAsia="Times New Roman"/>
              </w:rPr>
            </w:pPr>
            <w:r>
              <w:rPr>
                <w:rFonts w:eastAsia="Times New Roman"/>
                <w:b/>
                <w:bCs/>
                <w:color w:val="000000"/>
                <w:sz w:val="20"/>
                <w:szCs w:val="20"/>
              </w:rPr>
              <w:t>1,318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3226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7B46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9FDDA2"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5065502" w14:textId="77777777" w:rsidR="00000000" w:rsidRDefault="001A570A">
            <w:pPr>
              <w:jc w:val="right"/>
              <w:rPr>
                <w:rFonts w:eastAsia="Times New Roman"/>
              </w:rPr>
            </w:pPr>
            <w:r>
              <w:rPr>
                <w:rFonts w:eastAsia="Times New Roman"/>
                <w:b/>
                <w:bCs/>
                <w:color w:val="000000"/>
                <w:sz w:val="20"/>
                <w:szCs w:val="20"/>
              </w:rPr>
              <w:t>(276)</w:t>
            </w:r>
          </w:p>
        </w:tc>
        <w:tc>
          <w:tcPr>
            <w:tcW w:w="0" w:type="auto"/>
            <w:shd w:val="clear" w:color="auto" w:fill="CCEEFF"/>
            <w:tcMar>
              <w:top w:w="30" w:type="dxa"/>
              <w:left w:w="0" w:type="dxa"/>
              <w:bottom w:w="30" w:type="dxa"/>
              <w:right w:w="20" w:type="dxa"/>
            </w:tcMar>
            <w:vAlign w:val="bottom"/>
            <w:hideMark/>
          </w:tcPr>
          <w:p w14:paraId="0EF820A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A0C2C"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81DBD5"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CDB7125" w14:textId="77777777" w:rsidR="00000000" w:rsidRDefault="001A570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90482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D8E8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C0F8DB"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317A50D" w14:textId="77777777" w:rsidR="00000000" w:rsidRDefault="001A570A">
            <w:pPr>
              <w:jc w:val="right"/>
              <w:rPr>
                <w:rFonts w:eastAsia="Times New Roman"/>
              </w:rPr>
            </w:pPr>
            <w:r>
              <w:rPr>
                <w:rFonts w:eastAsia="Times New Roman"/>
                <w:b/>
                <w:bCs/>
                <w:color w:val="000000"/>
                <w:sz w:val="20"/>
                <w:szCs w:val="20"/>
              </w:rPr>
              <w:t>2,903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23C61A" w14:textId="77777777" w:rsidR="00000000" w:rsidRDefault="001A570A">
            <w:pPr>
              <w:jc w:val="right"/>
              <w:rPr>
                <w:rFonts w:eastAsia="Times New Roman"/>
              </w:rPr>
            </w:pPr>
          </w:p>
        </w:tc>
      </w:tr>
      <w:tr w:rsidR="00000000" w14:paraId="758927A6" w14:textId="77777777">
        <w:trPr>
          <w:divId w:val="610626430"/>
          <w:jc w:val="center"/>
        </w:trPr>
        <w:tc>
          <w:tcPr>
            <w:tcW w:w="0" w:type="auto"/>
            <w:gridSpan w:val="3"/>
            <w:shd w:val="clear" w:color="auto" w:fill="FFFFFF"/>
            <w:tcMar>
              <w:top w:w="30" w:type="dxa"/>
              <w:left w:w="290" w:type="dxa"/>
              <w:bottom w:w="30" w:type="dxa"/>
              <w:right w:w="20" w:type="dxa"/>
            </w:tcMar>
            <w:vAlign w:val="bottom"/>
            <w:hideMark/>
          </w:tcPr>
          <w:p w14:paraId="23A2DA79" w14:textId="77777777" w:rsidR="00000000" w:rsidRDefault="001A570A">
            <w:pPr>
              <w:ind w:hanging="270"/>
              <w:rPr>
                <w:rFonts w:eastAsia="Times New Roman"/>
              </w:rPr>
            </w:pPr>
            <w:r>
              <w:rPr>
                <w:rFonts w:eastAsia="Times New Roman"/>
                <w:color w:val="000000"/>
                <w:sz w:val="20"/>
                <w:szCs w:val="20"/>
              </w:rPr>
              <w:t>Reclassifications due to adoption of accounting standards update</w:t>
            </w:r>
          </w:p>
        </w:tc>
        <w:tc>
          <w:tcPr>
            <w:tcW w:w="0" w:type="auto"/>
            <w:gridSpan w:val="2"/>
            <w:shd w:val="clear" w:color="auto" w:fill="FFFFFF"/>
            <w:tcMar>
              <w:top w:w="30" w:type="dxa"/>
              <w:left w:w="20" w:type="dxa"/>
              <w:bottom w:w="30" w:type="dxa"/>
              <w:right w:w="0" w:type="dxa"/>
            </w:tcMar>
            <w:vAlign w:val="bottom"/>
            <w:hideMark/>
          </w:tcPr>
          <w:p w14:paraId="39A4269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69C9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8688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F6D1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FA02D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B13D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53257" w14:textId="77777777" w:rsidR="00000000" w:rsidRDefault="001A570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2AA9160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EC1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0831EE" w14:textId="77777777" w:rsidR="00000000" w:rsidRDefault="001A570A">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2D7039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B526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A5A0A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10C89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CED7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E3A7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F560A4" w14:textId="77777777" w:rsidR="00000000" w:rsidRDefault="001A570A">
            <w:pPr>
              <w:jc w:val="right"/>
              <w:rPr>
                <w:rFonts w:eastAsia="Times New Roman"/>
              </w:rPr>
            </w:pPr>
          </w:p>
        </w:tc>
      </w:tr>
      <w:tr w:rsidR="00000000" w14:paraId="640088DF"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29C314BA" w14:textId="77777777" w:rsidR="00000000" w:rsidRDefault="001A570A">
            <w:pPr>
              <w:rPr>
                <w:rFonts w:eastAsia="Times New Roman"/>
              </w:rPr>
            </w:pPr>
            <w:r>
              <w:rPr>
                <w:rFonts w:eastAsia="Times New Roman"/>
                <w:color w:val="000000"/>
                <w:sz w:val="20"/>
                <w:szCs w:val="20"/>
              </w:rPr>
              <w:t xml:space="preserve">Net income </w:t>
            </w:r>
          </w:p>
        </w:tc>
        <w:tc>
          <w:tcPr>
            <w:tcW w:w="0" w:type="auto"/>
            <w:gridSpan w:val="2"/>
            <w:shd w:val="clear" w:color="auto" w:fill="CCEEFF"/>
            <w:tcMar>
              <w:top w:w="30" w:type="dxa"/>
              <w:left w:w="20" w:type="dxa"/>
              <w:bottom w:w="30" w:type="dxa"/>
              <w:right w:w="0" w:type="dxa"/>
            </w:tcMar>
            <w:vAlign w:val="bottom"/>
            <w:hideMark/>
          </w:tcPr>
          <w:p w14:paraId="3BFEDC2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50303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761D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21C9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20E8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7A0C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2ED313" w14:textId="77777777" w:rsidR="00000000" w:rsidRDefault="001A570A">
            <w:pPr>
              <w:jc w:val="right"/>
              <w:rPr>
                <w:rFonts w:eastAsia="Times New Roman"/>
              </w:rPr>
            </w:pPr>
            <w:r>
              <w:rPr>
                <w:rFonts w:eastAsia="Times New Roman"/>
                <w:color w:val="000000"/>
                <w:sz w:val="20"/>
                <w:szCs w:val="20"/>
              </w:rPr>
              <w:t>699 </w:t>
            </w:r>
          </w:p>
        </w:tc>
        <w:tc>
          <w:tcPr>
            <w:tcW w:w="0" w:type="auto"/>
            <w:shd w:val="clear" w:color="auto" w:fill="CCEEFF"/>
            <w:tcMar>
              <w:top w:w="30" w:type="dxa"/>
              <w:left w:w="0" w:type="dxa"/>
              <w:bottom w:w="30" w:type="dxa"/>
              <w:right w:w="20" w:type="dxa"/>
            </w:tcMar>
            <w:vAlign w:val="bottom"/>
            <w:hideMark/>
          </w:tcPr>
          <w:p w14:paraId="4C6433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AE0E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1D02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9B861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502D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AD90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65DD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0BA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BFAAE" w14:textId="77777777" w:rsidR="00000000" w:rsidRDefault="001A570A">
            <w:pPr>
              <w:jc w:val="right"/>
              <w:rPr>
                <w:rFonts w:eastAsia="Times New Roman"/>
              </w:rPr>
            </w:pPr>
            <w:r>
              <w:rPr>
                <w:rFonts w:eastAsia="Times New Roman"/>
                <w:color w:val="000000"/>
                <w:sz w:val="20"/>
                <w:szCs w:val="20"/>
              </w:rPr>
              <w:t>699 </w:t>
            </w:r>
          </w:p>
        </w:tc>
        <w:tc>
          <w:tcPr>
            <w:tcW w:w="0" w:type="auto"/>
            <w:shd w:val="clear" w:color="auto" w:fill="CCEEFF"/>
            <w:tcMar>
              <w:top w:w="30" w:type="dxa"/>
              <w:left w:w="0" w:type="dxa"/>
              <w:bottom w:w="30" w:type="dxa"/>
              <w:right w:w="20" w:type="dxa"/>
            </w:tcMar>
            <w:vAlign w:val="bottom"/>
            <w:hideMark/>
          </w:tcPr>
          <w:p w14:paraId="5D9CD0BB" w14:textId="77777777" w:rsidR="00000000" w:rsidRDefault="001A570A">
            <w:pPr>
              <w:jc w:val="right"/>
              <w:rPr>
                <w:rFonts w:eastAsia="Times New Roman"/>
              </w:rPr>
            </w:pPr>
          </w:p>
        </w:tc>
      </w:tr>
      <w:tr w:rsidR="00000000" w14:paraId="32CE8641"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038FC548" w14:textId="77777777" w:rsidR="00000000" w:rsidRDefault="001A570A">
            <w:pPr>
              <w:rPr>
                <w:rFonts w:eastAsia="Times New Roman"/>
              </w:rPr>
            </w:pPr>
            <w:r>
              <w:rPr>
                <w:rFonts w:eastAsia="Times New Roman"/>
                <w:color w:val="000000"/>
                <w:sz w:val="20"/>
                <w:szCs w:val="20"/>
              </w:rPr>
              <w:t>Other comprehensive income</w:t>
            </w:r>
          </w:p>
        </w:tc>
        <w:tc>
          <w:tcPr>
            <w:tcW w:w="0" w:type="auto"/>
            <w:gridSpan w:val="2"/>
            <w:shd w:val="clear" w:color="auto" w:fill="FFFFFF"/>
            <w:tcMar>
              <w:top w:w="30" w:type="dxa"/>
              <w:left w:w="20" w:type="dxa"/>
              <w:bottom w:w="30" w:type="dxa"/>
              <w:right w:w="0" w:type="dxa"/>
            </w:tcMar>
            <w:vAlign w:val="bottom"/>
            <w:hideMark/>
          </w:tcPr>
          <w:p w14:paraId="3D900EB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910E6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20DF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E64F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B446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ABBE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6D63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550B9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BA51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E9EE8D"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14:paraId="3E7166D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4561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6E14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5E55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FCA29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5D58A"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14:paraId="0B0DFDCE" w14:textId="77777777" w:rsidR="00000000" w:rsidRDefault="001A570A">
            <w:pPr>
              <w:jc w:val="right"/>
              <w:rPr>
                <w:rFonts w:eastAsia="Times New Roman"/>
              </w:rPr>
            </w:pPr>
          </w:p>
        </w:tc>
      </w:tr>
      <w:tr w:rsidR="00000000" w14:paraId="63018CBF"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38012ADB" w14:textId="77777777" w:rsidR="00000000" w:rsidRDefault="001A570A">
            <w:pPr>
              <w:rPr>
                <w:rFonts w:eastAsia="Times New Roman"/>
              </w:rPr>
            </w:pPr>
            <w:r>
              <w:rPr>
                <w:rFonts w:eastAsia="Times New Roman"/>
                <w:color w:val="000000"/>
                <w:sz w:val="20"/>
                <w:szCs w:val="20"/>
              </w:rPr>
              <w:t>Shares issued under stock incentive plans</w:t>
            </w:r>
          </w:p>
        </w:tc>
        <w:tc>
          <w:tcPr>
            <w:tcW w:w="0" w:type="auto"/>
            <w:gridSpan w:val="2"/>
            <w:shd w:val="clear" w:color="auto" w:fill="CCEEFF"/>
            <w:tcMar>
              <w:top w:w="30" w:type="dxa"/>
              <w:left w:w="20" w:type="dxa"/>
              <w:bottom w:w="30" w:type="dxa"/>
              <w:right w:w="0" w:type="dxa"/>
            </w:tcMar>
            <w:vAlign w:val="bottom"/>
            <w:hideMark/>
          </w:tcPr>
          <w:p w14:paraId="1FD5D2B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01E1C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EFEE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50668"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6893A99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E99D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BFC01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39120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5E1B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624D9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47F87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3E02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BC3E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E6B56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C922E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4BE702"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2EEA0654" w14:textId="77777777" w:rsidR="00000000" w:rsidRDefault="001A570A">
            <w:pPr>
              <w:jc w:val="right"/>
              <w:rPr>
                <w:rFonts w:eastAsia="Times New Roman"/>
              </w:rPr>
            </w:pPr>
          </w:p>
        </w:tc>
      </w:tr>
      <w:tr w:rsidR="00000000" w14:paraId="243438FE"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4D81591F" w14:textId="77777777" w:rsidR="00000000" w:rsidRDefault="001A570A">
            <w:pPr>
              <w:rPr>
                <w:rFonts w:eastAsia="Times New Roman"/>
              </w:rPr>
            </w:pPr>
            <w:r>
              <w:rPr>
                <w:rFonts w:eastAsia="Times New Roman"/>
                <w:color w:val="00000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14:paraId="7644DD0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DFCBB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7805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3D81B"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632674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8D3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BE86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FFA83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3FB1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23E63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447F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CE27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B9E07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E586F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7285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45CF0"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417E4545" w14:textId="77777777" w:rsidR="00000000" w:rsidRDefault="001A570A">
            <w:pPr>
              <w:jc w:val="right"/>
              <w:rPr>
                <w:rFonts w:eastAsia="Times New Roman"/>
              </w:rPr>
            </w:pPr>
          </w:p>
        </w:tc>
      </w:tr>
      <w:tr w:rsidR="00000000" w14:paraId="40D589E6"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027B2259" w14:textId="77777777" w:rsidR="00000000" w:rsidRDefault="001A570A">
            <w:pPr>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48E15B0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6E7D0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E6F3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BCB737"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4FCDA1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AF9D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F6BA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3272A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59AD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F1A45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3A519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9838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185C5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9B3E3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E77D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7F488"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35ACCA31" w14:textId="77777777" w:rsidR="00000000" w:rsidRDefault="001A570A">
            <w:pPr>
              <w:jc w:val="right"/>
              <w:rPr>
                <w:rFonts w:eastAsia="Times New Roman"/>
              </w:rPr>
            </w:pPr>
          </w:p>
        </w:tc>
      </w:tr>
      <w:tr w:rsidR="00000000" w14:paraId="3170C801"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5B181D10" w14:textId="77777777" w:rsidR="00000000" w:rsidRDefault="001A570A">
            <w:pPr>
              <w:rPr>
                <w:rFonts w:eastAsia="Times New Roman"/>
              </w:rPr>
            </w:pPr>
            <w:r>
              <w:rPr>
                <w:rFonts w:eastAsia="Times New Roman"/>
                <w:color w:val="00000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14:paraId="471FC6D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1C837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B759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C19FE" w14:textId="77777777" w:rsidR="00000000" w:rsidRDefault="001A570A">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6C4E1F2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F15E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C92CC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C83F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10C6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5727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84BE5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695D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E9C6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3363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9388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AE2F9" w14:textId="77777777" w:rsidR="00000000" w:rsidRDefault="001A570A">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4A621FF5" w14:textId="77777777" w:rsidR="00000000" w:rsidRDefault="001A570A">
            <w:pPr>
              <w:jc w:val="right"/>
              <w:rPr>
                <w:rFonts w:eastAsia="Times New Roman"/>
              </w:rPr>
            </w:pPr>
          </w:p>
        </w:tc>
      </w:tr>
      <w:tr w:rsidR="00000000" w14:paraId="36F3A623"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4EB5AB93" w14:textId="77777777" w:rsidR="00000000" w:rsidRDefault="001A570A">
            <w:pPr>
              <w:rPr>
                <w:rFonts w:eastAsia="Times New Roman"/>
              </w:rPr>
            </w:pPr>
            <w:r>
              <w:rPr>
                <w:rFonts w:eastAsia="Times New Roman"/>
                <w:color w:val="000000"/>
                <w:sz w:val="20"/>
                <w:szCs w:val="20"/>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2A83FEBF"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24D09EC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83DB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1568C2" w14:textId="77777777" w:rsidR="00000000" w:rsidRDefault="001A570A">
            <w:pPr>
              <w:jc w:val="right"/>
              <w:rPr>
                <w:rFonts w:eastAsia="Times New Roman"/>
              </w:rPr>
            </w:pPr>
            <w:r>
              <w:rPr>
                <w:rFonts w:eastAsia="Times New Roman"/>
                <w:color w:val="000000"/>
                <w:sz w:val="20"/>
                <w:szCs w:val="20"/>
              </w:rPr>
              <w:t>(161)</w:t>
            </w:r>
          </w:p>
        </w:tc>
        <w:tc>
          <w:tcPr>
            <w:tcW w:w="0" w:type="auto"/>
            <w:shd w:val="clear" w:color="auto" w:fill="CCEEFF"/>
            <w:tcMar>
              <w:top w:w="30" w:type="dxa"/>
              <w:left w:w="0" w:type="dxa"/>
              <w:bottom w:w="30" w:type="dxa"/>
              <w:right w:w="20" w:type="dxa"/>
            </w:tcMar>
            <w:vAlign w:val="bottom"/>
            <w:hideMark/>
          </w:tcPr>
          <w:p w14:paraId="64609FE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47C4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806B35" w14:textId="77777777" w:rsidR="00000000" w:rsidRDefault="001A570A">
            <w:pPr>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14:paraId="429DD2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F477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B5497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CF4A2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C3BF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75716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8D8F1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6F7B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9EE37" w14:textId="77777777" w:rsidR="00000000" w:rsidRDefault="001A570A">
            <w:pPr>
              <w:jc w:val="right"/>
              <w:rPr>
                <w:rFonts w:eastAsia="Times New Roman"/>
              </w:rPr>
            </w:pPr>
            <w:r>
              <w:rPr>
                <w:rFonts w:eastAsia="Times New Roman"/>
                <w:color w:val="000000"/>
                <w:sz w:val="20"/>
                <w:szCs w:val="20"/>
              </w:rPr>
              <w:t>(295)</w:t>
            </w:r>
          </w:p>
        </w:tc>
        <w:tc>
          <w:tcPr>
            <w:tcW w:w="0" w:type="auto"/>
            <w:shd w:val="clear" w:color="auto" w:fill="CCEEFF"/>
            <w:tcMar>
              <w:top w:w="30" w:type="dxa"/>
              <w:left w:w="0" w:type="dxa"/>
              <w:bottom w:w="30" w:type="dxa"/>
              <w:right w:w="20" w:type="dxa"/>
            </w:tcMar>
            <w:vAlign w:val="bottom"/>
            <w:hideMark/>
          </w:tcPr>
          <w:p w14:paraId="2D447971" w14:textId="77777777" w:rsidR="00000000" w:rsidRDefault="001A570A">
            <w:pPr>
              <w:jc w:val="right"/>
              <w:rPr>
                <w:rFonts w:eastAsia="Times New Roman"/>
              </w:rPr>
            </w:pPr>
          </w:p>
        </w:tc>
      </w:tr>
      <w:tr w:rsidR="00000000" w14:paraId="651D51E2" w14:textId="77777777">
        <w:trPr>
          <w:divId w:val="610626430"/>
          <w:jc w:val="center"/>
        </w:trPr>
        <w:tc>
          <w:tcPr>
            <w:tcW w:w="0" w:type="auto"/>
            <w:gridSpan w:val="3"/>
            <w:shd w:val="clear" w:color="auto" w:fill="FFFFFF"/>
            <w:tcMar>
              <w:top w:w="30" w:type="dxa"/>
              <w:left w:w="290" w:type="dxa"/>
              <w:bottom w:w="30" w:type="dxa"/>
              <w:right w:w="20" w:type="dxa"/>
            </w:tcMar>
            <w:vAlign w:val="bottom"/>
            <w:hideMark/>
          </w:tcPr>
          <w:p w14:paraId="3C396E7F" w14:textId="77777777" w:rsidR="00000000" w:rsidRDefault="001A570A">
            <w:pPr>
              <w:ind w:hanging="270"/>
              <w:rPr>
                <w:rFonts w:eastAsia="Times New Roman"/>
              </w:rPr>
            </w:pPr>
            <w:r>
              <w:rPr>
                <w:rFonts w:eastAsia="Times New Roman"/>
                <w:color w:val="000000"/>
                <w:sz w:val="20"/>
                <w:szCs w:val="20"/>
              </w:rPr>
              <w:t>Forward contract component of accelerated share repurchase</w:t>
            </w:r>
          </w:p>
        </w:tc>
        <w:tc>
          <w:tcPr>
            <w:tcW w:w="0" w:type="auto"/>
            <w:gridSpan w:val="2"/>
            <w:shd w:val="clear" w:color="auto" w:fill="FFFFFF"/>
            <w:tcMar>
              <w:top w:w="30" w:type="dxa"/>
              <w:left w:w="20" w:type="dxa"/>
              <w:bottom w:w="30" w:type="dxa"/>
              <w:right w:w="0" w:type="dxa"/>
            </w:tcMar>
            <w:vAlign w:val="bottom"/>
            <w:hideMark/>
          </w:tcPr>
          <w:p w14:paraId="0250D98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B6C0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E61D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D6ED3" w14:textId="77777777" w:rsidR="00000000" w:rsidRDefault="001A570A">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06213AB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662C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99815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0457F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EE19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12F4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5087D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75DE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94B5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AD2BB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1F74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80755" w14:textId="77777777" w:rsidR="00000000" w:rsidRDefault="001A570A">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2EAE05B2" w14:textId="77777777" w:rsidR="00000000" w:rsidRDefault="001A570A">
            <w:pPr>
              <w:jc w:val="right"/>
              <w:rPr>
                <w:rFonts w:eastAsia="Times New Roman"/>
              </w:rPr>
            </w:pPr>
          </w:p>
        </w:tc>
      </w:tr>
      <w:tr w:rsidR="00000000" w14:paraId="7849EA6D"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30DB2B3C" w14:textId="77777777" w:rsidR="00000000" w:rsidRDefault="001A570A">
            <w:pPr>
              <w:divId w:val="681206623"/>
              <w:rPr>
                <w:rFonts w:eastAsia="Times New Roman"/>
              </w:rPr>
            </w:pPr>
            <w:r>
              <w:rPr>
                <w:rFonts w:eastAsia="Times New Roman"/>
                <w:color w:val="000000"/>
                <w:sz w:val="20"/>
                <w:szCs w:val="20"/>
              </w:rPr>
              <w:t>Cash dividends ($2.28 per share)</w:t>
            </w:r>
          </w:p>
        </w:tc>
        <w:tc>
          <w:tcPr>
            <w:tcW w:w="0" w:type="auto"/>
            <w:gridSpan w:val="2"/>
            <w:shd w:val="clear" w:color="auto" w:fill="CCEEFF"/>
            <w:tcMar>
              <w:top w:w="30" w:type="dxa"/>
              <w:left w:w="20" w:type="dxa"/>
              <w:bottom w:w="30" w:type="dxa"/>
              <w:right w:w="0" w:type="dxa"/>
            </w:tcMar>
            <w:vAlign w:val="bottom"/>
            <w:hideMark/>
          </w:tcPr>
          <w:p w14:paraId="6316785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1439E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E8D5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81197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BA184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180C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551B8" w14:textId="77777777" w:rsidR="00000000" w:rsidRDefault="001A570A">
            <w:pPr>
              <w:jc w:val="right"/>
              <w:rPr>
                <w:rFonts w:eastAsia="Times New Roman"/>
              </w:rPr>
            </w:pPr>
            <w:r>
              <w:rPr>
                <w:rFonts w:eastAsia="Times New Roman"/>
                <w:color w:val="000000"/>
                <w:sz w:val="20"/>
                <w:szCs w:val="20"/>
              </w:rPr>
              <w:t>(272)</w:t>
            </w:r>
          </w:p>
        </w:tc>
        <w:tc>
          <w:tcPr>
            <w:tcW w:w="0" w:type="auto"/>
            <w:shd w:val="clear" w:color="auto" w:fill="CCEEFF"/>
            <w:tcMar>
              <w:top w:w="30" w:type="dxa"/>
              <w:left w:w="0" w:type="dxa"/>
              <w:bottom w:w="30" w:type="dxa"/>
              <w:right w:w="20" w:type="dxa"/>
            </w:tcMar>
            <w:vAlign w:val="bottom"/>
            <w:hideMark/>
          </w:tcPr>
          <w:p w14:paraId="144CBF0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88E4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87693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DBABD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BF03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AF55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42435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E912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2C376" w14:textId="77777777" w:rsidR="00000000" w:rsidRDefault="001A570A">
            <w:pPr>
              <w:jc w:val="right"/>
              <w:rPr>
                <w:rFonts w:eastAsia="Times New Roman"/>
              </w:rPr>
            </w:pPr>
            <w:r>
              <w:rPr>
                <w:rFonts w:eastAsia="Times New Roman"/>
                <w:color w:val="000000"/>
                <w:sz w:val="20"/>
                <w:szCs w:val="20"/>
              </w:rPr>
              <w:t>(272)</w:t>
            </w:r>
          </w:p>
        </w:tc>
        <w:tc>
          <w:tcPr>
            <w:tcW w:w="0" w:type="auto"/>
            <w:shd w:val="clear" w:color="auto" w:fill="CCEEFF"/>
            <w:tcMar>
              <w:top w:w="30" w:type="dxa"/>
              <w:left w:w="0" w:type="dxa"/>
              <w:bottom w:w="30" w:type="dxa"/>
              <w:right w:w="20" w:type="dxa"/>
            </w:tcMar>
            <w:vAlign w:val="bottom"/>
            <w:hideMark/>
          </w:tcPr>
          <w:p w14:paraId="70012DE0" w14:textId="77777777" w:rsidR="00000000" w:rsidRDefault="001A570A">
            <w:pPr>
              <w:jc w:val="right"/>
              <w:rPr>
                <w:rFonts w:eastAsia="Times New Roman"/>
              </w:rPr>
            </w:pPr>
          </w:p>
        </w:tc>
      </w:tr>
      <w:tr w:rsidR="00000000" w14:paraId="4E3BE053"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46B341C5" w14:textId="77777777" w:rsidR="00000000" w:rsidRDefault="001A570A">
            <w:pPr>
              <w:rPr>
                <w:rFonts w:eastAsia="Times New Roman"/>
              </w:rPr>
            </w:pPr>
            <w:r>
              <w:rPr>
                <w:rFonts w:eastAsia="Times New Roman"/>
                <w:b/>
                <w:bCs/>
                <w:color w:val="000000"/>
                <w:sz w:val="20"/>
                <w:szCs w:val="20"/>
              </w:rPr>
              <w:t>Balance at June 29, 2018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EF0B3D" w14:textId="77777777" w:rsidR="00000000" w:rsidRDefault="001A570A">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8F19D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F68E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C771C7" w14:textId="77777777" w:rsidR="00000000" w:rsidRDefault="001A570A">
            <w:pPr>
              <w:jc w:val="right"/>
              <w:rPr>
                <w:rFonts w:eastAsia="Times New Roman"/>
              </w:rPr>
            </w:pPr>
            <w:r>
              <w:rPr>
                <w:rFonts w:eastAsia="Times New Roman"/>
                <w:b/>
                <w:bCs/>
                <w:color w:val="000000"/>
                <w:sz w:val="20"/>
                <w:szCs w:val="20"/>
              </w:rPr>
              <w:t>1,714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4CAD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5809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E280A3" w14:textId="77777777" w:rsidR="00000000" w:rsidRDefault="001A570A">
            <w:pPr>
              <w:jc w:val="right"/>
              <w:rPr>
                <w:rFonts w:eastAsia="Times New Roman"/>
              </w:rPr>
            </w:pPr>
            <w:r>
              <w:rPr>
                <w:rFonts w:eastAsia="Times New Roman"/>
                <w:b/>
                <w:bCs/>
                <w:color w:val="000000"/>
                <w:sz w:val="20"/>
                <w:szCs w:val="20"/>
              </w:rPr>
              <w:t>1,648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6DC30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EFCB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92D6C4" w14:textId="77777777" w:rsidR="00000000" w:rsidRDefault="001A570A">
            <w:pPr>
              <w:jc w:val="right"/>
              <w:rPr>
                <w:rFonts w:eastAsia="Times New Roman"/>
              </w:rPr>
            </w:pPr>
            <w:r>
              <w:rPr>
                <w:rFonts w:eastAsia="Times New Roman"/>
                <w:b/>
                <w:bCs/>
                <w:color w:val="000000"/>
                <w:sz w:val="20"/>
                <w:szCs w:val="20"/>
              </w:rPr>
              <w:t>(202)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46240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FE52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66B1C8" w14:textId="77777777" w:rsidR="00000000" w:rsidRDefault="001A570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BF0A5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D814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55656C" w14:textId="77777777" w:rsidR="00000000" w:rsidRDefault="001A570A">
            <w:pPr>
              <w:jc w:val="right"/>
              <w:rPr>
                <w:rFonts w:eastAsia="Times New Roman"/>
              </w:rPr>
            </w:pPr>
            <w:r>
              <w:rPr>
                <w:rFonts w:eastAsia="Times New Roman"/>
                <w:b/>
                <w:bCs/>
                <w:color w:val="000000"/>
                <w:sz w:val="20"/>
                <w:szCs w:val="20"/>
              </w:rPr>
              <w:t>3,278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20B7E7" w14:textId="77777777" w:rsidR="00000000" w:rsidRDefault="001A570A">
            <w:pPr>
              <w:jc w:val="right"/>
              <w:rPr>
                <w:rFonts w:eastAsia="Times New Roman"/>
              </w:rPr>
            </w:pPr>
          </w:p>
        </w:tc>
      </w:tr>
      <w:tr w:rsidR="00000000" w14:paraId="5F07B577"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6A19ADF6" w14:textId="77777777" w:rsidR="00000000" w:rsidRDefault="001A570A">
            <w:pPr>
              <w:rPr>
                <w:rFonts w:eastAsia="Times New Roman"/>
              </w:rPr>
            </w:pPr>
            <w:r>
              <w:rPr>
                <w:rFonts w:eastAsia="Times New Roman"/>
                <w:color w:val="000000"/>
                <w:sz w:val="20"/>
                <w:szCs w:val="20"/>
              </w:rPr>
              <w:t xml:space="preserve">Net income </w:t>
            </w:r>
          </w:p>
        </w:tc>
        <w:tc>
          <w:tcPr>
            <w:tcW w:w="0" w:type="auto"/>
            <w:gridSpan w:val="2"/>
            <w:shd w:val="clear" w:color="auto" w:fill="CCEEFF"/>
            <w:tcMar>
              <w:top w:w="30" w:type="dxa"/>
              <w:left w:w="20" w:type="dxa"/>
              <w:bottom w:w="30" w:type="dxa"/>
              <w:right w:w="0" w:type="dxa"/>
            </w:tcMar>
            <w:vAlign w:val="bottom"/>
            <w:hideMark/>
          </w:tcPr>
          <w:p w14:paraId="7633A01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91778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2987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BF9F5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518A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D6AA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01085E" w14:textId="77777777" w:rsidR="00000000" w:rsidRDefault="001A570A">
            <w:pPr>
              <w:jc w:val="right"/>
              <w:rPr>
                <w:rFonts w:eastAsia="Times New Roman"/>
              </w:rPr>
            </w:pPr>
            <w:r>
              <w:rPr>
                <w:rFonts w:eastAsia="Times New Roman"/>
                <w:color w:val="000000"/>
                <w:sz w:val="20"/>
                <w:szCs w:val="20"/>
              </w:rPr>
              <w:t>949 </w:t>
            </w:r>
          </w:p>
        </w:tc>
        <w:tc>
          <w:tcPr>
            <w:tcW w:w="0" w:type="auto"/>
            <w:shd w:val="clear" w:color="auto" w:fill="CCEEFF"/>
            <w:tcMar>
              <w:top w:w="30" w:type="dxa"/>
              <w:left w:w="0" w:type="dxa"/>
              <w:bottom w:w="30" w:type="dxa"/>
              <w:right w:w="20" w:type="dxa"/>
            </w:tcMar>
            <w:vAlign w:val="bottom"/>
            <w:hideMark/>
          </w:tcPr>
          <w:p w14:paraId="48AAE27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F447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B2D43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83F7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B36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064D2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C9C59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D896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CBE3C" w14:textId="77777777" w:rsidR="00000000" w:rsidRDefault="001A570A">
            <w:pPr>
              <w:jc w:val="right"/>
              <w:rPr>
                <w:rFonts w:eastAsia="Times New Roman"/>
              </w:rPr>
            </w:pPr>
            <w:r>
              <w:rPr>
                <w:rFonts w:eastAsia="Times New Roman"/>
                <w:color w:val="000000"/>
                <w:sz w:val="20"/>
                <w:szCs w:val="20"/>
              </w:rPr>
              <w:t>949 </w:t>
            </w:r>
          </w:p>
        </w:tc>
        <w:tc>
          <w:tcPr>
            <w:tcW w:w="0" w:type="auto"/>
            <w:shd w:val="clear" w:color="auto" w:fill="CCEEFF"/>
            <w:tcMar>
              <w:top w:w="30" w:type="dxa"/>
              <w:left w:w="0" w:type="dxa"/>
              <w:bottom w:w="30" w:type="dxa"/>
              <w:right w:w="20" w:type="dxa"/>
            </w:tcMar>
            <w:vAlign w:val="bottom"/>
            <w:hideMark/>
          </w:tcPr>
          <w:p w14:paraId="509AD5C5" w14:textId="77777777" w:rsidR="00000000" w:rsidRDefault="001A570A">
            <w:pPr>
              <w:jc w:val="right"/>
              <w:rPr>
                <w:rFonts w:eastAsia="Times New Roman"/>
              </w:rPr>
            </w:pPr>
          </w:p>
        </w:tc>
      </w:tr>
      <w:tr w:rsidR="00000000" w14:paraId="1EDF126D"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45C97A56" w14:textId="77777777" w:rsidR="00000000" w:rsidRDefault="001A570A">
            <w:pPr>
              <w:rPr>
                <w:rFonts w:eastAsia="Times New Roman"/>
              </w:rPr>
            </w:pPr>
            <w:r>
              <w:rPr>
                <w:rFonts w:eastAsia="Times New Roman"/>
                <w:color w:val="000000"/>
                <w:sz w:val="20"/>
                <w:szCs w:val="20"/>
              </w:rPr>
              <w:t>Other comprehensive income</w:t>
            </w:r>
          </w:p>
        </w:tc>
        <w:tc>
          <w:tcPr>
            <w:tcW w:w="0" w:type="auto"/>
            <w:gridSpan w:val="2"/>
            <w:shd w:val="clear" w:color="auto" w:fill="FFFFFF"/>
            <w:tcMar>
              <w:top w:w="30" w:type="dxa"/>
              <w:left w:w="20" w:type="dxa"/>
              <w:bottom w:w="30" w:type="dxa"/>
              <w:right w:w="0" w:type="dxa"/>
            </w:tcMar>
            <w:vAlign w:val="bottom"/>
            <w:hideMark/>
          </w:tcPr>
          <w:p w14:paraId="5D67027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D7800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767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334CF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1BBBD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26F3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2573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88D3F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77AC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ED16F" w14:textId="77777777" w:rsidR="00000000" w:rsidRDefault="001A570A">
            <w:pPr>
              <w:jc w:val="right"/>
              <w:rPr>
                <w:rFonts w:eastAsia="Times New Roman"/>
              </w:rPr>
            </w:pPr>
            <w:r>
              <w:rPr>
                <w:rFonts w:eastAsia="Times New Roman"/>
                <w:color w:val="000000"/>
                <w:sz w:val="20"/>
                <w:szCs w:val="20"/>
              </w:rPr>
              <w:t>(505)</w:t>
            </w:r>
          </w:p>
        </w:tc>
        <w:tc>
          <w:tcPr>
            <w:tcW w:w="0" w:type="auto"/>
            <w:shd w:val="clear" w:color="auto" w:fill="FFFFFF"/>
            <w:tcMar>
              <w:top w:w="30" w:type="dxa"/>
              <w:left w:w="0" w:type="dxa"/>
              <w:bottom w:w="30" w:type="dxa"/>
              <w:right w:w="20" w:type="dxa"/>
            </w:tcMar>
            <w:vAlign w:val="bottom"/>
            <w:hideMark/>
          </w:tcPr>
          <w:p w14:paraId="0565436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7831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CDA7F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B1333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70E0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B1700A" w14:textId="77777777" w:rsidR="00000000" w:rsidRDefault="001A570A">
            <w:pPr>
              <w:jc w:val="right"/>
              <w:rPr>
                <w:rFonts w:eastAsia="Times New Roman"/>
              </w:rPr>
            </w:pPr>
            <w:r>
              <w:rPr>
                <w:rFonts w:eastAsia="Times New Roman"/>
                <w:color w:val="000000"/>
                <w:sz w:val="20"/>
                <w:szCs w:val="20"/>
              </w:rPr>
              <w:t>(505)</w:t>
            </w:r>
          </w:p>
        </w:tc>
        <w:tc>
          <w:tcPr>
            <w:tcW w:w="0" w:type="auto"/>
            <w:shd w:val="clear" w:color="auto" w:fill="FFFFFF"/>
            <w:tcMar>
              <w:top w:w="30" w:type="dxa"/>
              <w:left w:w="0" w:type="dxa"/>
              <w:bottom w:w="30" w:type="dxa"/>
              <w:right w:w="20" w:type="dxa"/>
            </w:tcMar>
            <w:vAlign w:val="bottom"/>
            <w:hideMark/>
          </w:tcPr>
          <w:p w14:paraId="62241FA6" w14:textId="77777777" w:rsidR="00000000" w:rsidRDefault="001A570A">
            <w:pPr>
              <w:jc w:val="right"/>
              <w:rPr>
                <w:rFonts w:eastAsia="Times New Roman"/>
              </w:rPr>
            </w:pPr>
          </w:p>
        </w:tc>
      </w:tr>
      <w:tr w:rsidR="00000000" w14:paraId="5CF014C9"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6ED2A162" w14:textId="77777777" w:rsidR="00000000" w:rsidRDefault="001A570A">
            <w:pPr>
              <w:rPr>
                <w:rFonts w:eastAsia="Times New Roman"/>
              </w:rPr>
            </w:pPr>
            <w:r>
              <w:rPr>
                <w:rFonts w:eastAsia="Times New Roman"/>
                <w:color w:val="000000"/>
                <w:sz w:val="20"/>
                <w:szCs w:val="20"/>
              </w:rPr>
              <w:t>Shares issued under stock incentive plans</w:t>
            </w:r>
          </w:p>
        </w:tc>
        <w:tc>
          <w:tcPr>
            <w:tcW w:w="0" w:type="auto"/>
            <w:gridSpan w:val="2"/>
            <w:shd w:val="clear" w:color="auto" w:fill="CCEEFF"/>
            <w:tcMar>
              <w:top w:w="30" w:type="dxa"/>
              <w:left w:w="20" w:type="dxa"/>
              <w:bottom w:w="30" w:type="dxa"/>
              <w:right w:w="0" w:type="dxa"/>
            </w:tcMar>
            <w:vAlign w:val="bottom"/>
            <w:hideMark/>
          </w:tcPr>
          <w:p w14:paraId="218618E0"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0750EF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CA99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921F94"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6BD24C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E09F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1624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935E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AF27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23AEB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F1ADB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32C0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DC4EB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C3FA2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15F5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92B803" w14:textId="77777777" w:rsidR="00000000" w:rsidRDefault="001A570A">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1FAA223C" w14:textId="77777777" w:rsidR="00000000" w:rsidRDefault="001A570A">
            <w:pPr>
              <w:jc w:val="right"/>
              <w:rPr>
                <w:rFonts w:eastAsia="Times New Roman"/>
              </w:rPr>
            </w:pPr>
          </w:p>
        </w:tc>
      </w:tr>
      <w:tr w:rsidR="00000000" w14:paraId="6A931BF8"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015A5DAE" w14:textId="77777777" w:rsidR="00000000" w:rsidRDefault="001A570A">
            <w:pPr>
              <w:rPr>
                <w:rFonts w:eastAsia="Times New Roman"/>
              </w:rPr>
            </w:pPr>
            <w:r>
              <w:rPr>
                <w:rFonts w:eastAsia="Times New Roman"/>
                <w:color w:val="00000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14:paraId="02C89CF4"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539EDB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1903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E6231D" w14:textId="77777777" w:rsidR="00000000" w:rsidRDefault="001A570A">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14:paraId="16DDCB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C8CC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10DC8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E9BA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84FF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003E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E3957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974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01D5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E338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8F30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EFBB5"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2B5B59DC" w14:textId="77777777" w:rsidR="00000000" w:rsidRDefault="001A570A">
            <w:pPr>
              <w:jc w:val="right"/>
              <w:rPr>
                <w:rFonts w:eastAsia="Times New Roman"/>
              </w:rPr>
            </w:pPr>
          </w:p>
        </w:tc>
      </w:tr>
      <w:tr w:rsidR="00000000" w14:paraId="28E98E13"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28A4EB23" w14:textId="77777777" w:rsidR="00000000" w:rsidRDefault="001A570A">
            <w:pPr>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59DD62B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21383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643C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126901" w14:textId="77777777" w:rsidR="00000000" w:rsidRDefault="001A570A">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6F532B0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7437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46A2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FA056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F391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2DB89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0F4A2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C971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5CBD1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CF32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F67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EDA7F" w14:textId="77777777" w:rsidR="00000000" w:rsidRDefault="001A570A">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4D1139F7" w14:textId="77777777" w:rsidR="00000000" w:rsidRDefault="001A570A">
            <w:pPr>
              <w:jc w:val="right"/>
              <w:rPr>
                <w:rFonts w:eastAsia="Times New Roman"/>
              </w:rPr>
            </w:pPr>
          </w:p>
        </w:tc>
      </w:tr>
      <w:tr w:rsidR="00000000" w14:paraId="29A07751"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22FC4479" w14:textId="77777777" w:rsidR="00000000" w:rsidRDefault="001A570A">
            <w:pPr>
              <w:rPr>
                <w:rFonts w:eastAsia="Times New Roman"/>
              </w:rPr>
            </w:pPr>
            <w:r>
              <w:rPr>
                <w:rFonts w:eastAsia="Times New Roman"/>
                <w:color w:val="00000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14:paraId="42DB9A1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B25C4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B3BC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02FDB"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16B8CF1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E240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E9565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A1549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705A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1184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6E687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A681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7D92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0279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5607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1909D"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7D25AE66" w14:textId="77777777" w:rsidR="00000000" w:rsidRDefault="001A570A">
            <w:pPr>
              <w:jc w:val="right"/>
              <w:rPr>
                <w:rFonts w:eastAsia="Times New Roman"/>
              </w:rPr>
            </w:pPr>
          </w:p>
        </w:tc>
      </w:tr>
      <w:tr w:rsidR="00000000" w14:paraId="314FE435"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0C0E266F" w14:textId="77777777" w:rsidR="00000000" w:rsidRDefault="001A570A">
            <w:pPr>
              <w:rPr>
                <w:rFonts w:eastAsia="Times New Roman"/>
              </w:rPr>
            </w:pPr>
            <w:r>
              <w:rPr>
                <w:rFonts w:eastAsia="Times New Roman"/>
                <w:color w:val="000000"/>
                <w:sz w:val="20"/>
                <w:szCs w:val="20"/>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15E53928"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5CE7C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2E4A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8B6065" w14:textId="77777777" w:rsidR="00000000" w:rsidRDefault="001A570A">
            <w:pPr>
              <w:jc w:val="right"/>
              <w:rPr>
                <w:rFonts w:eastAsia="Times New Roman"/>
              </w:rPr>
            </w:pPr>
            <w:r>
              <w:rPr>
                <w:rFonts w:eastAsia="Times New Roman"/>
                <w:color w:val="000000"/>
                <w:sz w:val="20"/>
                <w:szCs w:val="20"/>
              </w:rPr>
              <w:t>(100)</w:t>
            </w:r>
          </w:p>
        </w:tc>
        <w:tc>
          <w:tcPr>
            <w:tcW w:w="0" w:type="auto"/>
            <w:shd w:val="clear" w:color="auto" w:fill="CCEEFF"/>
            <w:tcMar>
              <w:top w:w="30" w:type="dxa"/>
              <w:left w:w="0" w:type="dxa"/>
              <w:bottom w:w="30" w:type="dxa"/>
              <w:right w:w="20" w:type="dxa"/>
            </w:tcMar>
            <w:vAlign w:val="bottom"/>
            <w:hideMark/>
          </w:tcPr>
          <w:p w14:paraId="2AFDC83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7222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50348" w14:textId="77777777" w:rsidR="00000000" w:rsidRDefault="001A570A">
            <w:pPr>
              <w:jc w:val="right"/>
              <w:rPr>
                <w:rFonts w:eastAsia="Times New Roman"/>
              </w:rPr>
            </w:pPr>
            <w:r>
              <w:rPr>
                <w:rFonts w:eastAsia="Times New Roman"/>
                <w:color w:val="000000"/>
                <w:sz w:val="20"/>
                <w:szCs w:val="20"/>
              </w:rPr>
              <w:t>(99)</w:t>
            </w:r>
          </w:p>
        </w:tc>
        <w:tc>
          <w:tcPr>
            <w:tcW w:w="0" w:type="auto"/>
            <w:shd w:val="clear" w:color="auto" w:fill="CCEEFF"/>
            <w:tcMar>
              <w:top w:w="30" w:type="dxa"/>
              <w:left w:w="0" w:type="dxa"/>
              <w:bottom w:w="30" w:type="dxa"/>
              <w:right w:w="20" w:type="dxa"/>
            </w:tcMar>
            <w:vAlign w:val="bottom"/>
            <w:hideMark/>
          </w:tcPr>
          <w:p w14:paraId="27BBE34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C14C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870B2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C311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57E9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56CA1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94912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915E1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D422F4" w14:textId="77777777" w:rsidR="00000000" w:rsidRDefault="001A570A">
            <w:pPr>
              <w:jc w:val="right"/>
              <w:rPr>
                <w:rFonts w:eastAsia="Times New Roman"/>
              </w:rPr>
            </w:pPr>
            <w:r>
              <w:rPr>
                <w:rFonts w:eastAsia="Times New Roman"/>
                <w:color w:val="000000"/>
                <w:sz w:val="20"/>
                <w:szCs w:val="20"/>
              </w:rPr>
              <w:t>(200)</w:t>
            </w:r>
          </w:p>
        </w:tc>
        <w:tc>
          <w:tcPr>
            <w:tcW w:w="0" w:type="auto"/>
            <w:shd w:val="clear" w:color="auto" w:fill="CCEEFF"/>
            <w:tcMar>
              <w:top w:w="30" w:type="dxa"/>
              <w:left w:w="0" w:type="dxa"/>
              <w:bottom w:w="30" w:type="dxa"/>
              <w:right w:w="20" w:type="dxa"/>
            </w:tcMar>
            <w:vAlign w:val="bottom"/>
            <w:hideMark/>
          </w:tcPr>
          <w:p w14:paraId="0F4DA8C2" w14:textId="77777777" w:rsidR="00000000" w:rsidRDefault="001A570A">
            <w:pPr>
              <w:jc w:val="right"/>
              <w:rPr>
                <w:rFonts w:eastAsia="Times New Roman"/>
              </w:rPr>
            </w:pPr>
          </w:p>
        </w:tc>
      </w:tr>
      <w:tr w:rsidR="00000000" w14:paraId="1119EB34"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60F294E7" w14:textId="77777777" w:rsidR="00000000" w:rsidRDefault="001A570A">
            <w:pPr>
              <w:divId w:val="1690787912"/>
              <w:rPr>
                <w:rFonts w:eastAsia="Times New Roman"/>
              </w:rPr>
            </w:pPr>
            <w:r>
              <w:rPr>
                <w:rFonts w:eastAsia="Times New Roman"/>
                <w:color w:val="000000"/>
                <w:sz w:val="20"/>
                <w:szCs w:val="20"/>
              </w:rPr>
              <w:t>Cash dividends ($2.74 per share)</w:t>
            </w:r>
          </w:p>
        </w:tc>
        <w:tc>
          <w:tcPr>
            <w:tcW w:w="0" w:type="auto"/>
            <w:gridSpan w:val="2"/>
            <w:shd w:val="clear" w:color="auto" w:fill="FFFFFF"/>
            <w:tcMar>
              <w:top w:w="30" w:type="dxa"/>
              <w:left w:w="20" w:type="dxa"/>
              <w:bottom w:w="30" w:type="dxa"/>
              <w:right w:w="0" w:type="dxa"/>
            </w:tcMar>
            <w:vAlign w:val="bottom"/>
            <w:hideMark/>
          </w:tcPr>
          <w:p w14:paraId="55473EF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47ED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27B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86F1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CB52F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9FC9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BC4D5" w14:textId="77777777" w:rsidR="00000000" w:rsidRDefault="001A570A">
            <w:pPr>
              <w:jc w:val="right"/>
              <w:rPr>
                <w:rFonts w:eastAsia="Times New Roman"/>
              </w:rPr>
            </w:pPr>
            <w:r>
              <w:rPr>
                <w:rFonts w:eastAsia="Times New Roman"/>
                <w:color w:val="000000"/>
                <w:sz w:val="20"/>
                <w:szCs w:val="20"/>
              </w:rPr>
              <w:t>(325)</w:t>
            </w:r>
          </w:p>
        </w:tc>
        <w:tc>
          <w:tcPr>
            <w:tcW w:w="0" w:type="auto"/>
            <w:shd w:val="clear" w:color="auto" w:fill="FFFFFF"/>
            <w:tcMar>
              <w:top w:w="30" w:type="dxa"/>
              <w:left w:w="0" w:type="dxa"/>
              <w:bottom w:w="30" w:type="dxa"/>
              <w:right w:w="20" w:type="dxa"/>
            </w:tcMar>
            <w:vAlign w:val="bottom"/>
            <w:hideMark/>
          </w:tcPr>
          <w:p w14:paraId="62DAFE0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FA2B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230AD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63E6A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5250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A87D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FAE89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A221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BA33B4" w14:textId="77777777" w:rsidR="00000000" w:rsidRDefault="001A570A">
            <w:pPr>
              <w:jc w:val="right"/>
              <w:rPr>
                <w:rFonts w:eastAsia="Times New Roman"/>
              </w:rPr>
            </w:pPr>
            <w:r>
              <w:rPr>
                <w:rFonts w:eastAsia="Times New Roman"/>
                <w:color w:val="000000"/>
                <w:sz w:val="20"/>
                <w:szCs w:val="20"/>
              </w:rPr>
              <w:t>(325)</w:t>
            </w:r>
          </w:p>
        </w:tc>
        <w:tc>
          <w:tcPr>
            <w:tcW w:w="0" w:type="auto"/>
            <w:shd w:val="clear" w:color="auto" w:fill="FFFFFF"/>
            <w:tcMar>
              <w:top w:w="30" w:type="dxa"/>
              <w:left w:w="0" w:type="dxa"/>
              <w:bottom w:w="30" w:type="dxa"/>
              <w:right w:w="20" w:type="dxa"/>
            </w:tcMar>
            <w:vAlign w:val="bottom"/>
            <w:hideMark/>
          </w:tcPr>
          <w:p w14:paraId="055E6373" w14:textId="77777777" w:rsidR="00000000" w:rsidRDefault="001A570A">
            <w:pPr>
              <w:jc w:val="right"/>
              <w:rPr>
                <w:rFonts w:eastAsia="Times New Roman"/>
              </w:rPr>
            </w:pPr>
          </w:p>
        </w:tc>
      </w:tr>
      <w:tr w:rsidR="00000000" w14:paraId="663BD7B8"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2A60D4C0" w14:textId="77777777" w:rsidR="00000000" w:rsidRDefault="001A570A">
            <w:pPr>
              <w:rPr>
                <w:rFonts w:eastAsia="Times New Roman"/>
              </w:rPr>
            </w:pPr>
            <w:r>
              <w:rPr>
                <w:rFonts w:eastAsia="Times New Roman"/>
                <w:b/>
                <w:bCs/>
                <w:color w:val="000000"/>
                <w:sz w:val="20"/>
                <w:szCs w:val="20"/>
              </w:rPr>
              <w:t>Balance at June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CE9FB1" w14:textId="77777777" w:rsidR="00000000" w:rsidRDefault="001A570A">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D1304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4F71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F91B01" w14:textId="77777777" w:rsidR="00000000" w:rsidRDefault="001A570A">
            <w:pPr>
              <w:jc w:val="right"/>
              <w:rPr>
                <w:rFonts w:eastAsia="Times New Roman"/>
              </w:rPr>
            </w:pPr>
            <w:r>
              <w:rPr>
                <w:rFonts w:eastAsia="Times New Roman"/>
                <w:b/>
                <w:bCs/>
                <w:color w:val="000000"/>
                <w:sz w:val="20"/>
                <w:szCs w:val="20"/>
              </w:rPr>
              <w:t>1,778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8DDEC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8B4A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27A9F6" w14:textId="77777777" w:rsidR="00000000" w:rsidRDefault="001A570A">
            <w:pPr>
              <w:jc w:val="right"/>
              <w:rPr>
                <w:rFonts w:eastAsia="Times New Roman"/>
              </w:rPr>
            </w:pPr>
            <w:r>
              <w:rPr>
                <w:rFonts w:eastAsia="Times New Roman"/>
                <w:b/>
                <w:bCs/>
                <w:color w:val="000000"/>
                <w:sz w:val="20"/>
                <w:szCs w:val="20"/>
              </w:rPr>
              <w:t>2,173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011C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760E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3D54B0" w14:textId="77777777" w:rsidR="00000000" w:rsidRDefault="001A570A">
            <w:pPr>
              <w:jc w:val="right"/>
              <w:rPr>
                <w:rFonts w:eastAsia="Times New Roman"/>
              </w:rPr>
            </w:pPr>
            <w:r>
              <w:rPr>
                <w:rFonts w:eastAsia="Times New Roman"/>
                <w:b/>
                <w:bCs/>
                <w:color w:val="000000"/>
                <w:sz w:val="20"/>
                <w:szCs w:val="20"/>
              </w:rPr>
              <w:t>(707)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E6A47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FB8A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9CAA14" w14:textId="77777777" w:rsidR="00000000" w:rsidRDefault="001A570A">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3583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3F47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9573DC" w14:textId="77777777" w:rsidR="00000000" w:rsidRDefault="001A570A">
            <w:pPr>
              <w:jc w:val="right"/>
              <w:rPr>
                <w:rFonts w:eastAsia="Times New Roman"/>
              </w:rPr>
            </w:pPr>
            <w:r>
              <w:rPr>
                <w:rFonts w:eastAsia="Times New Roman"/>
                <w:b/>
                <w:bCs/>
                <w:color w:val="000000"/>
                <w:sz w:val="20"/>
                <w:szCs w:val="20"/>
              </w:rPr>
              <w:t>3,363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8A8C79" w14:textId="77777777" w:rsidR="00000000" w:rsidRDefault="001A570A">
            <w:pPr>
              <w:jc w:val="right"/>
              <w:rPr>
                <w:rFonts w:eastAsia="Times New Roman"/>
              </w:rPr>
            </w:pPr>
          </w:p>
        </w:tc>
      </w:tr>
      <w:tr w:rsidR="00000000" w14:paraId="579B2111"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20CF9EEA" w14:textId="77777777" w:rsidR="00000000" w:rsidRDefault="001A570A">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58102E2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C782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1B8E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E4A1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EDDAC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DFBF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E95667" w14:textId="77777777" w:rsidR="00000000" w:rsidRDefault="001A570A">
            <w:pPr>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14:paraId="15A4956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5083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8A70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CCA63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14A5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D0A6C"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3265BAE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F4E4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B2CB8" w14:textId="77777777" w:rsidR="00000000" w:rsidRDefault="001A570A">
            <w:pPr>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14:paraId="5C5F85C1" w14:textId="77777777" w:rsidR="00000000" w:rsidRDefault="001A570A">
            <w:pPr>
              <w:jc w:val="right"/>
              <w:rPr>
                <w:rFonts w:eastAsia="Times New Roman"/>
              </w:rPr>
            </w:pPr>
          </w:p>
        </w:tc>
      </w:tr>
      <w:tr w:rsidR="00000000" w14:paraId="006E6440"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75506EDA" w14:textId="77777777" w:rsidR="00000000" w:rsidRDefault="001A570A">
            <w:pPr>
              <w:rPr>
                <w:rFonts w:eastAsia="Times New Roman"/>
              </w:rPr>
            </w:pPr>
            <w:r>
              <w:rPr>
                <w:rFonts w:eastAsia="Times New Roman"/>
                <w:color w:val="000000"/>
                <w:sz w:val="20"/>
                <w:szCs w:val="20"/>
              </w:rPr>
              <w:t>Other comprehensive income</w:t>
            </w:r>
          </w:p>
        </w:tc>
        <w:tc>
          <w:tcPr>
            <w:tcW w:w="0" w:type="auto"/>
            <w:gridSpan w:val="2"/>
            <w:shd w:val="clear" w:color="auto" w:fill="CCEEFF"/>
            <w:tcMar>
              <w:top w:w="30" w:type="dxa"/>
              <w:left w:w="20" w:type="dxa"/>
              <w:bottom w:w="30" w:type="dxa"/>
              <w:right w:w="0" w:type="dxa"/>
            </w:tcMar>
            <w:vAlign w:val="bottom"/>
            <w:hideMark/>
          </w:tcPr>
          <w:p w14:paraId="29B98DB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7D99B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FCAB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90AD4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53DA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28C0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C3429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DE497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B67CE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3909A" w14:textId="77777777" w:rsidR="00000000" w:rsidRDefault="001A570A">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14:paraId="182F2B2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659E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375E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CF760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023F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19042" w14:textId="77777777" w:rsidR="00000000" w:rsidRDefault="001A570A">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14:paraId="6727E44E" w14:textId="77777777" w:rsidR="00000000" w:rsidRDefault="001A570A">
            <w:pPr>
              <w:jc w:val="right"/>
              <w:rPr>
                <w:rFonts w:eastAsia="Times New Roman"/>
              </w:rPr>
            </w:pPr>
          </w:p>
        </w:tc>
      </w:tr>
      <w:tr w:rsidR="00000000" w14:paraId="01FD2F1E"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26088B8C" w14:textId="77777777" w:rsidR="00000000" w:rsidRDefault="001A570A">
            <w:pPr>
              <w:rPr>
                <w:rFonts w:eastAsia="Times New Roman"/>
              </w:rPr>
            </w:pPr>
            <w:r>
              <w:rPr>
                <w:rFonts w:eastAsia="Times New Roman"/>
                <w:color w:val="000000"/>
                <w:sz w:val="20"/>
                <w:szCs w:val="20"/>
              </w:rPr>
              <w:t>Shares issued for L3Harris Merger</w:t>
            </w:r>
          </w:p>
        </w:tc>
        <w:tc>
          <w:tcPr>
            <w:tcW w:w="0" w:type="auto"/>
            <w:gridSpan w:val="2"/>
            <w:shd w:val="clear" w:color="auto" w:fill="FFFFFF"/>
            <w:tcMar>
              <w:top w:w="30" w:type="dxa"/>
              <w:left w:w="20" w:type="dxa"/>
              <w:bottom w:w="30" w:type="dxa"/>
              <w:right w:w="0" w:type="dxa"/>
            </w:tcMar>
            <w:vAlign w:val="bottom"/>
            <w:hideMark/>
          </w:tcPr>
          <w:p w14:paraId="30DE385A" w14:textId="77777777" w:rsidR="00000000" w:rsidRDefault="001A570A">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14:paraId="5824A66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0AD7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BDA44" w14:textId="77777777" w:rsidR="00000000" w:rsidRDefault="001A570A">
            <w:pPr>
              <w:jc w:val="right"/>
              <w:rPr>
                <w:rFonts w:eastAsia="Times New Roman"/>
              </w:rPr>
            </w:pPr>
            <w:r>
              <w:rPr>
                <w:rFonts w:eastAsia="Times New Roman"/>
                <w:color w:val="000000"/>
                <w:sz w:val="20"/>
                <w:szCs w:val="20"/>
              </w:rPr>
              <w:t>19,696 </w:t>
            </w:r>
          </w:p>
        </w:tc>
        <w:tc>
          <w:tcPr>
            <w:tcW w:w="0" w:type="auto"/>
            <w:shd w:val="clear" w:color="auto" w:fill="FFFFFF"/>
            <w:tcMar>
              <w:top w:w="30" w:type="dxa"/>
              <w:left w:w="0" w:type="dxa"/>
              <w:bottom w:w="30" w:type="dxa"/>
              <w:right w:w="20" w:type="dxa"/>
            </w:tcMar>
            <w:vAlign w:val="bottom"/>
            <w:hideMark/>
          </w:tcPr>
          <w:p w14:paraId="58513E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16F1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EA26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C887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6DA0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75B7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1BE58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13FF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FAAF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8F97F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568F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9D40E" w14:textId="77777777" w:rsidR="00000000" w:rsidRDefault="001A570A">
            <w:pPr>
              <w:jc w:val="right"/>
              <w:rPr>
                <w:rFonts w:eastAsia="Times New Roman"/>
              </w:rPr>
            </w:pPr>
            <w:r>
              <w:rPr>
                <w:rFonts w:eastAsia="Times New Roman"/>
                <w:color w:val="000000"/>
                <w:sz w:val="20"/>
                <w:szCs w:val="20"/>
              </w:rPr>
              <w:t>19,800 </w:t>
            </w:r>
          </w:p>
        </w:tc>
        <w:tc>
          <w:tcPr>
            <w:tcW w:w="0" w:type="auto"/>
            <w:shd w:val="clear" w:color="auto" w:fill="FFFFFF"/>
            <w:tcMar>
              <w:top w:w="30" w:type="dxa"/>
              <w:left w:w="0" w:type="dxa"/>
              <w:bottom w:w="30" w:type="dxa"/>
              <w:right w:w="20" w:type="dxa"/>
            </w:tcMar>
            <w:vAlign w:val="bottom"/>
            <w:hideMark/>
          </w:tcPr>
          <w:p w14:paraId="1F28F9A0" w14:textId="77777777" w:rsidR="00000000" w:rsidRDefault="001A570A">
            <w:pPr>
              <w:jc w:val="right"/>
              <w:rPr>
                <w:rFonts w:eastAsia="Times New Roman"/>
              </w:rPr>
            </w:pPr>
          </w:p>
        </w:tc>
      </w:tr>
      <w:tr w:rsidR="00000000" w14:paraId="3E432240"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69054A04" w14:textId="77777777" w:rsidR="00000000" w:rsidRDefault="001A570A">
            <w:pPr>
              <w:rPr>
                <w:rFonts w:eastAsia="Times New Roman"/>
              </w:rPr>
            </w:pPr>
            <w:r>
              <w:rPr>
                <w:rFonts w:eastAsia="Times New Roman"/>
                <w:color w:val="000000"/>
                <w:sz w:val="20"/>
                <w:szCs w:val="20"/>
              </w:rPr>
              <w:t>Shares issued under stock incentive plans</w:t>
            </w:r>
          </w:p>
        </w:tc>
        <w:tc>
          <w:tcPr>
            <w:tcW w:w="0" w:type="auto"/>
            <w:gridSpan w:val="2"/>
            <w:shd w:val="clear" w:color="auto" w:fill="CCEEFF"/>
            <w:tcMar>
              <w:top w:w="30" w:type="dxa"/>
              <w:left w:w="20" w:type="dxa"/>
              <w:bottom w:w="30" w:type="dxa"/>
              <w:right w:w="0" w:type="dxa"/>
            </w:tcMar>
            <w:vAlign w:val="bottom"/>
            <w:hideMark/>
          </w:tcPr>
          <w:p w14:paraId="0AF57D89"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6DDA17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87B5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0B763" w14:textId="77777777" w:rsidR="00000000" w:rsidRDefault="001A570A">
            <w:pPr>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7AB8115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D9E7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59BF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AC3C6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7043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91A3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C00D0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04C8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441EC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5E9D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D65D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97B8CD" w14:textId="77777777" w:rsidR="00000000" w:rsidRDefault="001A570A">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14:paraId="48995AF4" w14:textId="77777777" w:rsidR="00000000" w:rsidRDefault="001A570A">
            <w:pPr>
              <w:jc w:val="right"/>
              <w:rPr>
                <w:rFonts w:eastAsia="Times New Roman"/>
              </w:rPr>
            </w:pPr>
          </w:p>
        </w:tc>
      </w:tr>
      <w:tr w:rsidR="00000000" w14:paraId="25C70AD0"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3085C266" w14:textId="77777777" w:rsidR="00000000" w:rsidRDefault="001A570A">
            <w:pPr>
              <w:rPr>
                <w:rFonts w:eastAsia="Times New Roman"/>
              </w:rPr>
            </w:pPr>
            <w:r>
              <w:rPr>
                <w:rFonts w:eastAsia="Times New Roman"/>
                <w:color w:val="000000"/>
                <w:sz w:val="20"/>
                <w:szCs w:val="20"/>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14:paraId="167F920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12019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4D38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3C6AC"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1CA98C2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27B9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B943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71C55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C7FC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E179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CA99D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DE07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8467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54F19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41E7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0BBEC"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05C65C13" w14:textId="77777777" w:rsidR="00000000" w:rsidRDefault="001A570A">
            <w:pPr>
              <w:jc w:val="right"/>
              <w:rPr>
                <w:rFonts w:eastAsia="Times New Roman"/>
              </w:rPr>
            </w:pPr>
          </w:p>
        </w:tc>
      </w:tr>
      <w:tr w:rsidR="00000000" w14:paraId="5F8DF0DF"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5FF69318" w14:textId="77777777" w:rsidR="00000000" w:rsidRDefault="001A570A">
            <w:pPr>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1175EF2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63EF5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311A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96DDD" w14:textId="77777777" w:rsidR="00000000" w:rsidRDefault="001A570A">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22689F9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F115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8F3E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81885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9080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6409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3812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1331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B0B26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B9A9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F228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BFE1E" w14:textId="77777777" w:rsidR="00000000" w:rsidRDefault="001A570A">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4F508869" w14:textId="77777777" w:rsidR="00000000" w:rsidRDefault="001A570A">
            <w:pPr>
              <w:jc w:val="right"/>
              <w:rPr>
                <w:rFonts w:eastAsia="Times New Roman"/>
              </w:rPr>
            </w:pPr>
          </w:p>
        </w:tc>
      </w:tr>
      <w:tr w:rsidR="00000000" w14:paraId="2B14943F"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635E74D9" w14:textId="77777777" w:rsidR="00000000" w:rsidRDefault="001A570A">
            <w:pPr>
              <w:rPr>
                <w:rFonts w:eastAsia="Times New Roman"/>
              </w:rPr>
            </w:pPr>
            <w:r>
              <w:rPr>
                <w:rFonts w:eastAsia="Times New Roman"/>
                <w:color w:val="000000"/>
                <w:sz w:val="20"/>
                <w:szCs w:val="20"/>
              </w:rPr>
              <w:t>Tax withholding payments on share-based awards</w:t>
            </w:r>
          </w:p>
        </w:tc>
        <w:tc>
          <w:tcPr>
            <w:tcW w:w="0" w:type="auto"/>
            <w:gridSpan w:val="2"/>
            <w:shd w:val="clear" w:color="auto" w:fill="FFFFFF"/>
            <w:tcMar>
              <w:top w:w="30" w:type="dxa"/>
              <w:left w:w="20" w:type="dxa"/>
              <w:bottom w:w="30" w:type="dxa"/>
              <w:right w:w="0" w:type="dxa"/>
            </w:tcMar>
            <w:vAlign w:val="bottom"/>
            <w:hideMark/>
          </w:tcPr>
          <w:p w14:paraId="39B5A0D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E93E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DD3D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56AAD" w14:textId="77777777" w:rsidR="00000000" w:rsidRDefault="001A570A">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14:paraId="7FCA3A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F918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F095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D711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33D0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8767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B51C3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8BFF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9C1A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47B3E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CBB3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63BAF" w14:textId="77777777" w:rsidR="00000000" w:rsidRDefault="001A570A">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14:paraId="249CB691" w14:textId="77777777" w:rsidR="00000000" w:rsidRDefault="001A570A">
            <w:pPr>
              <w:jc w:val="right"/>
              <w:rPr>
                <w:rFonts w:eastAsia="Times New Roman"/>
              </w:rPr>
            </w:pPr>
          </w:p>
        </w:tc>
      </w:tr>
      <w:tr w:rsidR="00000000" w14:paraId="7640AE73"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4F87F7DF" w14:textId="77777777" w:rsidR="00000000" w:rsidRDefault="001A570A">
            <w:pPr>
              <w:rPr>
                <w:rFonts w:eastAsia="Times New Roman"/>
              </w:rPr>
            </w:pPr>
            <w:r>
              <w:rPr>
                <w:rFonts w:eastAsia="Times New Roman"/>
                <w:color w:val="000000"/>
                <w:sz w:val="20"/>
                <w:szCs w:val="20"/>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14:paraId="2E3D0EB0"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776946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9476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49316" w14:textId="77777777" w:rsidR="00000000" w:rsidRDefault="001A570A">
            <w:pPr>
              <w:jc w:val="right"/>
              <w:rPr>
                <w:rFonts w:eastAsia="Times New Roman"/>
              </w:rPr>
            </w:pPr>
            <w:r>
              <w:rPr>
                <w:rFonts w:eastAsia="Times New Roman"/>
                <w:color w:val="000000"/>
                <w:sz w:val="20"/>
                <w:szCs w:val="20"/>
              </w:rPr>
              <w:t>(1,018)</w:t>
            </w:r>
          </w:p>
        </w:tc>
        <w:tc>
          <w:tcPr>
            <w:tcW w:w="0" w:type="auto"/>
            <w:shd w:val="clear" w:color="auto" w:fill="CCEEFF"/>
            <w:tcMar>
              <w:top w:w="30" w:type="dxa"/>
              <w:left w:w="0" w:type="dxa"/>
              <w:bottom w:w="30" w:type="dxa"/>
              <w:right w:w="20" w:type="dxa"/>
            </w:tcMar>
            <w:vAlign w:val="bottom"/>
            <w:hideMark/>
          </w:tcPr>
          <w:p w14:paraId="63BB589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3133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441353" w14:textId="77777777" w:rsidR="00000000" w:rsidRDefault="001A570A">
            <w:pPr>
              <w:jc w:val="right"/>
              <w:rPr>
                <w:rFonts w:eastAsia="Times New Roman"/>
              </w:rPr>
            </w:pPr>
            <w:r>
              <w:rPr>
                <w:rFonts w:eastAsia="Times New Roman"/>
                <w:color w:val="000000"/>
                <w:sz w:val="20"/>
                <w:szCs w:val="20"/>
              </w:rPr>
              <w:t>(475)</w:t>
            </w:r>
          </w:p>
        </w:tc>
        <w:tc>
          <w:tcPr>
            <w:tcW w:w="0" w:type="auto"/>
            <w:shd w:val="clear" w:color="auto" w:fill="CCEEFF"/>
            <w:tcMar>
              <w:top w:w="30" w:type="dxa"/>
              <w:left w:w="0" w:type="dxa"/>
              <w:bottom w:w="30" w:type="dxa"/>
              <w:right w:w="20" w:type="dxa"/>
            </w:tcMar>
            <w:vAlign w:val="bottom"/>
            <w:hideMark/>
          </w:tcPr>
          <w:p w14:paraId="63A6066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19B6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C3986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BAAD7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D865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7CF3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14298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9BF4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7C49E8" w14:textId="77777777" w:rsidR="00000000" w:rsidRDefault="001A570A">
            <w:pPr>
              <w:jc w:val="right"/>
              <w:rPr>
                <w:rFonts w:eastAsia="Times New Roman"/>
              </w:rPr>
            </w:pPr>
            <w:r>
              <w:rPr>
                <w:rFonts w:eastAsia="Times New Roman"/>
                <w:color w:val="000000"/>
                <w:sz w:val="20"/>
                <w:szCs w:val="20"/>
              </w:rPr>
              <w:t>(1,500)</w:t>
            </w:r>
          </w:p>
        </w:tc>
        <w:tc>
          <w:tcPr>
            <w:tcW w:w="0" w:type="auto"/>
            <w:shd w:val="clear" w:color="auto" w:fill="CCEEFF"/>
            <w:tcMar>
              <w:top w:w="30" w:type="dxa"/>
              <w:left w:w="0" w:type="dxa"/>
              <w:bottom w:w="30" w:type="dxa"/>
              <w:right w:w="20" w:type="dxa"/>
            </w:tcMar>
            <w:vAlign w:val="bottom"/>
            <w:hideMark/>
          </w:tcPr>
          <w:p w14:paraId="562C22D2" w14:textId="77777777" w:rsidR="00000000" w:rsidRDefault="001A570A">
            <w:pPr>
              <w:jc w:val="right"/>
              <w:rPr>
                <w:rFonts w:eastAsia="Times New Roman"/>
              </w:rPr>
            </w:pPr>
          </w:p>
        </w:tc>
      </w:tr>
      <w:tr w:rsidR="00000000" w14:paraId="09B55CF2"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2A715BA7" w14:textId="77777777" w:rsidR="00000000" w:rsidRDefault="001A570A">
            <w:pPr>
              <w:divId w:val="1553999030"/>
              <w:rPr>
                <w:rFonts w:eastAsia="Times New Roman"/>
              </w:rPr>
            </w:pPr>
            <w:r>
              <w:rPr>
                <w:rFonts w:eastAsia="Times New Roman"/>
                <w:color w:val="000000"/>
                <w:sz w:val="20"/>
                <w:szCs w:val="20"/>
              </w:rPr>
              <w:t>Cash dividends ($1.50 per share)</w:t>
            </w:r>
          </w:p>
        </w:tc>
        <w:tc>
          <w:tcPr>
            <w:tcW w:w="0" w:type="auto"/>
            <w:gridSpan w:val="2"/>
            <w:shd w:val="clear" w:color="auto" w:fill="FFFFFF"/>
            <w:tcMar>
              <w:top w:w="30" w:type="dxa"/>
              <w:left w:w="20" w:type="dxa"/>
              <w:bottom w:w="30" w:type="dxa"/>
              <w:right w:w="0" w:type="dxa"/>
            </w:tcMar>
            <w:vAlign w:val="bottom"/>
            <w:hideMark/>
          </w:tcPr>
          <w:p w14:paraId="59D5E27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5DF6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29AF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BFF5E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4AA37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F18A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128116" w14:textId="77777777" w:rsidR="00000000" w:rsidRDefault="001A570A">
            <w:pPr>
              <w:jc w:val="right"/>
              <w:rPr>
                <w:rFonts w:eastAsia="Times New Roman"/>
              </w:rPr>
            </w:pPr>
            <w:r>
              <w:rPr>
                <w:rFonts w:eastAsia="Times New Roman"/>
                <w:color w:val="000000"/>
                <w:sz w:val="20"/>
                <w:szCs w:val="20"/>
              </w:rPr>
              <w:t>(337)</w:t>
            </w:r>
          </w:p>
        </w:tc>
        <w:tc>
          <w:tcPr>
            <w:tcW w:w="0" w:type="auto"/>
            <w:shd w:val="clear" w:color="auto" w:fill="FFFFFF"/>
            <w:tcMar>
              <w:top w:w="30" w:type="dxa"/>
              <w:left w:w="0" w:type="dxa"/>
              <w:bottom w:w="30" w:type="dxa"/>
              <w:right w:w="20" w:type="dxa"/>
            </w:tcMar>
            <w:vAlign w:val="bottom"/>
            <w:hideMark/>
          </w:tcPr>
          <w:p w14:paraId="2EEEF3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F319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D3B8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8178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CDAF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986C6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827F6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DAAA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83FD3" w14:textId="77777777" w:rsidR="00000000" w:rsidRDefault="001A570A">
            <w:pPr>
              <w:jc w:val="right"/>
              <w:rPr>
                <w:rFonts w:eastAsia="Times New Roman"/>
              </w:rPr>
            </w:pPr>
            <w:r>
              <w:rPr>
                <w:rFonts w:eastAsia="Times New Roman"/>
                <w:color w:val="000000"/>
                <w:sz w:val="20"/>
                <w:szCs w:val="20"/>
              </w:rPr>
              <w:t>(337)</w:t>
            </w:r>
          </w:p>
        </w:tc>
        <w:tc>
          <w:tcPr>
            <w:tcW w:w="0" w:type="auto"/>
            <w:shd w:val="clear" w:color="auto" w:fill="FFFFFF"/>
            <w:tcMar>
              <w:top w:w="30" w:type="dxa"/>
              <w:left w:w="0" w:type="dxa"/>
              <w:bottom w:w="30" w:type="dxa"/>
              <w:right w:w="20" w:type="dxa"/>
            </w:tcMar>
            <w:vAlign w:val="bottom"/>
            <w:hideMark/>
          </w:tcPr>
          <w:p w14:paraId="77657138" w14:textId="77777777" w:rsidR="00000000" w:rsidRDefault="001A570A">
            <w:pPr>
              <w:jc w:val="right"/>
              <w:rPr>
                <w:rFonts w:eastAsia="Times New Roman"/>
              </w:rPr>
            </w:pPr>
          </w:p>
        </w:tc>
      </w:tr>
      <w:tr w:rsidR="00000000" w14:paraId="39343DF0" w14:textId="77777777">
        <w:trPr>
          <w:divId w:val="610626430"/>
          <w:jc w:val="center"/>
        </w:trPr>
        <w:tc>
          <w:tcPr>
            <w:tcW w:w="0" w:type="auto"/>
            <w:gridSpan w:val="3"/>
            <w:shd w:val="clear" w:color="auto" w:fill="CCEEFF"/>
            <w:tcMar>
              <w:top w:w="30" w:type="dxa"/>
              <w:left w:w="290" w:type="dxa"/>
              <w:bottom w:w="30" w:type="dxa"/>
              <w:right w:w="20" w:type="dxa"/>
            </w:tcMar>
            <w:vAlign w:val="bottom"/>
            <w:hideMark/>
          </w:tcPr>
          <w:p w14:paraId="0DBB5D19" w14:textId="77777777" w:rsidR="00000000" w:rsidRDefault="001A570A">
            <w:pPr>
              <w:ind w:hanging="270"/>
              <w:rPr>
                <w:rFonts w:eastAsia="Times New Roman"/>
              </w:rPr>
            </w:pPr>
            <w:r>
              <w:rPr>
                <w:rFonts w:eastAsia="Times New Roman"/>
                <w:color w:val="000000"/>
                <w:sz w:val="20"/>
                <w:szCs w:val="20"/>
              </w:rPr>
              <w:t>Fair value of noncontrolling interest recognized in purchase accounting</w:t>
            </w:r>
          </w:p>
        </w:tc>
        <w:tc>
          <w:tcPr>
            <w:tcW w:w="0" w:type="auto"/>
            <w:gridSpan w:val="2"/>
            <w:shd w:val="clear" w:color="auto" w:fill="CCEEFF"/>
            <w:tcMar>
              <w:top w:w="30" w:type="dxa"/>
              <w:left w:w="20" w:type="dxa"/>
              <w:bottom w:w="30" w:type="dxa"/>
              <w:right w:w="0" w:type="dxa"/>
            </w:tcMar>
            <w:vAlign w:val="bottom"/>
            <w:hideMark/>
          </w:tcPr>
          <w:p w14:paraId="67EF4FD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D7AB9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DFB8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7045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3E747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5F00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6731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093F4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E24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5DC65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8EAE3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ED0E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5FCF28" w14:textId="77777777" w:rsidR="00000000" w:rsidRDefault="001A570A">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219B0AB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62E5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5CE473" w14:textId="77777777" w:rsidR="00000000" w:rsidRDefault="001A570A">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54B4DAA1" w14:textId="77777777" w:rsidR="00000000" w:rsidRDefault="001A570A">
            <w:pPr>
              <w:jc w:val="right"/>
              <w:rPr>
                <w:rFonts w:eastAsia="Times New Roman"/>
              </w:rPr>
            </w:pPr>
          </w:p>
        </w:tc>
      </w:tr>
      <w:tr w:rsidR="00000000" w14:paraId="50C50A00"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2438E5CC" w14:textId="77777777" w:rsidR="00000000" w:rsidRDefault="001A570A">
            <w:pPr>
              <w:rPr>
                <w:rFonts w:eastAsia="Times New Roman"/>
              </w:rPr>
            </w:pPr>
            <w:r>
              <w:rPr>
                <w:rFonts w:eastAsia="Times New Roman"/>
                <w:color w:val="000000"/>
                <w:sz w:val="20"/>
                <w:szCs w:val="20"/>
              </w:rPr>
              <w:t>Other, including distributions to noncontrolling interests</w:t>
            </w:r>
          </w:p>
        </w:tc>
        <w:tc>
          <w:tcPr>
            <w:tcW w:w="0" w:type="auto"/>
            <w:gridSpan w:val="2"/>
            <w:shd w:val="clear" w:color="auto" w:fill="FFFFFF"/>
            <w:tcMar>
              <w:top w:w="30" w:type="dxa"/>
              <w:left w:w="20" w:type="dxa"/>
              <w:bottom w:w="30" w:type="dxa"/>
              <w:right w:w="0" w:type="dxa"/>
            </w:tcMar>
            <w:vAlign w:val="bottom"/>
            <w:hideMark/>
          </w:tcPr>
          <w:p w14:paraId="35D4932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1D58E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7FEF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2E19CA" w14:textId="77777777" w:rsidR="00000000" w:rsidRDefault="001A570A">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19A000D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C591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2E1A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96DD9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0C11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CDFF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E887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0ABD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CEAF5"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538EBE7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D2EF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6EECB5"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707B99B8" w14:textId="77777777" w:rsidR="00000000" w:rsidRDefault="001A570A">
            <w:pPr>
              <w:jc w:val="right"/>
              <w:rPr>
                <w:rFonts w:eastAsia="Times New Roman"/>
              </w:rPr>
            </w:pPr>
          </w:p>
        </w:tc>
      </w:tr>
      <w:tr w:rsidR="00000000" w14:paraId="767ABAA5"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321D7A0B" w14:textId="77777777" w:rsidR="00000000" w:rsidRDefault="001A570A">
            <w:pPr>
              <w:rPr>
                <w:rFonts w:eastAsia="Times New Roman"/>
              </w:rPr>
            </w:pPr>
            <w:r>
              <w:rPr>
                <w:rFonts w:eastAsia="Times New Roman"/>
                <w:b/>
                <w:bCs/>
                <w:color w:val="000000"/>
                <w:sz w:val="20"/>
                <w:szCs w:val="20"/>
              </w:rPr>
              <w:t>Balance at January 3,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DFBBE2" w14:textId="77777777" w:rsidR="00000000" w:rsidRDefault="001A570A">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37964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E19EF"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85B95E" w14:textId="77777777" w:rsidR="00000000" w:rsidRDefault="001A570A">
            <w:pPr>
              <w:jc w:val="right"/>
              <w:rPr>
                <w:rFonts w:eastAsia="Times New Roman"/>
              </w:rPr>
            </w:pPr>
            <w:r>
              <w:rPr>
                <w:rFonts w:eastAsia="Times New Roman"/>
                <w:b/>
                <w:bCs/>
                <w:color w:val="000000"/>
                <w:sz w:val="20"/>
                <w:szCs w:val="20"/>
              </w:rPr>
              <w:t>20,694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25394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3CC8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9A78E3" w14:textId="77777777" w:rsidR="00000000" w:rsidRDefault="001A570A">
            <w:pPr>
              <w:jc w:val="right"/>
              <w:rPr>
                <w:rFonts w:eastAsia="Times New Roman"/>
              </w:rPr>
            </w:pPr>
            <w:r>
              <w:rPr>
                <w:rFonts w:eastAsia="Times New Roman"/>
                <w:b/>
                <w:bCs/>
                <w:color w:val="000000"/>
                <w:sz w:val="20"/>
                <w:szCs w:val="20"/>
              </w:rPr>
              <w:t>2,183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1C837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D493F"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1FD2DF" w14:textId="77777777" w:rsidR="00000000" w:rsidRDefault="001A570A">
            <w:pPr>
              <w:jc w:val="right"/>
              <w:rPr>
                <w:rFonts w:eastAsia="Times New Roman"/>
              </w:rPr>
            </w:pPr>
            <w:r>
              <w:rPr>
                <w:rFonts w:eastAsia="Times New Roman"/>
                <w:b/>
                <w:bCs/>
                <w:color w:val="000000"/>
                <w:sz w:val="20"/>
                <w:szCs w:val="20"/>
              </w:rPr>
              <w:t>(508)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E99E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E575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E8C2BF" w14:textId="77777777" w:rsidR="00000000" w:rsidRDefault="001A570A">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84113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4960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4BCBAD" w14:textId="77777777" w:rsidR="00000000" w:rsidRDefault="001A570A">
            <w:pPr>
              <w:jc w:val="right"/>
              <w:rPr>
                <w:rFonts w:eastAsia="Times New Roman"/>
              </w:rPr>
            </w:pPr>
            <w:r>
              <w:rPr>
                <w:rFonts w:eastAsia="Times New Roman"/>
                <w:b/>
                <w:bCs/>
                <w:color w:val="000000"/>
                <w:sz w:val="20"/>
                <w:szCs w:val="20"/>
              </w:rPr>
              <w:t>22,744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D19CD8" w14:textId="77777777" w:rsidR="00000000" w:rsidRDefault="001A570A">
            <w:pPr>
              <w:jc w:val="right"/>
              <w:rPr>
                <w:rFonts w:eastAsia="Times New Roman"/>
              </w:rPr>
            </w:pPr>
          </w:p>
        </w:tc>
      </w:tr>
      <w:tr w:rsidR="00000000" w14:paraId="1BCEA59D"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5D574446" w14:textId="77777777" w:rsidR="00000000" w:rsidRDefault="001A570A">
            <w:pPr>
              <w:rPr>
                <w:rFonts w:eastAsia="Times New Roman"/>
              </w:rPr>
            </w:pPr>
            <w:r>
              <w:rPr>
                <w:rFonts w:eastAsia="Times New Roman"/>
                <w:color w:val="000000"/>
                <w:sz w:val="20"/>
                <w:szCs w:val="20"/>
              </w:rPr>
              <w:t xml:space="preserve">Net income </w:t>
            </w:r>
          </w:p>
        </w:tc>
        <w:tc>
          <w:tcPr>
            <w:tcW w:w="0" w:type="auto"/>
            <w:gridSpan w:val="2"/>
            <w:shd w:val="clear" w:color="auto" w:fill="FFFFFF"/>
            <w:tcMar>
              <w:top w:w="30" w:type="dxa"/>
              <w:left w:w="20" w:type="dxa"/>
              <w:bottom w:w="30" w:type="dxa"/>
              <w:right w:w="0" w:type="dxa"/>
            </w:tcMar>
            <w:vAlign w:val="bottom"/>
            <w:hideMark/>
          </w:tcPr>
          <w:p w14:paraId="77E326D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55F82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D8EF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2664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1BB09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2DDD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61990" w14:textId="77777777" w:rsidR="00000000" w:rsidRDefault="001A570A">
            <w:pPr>
              <w:jc w:val="right"/>
              <w:rPr>
                <w:rFonts w:eastAsia="Times New Roman"/>
              </w:rPr>
            </w:pPr>
            <w:r>
              <w:rPr>
                <w:rFonts w:eastAsia="Times New Roman"/>
                <w:color w:val="000000"/>
                <w:sz w:val="20"/>
                <w:szCs w:val="20"/>
              </w:rPr>
              <w:t>1,119 </w:t>
            </w:r>
          </w:p>
        </w:tc>
        <w:tc>
          <w:tcPr>
            <w:tcW w:w="0" w:type="auto"/>
            <w:shd w:val="clear" w:color="auto" w:fill="FFFFFF"/>
            <w:tcMar>
              <w:top w:w="30" w:type="dxa"/>
              <w:left w:w="0" w:type="dxa"/>
              <w:bottom w:w="30" w:type="dxa"/>
              <w:right w:w="20" w:type="dxa"/>
            </w:tcMar>
            <w:vAlign w:val="bottom"/>
            <w:hideMark/>
          </w:tcPr>
          <w:p w14:paraId="66DF7E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7E8B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8162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F726F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FC11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BFF2B1" w14:textId="77777777" w:rsidR="00000000" w:rsidRDefault="001A570A">
            <w:pPr>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14:paraId="23CE278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F148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23DA7" w14:textId="77777777" w:rsidR="00000000" w:rsidRDefault="001A570A">
            <w:pPr>
              <w:jc w:val="right"/>
              <w:rPr>
                <w:rFonts w:eastAsia="Times New Roman"/>
              </w:rPr>
            </w:pPr>
            <w:r>
              <w:rPr>
                <w:rFonts w:eastAsia="Times New Roman"/>
                <w:color w:val="000000"/>
                <w:sz w:val="20"/>
                <w:szCs w:val="20"/>
              </w:rPr>
              <w:t>1,086 </w:t>
            </w:r>
          </w:p>
        </w:tc>
        <w:tc>
          <w:tcPr>
            <w:tcW w:w="0" w:type="auto"/>
            <w:shd w:val="clear" w:color="auto" w:fill="FFFFFF"/>
            <w:tcMar>
              <w:top w:w="30" w:type="dxa"/>
              <w:left w:w="0" w:type="dxa"/>
              <w:bottom w:w="30" w:type="dxa"/>
              <w:right w:w="20" w:type="dxa"/>
            </w:tcMar>
            <w:vAlign w:val="bottom"/>
            <w:hideMark/>
          </w:tcPr>
          <w:p w14:paraId="0B1410A1" w14:textId="77777777" w:rsidR="00000000" w:rsidRDefault="001A570A">
            <w:pPr>
              <w:jc w:val="right"/>
              <w:rPr>
                <w:rFonts w:eastAsia="Times New Roman"/>
              </w:rPr>
            </w:pPr>
          </w:p>
        </w:tc>
      </w:tr>
      <w:tr w:rsidR="00000000" w14:paraId="7A62920D"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61B4498E" w14:textId="77777777" w:rsidR="00000000" w:rsidRDefault="001A570A">
            <w:pPr>
              <w:rPr>
                <w:rFonts w:eastAsia="Times New Roman"/>
              </w:rPr>
            </w:pPr>
            <w:r>
              <w:rPr>
                <w:rFonts w:eastAsia="Times New Roman"/>
                <w:color w:val="000000"/>
                <w:sz w:val="20"/>
                <w:szCs w:val="20"/>
              </w:rPr>
              <w:t>Other comprehensive income</w:t>
            </w:r>
          </w:p>
        </w:tc>
        <w:tc>
          <w:tcPr>
            <w:tcW w:w="0" w:type="auto"/>
            <w:gridSpan w:val="2"/>
            <w:shd w:val="clear" w:color="auto" w:fill="CCEEFF"/>
            <w:tcMar>
              <w:top w:w="30" w:type="dxa"/>
              <w:left w:w="20" w:type="dxa"/>
              <w:bottom w:w="30" w:type="dxa"/>
              <w:right w:w="0" w:type="dxa"/>
            </w:tcMar>
            <w:vAlign w:val="bottom"/>
            <w:hideMark/>
          </w:tcPr>
          <w:p w14:paraId="5C76BE6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734B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30E7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EE49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553EC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5B5F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30A5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1F9EB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9A64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CE807" w14:textId="77777777" w:rsidR="00000000" w:rsidRDefault="001A570A">
            <w:pPr>
              <w:jc w:val="right"/>
              <w:rPr>
                <w:rFonts w:eastAsia="Times New Roman"/>
              </w:rPr>
            </w:pPr>
            <w:r>
              <w:rPr>
                <w:rFonts w:eastAsia="Times New Roman"/>
                <w:color w:val="000000"/>
                <w:sz w:val="20"/>
                <w:szCs w:val="20"/>
              </w:rPr>
              <w:t>(331)</w:t>
            </w:r>
          </w:p>
        </w:tc>
        <w:tc>
          <w:tcPr>
            <w:tcW w:w="0" w:type="auto"/>
            <w:shd w:val="clear" w:color="auto" w:fill="CCEEFF"/>
            <w:tcMar>
              <w:top w:w="30" w:type="dxa"/>
              <w:left w:w="0" w:type="dxa"/>
              <w:bottom w:w="30" w:type="dxa"/>
              <w:right w:w="20" w:type="dxa"/>
            </w:tcMar>
            <w:vAlign w:val="bottom"/>
            <w:hideMark/>
          </w:tcPr>
          <w:p w14:paraId="252E46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3CD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4829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1394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35F6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AF6F80" w14:textId="77777777" w:rsidR="00000000" w:rsidRDefault="001A570A">
            <w:pPr>
              <w:jc w:val="right"/>
              <w:rPr>
                <w:rFonts w:eastAsia="Times New Roman"/>
              </w:rPr>
            </w:pPr>
            <w:r>
              <w:rPr>
                <w:rFonts w:eastAsia="Times New Roman"/>
                <w:color w:val="000000"/>
                <w:sz w:val="20"/>
                <w:szCs w:val="20"/>
              </w:rPr>
              <w:t>(331)</w:t>
            </w:r>
          </w:p>
        </w:tc>
        <w:tc>
          <w:tcPr>
            <w:tcW w:w="0" w:type="auto"/>
            <w:shd w:val="clear" w:color="auto" w:fill="CCEEFF"/>
            <w:tcMar>
              <w:top w:w="30" w:type="dxa"/>
              <w:left w:w="0" w:type="dxa"/>
              <w:bottom w:w="30" w:type="dxa"/>
              <w:right w:w="20" w:type="dxa"/>
            </w:tcMar>
            <w:vAlign w:val="bottom"/>
            <w:hideMark/>
          </w:tcPr>
          <w:p w14:paraId="575531C1" w14:textId="77777777" w:rsidR="00000000" w:rsidRDefault="001A570A">
            <w:pPr>
              <w:jc w:val="right"/>
              <w:rPr>
                <w:rFonts w:eastAsia="Times New Roman"/>
              </w:rPr>
            </w:pPr>
          </w:p>
        </w:tc>
      </w:tr>
      <w:tr w:rsidR="00000000" w14:paraId="72898507" w14:textId="77777777">
        <w:trPr>
          <w:divId w:val="610626430"/>
          <w:jc w:val="center"/>
        </w:trPr>
        <w:tc>
          <w:tcPr>
            <w:tcW w:w="0" w:type="auto"/>
            <w:gridSpan w:val="3"/>
            <w:vAlign w:val="center"/>
            <w:hideMark/>
          </w:tcPr>
          <w:p w14:paraId="3289EDDE" w14:textId="77777777" w:rsidR="00000000" w:rsidRDefault="001A570A">
            <w:pPr>
              <w:jc w:val="right"/>
              <w:rPr>
                <w:rFonts w:eastAsia="Times New Roman"/>
                <w:sz w:val="20"/>
                <w:szCs w:val="20"/>
              </w:rPr>
            </w:pPr>
          </w:p>
        </w:tc>
        <w:tc>
          <w:tcPr>
            <w:tcW w:w="0" w:type="auto"/>
            <w:gridSpan w:val="3"/>
            <w:vAlign w:val="center"/>
            <w:hideMark/>
          </w:tcPr>
          <w:p w14:paraId="70771BE9" w14:textId="77777777" w:rsidR="00000000" w:rsidRDefault="001A570A">
            <w:pPr>
              <w:rPr>
                <w:rFonts w:eastAsia="Times New Roman"/>
                <w:sz w:val="20"/>
                <w:szCs w:val="20"/>
              </w:rPr>
            </w:pPr>
          </w:p>
        </w:tc>
        <w:tc>
          <w:tcPr>
            <w:tcW w:w="0" w:type="auto"/>
            <w:gridSpan w:val="3"/>
            <w:vAlign w:val="center"/>
            <w:hideMark/>
          </w:tcPr>
          <w:p w14:paraId="2476B7AD" w14:textId="77777777" w:rsidR="00000000" w:rsidRDefault="001A570A">
            <w:pPr>
              <w:rPr>
                <w:rFonts w:eastAsia="Times New Roman"/>
                <w:sz w:val="20"/>
                <w:szCs w:val="20"/>
              </w:rPr>
            </w:pPr>
          </w:p>
        </w:tc>
        <w:tc>
          <w:tcPr>
            <w:tcW w:w="0" w:type="auto"/>
            <w:gridSpan w:val="3"/>
            <w:vAlign w:val="center"/>
            <w:hideMark/>
          </w:tcPr>
          <w:p w14:paraId="79712F67" w14:textId="77777777" w:rsidR="00000000" w:rsidRDefault="001A570A">
            <w:pPr>
              <w:rPr>
                <w:rFonts w:eastAsia="Times New Roman"/>
                <w:sz w:val="20"/>
                <w:szCs w:val="20"/>
              </w:rPr>
            </w:pPr>
          </w:p>
        </w:tc>
        <w:tc>
          <w:tcPr>
            <w:tcW w:w="0" w:type="auto"/>
            <w:gridSpan w:val="3"/>
            <w:vAlign w:val="center"/>
            <w:hideMark/>
          </w:tcPr>
          <w:p w14:paraId="06346E2B" w14:textId="77777777" w:rsidR="00000000" w:rsidRDefault="001A570A">
            <w:pPr>
              <w:rPr>
                <w:rFonts w:eastAsia="Times New Roman"/>
                <w:sz w:val="20"/>
                <w:szCs w:val="20"/>
              </w:rPr>
            </w:pPr>
          </w:p>
        </w:tc>
        <w:tc>
          <w:tcPr>
            <w:tcW w:w="0" w:type="auto"/>
            <w:gridSpan w:val="3"/>
            <w:vAlign w:val="center"/>
            <w:hideMark/>
          </w:tcPr>
          <w:p w14:paraId="247322E4" w14:textId="77777777" w:rsidR="00000000" w:rsidRDefault="001A570A">
            <w:pPr>
              <w:rPr>
                <w:rFonts w:eastAsia="Times New Roman"/>
                <w:sz w:val="20"/>
                <w:szCs w:val="20"/>
              </w:rPr>
            </w:pPr>
          </w:p>
        </w:tc>
        <w:tc>
          <w:tcPr>
            <w:tcW w:w="0" w:type="auto"/>
            <w:gridSpan w:val="3"/>
            <w:vAlign w:val="center"/>
            <w:hideMark/>
          </w:tcPr>
          <w:p w14:paraId="700E524D" w14:textId="77777777" w:rsidR="00000000" w:rsidRDefault="001A570A">
            <w:pPr>
              <w:rPr>
                <w:rFonts w:eastAsia="Times New Roman"/>
                <w:sz w:val="20"/>
                <w:szCs w:val="20"/>
              </w:rPr>
            </w:pPr>
          </w:p>
        </w:tc>
        <w:tc>
          <w:tcPr>
            <w:tcW w:w="0" w:type="auto"/>
            <w:gridSpan w:val="3"/>
            <w:vAlign w:val="center"/>
            <w:hideMark/>
          </w:tcPr>
          <w:p w14:paraId="70784D21" w14:textId="77777777" w:rsidR="00000000" w:rsidRDefault="001A570A">
            <w:pPr>
              <w:rPr>
                <w:rFonts w:eastAsia="Times New Roman"/>
                <w:sz w:val="20"/>
                <w:szCs w:val="20"/>
              </w:rPr>
            </w:pPr>
          </w:p>
        </w:tc>
        <w:tc>
          <w:tcPr>
            <w:tcW w:w="0" w:type="auto"/>
            <w:gridSpan w:val="3"/>
            <w:vAlign w:val="center"/>
            <w:hideMark/>
          </w:tcPr>
          <w:p w14:paraId="5233E040" w14:textId="77777777" w:rsidR="00000000" w:rsidRDefault="001A570A">
            <w:pPr>
              <w:rPr>
                <w:rFonts w:eastAsia="Times New Roman"/>
                <w:sz w:val="20"/>
                <w:szCs w:val="20"/>
              </w:rPr>
            </w:pPr>
          </w:p>
        </w:tc>
        <w:tc>
          <w:tcPr>
            <w:tcW w:w="0" w:type="auto"/>
            <w:gridSpan w:val="3"/>
            <w:vAlign w:val="center"/>
            <w:hideMark/>
          </w:tcPr>
          <w:p w14:paraId="2B2EDB6E" w14:textId="77777777" w:rsidR="00000000" w:rsidRDefault="001A570A">
            <w:pPr>
              <w:rPr>
                <w:rFonts w:eastAsia="Times New Roman"/>
                <w:sz w:val="20"/>
                <w:szCs w:val="20"/>
              </w:rPr>
            </w:pPr>
          </w:p>
        </w:tc>
        <w:tc>
          <w:tcPr>
            <w:tcW w:w="0" w:type="auto"/>
            <w:gridSpan w:val="3"/>
            <w:vAlign w:val="center"/>
            <w:hideMark/>
          </w:tcPr>
          <w:p w14:paraId="3FA4DF2E" w14:textId="77777777" w:rsidR="00000000" w:rsidRDefault="001A570A">
            <w:pPr>
              <w:rPr>
                <w:rFonts w:eastAsia="Times New Roman"/>
                <w:sz w:val="20"/>
                <w:szCs w:val="20"/>
              </w:rPr>
            </w:pPr>
          </w:p>
        </w:tc>
        <w:tc>
          <w:tcPr>
            <w:tcW w:w="0" w:type="auto"/>
            <w:gridSpan w:val="3"/>
            <w:vAlign w:val="center"/>
            <w:hideMark/>
          </w:tcPr>
          <w:p w14:paraId="3312C7D8" w14:textId="77777777" w:rsidR="00000000" w:rsidRDefault="001A570A">
            <w:pPr>
              <w:rPr>
                <w:rFonts w:eastAsia="Times New Roman"/>
                <w:sz w:val="20"/>
                <w:szCs w:val="20"/>
              </w:rPr>
            </w:pPr>
          </w:p>
        </w:tc>
      </w:tr>
      <w:tr w:rsidR="00000000" w14:paraId="03D37DD3"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20C15C66" w14:textId="77777777" w:rsidR="00000000" w:rsidRDefault="001A570A">
            <w:pPr>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14:paraId="35027C76"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3B6D98A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70E9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46DC31" w14:textId="77777777" w:rsidR="00000000" w:rsidRDefault="001A570A">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577A260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1DFC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23A6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47068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1B6E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31B5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1D55A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B37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C981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A48B5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27DB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DD203" w14:textId="77777777" w:rsidR="00000000" w:rsidRDefault="001A570A">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180E9E16" w14:textId="77777777" w:rsidR="00000000" w:rsidRDefault="001A570A">
            <w:pPr>
              <w:jc w:val="right"/>
              <w:rPr>
                <w:rFonts w:eastAsia="Times New Roman"/>
              </w:rPr>
            </w:pPr>
          </w:p>
        </w:tc>
      </w:tr>
      <w:tr w:rsidR="00000000" w14:paraId="3F8142BF"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638EB43C" w14:textId="77777777" w:rsidR="00000000" w:rsidRDefault="001A570A">
            <w:pPr>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14:paraId="74A53E8E"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025DC8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ED8A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AD590" w14:textId="77777777" w:rsidR="00000000" w:rsidRDefault="001A570A">
            <w:pPr>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14:paraId="54DFE40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CD8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5A24B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3FFBB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876E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5F9B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AAE3F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82A9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877F2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251AE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540A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0DCD09" w14:textId="77777777" w:rsidR="00000000" w:rsidRDefault="001A570A">
            <w:pPr>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14:paraId="007FBCF9" w14:textId="77777777" w:rsidR="00000000" w:rsidRDefault="001A570A">
            <w:pPr>
              <w:jc w:val="right"/>
              <w:rPr>
                <w:rFonts w:eastAsia="Times New Roman"/>
              </w:rPr>
            </w:pPr>
          </w:p>
        </w:tc>
      </w:tr>
      <w:tr w:rsidR="00000000" w14:paraId="22B7E732"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5CEA6C42" w14:textId="77777777" w:rsidR="00000000" w:rsidRDefault="001A570A">
            <w:pPr>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2848013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642B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0F22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668C1" w14:textId="77777777" w:rsidR="00000000" w:rsidRDefault="001A570A">
            <w:pPr>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436DA2D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D97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6F8CF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7F09F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D16D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27AC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3D902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093F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95C7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ED5D7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720A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B9323" w14:textId="77777777" w:rsidR="00000000" w:rsidRDefault="001A570A">
            <w:pPr>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14:paraId="44E866AD" w14:textId="77777777" w:rsidR="00000000" w:rsidRDefault="001A570A">
            <w:pPr>
              <w:jc w:val="right"/>
              <w:rPr>
                <w:rFonts w:eastAsia="Times New Roman"/>
              </w:rPr>
            </w:pPr>
          </w:p>
        </w:tc>
      </w:tr>
      <w:tr w:rsidR="00000000" w14:paraId="2AACD896"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042D35AB" w14:textId="77777777" w:rsidR="00000000" w:rsidRDefault="001A570A">
            <w:pPr>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14:paraId="5570A60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9F451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B8E8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07A9D6"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6D0B33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6C7D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DBF4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CED7E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DE16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E265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12526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F9E4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8868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6DB65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A1F6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25695"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2B104827" w14:textId="77777777" w:rsidR="00000000" w:rsidRDefault="001A570A">
            <w:pPr>
              <w:jc w:val="right"/>
              <w:rPr>
                <w:rFonts w:eastAsia="Times New Roman"/>
              </w:rPr>
            </w:pPr>
          </w:p>
        </w:tc>
      </w:tr>
      <w:tr w:rsidR="00000000" w14:paraId="7F81F3FE"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43FDB2DB" w14:textId="77777777" w:rsidR="00000000" w:rsidRDefault="001A570A">
            <w:pPr>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14:paraId="76C35685"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3EDB19C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91C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32982" w14:textId="77777777" w:rsidR="00000000" w:rsidRDefault="001A570A">
            <w:pPr>
              <w:jc w:val="right"/>
              <w:rPr>
                <w:rFonts w:eastAsia="Times New Roman"/>
              </w:rPr>
            </w:pPr>
            <w:r>
              <w:rPr>
                <w:rFonts w:eastAsia="Times New Roman"/>
                <w:color w:val="000000"/>
                <w:sz w:val="20"/>
                <w:szCs w:val="20"/>
              </w:rPr>
              <w:t>(2,046)</w:t>
            </w:r>
          </w:p>
        </w:tc>
        <w:tc>
          <w:tcPr>
            <w:tcW w:w="0" w:type="auto"/>
            <w:shd w:val="clear" w:color="auto" w:fill="FFFFFF"/>
            <w:tcMar>
              <w:top w:w="30" w:type="dxa"/>
              <w:left w:w="0" w:type="dxa"/>
              <w:bottom w:w="30" w:type="dxa"/>
              <w:right w:w="20" w:type="dxa"/>
            </w:tcMar>
            <w:vAlign w:val="bottom"/>
            <w:hideMark/>
          </w:tcPr>
          <w:p w14:paraId="6E9C196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728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F590A" w14:textId="77777777" w:rsidR="00000000" w:rsidRDefault="001A570A">
            <w:pPr>
              <w:jc w:val="right"/>
              <w:rPr>
                <w:rFonts w:eastAsia="Times New Roman"/>
              </w:rPr>
            </w:pPr>
            <w:r>
              <w:rPr>
                <w:rFonts w:eastAsia="Times New Roman"/>
                <w:color w:val="000000"/>
                <w:sz w:val="20"/>
                <w:szCs w:val="20"/>
              </w:rPr>
              <w:t>(232)</w:t>
            </w:r>
          </w:p>
        </w:tc>
        <w:tc>
          <w:tcPr>
            <w:tcW w:w="0" w:type="auto"/>
            <w:shd w:val="clear" w:color="auto" w:fill="FFFFFF"/>
            <w:tcMar>
              <w:top w:w="30" w:type="dxa"/>
              <w:left w:w="0" w:type="dxa"/>
              <w:bottom w:w="30" w:type="dxa"/>
              <w:right w:w="20" w:type="dxa"/>
            </w:tcMar>
            <w:vAlign w:val="bottom"/>
            <w:hideMark/>
          </w:tcPr>
          <w:p w14:paraId="16A7CD5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D745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549D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4E3F8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70A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8B047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37A1B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320A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486B3B" w14:textId="77777777" w:rsidR="00000000" w:rsidRDefault="001A570A">
            <w:pPr>
              <w:jc w:val="right"/>
              <w:rPr>
                <w:rFonts w:eastAsia="Times New Roman"/>
              </w:rPr>
            </w:pPr>
            <w:r>
              <w:rPr>
                <w:rFonts w:eastAsia="Times New Roman"/>
                <w:color w:val="000000"/>
                <w:sz w:val="20"/>
                <w:szCs w:val="20"/>
              </w:rPr>
              <w:t>(2,290)</w:t>
            </w:r>
          </w:p>
        </w:tc>
        <w:tc>
          <w:tcPr>
            <w:tcW w:w="0" w:type="auto"/>
            <w:shd w:val="clear" w:color="auto" w:fill="FFFFFF"/>
            <w:tcMar>
              <w:top w:w="30" w:type="dxa"/>
              <w:left w:w="0" w:type="dxa"/>
              <w:bottom w:w="30" w:type="dxa"/>
              <w:right w:w="20" w:type="dxa"/>
            </w:tcMar>
            <w:vAlign w:val="bottom"/>
            <w:hideMark/>
          </w:tcPr>
          <w:p w14:paraId="4E4671A0" w14:textId="77777777" w:rsidR="00000000" w:rsidRDefault="001A570A">
            <w:pPr>
              <w:jc w:val="right"/>
              <w:rPr>
                <w:rFonts w:eastAsia="Times New Roman"/>
              </w:rPr>
            </w:pPr>
          </w:p>
        </w:tc>
      </w:tr>
      <w:tr w:rsidR="00000000" w14:paraId="564AF0FB"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377A548E" w14:textId="77777777" w:rsidR="00000000" w:rsidRDefault="001A570A">
            <w:pPr>
              <w:divId w:val="1674332952"/>
              <w:rPr>
                <w:rFonts w:eastAsia="Times New Roman"/>
              </w:rPr>
            </w:pPr>
            <w:r>
              <w:rPr>
                <w:rFonts w:eastAsia="Times New Roman"/>
                <w:color w:val="000000"/>
                <w:sz w:val="20"/>
                <w:szCs w:val="20"/>
              </w:rPr>
              <w:t>Cash dividends ($3.40 per share)</w:t>
            </w:r>
          </w:p>
        </w:tc>
        <w:tc>
          <w:tcPr>
            <w:tcW w:w="0" w:type="auto"/>
            <w:gridSpan w:val="2"/>
            <w:shd w:val="clear" w:color="auto" w:fill="CCEEFF"/>
            <w:tcMar>
              <w:top w:w="30" w:type="dxa"/>
              <w:left w:w="20" w:type="dxa"/>
              <w:bottom w:w="30" w:type="dxa"/>
              <w:right w:w="0" w:type="dxa"/>
            </w:tcMar>
            <w:vAlign w:val="bottom"/>
            <w:hideMark/>
          </w:tcPr>
          <w:p w14:paraId="6B0A9A0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C42B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6093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CBFA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C12B6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A0D8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65727" w14:textId="77777777" w:rsidR="00000000" w:rsidRDefault="001A570A">
            <w:pPr>
              <w:jc w:val="right"/>
              <w:rPr>
                <w:rFonts w:eastAsia="Times New Roman"/>
              </w:rPr>
            </w:pPr>
            <w:r>
              <w:rPr>
                <w:rFonts w:eastAsia="Times New Roman"/>
                <w:color w:val="000000"/>
                <w:sz w:val="20"/>
                <w:szCs w:val="20"/>
              </w:rPr>
              <w:t>(725)</w:t>
            </w:r>
          </w:p>
        </w:tc>
        <w:tc>
          <w:tcPr>
            <w:tcW w:w="0" w:type="auto"/>
            <w:shd w:val="clear" w:color="auto" w:fill="CCEEFF"/>
            <w:tcMar>
              <w:top w:w="30" w:type="dxa"/>
              <w:left w:w="0" w:type="dxa"/>
              <w:bottom w:w="30" w:type="dxa"/>
              <w:right w:w="20" w:type="dxa"/>
            </w:tcMar>
            <w:vAlign w:val="bottom"/>
            <w:hideMark/>
          </w:tcPr>
          <w:p w14:paraId="15DA3B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9B4E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DD2E5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48DE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C0B2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946B0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DAA43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9AB9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97A342" w14:textId="77777777" w:rsidR="00000000" w:rsidRDefault="001A570A">
            <w:pPr>
              <w:jc w:val="right"/>
              <w:rPr>
                <w:rFonts w:eastAsia="Times New Roman"/>
              </w:rPr>
            </w:pPr>
            <w:r>
              <w:rPr>
                <w:rFonts w:eastAsia="Times New Roman"/>
                <w:color w:val="000000"/>
                <w:sz w:val="20"/>
                <w:szCs w:val="20"/>
              </w:rPr>
              <w:t>(725)</w:t>
            </w:r>
          </w:p>
        </w:tc>
        <w:tc>
          <w:tcPr>
            <w:tcW w:w="0" w:type="auto"/>
            <w:shd w:val="clear" w:color="auto" w:fill="CCEEFF"/>
            <w:tcMar>
              <w:top w:w="30" w:type="dxa"/>
              <w:left w:w="0" w:type="dxa"/>
              <w:bottom w:w="30" w:type="dxa"/>
              <w:right w:w="20" w:type="dxa"/>
            </w:tcMar>
            <w:vAlign w:val="bottom"/>
            <w:hideMark/>
          </w:tcPr>
          <w:p w14:paraId="545EDCD6" w14:textId="77777777" w:rsidR="00000000" w:rsidRDefault="001A570A">
            <w:pPr>
              <w:jc w:val="right"/>
              <w:rPr>
                <w:rFonts w:eastAsia="Times New Roman"/>
              </w:rPr>
            </w:pPr>
          </w:p>
        </w:tc>
      </w:tr>
      <w:tr w:rsidR="00000000" w14:paraId="4F0D05B8" w14:textId="77777777">
        <w:trPr>
          <w:divId w:val="610626430"/>
          <w:jc w:val="center"/>
        </w:trPr>
        <w:tc>
          <w:tcPr>
            <w:tcW w:w="0" w:type="auto"/>
            <w:gridSpan w:val="3"/>
            <w:shd w:val="clear" w:color="auto" w:fill="FFFFFF"/>
            <w:tcMar>
              <w:top w:w="30" w:type="dxa"/>
              <w:left w:w="20" w:type="dxa"/>
              <w:bottom w:w="30" w:type="dxa"/>
              <w:right w:w="20" w:type="dxa"/>
            </w:tcMar>
            <w:vAlign w:val="bottom"/>
            <w:hideMark/>
          </w:tcPr>
          <w:p w14:paraId="140BC06D" w14:textId="77777777" w:rsidR="00000000" w:rsidRDefault="001A570A">
            <w:pPr>
              <w:rPr>
                <w:rFonts w:eastAsia="Times New Roman"/>
              </w:rPr>
            </w:pPr>
            <w:r>
              <w:rPr>
                <w:rFonts w:eastAsia="Times New Roman"/>
                <w:color w:val="000000"/>
                <w:sz w:val="20"/>
                <w:szCs w:val="20"/>
              </w:rPr>
              <w:t>Other, including distributions to noncontrolling interests</w:t>
            </w:r>
          </w:p>
        </w:tc>
        <w:tc>
          <w:tcPr>
            <w:tcW w:w="0" w:type="auto"/>
            <w:gridSpan w:val="2"/>
            <w:shd w:val="clear" w:color="auto" w:fill="FFFFFF"/>
            <w:tcMar>
              <w:top w:w="30" w:type="dxa"/>
              <w:left w:w="20" w:type="dxa"/>
              <w:bottom w:w="30" w:type="dxa"/>
              <w:right w:w="0" w:type="dxa"/>
            </w:tcMar>
            <w:vAlign w:val="bottom"/>
            <w:hideMark/>
          </w:tcPr>
          <w:p w14:paraId="21E1D70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02578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4637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C846C2"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64F76B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A161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E0808"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7307040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27AC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9BFB7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0B6E8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C30F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E9013"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3EBA12E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4E8D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15324F"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4337CF00" w14:textId="77777777" w:rsidR="00000000" w:rsidRDefault="001A570A">
            <w:pPr>
              <w:jc w:val="right"/>
              <w:rPr>
                <w:rFonts w:eastAsia="Times New Roman"/>
              </w:rPr>
            </w:pPr>
          </w:p>
        </w:tc>
      </w:tr>
      <w:tr w:rsidR="00000000" w14:paraId="5DB20545" w14:textId="77777777">
        <w:trPr>
          <w:divId w:val="610626430"/>
          <w:jc w:val="center"/>
        </w:trPr>
        <w:tc>
          <w:tcPr>
            <w:tcW w:w="0" w:type="auto"/>
            <w:gridSpan w:val="3"/>
            <w:shd w:val="clear" w:color="auto" w:fill="CCEEFF"/>
            <w:tcMar>
              <w:top w:w="30" w:type="dxa"/>
              <w:left w:w="20" w:type="dxa"/>
              <w:bottom w:w="30" w:type="dxa"/>
              <w:right w:w="20" w:type="dxa"/>
            </w:tcMar>
            <w:vAlign w:val="bottom"/>
            <w:hideMark/>
          </w:tcPr>
          <w:p w14:paraId="41A15210" w14:textId="77777777" w:rsidR="00000000" w:rsidRDefault="001A570A">
            <w:pPr>
              <w:rPr>
                <w:rFonts w:eastAsia="Times New Roman"/>
              </w:rPr>
            </w:pPr>
            <w:r>
              <w:rPr>
                <w:rFonts w:eastAsia="Times New Roman"/>
                <w:b/>
                <w:bCs/>
                <w:color w:val="000000"/>
                <w:sz w:val="20"/>
                <w:szCs w:val="20"/>
              </w:rPr>
              <w:t>Balance at January 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D61111"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59B08A" w14:textId="77777777" w:rsidR="00000000" w:rsidRDefault="001A570A">
            <w:pPr>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D65F2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DE7F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87AA91"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A76859" w14:textId="77777777" w:rsidR="00000000" w:rsidRDefault="001A570A">
            <w:pPr>
              <w:jc w:val="right"/>
              <w:rPr>
                <w:rFonts w:eastAsia="Times New Roman"/>
              </w:rPr>
            </w:pPr>
            <w:r>
              <w:rPr>
                <w:rFonts w:eastAsia="Times New Roman"/>
                <w:b/>
                <w:bCs/>
                <w:color w:val="000000"/>
                <w:sz w:val="20"/>
                <w:szCs w:val="20"/>
              </w:rPr>
              <w:t>19,008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5AF8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9607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C79C6F"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C94649" w14:textId="77777777" w:rsidR="00000000" w:rsidRDefault="001A570A">
            <w:pPr>
              <w:jc w:val="right"/>
              <w:rPr>
                <w:rFonts w:eastAsia="Times New Roman"/>
              </w:rPr>
            </w:pPr>
            <w:r>
              <w:rPr>
                <w:rFonts w:eastAsia="Times New Roman"/>
                <w:b/>
                <w:bCs/>
                <w:color w:val="000000"/>
                <w:sz w:val="20"/>
                <w:szCs w:val="20"/>
              </w:rPr>
              <w:t>2,347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9A310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73FC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362FD3"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D58187" w14:textId="77777777" w:rsidR="00000000" w:rsidRDefault="001A570A">
            <w:pPr>
              <w:jc w:val="right"/>
              <w:rPr>
                <w:rFonts w:eastAsia="Times New Roman"/>
              </w:rPr>
            </w:pPr>
            <w:r>
              <w:rPr>
                <w:rFonts w:eastAsia="Times New Roman"/>
                <w:b/>
                <w:bCs/>
                <w:color w:val="000000"/>
                <w:sz w:val="20"/>
                <w:szCs w:val="20"/>
              </w:rPr>
              <w:t>(839)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D6E3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81559"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87BA17"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FAFE7C" w14:textId="77777777" w:rsidR="00000000" w:rsidRDefault="001A570A">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01DE1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2331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5E89EB"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DDB551" w14:textId="77777777" w:rsidR="00000000" w:rsidRDefault="001A570A">
            <w:pPr>
              <w:jc w:val="right"/>
              <w:rPr>
                <w:rFonts w:eastAsia="Times New Roman"/>
              </w:rPr>
            </w:pPr>
            <w:r>
              <w:rPr>
                <w:rFonts w:eastAsia="Times New Roman"/>
                <w:b/>
                <w:bCs/>
                <w:color w:val="000000"/>
                <w:sz w:val="20"/>
                <w:szCs w:val="20"/>
              </w:rPr>
              <w:t>20,841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81C011" w14:textId="77777777" w:rsidR="00000000" w:rsidRDefault="001A570A">
            <w:pPr>
              <w:jc w:val="right"/>
              <w:rPr>
                <w:rFonts w:eastAsia="Times New Roman"/>
              </w:rPr>
            </w:pPr>
          </w:p>
        </w:tc>
      </w:tr>
    </w:tbl>
    <w:p w14:paraId="118111A5" w14:textId="77777777" w:rsidR="00000000" w:rsidRDefault="001A570A">
      <w:pPr>
        <w:divId w:val="1986811031"/>
        <w:rPr>
          <w:rFonts w:eastAsia="Times New Roman"/>
        </w:rPr>
      </w:pPr>
      <w:r>
        <w:rPr>
          <w:rFonts w:eastAsia="Times New Roman"/>
          <w:color w:val="000000"/>
          <w:sz w:val="20"/>
          <w:szCs w:val="20"/>
        </w:rPr>
        <w:t>See accompanying Notes to Consolidated Financial Statements.</w:t>
      </w:r>
    </w:p>
    <w:p w14:paraId="1F8E97CC" w14:textId="77777777" w:rsidR="00000000" w:rsidRDefault="001A570A">
      <w:pPr>
        <w:ind w:firstLine="450"/>
        <w:jc w:val="center"/>
        <w:divId w:val="1357199871"/>
        <w:rPr>
          <w:rFonts w:eastAsia="Times New Roman"/>
        </w:rPr>
      </w:pPr>
      <w:r>
        <w:rPr>
          <w:rFonts w:eastAsia="Times New Roman"/>
          <w:color w:val="000000"/>
          <w:sz w:val="20"/>
          <w:szCs w:val="20"/>
        </w:rPr>
        <w:t>80</w:t>
      </w:r>
    </w:p>
    <w:p w14:paraId="3C623112" w14:textId="77777777" w:rsidR="00000000" w:rsidRDefault="001A570A">
      <w:pPr>
        <w:rPr>
          <w:rFonts w:eastAsia="Times New Roman"/>
        </w:rPr>
      </w:pPr>
      <w:r>
        <w:rPr>
          <w:rFonts w:eastAsia="Times New Roman"/>
        </w:rPr>
        <w:pict w14:anchorId="194708E1">
          <v:rect id="_x0000_i1108" style="width:0;height:1.5pt" o:hralign="center" o:hrstd="t" o:hr="t" fillcolor="#a0a0a0" stroked="f"/>
        </w:pict>
      </w:r>
    </w:p>
    <w:p w14:paraId="1E014FB7" w14:textId="77777777" w:rsidR="00000000" w:rsidRDefault="001A570A">
      <w:pPr>
        <w:ind w:firstLine="450"/>
        <w:divId w:val="943458694"/>
        <w:rPr>
          <w:rFonts w:eastAsia="Times New Roman"/>
        </w:rPr>
      </w:pPr>
    </w:p>
    <w:p w14:paraId="335BE098" w14:textId="77777777" w:rsidR="00000000" w:rsidRDefault="001A570A">
      <w:pPr>
        <w:divId w:val="1260142673"/>
        <w:rPr>
          <w:rFonts w:eastAsia="Times New Roman"/>
        </w:rPr>
      </w:pPr>
      <w:r>
        <w:rPr>
          <w:rFonts w:eastAsia="Times New Roman"/>
          <w:b/>
          <w:bCs/>
          <w:color w:val="000000"/>
          <w:sz w:val="20"/>
          <w:szCs w:val="20"/>
        </w:rPr>
        <w:t>NOTES TO CONSOLIDATE</w:t>
      </w:r>
      <w:r>
        <w:rPr>
          <w:rFonts w:eastAsia="Times New Roman"/>
          <w:b/>
          <w:bCs/>
          <w:color w:val="000000"/>
          <w:sz w:val="20"/>
          <w:szCs w:val="20"/>
        </w:rPr>
        <w:t>D FINANCIAL STATEMENTS</w:t>
      </w:r>
    </w:p>
    <w:p w14:paraId="66C3FB23" w14:textId="77777777" w:rsidR="00000000" w:rsidRDefault="001A570A">
      <w:pPr>
        <w:divId w:val="46299060"/>
        <w:rPr>
          <w:rFonts w:eastAsia="Times New Roman"/>
        </w:rPr>
      </w:pPr>
      <w:r>
        <w:rPr>
          <w:rFonts w:eastAsia="Times New Roman"/>
          <w:b/>
          <w:bCs/>
          <w:color w:val="000000"/>
          <w:sz w:val="20"/>
          <w:szCs w:val="20"/>
        </w:rPr>
        <w:t>NOTE 1: SIGNIFICANT ACCOUNTING POLICIES</w:t>
      </w:r>
      <w:r>
        <w:rPr>
          <w:rFonts w:eastAsia="Times New Roman"/>
          <w:b/>
          <w:bCs/>
          <w:i/>
          <w:iCs/>
          <w:color w:val="000000"/>
          <w:sz w:val="20"/>
          <w:szCs w:val="20"/>
        </w:rPr>
        <w:t xml:space="preserve"> </w:t>
      </w:r>
    </w:p>
    <w:p w14:paraId="07865857" w14:textId="77777777" w:rsidR="00000000" w:rsidRDefault="001A570A">
      <w:pPr>
        <w:ind w:firstLine="450"/>
        <w:divId w:val="1457723702"/>
        <w:rPr>
          <w:rFonts w:eastAsia="Times New Roman"/>
        </w:rPr>
      </w:pPr>
      <w:r>
        <w:rPr>
          <w:rFonts w:eastAsia="Times New Roman"/>
          <w:b/>
          <w:bCs/>
          <w:color w:val="000000"/>
          <w:sz w:val="20"/>
          <w:szCs w:val="20"/>
        </w:rPr>
        <w:t xml:space="preserve">Organization </w:t>
      </w:r>
      <w:r>
        <w:rPr>
          <w:rFonts w:eastAsia="Times New Roman"/>
          <w:color w:val="000000"/>
          <w:sz w:val="20"/>
          <w:szCs w:val="20"/>
        </w:rPr>
        <w:t xml:space="preserve">— </w:t>
      </w:r>
      <w:r>
        <w:rPr>
          <w:rFonts w:eastAsia="Times New Roman"/>
          <w:color w:val="000000"/>
          <w:sz w:val="20"/>
          <w:szCs w:val="20"/>
        </w:rPr>
        <w:t>L3Harris Technologies, Inc., together with its subsidiaries, is an agile global aerospace and defense technology innovator, delivering end-to-end solutions that meet customers’ mission-critical needs. We provide advanced defense and commercial technologies</w:t>
      </w:r>
      <w:r>
        <w:rPr>
          <w:rFonts w:eastAsia="Times New Roman"/>
          <w:color w:val="000000"/>
          <w:sz w:val="20"/>
          <w:szCs w:val="20"/>
        </w:rPr>
        <w:t xml:space="preserve"> across air, land, sea, space and cyber domains. We support government and commercial customers in more than 100 countries, with our largest customers being various departments and agencies of the U.S. Government and their prime contractors. Our products, </w:t>
      </w:r>
      <w:r>
        <w:rPr>
          <w:rFonts w:eastAsia="Times New Roman"/>
          <w:color w:val="000000"/>
          <w:sz w:val="20"/>
          <w:szCs w:val="20"/>
        </w:rPr>
        <w:t xml:space="preserve">systems and services have defense and civil government applications, as well as commercial applications. As of January 1, 2021, we had approximately 48,000 employees, including approximately 19,000 engineers and scientists. </w:t>
      </w:r>
    </w:p>
    <w:p w14:paraId="47F7C74A" w14:textId="77777777" w:rsidR="00000000" w:rsidRDefault="001A570A">
      <w:pPr>
        <w:ind w:firstLine="450"/>
        <w:divId w:val="1215193659"/>
        <w:rPr>
          <w:rFonts w:eastAsia="Times New Roman"/>
        </w:rPr>
      </w:pPr>
      <w:r>
        <w:rPr>
          <w:rFonts w:eastAsia="Times New Roman"/>
          <w:b/>
          <w:bCs/>
          <w:color w:val="000000"/>
          <w:sz w:val="20"/>
          <w:szCs w:val="20"/>
        </w:rPr>
        <w:t>Principles of Consolidation</w:t>
      </w:r>
      <w:r>
        <w:rPr>
          <w:rFonts w:eastAsia="Times New Roman"/>
          <w:color w:val="000000"/>
          <w:sz w:val="20"/>
          <w:szCs w:val="20"/>
        </w:rPr>
        <w:t> — O</w:t>
      </w:r>
      <w:r>
        <w:rPr>
          <w:rFonts w:eastAsia="Times New Roman"/>
          <w:color w:val="000000"/>
          <w:sz w:val="20"/>
          <w:szCs w:val="20"/>
        </w:rPr>
        <w:t>ur Consolidated Financial Statements include the accounts of L3Harris Technologies, Inc. and its consolidated subsidiaries. As used in these Notes to Consolidated Financial Statements (these “Notes”), the terms “L3Harris,” “Company,” “we,” “our” and “us” r</w:t>
      </w:r>
      <w:r>
        <w:rPr>
          <w:rFonts w:eastAsia="Times New Roman"/>
          <w:color w:val="000000"/>
          <w:sz w:val="20"/>
          <w:szCs w:val="20"/>
        </w:rPr>
        <w:t xml:space="preserve">efer to L3Harris Technologies, Inc. and its consolidated subsidiaries. Intracompany transactions and accounts have been eliminated. </w:t>
      </w:r>
    </w:p>
    <w:p w14:paraId="07A538E1" w14:textId="77777777" w:rsidR="00000000" w:rsidRDefault="001A570A">
      <w:pPr>
        <w:ind w:firstLine="450"/>
        <w:divId w:val="263656250"/>
        <w:rPr>
          <w:rFonts w:eastAsia="Times New Roman"/>
        </w:rPr>
      </w:pPr>
      <w:r>
        <w:rPr>
          <w:rFonts w:eastAsia="Times New Roman"/>
          <w:color w:val="000000"/>
          <w:sz w:val="20"/>
          <w:szCs w:val="20"/>
        </w:rPr>
        <w:t>Amounts contained in this Report may not always add to totals due to rounding.</w:t>
      </w:r>
    </w:p>
    <w:p w14:paraId="6883BECB" w14:textId="77777777" w:rsidR="00000000" w:rsidRDefault="001A570A">
      <w:pPr>
        <w:ind w:firstLine="450"/>
        <w:divId w:val="522204170"/>
        <w:rPr>
          <w:rFonts w:eastAsia="Times New Roman"/>
        </w:rPr>
      </w:pPr>
      <w:r>
        <w:rPr>
          <w:rFonts w:eastAsia="Times New Roman"/>
          <w:b/>
          <w:bCs/>
          <w:color w:val="000000"/>
          <w:sz w:val="20"/>
          <w:szCs w:val="20"/>
        </w:rPr>
        <w:t>L3Harris Merger</w:t>
      </w:r>
      <w:r>
        <w:rPr>
          <w:rFonts w:eastAsia="Times New Roman"/>
          <w:color w:val="000000"/>
          <w:sz w:val="20"/>
          <w:szCs w:val="20"/>
        </w:rPr>
        <w:t xml:space="preserve"> — See </w:t>
      </w:r>
      <w:r>
        <w:rPr>
          <w:rFonts w:eastAsia="Times New Roman"/>
          <w:i/>
          <w:iCs/>
          <w:color w:val="000000"/>
          <w:sz w:val="20"/>
          <w:szCs w:val="20"/>
        </w:rPr>
        <w:t>Note 5: Business Combi</w:t>
      </w:r>
      <w:r>
        <w:rPr>
          <w:rFonts w:eastAsia="Times New Roman"/>
          <w:i/>
          <w:iCs/>
          <w:color w:val="000000"/>
          <w:sz w:val="20"/>
          <w:szCs w:val="20"/>
        </w:rPr>
        <w:t>nation</w:t>
      </w:r>
      <w:r>
        <w:rPr>
          <w:rFonts w:eastAsia="Times New Roman"/>
          <w:color w:val="000000"/>
          <w:sz w:val="20"/>
          <w:szCs w:val="20"/>
        </w:rPr>
        <w:t xml:space="preserve"> in these Notes for information related to the business combination in which Harris Corporation (“Harris”) and L3 Technologies, Inc. (“L3”) combined their respective businesses in an all-stock merger that resulted in our combined Company, L3Harris Te</w:t>
      </w:r>
      <w:r>
        <w:rPr>
          <w:rFonts w:eastAsia="Times New Roman"/>
          <w:color w:val="000000"/>
          <w:sz w:val="20"/>
          <w:szCs w:val="20"/>
        </w:rPr>
        <w:t xml:space="preserve">chnologies, Inc. </w:t>
      </w:r>
    </w:p>
    <w:p w14:paraId="213B4E49" w14:textId="77777777" w:rsidR="00000000" w:rsidRDefault="001A570A">
      <w:pPr>
        <w:ind w:firstLine="450"/>
        <w:divId w:val="1894732335"/>
        <w:rPr>
          <w:rFonts w:eastAsia="Times New Roman"/>
        </w:rPr>
      </w:pPr>
      <w:r>
        <w:rPr>
          <w:rFonts w:eastAsia="Times New Roman"/>
          <w:color w:val="000000"/>
          <w:sz w:val="20"/>
          <w:szCs w:val="20"/>
        </w:rPr>
        <w:t xml:space="preserve">Due to the L3Harris Merger (as defined in </w:t>
      </w:r>
      <w:r>
        <w:rPr>
          <w:rFonts w:eastAsia="Times New Roman"/>
          <w:i/>
          <w:iCs/>
          <w:color w:val="000000"/>
          <w:sz w:val="20"/>
          <w:szCs w:val="20"/>
        </w:rPr>
        <w:t>Note 5: Business Combination</w:t>
      </w:r>
      <w:r>
        <w:rPr>
          <w:rFonts w:eastAsia="Times New Roman"/>
          <w:color w:val="000000"/>
          <w:sz w:val="20"/>
          <w:szCs w:val="20"/>
        </w:rPr>
        <w:t xml:space="preserve"> in these Notes), which closed on June 29, 2019, the fiscal year ended January 1, 2021 and two quarters ended January 3, 2020 reflect the results of the combined Compan</w:t>
      </w:r>
      <w:r>
        <w:rPr>
          <w:rFonts w:eastAsia="Times New Roman"/>
          <w:color w:val="000000"/>
          <w:sz w:val="20"/>
          <w:szCs w:val="20"/>
        </w:rPr>
        <w:t>y, while fiscal years ended June 28, 2019 and June 29, 2018 reflect the results of only Harris operating businesses.</w:t>
      </w:r>
    </w:p>
    <w:p w14:paraId="7B370681" w14:textId="77777777" w:rsidR="00000000" w:rsidRDefault="001A570A">
      <w:pPr>
        <w:ind w:firstLine="450"/>
        <w:divId w:val="86343020"/>
        <w:rPr>
          <w:rFonts w:eastAsia="Times New Roman"/>
        </w:rPr>
      </w:pPr>
      <w:r>
        <w:rPr>
          <w:rFonts w:eastAsia="Times New Roman"/>
          <w:b/>
          <w:bCs/>
          <w:color w:val="000000"/>
          <w:sz w:val="20"/>
          <w:szCs w:val="20"/>
        </w:rPr>
        <w:t xml:space="preserve">Organizational Structure </w:t>
      </w:r>
      <w:r>
        <w:rPr>
          <w:rFonts w:eastAsia="Times New Roman"/>
          <w:color w:val="000000"/>
          <w:sz w:val="20"/>
          <w:szCs w:val="20"/>
        </w:rPr>
        <w:t>— We implemented a new organizational structure effective on June 29, 2019, which resulted in changes to our opera</w:t>
      </w:r>
      <w:r>
        <w:rPr>
          <w:rFonts w:eastAsia="Times New Roman"/>
          <w:color w:val="000000"/>
          <w:sz w:val="20"/>
          <w:szCs w:val="20"/>
        </w:rPr>
        <w:t>ting segments, which are also reportable segments and referred to as our business segments. During the quarter ended April 3, 2020, we further adjusted our segment reporting to better align our businesses and transferred two businesses between our Integrat</w:t>
      </w:r>
      <w:r>
        <w:rPr>
          <w:rFonts w:eastAsia="Times New Roman"/>
          <w:color w:val="000000"/>
          <w:sz w:val="20"/>
          <w:szCs w:val="20"/>
        </w:rPr>
        <w:t xml:space="preserve">ed Mission Systems and Space and Airborne Systems segments. The historical results, discussion and presentation of our business segments as set forth in the accompanying Consolidated Financial Statements and these Notes reflect the impact of these changes </w:t>
      </w:r>
      <w:r>
        <w:rPr>
          <w:rFonts w:eastAsia="Times New Roman"/>
          <w:color w:val="000000"/>
          <w:sz w:val="20"/>
          <w:szCs w:val="20"/>
        </w:rPr>
        <w:t xml:space="preserve">for all periods presented in order to present segment information on a comparable basis. There is no impact on our previously reported consolidated statements of income, balance sheets, statements of cash flows or statements of equity resulting from these </w:t>
      </w:r>
      <w:r>
        <w:rPr>
          <w:rFonts w:eastAsia="Times New Roman"/>
          <w:color w:val="000000"/>
          <w:sz w:val="20"/>
          <w:szCs w:val="20"/>
        </w:rPr>
        <w:t xml:space="preserve">changes. </w:t>
      </w:r>
    </w:p>
    <w:p w14:paraId="090187B7" w14:textId="77777777" w:rsidR="00000000" w:rsidRDefault="001A570A">
      <w:pPr>
        <w:ind w:firstLine="450"/>
        <w:divId w:val="1031109459"/>
        <w:rPr>
          <w:rFonts w:eastAsia="Times New Roman"/>
        </w:rPr>
      </w:pPr>
      <w:r>
        <w:rPr>
          <w:rFonts w:eastAsia="Times New Roman"/>
          <w:b/>
          <w:bCs/>
          <w:color w:val="000000"/>
          <w:sz w:val="20"/>
          <w:szCs w:val="20"/>
        </w:rPr>
        <w:t>Divestitures</w:t>
      </w:r>
      <w:r>
        <w:rPr>
          <w:rFonts w:eastAsia="Times New Roman"/>
          <w:color w:val="000000"/>
          <w:sz w:val="20"/>
          <w:szCs w:val="20"/>
        </w:rPr>
        <w:t xml:space="preserve"> —See </w:t>
      </w:r>
      <w:r>
        <w:rPr>
          <w:rFonts w:eastAsia="Times New Roman"/>
          <w:i/>
          <w:iCs/>
          <w:color w:val="000000"/>
          <w:sz w:val="20"/>
          <w:szCs w:val="20"/>
        </w:rPr>
        <w:t>Note 3: Business Divestitures and Asset Sales</w:t>
      </w:r>
      <w:r>
        <w:rPr>
          <w:rFonts w:eastAsia="Times New Roman"/>
          <w:color w:val="000000"/>
          <w:sz w:val="20"/>
          <w:szCs w:val="20"/>
        </w:rPr>
        <w:t xml:space="preserve"> in these Notes for information regarding the following and other divestitures by us in 2019 and 2020: the divestiture of the Harris Night Vision business completed on September 13, 2</w:t>
      </w:r>
      <w:r>
        <w:rPr>
          <w:rFonts w:eastAsia="Times New Roman"/>
          <w:color w:val="000000"/>
          <w:sz w:val="20"/>
          <w:szCs w:val="20"/>
        </w:rPr>
        <w:t>019; the divestiture of the Security &amp; Detection Systems and MacDonald Humfrey Automation solutions business completed on May 4, 2020; the divestiture of the Applied Kilovolts and Analytical Instrumentation business completed on May 15, 2020; and the dives</w:t>
      </w:r>
      <w:r>
        <w:rPr>
          <w:rFonts w:eastAsia="Times New Roman"/>
          <w:color w:val="000000"/>
          <w:sz w:val="20"/>
          <w:szCs w:val="20"/>
        </w:rPr>
        <w:t>titure of the EOTech business completed on July 31, 2020.</w:t>
      </w:r>
    </w:p>
    <w:p w14:paraId="1AC02CE8" w14:textId="77777777" w:rsidR="00000000" w:rsidRDefault="001A570A">
      <w:pPr>
        <w:ind w:firstLine="450"/>
        <w:divId w:val="1148395599"/>
        <w:rPr>
          <w:rFonts w:eastAsia="Times New Roman"/>
        </w:rPr>
      </w:pPr>
      <w:r>
        <w:rPr>
          <w:rFonts w:eastAsia="Times New Roman"/>
          <w:b/>
          <w:bCs/>
          <w:color w:val="000000"/>
          <w:sz w:val="20"/>
          <w:szCs w:val="20"/>
        </w:rPr>
        <w:t xml:space="preserve">Fiscal Year </w:t>
      </w:r>
      <w:r>
        <w:rPr>
          <w:rFonts w:eastAsia="Times New Roman"/>
          <w:color w:val="000000"/>
          <w:sz w:val="20"/>
          <w:szCs w:val="20"/>
        </w:rPr>
        <w:t>— Through fiscal 2019, our fiscal year ended on the Friday nearest June 30. Commencing with the period from June 29, 2019 through January 3, 2020 (“Fiscal Transition Period”), our fiscal</w:t>
      </w:r>
      <w:r>
        <w:rPr>
          <w:rFonts w:eastAsia="Times New Roman"/>
          <w:color w:val="000000"/>
          <w:sz w:val="20"/>
          <w:szCs w:val="20"/>
        </w:rPr>
        <w:t xml:space="preserve"> year ends on the Friday nearest December 31. Our fiscal year ended January 1, 2021 included 52 weeks, our Fiscal Transition Period included 27 weeks, and each of our fiscal years ended June 28, 2019 and June 29, 2018 included 52 weeks. The unaudited prior</w:t>
      </w:r>
      <w:r>
        <w:rPr>
          <w:rFonts w:eastAsia="Times New Roman"/>
          <w:color w:val="000000"/>
          <w:sz w:val="20"/>
          <w:szCs w:val="20"/>
        </w:rPr>
        <w:t xml:space="preserve"> four quarter period results for the comparative period ended January 3, 2020 included 53 weeks and the unaudited prior two quarters period results for the comparative period ended December 28, 2018 included 26 weeks. See </w:t>
      </w:r>
      <w:r>
        <w:rPr>
          <w:rFonts w:eastAsia="Times New Roman"/>
          <w:i/>
          <w:iCs/>
          <w:color w:val="000000"/>
          <w:sz w:val="20"/>
          <w:szCs w:val="20"/>
        </w:rPr>
        <w:t>Note 27: Transition Period Compara</w:t>
      </w:r>
      <w:r>
        <w:rPr>
          <w:rFonts w:eastAsia="Times New Roman"/>
          <w:i/>
          <w:iCs/>
          <w:color w:val="000000"/>
          <w:sz w:val="20"/>
          <w:szCs w:val="20"/>
        </w:rPr>
        <w:t>tive Data (Unaudited)</w:t>
      </w:r>
      <w:r>
        <w:rPr>
          <w:rFonts w:eastAsia="Times New Roman"/>
          <w:color w:val="000000"/>
          <w:sz w:val="20"/>
          <w:szCs w:val="20"/>
        </w:rPr>
        <w:t xml:space="preserve"> in these Notes for additional information. </w:t>
      </w:r>
    </w:p>
    <w:p w14:paraId="59878750" w14:textId="77777777" w:rsidR="00000000" w:rsidRDefault="001A570A">
      <w:pPr>
        <w:ind w:firstLine="450"/>
        <w:divId w:val="127744355"/>
        <w:rPr>
          <w:rFonts w:eastAsia="Times New Roman"/>
        </w:rPr>
      </w:pPr>
      <w:r>
        <w:rPr>
          <w:rFonts w:eastAsia="Times New Roman"/>
          <w:b/>
          <w:bCs/>
          <w:color w:val="000000"/>
          <w:sz w:val="20"/>
          <w:szCs w:val="20"/>
        </w:rPr>
        <w:t>Use of Estimates</w:t>
      </w:r>
      <w:r>
        <w:rPr>
          <w:rFonts w:eastAsia="Times New Roman"/>
          <w:color w:val="000000"/>
          <w:sz w:val="20"/>
          <w:szCs w:val="20"/>
        </w:rPr>
        <w:t> — The preparation of financial statements in accordance with U.S. Generally Accepted Accounting Principles (“GAAP”) requires us to make estimates and assumptions that affect</w:t>
      </w:r>
      <w:r>
        <w:rPr>
          <w:rFonts w:eastAsia="Times New Roman"/>
          <w:color w:val="000000"/>
          <w:sz w:val="20"/>
          <w:szCs w:val="20"/>
        </w:rPr>
        <w:t xml:space="preserve"> the amounts reported in the accompanying Consolidated Financial Statements and these Notes and related disclosures. These estimates and assumptions are based on experience and other information available prior to issuance of the accompanying Consolidated </w:t>
      </w:r>
      <w:r>
        <w:rPr>
          <w:rFonts w:eastAsia="Times New Roman"/>
          <w:color w:val="000000"/>
          <w:sz w:val="20"/>
          <w:szCs w:val="20"/>
        </w:rPr>
        <w:t>Financial Statements and these Notes. Materially different results can occur as circumstances change and additional information becomes known.</w:t>
      </w:r>
    </w:p>
    <w:p w14:paraId="3F5EE965" w14:textId="77777777" w:rsidR="00000000" w:rsidRDefault="001A570A">
      <w:pPr>
        <w:ind w:firstLine="450"/>
        <w:divId w:val="729378196"/>
        <w:rPr>
          <w:rFonts w:eastAsia="Times New Roman"/>
        </w:rPr>
      </w:pPr>
      <w:r>
        <w:rPr>
          <w:rFonts w:eastAsia="Times New Roman"/>
          <w:b/>
          <w:bCs/>
          <w:color w:val="000000"/>
          <w:sz w:val="20"/>
          <w:szCs w:val="20"/>
        </w:rPr>
        <w:t>Cash and Cash Equivalents</w:t>
      </w:r>
      <w:r>
        <w:rPr>
          <w:rFonts w:eastAsia="Times New Roman"/>
          <w:color w:val="000000"/>
          <w:sz w:val="20"/>
          <w:szCs w:val="20"/>
        </w:rPr>
        <w:t> — Cash equivalents are temporary cash investments with a maturity of three or fewer mon</w:t>
      </w:r>
      <w:r>
        <w:rPr>
          <w:rFonts w:eastAsia="Times New Roman"/>
          <w:color w:val="000000"/>
          <w:sz w:val="20"/>
          <w:szCs w:val="20"/>
        </w:rPr>
        <w:t>ths when purchased. These investments include accrued interest and are carried at the lower of cost or market.</w:t>
      </w:r>
    </w:p>
    <w:p w14:paraId="372C9FA8" w14:textId="77777777" w:rsidR="00000000" w:rsidRDefault="001A570A">
      <w:pPr>
        <w:ind w:firstLine="450"/>
        <w:divId w:val="1951158983"/>
        <w:rPr>
          <w:rFonts w:eastAsia="Times New Roman"/>
        </w:rPr>
      </w:pPr>
      <w:r>
        <w:rPr>
          <w:rFonts w:eastAsia="Times New Roman"/>
          <w:b/>
          <w:bCs/>
          <w:color w:val="000000"/>
          <w:sz w:val="20"/>
          <w:szCs w:val="20"/>
        </w:rPr>
        <w:t>Fair Value of Financial Instruments</w:t>
      </w:r>
      <w:r>
        <w:rPr>
          <w:rFonts w:eastAsia="Times New Roman"/>
          <w:color w:val="000000"/>
          <w:sz w:val="20"/>
          <w:szCs w:val="20"/>
        </w:rPr>
        <w:t xml:space="preserve"> — The carrying amounts reflected in our Consolidated Balance Sheet for cash and cash equivalents, accounts re</w:t>
      </w:r>
      <w:r>
        <w:rPr>
          <w:rFonts w:eastAsia="Times New Roman"/>
          <w:color w:val="000000"/>
          <w:sz w:val="20"/>
          <w:szCs w:val="20"/>
        </w:rPr>
        <w:t>ceivable, non-current receivables, notes receivable, accounts payable, short-term debt and long-term variable-rate debt approximate their fair values. Fair values for long-term fixed-rate debt are primarily based on quoted market prices for those or simila</w:t>
      </w:r>
      <w:r>
        <w:rPr>
          <w:rFonts w:eastAsia="Times New Roman"/>
          <w:color w:val="000000"/>
          <w:sz w:val="20"/>
          <w:szCs w:val="20"/>
        </w:rPr>
        <w:t xml:space="preserve">r instruments. See </w:t>
      </w:r>
      <w:r>
        <w:rPr>
          <w:rFonts w:eastAsia="Times New Roman"/>
          <w:i/>
          <w:iCs/>
          <w:color w:val="000000"/>
          <w:sz w:val="20"/>
          <w:szCs w:val="20"/>
        </w:rPr>
        <w:t>Note 14: Debt</w:t>
      </w:r>
      <w:r>
        <w:rPr>
          <w:rFonts w:eastAsia="Times New Roman"/>
          <w:color w:val="000000"/>
          <w:sz w:val="20"/>
          <w:szCs w:val="20"/>
        </w:rPr>
        <w:t xml:space="preserve"> in these Notes for additional information regarding fair values for our </w:t>
      </w:r>
    </w:p>
    <w:p w14:paraId="45F5D350" w14:textId="77777777" w:rsidR="00000000" w:rsidRDefault="001A570A">
      <w:pPr>
        <w:ind w:firstLine="450"/>
        <w:jc w:val="center"/>
        <w:divId w:val="1179344505"/>
        <w:rPr>
          <w:rFonts w:eastAsia="Times New Roman"/>
        </w:rPr>
      </w:pPr>
      <w:r>
        <w:rPr>
          <w:rFonts w:eastAsia="Times New Roman"/>
          <w:color w:val="000000"/>
          <w:sz w:val="20"/>
          <w:szCs w:val="20"/>
        </w:rPr>
        <w:t>81</w:t>
      </w:r>
    </w:p>
    <w:p w14:paraId="02B87164" w14:textId="77777777" w:rsidR="00000000" w:rsidRDefault="001A570A">
      <w:pPr>
        <w:rPr>
          <w:rFonts w:eastAsia="Times New Roman"/>
        </w:rPr>
      </w:pPr>
      <w:r>
        <w:rPr>
          <w:rFonts w:eastAsia="Times New Roman"/>
        </w:rPr>
        <w:pict w14:anchorId="552C56BC">
          <v:rect id="_x0000_i1109" style="width:0;height:1.5pt" o:hralign="center" o:hrstd="t" o:hr="t" fillcolor="#a0a0a0" stroked="f"/>
        </w:pict>
      </w:r>
    </w:p>
    <w:p w14:paraId="78E2CE2F" w14:textId="77777777" w:rsidR="00000000" w:rsidRDefault="001A570A">
      <w:pPr>
        <w:ind w:firstLine="450"/>
        <w:divId w:val="1282961161"/>
        <w:rPr>
          <w:rFonts w:eastAsia="Times New Roman"/>
        </w:rPr>
      </w:pPr>
    </w:p>
    <w:p w14:paraId="300CDE82" w14:textId="77777777" w:rsidR="00000000" w:rsidRDefault="001A570A">
      <w:pPr>
        <w:divId w:val="136728388"/>
        <w:rPr>
          <w:rFonts w:eastAsia="Times New Roman"/>
        </w:rPr>
      </w:pPr>
      <w:r>
        <w:rPr>
          <w:rFonts w:eastAsia="Times New Roman"/>
          <w:color w:val="000000"/>
          <w:sz w:val="20"/>
          <w:szCs w:val="20"/>
        </w:rPr>
        <w:t xml:space="preserve">long-term fixed-rate debt. A discussion of fair values for our derivative financial instruments is included under the caption “Financial Instruments and Risk Management” in this </w:t>
      </w:r>
      <w:r>
        <w:rPr>
          <w:rFonts w:eastAsia="Times New Roman"/>
          <w:i/>
          <w:iCs/>
          <w:color w:val="000000"/>
          <w:sz w:val="20"/>
          <w:szCs w:val="20"/>
        </w:rPr>
        <w:t>Note 1: Significant Accounting Policies.</w:t>
      </w:r>
    </w:p>
    <w:p w14:paraId="78C0EE53" w14:textId="77777777" w:rsidR="00000000" w:rsidRDefault="001A570A">
      <w:pPr>
        <w:ind w:firstLine="450"/>
        <w:divId w:val="52890664"/>
        <w:rPr>
          <w:rFonts w:eastAsia="Times New Roman"/>
        </w:rPr>
      </w:pPr>
      <w:r>
        <w:rPr>
          <w:rFonts w:eastAsia="Times New Roman"/>
          <w:b/>
          <w:bCs/>
          <w:color w:val="000000"/>
          <w:sz w:val="20"/>
          <w:szCs w:val="20"/>
        </w:rPr>
        <w:t>Fair Value Measurements</w:t>
      </w:r>
      <w:r>
        <w:rPr>
          <w:rFonts w:eastAsia="Times New Roman"/>
          <w:color w:val="000000"/>
          <w:sz w:val="20"/>
          <w:szCs w:val="20"/>
        </w:rPr>
        <w:t xml:space="preserve"> — Fair value </w:t>
      </w:r>
      <w:r>
        <w:rPr>
          <w:rFonts w:eastAsia="Times New Roman"/>
          <w:color w:val="000000"/>
          <w:sz w:val="20"/>
          <w:szCs w:val="20"/>
        </w:rPr>
        <w:t xml:space="preserve">is defined as the price that would be received to sell an asset or paid to transfer a liability in the principal market (or most advantageous market, in the absence of a principal market) for the asset or liability in an orderly transaction between market </w:t>
      </w:r>
      <w:r>
        <w:rPr>
          <w:rFonts w:eastAsia="Times New Roman"/>
          <w:color w:val="000000"/>
          <w:sz w:val="20"/>
          <w:szCs w:val="20"/>
        </w:rPr>
        <w:t xml:space="preserve">participants at the measurement date. Entities are required to maximize the use of observable inputs and minimize the use of unobservable inputs in measuring fair value, and to utilize a three-level fair value hierarchy that prioritizes the inputs used to </w:t>
      </w:r>
      <w:r>
        <w:rPr>
          <w:rFonts w:eastAsia="Times New Roman"/>
          <w:color w:val="000000"/>
          <w:sz w:val="20"/>
          <w:szCs w:val="20"/>
        </w:rPr>
        <w:t>measure fair value. The three levels of inputs used to measure fair value are as follows:</w:t>
      </w:r>
    </w:p>
    <w:p w14:paraId="1C83E2D6" w14:textId="77777777" w:rsidR="00000000" w:rsidRDefault="001A570A">
      <w:pPr>
        <w:ind w:hanging="360"/>
        <w:divId w:val="1937589088"/>
        <w:rPr>
          <w:rFonts w:eastAsia="Times New Roman"/>
        </w:rPr>
      </w:pPr>
      <w:r>
        <w:rPr>
          <w:rFonts w:eastAsia="Times New Roman"/>
          <w:color w:val="000000"/>
          <w:sz w:val="20"/>
          <w:szCs w:val="20"/>
        </w:rPr>
        <w:t>•Level 1 — Quoted prices in active markets for identical assets or liabilities.</w:t>
      </w:r>
    </w:p>
    <w:p w14:paraId="0AA1E8D0" w14:textId="77777777" w:rsidR="00000000" w:rsidRDefault="001A570A">
      <w:pPr>
        <w:ind w:hanging="360"/>
        <w:divId w:val="1186943955"/>
        <w:rPr>
          <w:rFonts w:eastAsia="Times New Roman"/>
        </w:rPr>
      </w:pPr>
      <w:r>
        <w:rPr>
          <w:rFonts w:eastAsia="Times New Roman"/>
          <w:color w:val="000000"/>
          <w:sz w:val="20"/>
          <w:szCs w:val="20"/>
        </w:rPr>
        <w:t>•Level 2 — Observable inputs other than quoted prices included within Level 1, includi</w:t>
      </w:r>
      <w:r>
        <w:rPr>
          <w:rFonts w:eastAsia="Times New Roman"/>
          <w:color w:val="000000"/>
          <w:sz w:val="20"/>
          <w:szCs w:val="20"/>
        </w:rPr>
        <w:t>ng quoted prices for similar assets or liabilities in active markets; quoted prices for identical or similar assets or liabilities in markets that are not active; and inputs other than quoted prices that are observable or are derived principally from, or c</w:t>
      </w:r>
      <w:r>
        <w:rPr>
          <w:rFonts w:eastAsia="Times New Roman"/>
          <w:color w:val="000000"/>
          <w:sz w:val="20"/>
          <w:szCs w:val="20"/>
        </w:rPr>
        <w:t>orroborated by, observable market data by correlation or other means.</w:t>
      </w:r>
    </w:p>
    <w:p w14:paraId="006D2877" w14:textId="77777777" w:rsidR="00000000" w:rsidRDefault="001A570A">
      <w:pPr>
        <w:ind w:hanging="360"/>
        <w:divId w:val="1476869195"/>
        <w:rPr>
          <w:rFonts w:eastAsia="Times New Roman"/>
        </w:rPr>
      </w:pPr>
      <w:r>
        <w:rPr>
          <w:rFonts w:eastAsia="Times New Roman"/>
          <w:color w:val="000000"/>
          <w:sz w:val="20"/>
          <w:szCs w:val="20"/>
        </w:rPr>
        <w:t>•Level 3 — Unobservable inputs that are supported by little or no market activity, are significant to the fair value of the assets or liabilities, and reflect our own assumptions about t</w:t>
      </w:r>
      <w:r>
        <w:rPr>
          <w:rFonts w:eastAsia="Times New Roman"/>
          <w:color w:val="000000"/>
          <w:sz w:val="20"/>
          <w:szCs w:val="20"/>
        </w:rPr>
        <w:t>he assumptions market participants would use in pricing the asset or liability developed using the best information available in the circumstances.</w:t>
      </w:r>
    </w:p>
    <w:p w14:paraId="76B619D8" w14:textId="77777777" w:rsidR="00000000" w:rsidRDefault="001A570A">
      <w:pPr>
        <w:ind w:firstLine="450"/>
        <w:divId w:val="774515685"/>
        <w:rPr>
          <w:rFonts w:eastAsia="Times New Roman"/>
        </w:rPr>
      </w:pPr>
      <w:r>
        <w:rPr>
          <w:rFonts w:eastAsia="Times New Roman"/>
          <w:color w:val="000000"/>
          <w:sz w:val="20"/>
          <w:szCs w:val="20"/>
        </w:rPr>
        <w:t>In certain instances, fair value is estimated using quoted market prices obtained from external pricing serv</w:t>
      </w:r>
      <w:r>
        <w:rPr>
          <w:rFonts w:eastAsia="Times New Roman"/>
          <w:color w:val="000000"/>
          <w:sz w:val="20"/>
          <w:szCs w:val="20"/>
        </w:rPr>
        <w:t>ices. In obtaining such data from the pricing service, we have evaluated the methodologies used to develop the estimate of fair value in order to assess whether such valuations are representative of fair value, including net asset value (“NAV”). Additional</w:t>
      </w:r>
      <w:r>
        <w:rPr>
          <w:rFonts w:eastAsia="Times New Roman"/>
          <w:color w:val="000000"/>
          <w:sz w:val="20"/>
          <w:szCs w:val="20"/>
        </w:rPr>
        <w:t>ly, in certain circumstances, the NAV reported by an asset manager may be adjusted when sufficient evidence indicates NAV is not representative of fair value.</w:t>
      </w:r>
    </w:p>
    <w:p w14:paraId="430A71A6" w14:textId="77777777" w:rsidR="00000000" w:rsidRDefault="001A570A">
      <w:pPr>
        <w:ind w:firstLine="450"/>
        <w:divId w:val="380053871"/>
        <w:rPr>
          <w:rFonts w:eastAsia="Times New Roman"/>
        </w:rPr>
      </w:pPr>
      <w:r>
        <w:rPr>
          <w:rFonts w:eastAsia="Times New Roman"/>
          <w:b/>
          <w:bCs/>
          <w:color w:val="000000"/>
          <w:sz w:val="20"/>
          <w:szCs w:val="20"/>
        </w:rPr>
        <w:t>Accounts Receivable</w:t>
      </w:r>
      <w:r>
        <w:rPr>
          <w:rFonts w:eastAsia="Times New Roman"/>
          <w:color w:val="000000"/>
          <w:sz w:val="20"/>
          <w:szCs w:val="20"/>
        </w:rPr>
        <w:t> — We record receivables at net realizable value and they generally do not bea</w:t>
      </w:r>
      <w:r>
        <w:rPr>
          <w:rFonts w:eastAsia="Times New Roman"/>
          <w:color w:val="000000"/>
          <w:sz w:val="20"/>
          <w:szCs w:val="20"/>
        </w:rPr>
        <w:t>r interest. This value includes an allowance for estimated uncollectible accounts to reflect any loss anticipated on the accounts receivable balances which is charged to the provision for doubtful accounts. We calculate this allowance at inception based on</w:t>
      </w:r>
      <w:r>
        <w:rPr>
          <w:rFonts w:eastAsia="Times New Roman"/>
          <w:color w:val="000000"/>
          <w:sz w:val="20"/>
          <w:szCs w:val="20"/>
        </w:rPr>
        <w:t xml:space="preserve"> expected loss over the life of the receivable. We consider historical write-offs by customer, level of past due accounts and economic status of the customers. A receivable is considered delinquent if it is unpaid after the term of the related invoice has </w:t>
      </w:r>
      <w:r>
        <w:rPr>
          <w:rFonts w:eastAsia="Times New Roman"/>
          <w:color w:val="000000"/>
          <w:sz w:val="20"/>
          <w:szCs w:val="20"/>
        </w:rPr>
        <w:t xml:space="preserve">expired. Write-offs are recorded at the time a customer receivable is deemed uncollectible. See </w:t>
      </w:r>
      <w:r>
        <w:rPr>
          <w:rFonts w:eastAsia="Times New Roman"/>
          <w:i/>
          <w:iCs/>
          <w:color w:val="000000"/>
          <w:sz w:val="20"/>
          <w:szCs w:val="20"/>
        </w:rPr>
        <w:t>Note 6: Receivables</w:t>
      </w:r>
      <w:r>
        <w:rPr>
          <w:rFonts w:eastAsia="Times New Roman"/>
          <w:color w:val="000000"/>
          <w:sz w:val="20"/>
          <w:szCs w:val="20"/>
        </w:rPr>
        <w:t xml:space="preserve"> in these Notes for additional information regarding accounts receivable.</w:t>
      </w:r>
    </w:p>
    <w:p w14:paraId="02B6CE31" w14:textId="77777777" w:rsidR="00000000" w:rsidRDefault="001A570A">
      <w:pPr>
        <w:ind w:firstLine="450"/>
        <w:divId w:val="282925970"/>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 The timing of revenue recognition</w:t>
      </w:r>
      <w:r>
        <w:rPr>
          <w:rFonts w:eastAsia="Times New Roman"/>
          <w:color w:val="000000"/>
          <w:sz w:val="20"/>
          <w:szCs w:val="20"/>
        </w:rPr>
        <w:t>, customer billings and cash collections results in accounts receivable, contract assets and contract liabilities at the end of each reporting period. Contract assets include unbilled amounts typically resulting from revenue recognized exceeding amounts bi</w:t>
      </w:r>
      <w:r>
        <w:rPr>
          <w:rFonts w:eastAsia="Times New Roman"/>
          <w:color w:val="000000"/>
          <w:sz w:val="20"/>
          <w:szCs w:val="20"/>
        </w:rPr>
        <w:t>lled to customers for contracts utilizing the percentage of completion (“POC”) cost-to-cost revenue recognition method. We bill customers as work progresses in accordance with agreed-upon contractual terms, either at periodic intervals, upon achievement of</w:t>
      </w:r>
      <w:r>
        <w:rPr>
          <w:rFonts w:eastAsia="Times New Roman"/>
          <w:color w:val="000000"/>
          <w:sz w:val="20"/>
          <w:szCs w:val="20"/>
        </w:rPr>
        <w:t xml:space="preserve"> contractual milestones or upon deliveries and, in certain arrangements, the customer may withhold payment of a small portion of the contract price until contract completion. Contract liabilities include advance payments and billings in excess of revenue r</w:t>
      </w:r>
      <w:r>
        <w:rPr>
          <w:rFonts w:eastAsia="Times New Roman"/>
          <w:color w:val="000000"/>
          <w:sz w:val="20"/>
          <w:szCs w:val="20"/>
        </w:rPr>
        <w:t>ecognized, including deferred revenue. Contract assets and liabilities are reported on a contract-by-contract basis at the end of each reporting period. The non-current portion of contract liabilities is included within the “Other long-term liabilities” li</w:t>
      </w:r>
      <w:r>
        <w:rPr>
          <w:rFonts w:eastAsia="Times New Roman"/>
          <w:color w:val="000000"/>
          <w:sz w:val="20"/>
          <w:szCs w:val="20"/>
        </w:rPr>
        <w:t>ne item in our Consolidated Balance Sheet.</w:t>
      </w:r>
    </w:p>
    <w:p w14:paraId="3A10DBF5" w14:textId="77777777" w:rsidR="00000000" w:rsidRDefault="001A570A">
      <w:pPr>
        <w:ind w:firstLine="450"/>
        <w:divId w:val="1375302806"/>
        <w:rPr>
          <w:rFonts w:eastAsia="Times New Roman"/>
        </w:rPr>
      </w:pPr>
      <w:r>
        <w:rPr>
          <w:rFonts w:eastAsia="Times New Roman"/>
          <w:color w:val="000000"/>
          <w:sz w:val="20"/>
          <w:szCs w:val="20"/>
        </w:rPr>
        <w:t>Contract assets related to amounts withheld by customers until contract completion are not considered a significant financing component of our contracts because the intent is to protect the customers from our fail</w:t>
      </w:r>
      <w:r>
        <w:rPr>
          <w:rFonts w:eastAsia="Times New Roman"/>
          <w:color w:val="000000"/>
          <w:sz w:val="20"/>
          <w:szCs w:val="20"/>
        </w:rPr>
        <w:t xml:space="preserve">ure to satisfactorily complete our performance obligations. Payments received from customers in advance of revenue recognition are not considered a significant financing component of our contracts because they are utilized to pay for contract costs within </w:t>
      </w:r>
      <w:r>
        <w:rPr>
          <w:rFonts w:eastAsia="Times New Roman"/>
          <w:color w:val="000000"/>
          <w:sz w:val="20"/>
          <w:szCs w:val="20"/>
        </w:rPr>
        <w:t xml:space="preserve">a one-year period or are requested by us to ensure the customers meet their payment obligations. See </w:t>
      </w:r>
      <w:r>
        <w:rPr>
          <w:rFonts w:eastAsia="Times New Roman"/>
          <w:i/>
          <w:iCs/>
          <w:color w:val="000000"/>
          <w:sz w:val="20"/>
          <w:szCs w:val="20"/>
        </w:rPr>
        <w:t>Note 7: Contract Assets and Contract Liabilities</w:t>
      </w:r>
      <w:r>
        <w:rPr>
          <w:rFonts w:eastAsia="Times New Roman"/>
          <w:color w:val="000000"/>
          <w:sz w:val="20"/>
          <w:szCs w:val="20"/>
        </w:rPr>
        <w:t xml:space="preserve"> in these Notes for additional information.</w:t>
      </w:r>
    </w:p>
    <w:p w14:paraId="33D31BA6" w14:textId="77777777" w:rsidR="00000000" w:rsidRDefault="001A570A">
      <w:pPr>
        <w:ind w:firstLine="450"/>
        <w:divId w:val="1380978422"/>
        <w:rPr>
          <w:rFonts w:eastAsia="Times New Roman"/>
        </w:rPr>
      </w:pPr>
      <w:r>
        <w:rPr>
          <w:rFonts w:eastAsia="Times New Roman"/>
          <w:b/>
          <w:bCs/>
          <w:color w:val="000000"/>
          <w:sz w:val="20"/>
          <w:szCs w:val="20"/>
        </w:rPr>
        <w:t>Inventories</w:t>
      </w:r>
      <w:r>
        <w:rPr>
          <w:rFonts w:eastAsia="Times New Roman"/>
          <w:color w:val="000000"/>
          <w:sz w:val="20"/>
          <w:szCs w:val="20"/>
        </w:rPr>
        <w:t> — Inventories are valued at the lower of cost (dete</w:t>
      </w:r>
      <w:r>
        <w:rPr>
          <w:rFonts w:eastAsia="Times New Roman"/>
          <w:color w:val="000000"/>
          <w:sz w:val="20"/>
          <w:szCs w:val="20"/>
        </w:rPr>
        <w:t>rmined by average and first-in, first-out methods) or net realizable value. We regularly review inventory quantities on hand and record a provision for excess and obsolete inventory primarily based on our estimated forecast of product demand, anticipated e</w:t>
      </w:r>
      <w:r>
        <w:rPr>
          <w:rFonts w:eastAsia="Times New Roman"/>
          <w:color w:val="000000"/>
          <w:sz w:val="20"/>
          <w:szCs w:val="20"/>
        </w:rPr>
        <w:t xml:space="preserve">nd of product life and production requirements. See </w:t>
      </w:r>
      <w:r>
        <w:rPr>
          <w:rFonts w:eastAsia="Times New Roman"/>
          <w:i/>
          <w:iCs/>
          <w:color w:val="000000"/>
          <w:sz w:val="20"/>
          <w:szCs w:val="20"/>
        </w:rPr>
        <w:t>Note 8: Inventories</w:t>
      </w:r>
      <w:r>
        <w:rPr>
          <w:rFonts w:eastAsia="Times New Roman"/>
          <w:color w:val="000000"/>
          <w:sz w:val="20"/>
          <w:szCs w:val="20"/>
        </w:rPr>
        <w:t xml:space="preserve"> in these Notes for additional information regarding inventories.</w:t>
      </w:r>
    </w:p>
    <w:p w14:paraId="44D89163" w14:textId="77777777" w:rsidR="00000000" w:rsidRDefault="001A570A">
      <w:pPr>
        <w:ind w:firstLine="450"/>
        <w:divId w:val="1944725729"/>
        <w:rPr>
          <w:rFonts w:eastAsia="Times New Roman"/>
        </w:rPr>
      </w:pPr>
      <w:r>
        <w:rPr>
          <w:rFonts w:eastAsia="Times New Roman"/>
          <w:b/>
          <w:bCs/>
          <w:color w:val="000000"/>
          <w:sz w:val="20"/>
          <w:szCs w:val="20"/>
        </w:rPr>
        <w:t xml:space="preserve">Costs to Obtain or Fulfill a Contract </w:t>
      </w:r>
      <w:r>
        <w:rPr>
          <w:rFonts w:eastAsia="Times New Roman"/>
          <w:color w:val="000000"/>
          <w:sz w:val="20"/>
          <w:szCs w:val="20"/>
        </w:rPr>
        <w:t xml:space="preserve">— </w:t>
      </w:r>
      <w:r>
        <w:rPr>
          <w:rFonts w:eastAsia="Times New Roman"/>
          <w:color w:val="000000"/>
          <w:sz w:val="20"/>
          <w:szCs w:val="20"/>
        </w:rPr>
        <w:t>Costs to obtain a contract are incremental direct costs incurred to obtain a contract with a customer, including sales commissions and dealer fees, and are capitalized if material. Costs to fulfill a contract include costs directly related to a contract or</w:t>
      </w:r>
      <w:r>
        <w:rPr>
          <w:rFonts w:eastAsia="Times New Roman"/>
          <w:color w:val="000000"/>
          <w:sz w:val="20"/>
          <w:szCs w:val="20"/>
        </w:rPr>
        <w:t xml:space="preserve"> specific anticipated contract (for example, mobilization, set-up and certain design costs) that generate or enhance our ability to satisfy our performance obligations under these contracts. These costs are capitalized to the extent they are expected to be</w:t>
      </w:r>
      <w:r>
        <w:rPr>
          <w:rFonts w:eastAsia="Times New Roman"/>
          <w:color w:val="000000"/>
          <w:sz w:val="20"/>
          <w:szCs w:val="20"/>
        </w:rPr>
        <w:t xml:space="preserve"> recovered from the associated contract. Capitalized costs to obtain or fulfill a contract are amortized to expense over the expected period of benefit for contracts with terms greater than one year on a systematic basis that is consistent with the pattern</w:t>
      </w:r>
      <w:r>
        <w:rPr>
          <w:rFonts w:eastAsia="Times New Roman"/>
          <w:color w:val="000000"/>
          <w:sz w:val="20"/>
          <w:szCs w:val="20"/>
        </w:rPr>
        <w:t xml:space="preserve"> of transfer of the associated goods and services to the customer. As a practical expedient, capitalized costs to obtain or fulfill a contract with a term of one year or less are expensed as incurred. Capitalized costs to obtain or fulfill a </w:t>
      </w:r>
    </w:p>
    <w:p w14:paraId="434E53E3" w14:textId="77777777" w:rsidR="00000000" w:rsidRDefault="001A570A">
      <w:pPr>
        <w:ind w:firstLine="450"/>
        <w:jc w:val="center"/>
        <w:divId w:val="1165783879"/>
        <w:rPr>
          <w:rFonts w:eastAsia="Times New Roman"/>
        </w:rPr>
      </w:pPr>
      <w:r>
        <w:rPr>
          <w:rFonts w:eastAsia="Times New Roman"/>
          <w:color w:val="000000"/>
          <w:sz w:val="20"/>
          <w:szCs w:val="20"/>
        </w:rPr>
        <w:t>82</w:t>
      </w:r>
    </w:p>
    <w:p w14:paraId="2EF50BE6" w14:textId="77777777" w:rsidR="00000000" w:rsidRDefault="001A570A">
      <w:pPr>
        <w:rPr>
          <w:rFonts w:eastAsia="Times New Roman"/>
        </w:rPr>
      </w:pPr>
      <w:r>
        <w:rPr>
          <w:rFonts w:eastAsia="Times New Roman"/>
        </w:rPr>
        <w:pict w14:anchorId="21085094">
          <v:rect id="_x0000_i1110" style="width:0;height:1.5pt" o:hralign="center" o:hrstd="t" o:hr="t" fillcolor="#a0a0a0" stroked="f"/>
        </w:pict>
      </w:r>
    </w:p>
    <w:p w14:paraId="09D647A1" w14:textId="77777777" w:rsidR="00000000" w:rsidRDefault="001A570A">
      <w:pPr>
        <w:ind w:firstLine="450"/>
        <w:divId w:val="1364400921"/>
        <w:rPr>
          <w:rFonts w:eastAsia="Times New Roman"/>
        </w:rPr>
      </w:pPr>
    </w:p>
    <w:p w14:paraId="7C86B37E" w14:textId="77777777" w:rsidR="00000000" w:rsidRDefault="001A570A">
      <w:pPr>
        <w:divId w:val="1054308289"/>
        <w:rPr>
          <w:rFonts w:eastAsia="Times New Roman"/>
        </w:rPr>
      </w:pPr>
      <w:r>
        <w:rPr>
          <w:rFonts w:eastAsia="Times New Roman"/>
          <w:color w:val="000000"/>
          <w:sz w:val="20"/>
          <w:szCs w:val="20"/>
        </w:rPr>
        <w:t>contract included in the “Other current assets” and “Other non-current assets” line items in our Consolidated Balance Sheet were $14 million and $35 million, respectively, at January 1, 2021and $14 million and $48 million, respe</w:t>
      </w:r>
      <w:r>
        <w:rPr>
          <w:rFonts w:eastAsia="Times New Roman"/>
          <w:color w:val="000000"/>
          <w:sz w:val="20"/>
          <w:szCs w:val="20"/>
        </w:rPr>
        <w:t>ctively, at January 3, 2020.</w:t>
      </w:r>
    </w:p>
    <w:p w14:paraId="56A0D7F7" w14:textId="77777777" w:rsidR="00000000" w:rsidRDefault="001A570A">
      <w:pPr>
        <w:ind w:firstLine="450"/>
        <w:divId w:val="1648973889"/>
        <w:rPr>
          <w:rFonts w:eastAsia="Times New Roman"/>
        </w:rPr>
      </w:pPr>
      <w:r>
        <w:rPr>
          <w:rFonts w:eastAsia="Times New Roman"/>
          <w:b/>
          <w:bCs/>
          <w:color w:val="000000"/>
          <w:sz w:val="20"/>
          <w:szCs w:val="20"/>
        </w:rPr>
        <w:t>Property, Plant and Equipment</w:t>
      </w:r>
      <w:r>
        <w:rPr>
          <w:rFonts w:eastAsia="Times New Roman"/>
          <w:color w:val="000000"/>
          <w:sz w:val="20"/>
          <w:szCs w:val="20"/>
        </w:rPr>
        <w:t> — Property, plant and equipment are carried on the basis of cost and include software capitalized for internal use. Depreciation of buildings, machinery and equipment is computed by the straight-li</w:t>
      </w:r>
      <w:r>
        <w:rPr>
          <w:rFonts w:eastAsia="Times New Roman"/>
          <w:color w:val="000000"/>
          <w:sz w:val="20"/>
          <w:szCs w:val="20"/>
        </w:rPr>
        <w:t>ne and accelerated methods. The estimated useful lives of buildings, including leasehold improvements, generally range between 2 and 45 years. The estimated useful lives of machinery and equipment generally range between 2 and 10 years. Amortization of int</w:t>
      </w:r>
      <w:r>
        <w:rPr>
          <w:rFonts w:eastAsia="Times New Roman"/>
          <w:color w:val="000000"/>
          <w:sz w:val="20"/>
          <w:szCs w:val="20"/>
        </w:rPr>
        <w:t xml:space="preserve">ernal-use software begins when the software is put into service and is based on the expected useful life of the software. The useful lives over which we amortize internal-use software generally range between 3 and 10 years. See </w:t>
      </w:r>
      <w:r>
        <w:rPr>
          <w:rFonts w:eastAsia="Times New Roman"/>
          <w:i/>
          <w:iCs/>
          <w:color w:val="000000"/>
          <w:sz w:val="20"/>
          <w:szCs w:val="20"/>
        </w:rPr>
        <w:t xml:space="preserve">Note 9: Property, Plant and </w:t>
      </w:r>
      <w:r>
        <w:rPr>
          <w:rFonts w:eastAsia="Times New Roman"/>
          <w:i/>
          <w:iCs/>
          <w:color w:val="000000"/>
          <w:sz w:val="20"/>
          <w:szCs w:val="20"/>
        </w:rPr>
        <w:t>Equipment</w:t>
      </w:r>
      <w:r>
        <w:rPr>
          <w:rFonts w:eastAsia="Times New Roman"/>
          <w:color w:val="000000"/>
          <w:sz w:val="20"/>
          <w:szCs w:val="20"/>
        </w:rPr>
        <w:t xml:space="preserve"> in these Notes for additional information regarding property, plant and equipment.</w:t>
      </w:r>
    </w:p>
    <w:p w14:paraId="738A0DD9" w14:textId="77777777" w:rsidR="00000000" w:rsidRDefault="001A570A">
      <w:pPr>
        <w:ind w:firstLine="450"/>
        <w:divId w:val="1657880775"/>
        <w:rPr>
          <w:rFonts w:eastAsia="Times New Roman"/>
        </w:rPr>
      </w:pPr>
      <w:r>
        <w:rPr>
          <w:rFonts w:eastAsia="Times New Roman"/>
          <w:b/>
          <w:bCs/>
          <w:color w:val="000000"/>
          <w:sz w:val="20"/>
          <w:szCs w:val="20"/>
        </w:rPr>
        <w:t>Goodwill</w:t>
      </w:r>
      <w:r>
        <w:rPr>
          <w:rFonts w:eastAsia="Times New Roman"/>
          <w:color w:val="000000"/>
          <w:sz w:val="20"/>
          <w:szCs w:val="20"/>
        </w:rPr>
        <w:t xml:space="preserve"> — We follow the acquisition method of accounting to record the assets and liabilities of acquired businesses at their estimated fair value at the date of </w:t>
      </w:r>
      <w:r>
        <w:rPr>
          <w:rFonts w:eastAsia="Times New Roman"/>
          <w:color w:val="000000"/>
          <w:sz w:val="20"/>
          <w:szCs w:val="20"/>
        </w:rPr>
        <w:t>acquisition. We initially record goodwill for the amount the consideration transferred exceeds the acquisition-date fair value of net identifiable assets acquired.</w:t>
      </w:r>
    </w:p>
    <w:p w14:paraId="124225FC" w14:textId="77777777" w:rsidR="00000000" w:rsidRDefault="001A570A">
      <w:pPr>
        <w:ind w:firstLine="450"/>
        <w:divId w:val="1042049163"/>
        <w:rPr>
          <w:rFonts w:eastAsia="Times New Roman"/>
        </w:rPr>
      </w:pPr>
      <w:r>
        <w:rPr>
          <w:rFonts w:eastAsia="Times New Roman"/>
          <w:color w:val="000000"/>
          <w:sz w:val="20"/>
          <w:szCs w:val="20"/>
        </w:rPr>
        <w:t>We test goodwill for impairment at a level within the Company referred to as the reporting u</w:t>
      </w:r>
      <w:r>
        <w:rPr>
          <w:rFonts w:eastAsia="Times New Roman"/>
          <w:color w:val="000000"/>
          <w:sz w:val="20"/>
          <w:szCs w:val="20"/>
        </w:rPr>
        <w:t>nit, which is our business segment level or one level below the business segment. We test our goodwill for impairment annually as of the first day of our fourth fiscal quarter, or under certain circumstances, more frequently, such as when events or circums</w:t>
      </w:r>
      <w:r>
        <w:rPr>
          <w:rFonts w:eastAsia="Times New Roman"/>
          <w:color w:val="000000"/>
          <w:sz w:val="20"/>
          <w:szCs w:val="20"/>
        </w:rPr>
        <w:t>tances indicate there may be impairment. Such events or circumstances may include a significant deterioration in overall economic conditions, changes in the business climate of our industry, a decline in our market capitalization, operating performance ind</w:t>
      </w:r>
      <w:r>
        <w:rPr>
          <w:rFonts w:eastAsia="Times New Roman"/>
          <w:color w:val="000000"/>
          <w:sz w:val="20"/>
          <w:szCs w:val="20"/>
        </w:rPr>
        <w:t xml:space="preserve">icators, competition, reorganizations of our business or the disposal of all or a portion of a reporting unit. </w:t>
      </w:r>
    </w:p>
    <w:p w14:paraId="0EB7FA9C" w14:textId="77777777" w:rsidR="00000000" w:rsidRDefault="001A570A">
      <w:pPr>
        <w:ind w:firstLine="450"/>
        <w:divId w:val="1290165114"/>
        <w:rPr>
          <w:rFonts w:eastAsia="Times New Roman"/>
        </w:rPr>
      </w:pPr>
      <w:r>
        <w:rPr>
          <w:rFonts w:eastAsia="Times New Roman"/>
          <w:color w:val="000000"/>
          <w:sz w:val="20"/>
          <w:szCs w:val="20"/>
        </w:rPr>
        <w:t>To test goodwill for impairment, we may perform both qualitative and quantitative assessments. If we elect to perform a qualitative assessment f</w:t>
      </w:r>
      <w:r>
        <w:rPr>
          <w:rFonts w:eastAsia="Times New Roman"/>
          <w:color w:val="000000"/>
          <w:sz w:val="20"/>
          <w:szCs w:val="20"/>
        </w:rPr>
        <w:t>or a certain reporting unit, we evaluate events and circumstances impacting the reporting unit to determine the probability that goodwill is impaired. If we determine it is more-likely-than-not that the fair value of  the reporting unit is less than its ca</w:t>
      </w:r>
      <w:r>
        <w:rPr>
          <w:rFonts w:eastAsia="Times New Roman"/>
          <w:color w:val="000000"/>
          <w:sz w:val="20"/>
          <w:szCs w:val="20"/>
        </w:rPr>
        <w:t xml:space="preserve">rrying amount, we measure any loss from an impairment by comparing the fair value of each reporting unit to its carrying amount, including goodwill. If the carrying amount of a reporting unit exceeds its fair value, goodwill is considered impaired, and an </w:t>
      </w:r>
      <w:r>
        <w:rPr>
          <w:rFonts w:eastAsia="Times New Roman"/>
          <w:color w:val="000000"/>
          <w:sz w:val="20"/>
          <w:szCs w:val="20"/>
        </w:rPr>
        <w:t xml:space="preserve">impairment loss is recognized in an amount equal to that excess. See </w:t>
      </w:r>
      <w:r>
        <w:rPr>
          <w:rFonts w:eastAsia="Times New Roman"/>
          <w:i/>
          <w:iCs/>
          <w:color w:val="000000"/>
          <w:sz w:val="20"/>
          <w:szCs w:val="20"/>
        </w:rPr>
        <w:t>Note 3: Business Divestitures and Asset Sales, Note 5: Business Combination</w:t>
      </w:r>
      <w:r>
        <w:rPr>
          <w:rFonts w:eastAsia="Times New Roman"/>
          <w:color w:val="000000"/>
          <w:sz w:val="20"/>
          <w:szCs w:val="20"/>
        </w:rPr>
        <w:t xml:space="preserve"> and</w:t>
      </w:r>
      <w:r>
        <w:rPr>
          <w:rFonts w:eastAsia="Times New Roman"/>
          <w:i/>
          <w:iCs/>
          <w:color w:val="000000"/>
          <w:sz w:val="20"/>
          <w:szCs w:val="20"/>
        </w:rPr>
        <w:t xml:space="preserve"> Note 10: Goodwill</w:t>
      </w:r>
      <w:r>
        <w:rPr>
          <w:rFonts w:eastAsia="Times New Roman"/>
          <w:color w:val="000000"/>
          <w:sz w:val="20"/>
          <w:szCs w:val="20"/>
        </w:rPr>
        <w:t xml:space="preserve"> in these Notes for additional information regarding goodwill. </w:t>
      </w:r>
    </w:p>
    <w:p w14:paraId="4315DFC7" w14:textId="77777777" w:rsidR="00000000" w:rsidRDefault="001A570A">
      <w:pPr>
        <w:ind w:firstLine="450"/>
        <w:divId w:val="1872910953"/>
        <w:rPr>
          <w:rFonts w:eastAsia="Times New Roman"/>
        </w:rPr>
      </w:pPr>
      <w:r>
        <w:rPr>
          <w:rFonts w:eastAsia="Times New Roman"/>
          <w:b/>
          <w:bCs/>
          <w:color w:val="000000"/>
          <w:sz w:val="20"/>
          <w:szCs w:val="20"/>
        </w:rPr>
        <w:t>Long-Lived Assets, Includi</w:t>
      </w:r>
      <w:r>
        <w:rPr>
          <w:rFonts w:eastAsia="Times New Roman"/>
          <w:b/>
          <w:bCs/>
          <w:color w:val="000000"/>
          <w:sz w:val="20"/>
          <w:szCs w:val="20"/>
        </w:rPr>
        <w:t>ng Intangible Assets</w:t>
      </w:r>
      <w:r>
        <w:rPr>
          <w:rFonts w:eastAsia="Times New Roman"/>
          <w:color w:val="000000"/>
          <w:sz w:val="20"/>
          <w:szCs w:val="20"/>
        </w:rPr>
        <w:t> — Long-lived assets, including finite-lived intangible assets, are amortized to expense over their useful lives either according to the underlying economic benefit as reflected by future net cash inflows or on a straight-line basis dep</w:t>
      </w:r>
      <w:r>
        <w:rPr>
          <w:rFonts w:eastAsia="Times New Roman"/>
          <w:color w:val="000000"/>
          <w:sz w:val="20"/>
          <w:szCs w:val="20"/>
        </w:rPr>
        <w:t>ending on the nature of the asset. We assess the recoverability of the carrying value of our long-lived assets, including finite-lived intangible assets, whenever events or changes in circumstances indicate the carrying amount of the assets may not be reco</w:t>
      </w:r>
      <w:r>
        <w:rPr>
          <w:rFonts w:eastAsia="Times New Roman"/>
          <w:color w:val="000000"/>
          <w:sz w:val="20"/>
          <w:szCs w:val="20"/>
        </w:rPr>
        <w:t>verable. We evaluate the recoverability of such assets based on the expectations of undiscounted cash flows from such assets. If the sum of the expected future undiscounted cash flows were less than the carrying amount of the asset, a loss would be recogni</w:t>
      </w:r>
      <w:r>
        <w:rPr>
          <w:rFonts w:eastAsia="Times New Roman"/>
          <w:color w:val="000000"/>
          <w:sz w:val="20"/>
          <w:szCs w:val="20"/>
        </w:rPr>
        <w:t>zed for the difference between the fair value and the carrying amount. Indefinite-lived intangible assets are not amortized, but are tested annually for impairment. This testing compares the fair value of the asset to its carrying amount, and, when appropr</w:t>
      </w:r>
      <w:r>
        <w:rPr>
          <w:rFonts w:eastAsia="Times New Roman"/>
          <w:color w:val="000000"/>
          <w:sz w:val="20"/>
          <w:szCs w:val="20"/>
        </w:rPr>
        <w:t xml:space="preserve">iate, the carrying amount of these assets is reduced to its fair value. See </w:t>
      </w:r>
      <w:r>
        <w:rPr>
          <w:rFonts w:eastAsia="Times New Roman"/>
          <w:i/>
          <w:iCs/>
          <w:color w:val="000000"/>
          <w:sz w:val="20"/>
          <w:szCs w:val="20"/>
        </w:rPr>
        <w:t>Note 9: Property, Plant and Equipment</w:t>
      </w:r>
      <w:r>
        <w:rPr>
          <w:rFonts w:eastAsia="Times New Roman"/>
          <w:color w:val="000000"/>
          <w:sz w:val="20"/>
          <w:szCs w:val="20"/>
        </w:rPr>
        <w:t xml:space="preserve"> and </w:t>
      </w:r>
      <w:r>
        <w:rPr>
          <w:rFonts w:eastAsia="Times New Roman"/>
          <w:i/>
          <w:iCs/>
          <w:color w:val="000000"/>
          <w:sz w:val="20"/>
          <w:szCs w:val="20"/>
        </w:rPr>
        <w:t>Note 11: Intangible Assets</w:t>
      </w:r>
      <w:r>
        <w:rPr>
          <w:rFonts w:eastAsia="Times New Roman"/>
          <w:color w:val="000000"/>
          <w:sz w:val="20"/>
          <w:szCs w:val="20"/>
        </w:rPr>
        <w:t xml:space="preserve"> in these Notes for additional information regarding long-lived assets and intangible assets.</w:t>
      </w:r>
    </w:p>
    <w:p w14:paraId="3936BC78" w14:textId="77777777" w:rsidR="00000000" w:rsidRDefault="001A570A">
      <w:pPr>
        <w:ind w:firstLine="450"/>
        <w:divId w:val="297806200"/>
        <w:rPr>
          <w:rFonts w:eastAsia="Times New Roman"/>
        </w:rPr>
      </w:pPr>
      <w:r>
        <w:rPr>
          <w:rFonts w:eastAsia="Times New Roman"/>
          <w:b/>
          <w:bCs/>
          <w:color w:val="000000"/>
          <w:sz w:val="20"/>
          <w:szCs w:val="20"/>
        </w:rPr>
        <w:t>Leases</w:t>
      </w:r>
      <w:r>
        <w:rPr>
          <w:rFonts w:eastAsia="Times New Roman"/>
          <w:color w:val="000000"/>
          <w:sz w:val="20"/>
          <w:szCs w:val="20"/>
        </w:rPr>
        <w:t xml:space="preserve"> — We recogn</w:t>
      </w:r>
      <w:r>
        <w:rPr>
          <w:rFonts w:eastAsia="Times New Roman"/>
          <w:color w:val="000000"/>
          <w:sz w:val="20"/>
          <w:szCs w:val="20"/>
        </w:rPr>
        <w:t>ize right-of-use (“ROU”) assets and lease liabilities in our balance sheet for operating and finance leases under which we are the lessee. As a practical expedient, leases with a term of twelve months or less (including reasonably expected extension period</w:t>
      </w:r>
      <w:r>
        <w:rPr>
          <w:rFonts w:eastAsia="Times New Roman"/>
          <w:color w:val="000000"/>
          <w:sz w:val="20"/>
          <w:szCs w:val="20"/>
        </w:rPr>
        <w:t>s) and leases with expected lease payments of less than $250 thousand are expensed as incurred. Also as a practical expedient, we did not reassess lease classification for contracts in existence or expired prior to our adoption of Accounting Standards Upda</w:t>
      </w:r>
      <w:r>
        <w:rPr>
          <w:rFonts w:eastAsia="Times New Roman"/>
          <w:color w:val="000000"/>
          <w:sz w:val="20"/>
          <w:szCs w:val="20"/>
        </w:rPr>
        <w:t>te (“ASU”) 2016-02, Leases (Topic 842), as amended (“ASC 842”) on June 29, 2019, and we continue to account for these leases in accordance with Topic 840.</w:t>
      </w:r>
    </w:p>
    <w:p w14:paraId="03E92602" w14:textId="77777777" w:rsidR="00000000" w:rsidRDefault="001A570A">
      <w:pPr>
        <w:ind w:firstLine="450"/>
        <w:divId w:val="1712917970"/>
        <w:rPr>
          <w:rFonts w:eastAsia="Times New Roman"/>
        </w:rPr>
      </w:pPr>
      <w:r>
        <w:rPr>
          <w:rFonts w:eastAsia="Times New Roman"/>
          <w:color w:val="000000"/>
          <w:sz w:val="20"/>
          <w:szCs w:val="20"/>
        </w:rPr>
        <w:t>Operating lease assets and finance lease assets, respectively, are included in the “Operating lease r</w:t>
      </w:r>
      <w:r>
        <w:rPr>
          <w:rFonts w:eastAsia="Times New Roman"/>
          <w:color w:val="000000"/>
          <w:sz w:val="20"/>
          <w:szCs w:val="20"/>
        </w:rPr>
        <w:t xml:space="preserve">ight-of-use assets” and “Property, plant and equipment” line items in our Consolidated Balance Sheet. Operating lease liabilities and finance lease liabilities for obligations due within twelve months are included in the “Other accrued items” line item in </w:t>
      </w:r>
      <w:r>
        <w:rPr>
          <w:rFonts w:eastAsia="Times New Roman"/>
          <w:color w:val="000000"/>
          <w:sz w:val="20"/>
          <w:szCs w:val="20"/>
        </w:rPr>
        <w:t>our Consolidated Balance Sheet. Operating lease liabilities and finance lease liabilities for obligations due longer than twelve months are included in the “Operating lease liabilities” and “Other long-term liabilities” line items, respectively, in our Con</w:t>
      </w:r>
      <w:r>
        <w:rPr>
          <w:rFonts w:eastAsia="Times New Roman"/>
          <w:color w:val="000000"/>
          <w:sz w:val="20"/>
          <w:szCs w:val="20"/>
        </w:rPr>
        <w:t>solidated Balance Sheet.            </w:t>
      </w:r>
    </w:p>
    <w:p w14:paraId="2263C91C" w14:textId="77777777" w:rsidR="00000000" w:rsidRDefault="001A570A">
      <w:pPr>
        <w:ind w:firstLine="450"/>
        <w:divId w:val="802889946"/>
        <w:rPr>
          <w:rFonts w:eastAsia="Times New Roman"/>
        </w:rPr>
      </w:pPr>
      <w:r>
        <w:rPr>
          <w:rFonts w:eastAsia="Times New Roman"/>
          <w:color w:val="000000"/>
          <w:sz w:val="20"/>
          <w:szCs w:val="20"/>
        </w:rPr>
        <w:t xml:space="preserve">ROU assets and lease liabilities are recognized based on the present value of future lease payments. Lease payments primarily include base rent. We have some lease payments that are based on an index and changes to the </w:t>
      </w:r>
      <w:r>
        <w:rPr>
          <w:rFonts w:eastAsia="Times New Roman"/>
          <w:color w:val="000000"/>
          <w:sz w:val="20"/>
          <w:szCs w:val="20"/>
        </w:rPr>
        <w:t>index are treated as variable lease payments and recognized in the period in which the obligation for those payments is incurred. Our lease payments also include non-lease components such as real estate taxes and common-area maintenance costs. As a practic</w:t>
      </w:r>
      <w:r>
        <w:rPr>
          <w:rFonts w:eastAsia="Times New Roman"/>
          <w:color w:val="000000"/>
          <w:sz w:val="20"/>
          <w:szCs w:val="20"/>
        </w:rPr>
        <w:t xml:space="preserve">al expedient, we account for lease and non-lease components as a single component. In certain of our leases, the non-lease components are variable and are therefore excluded from lease payments to determine the ROU asset. The present value of future lease </w:t>
      </w:r>
      <w:r>
        <w:rPr>
          <w:rFonts w:eastAsia="Times New Roman"/>
          <w:color w:val="000000"/>
          <w:sz w:val="20"/>
          <w:szCs w:val="20"/>
        </w:rPr>
        <w:t>payments is determined using our incremental borrowing rate at lease commencement over the expected lease term. We use our incremental borrowing rate because our leases do not provide an implicit lease rate. The expected lease term represents the number of</w:t>
      </w:r>
      <w:r>
        <w:rPr>
          <w:rFonts w:eastAsia="Times New Roman"/>
          <w:color w:val="000000"/>
          <w:sz w:val="20"/>
          <w:szCs w:val="20"/>
        </w:rPr>
        <w:t xml:space="preserve"> years </w:t>
      </w:r>
    </w:p>
    <w:p w14:paraId="6926FB5B" w14:textId="77777777" w:rsidR="00000000" w:rsidRDefault="001A570A">
      <w:pPr>
        <w:ind w:firstLine="450"/>
        <w:jc w:val="center"/>
        <w:divId w:val="1441951732"/>
        <w:rPr>
          <w:rFonts w:eastAsia="Times New Roman"/>
        </w:rPr>
      </w:pPr>
      <w:r>
        <w:rPr>
          <w:rFonts w:eastAsia="Times New Roman"/>
          <w:color w:val="000000"/>
          <w:sz w:val="20"/>
          <w:szCs w:val="20"/>
        </w:rPr>
        <w:t>83</w:t>
      </w:r>
    </w:p>
    <w:p w14:paraId="1785B724" w14:textId="77777777" w:rsidR="00000000" w:rsidRDefault="001A570A">
      <w:pPr>
        <w:rPr>
          <w:rFonts w:eastAsia="Times New Roman"/>
        </w:rPr>
      </w:pPr>
      <w:r>
        <w:rPr>
          <w:rFonts w:eastAsia="Times New Roman"/>
        </w:rPr>
        <w:pict w14:anchorId="5707EEEB">
          <v:rect id="_x0000_i1111" style="width:0;height:1.5pt" o:hralign="center" o:hrstd="t" o:hr="t" fillcolor="#a0a0a0" stroked="f"/>
        </w:pict>
      </w:r>
    </w:p>
    <w:p w14:paraId="7FCF94D3" w14:textId="77777777" w:rsidR="00000000" w:rsidRDefault="001A570A">
      <w:pPr>
        <w:ind w:firstLine="450"/>
        <w:divId w:val="1174808521"/>
        <w:rPr>
          <w:rFonts w:eastAsia="Times New Roman"/>
        </w:rPr>
      </w:pPr>
    </w:p>
    <w:p w14:paraId="598D5E0F" w14:textId="77777777" w:rsidR="00000000" w:rsidRDefault="001A570A">
      <w:pPr>
        <w:divId w:val="48234883"/>
        <w:rPr>
          <w:rFonts w:eastAsia="Times New Roman"/>
        </w:rPr>
      </w:pPr>
      <w:r>
        <w:rPr>
          <w:rFonts w:eastAsia="Times New Roman"/>
          <w:color w:val="000000"/>
          <w:sz w:val="20"/>
          <w:szCs w:val="20"/>
        </w:rPr>
        <w:t xml:space="preserve">we expect to lease the property, including options to extend or terminate the lease when it is reasonably certain that we will exercise the option. </w:t>
      </w:r>
    </w:p>
    <w:p w14:paraId="1F5E4596" w14:textId="77777777" w:rsidR="00000000" w:rsidRDefault="001A570A">
      <w:pPr>
        <w:ind w:firstLine="450"/>
        <w:divId w:val="2096049093"/>
        <w:rPr>
          <w:rFonts w:eastAsia="Times New Roman"/>
        </w:rPr>
      </w:pPr>
      <w:r>
        <w:rPr>
          <w:rFonts w:eastAsia="Times New Roman"/>
          <w:color w:val="000000"/>
          <w:sz w:val="20"/>
          <w:szCs w:val="20"/>
        </w:rPr>
        <w:t xml:space="preserve">Operating lease expense is recognized as an operating cost on a straight-line basis over the expected lease term in our Consolidated Statement of Income. For finance leases, the asset is amortized on a straight-line basis over the lease term, and interest </w:t>
      </w:r>
      <w:r>
        <w:rPr>
          <w:rFonts w:eastAsia="Times New Roman"/>
          <w:color w:val="000000"/>
          <w:sz w:val="20"/>
          <w:szCs w:val="20"/>
        </w:rPr>
        <w:t xml:space="preserve">on the lease liability is recognized in interest expense. </w:t>
      </w:r>
    </w:p>
    <w:p w14:paraId="7EA040B0" w14:textId="77777777" w:rsidR="00000000" w:rsidRDefault="001A570A">
      <w:pPr>
        <w:ind w:firstLine="450"/>
        <w:divId w:val="959529700"/>
        <w:rPr>
          <w:rFonts w:eastAsia="Times New Roman"/>
        </w:rPr>
      </w:pPr>
      <w:r>
        <w:rPr>
          <w:rFonts w:eastAsia="Times New Roman"/>
          <w:color w:val="000000"/>
          <w:sz w:val="20"/>
          <w:szCs w:val="20"/>
        </w:rPr>
        <w:t>We are a lessor for certain flight simulators. These leases meet the criteria for operating lease classification. Lease income associated with these leases was not material in fiscal 2020 or in the</w:t>
      </w:r>
      <w:r>
        <w:rPr>
          <w:rFonts w:eastAsia="Times New Roman"/>
          <w:color w:val="000000"/>
          <w:sz w:val="20"/>
          <w:szCs w:val="20"/>
        </w:rPr>
        <w:t xml:space="preserve"> two quarters ended January 3, 2020.</w:t>
      </w:r>
    </w:p>
    <w:p w14:paraId="64DE9ECA" w14:textId="77777777" w:rsidR="00000000" w:rsidRDefault="001A570A">
      <w:pPr>
        <w:ind w:firstLine="450"/>
        <w:divId w:val="1334645620"/>
        <w:rPr>
          <w:rFonts w:eastAsia="Times New Roman"/>
        </w:rPr>
      </w:pPr>
      <w:r>
        <w:rPr>
          <w:rFonts w:eastAsia="Times New Roman"/>
          <w:color w:val="000000"/>
          <w:sz w:val="20"/>
          <w:szCs w:val="20"/>
        </w:rPr>
        <w:t xml:space="preserve">See </w:t>
      </w:r>
      <w:r>
        <w:rPr>
          <w:rFonts w:eastAsia="Times New Roman"/>
          <w:i/>
          <w:iCs/>
          <w:color w:val="000000"/>
          <w:sz w:val="20"/>
          <w:szCs w:val="20"/>
        </w:rPr>
        <w:t>Note 19: Lease Commitments</w:t>
      </w:r>
      <w:r>
        <w:rPr>
          <w:rFonts w:eastAsia="Times New Roman"/>
          <w:color w:val="000000"/>
          <w:sz w:val="20"/>
          <w:szCs w:val="20"/>
        </w:rPr>
        <w:t xml:space="preserve"> in these Notes for additional information regarding leases.</w:t>
      </w:r>
    </w:p>
    <w:p w14:paraId="4B7E9927" w14:textId="77777777" w:rsidR="00000000" w:rsidRDefault="001A570A">
      <w:pPr>
        <w:ind w:firstLine="450"/>
        <w:divId w:val="1546984427"/>
        <w:rPr>
          <w:rFonts w:eastAsia="Times New Roman"/>
        </w:rPr>
      </w:pPr>
      <w:r>
        <w:rPr>
          <w:rFonts w:eastAsia="Times New Roman"/>
          <w:b/>
          <w:bCs/>
          <w:color w:val="000000"/>
          <w:sz w:val="20"/>
          <w:szCs w:val="20"/>
        </w:rPr>
        <w:t>Other Assets and Liabilities</w:t>
      </w:r>
      <w:r>
        <w:rPr>
          <w:rFonts w:eastAsia="Times New Roman"/>
          <w:color w:val="000000"/>
          <w:sz w:val="20"/>
          <w:szCs w:val="20"/>
        </w:rPr>
        <w:t> — No assets within the “Other current assets” or “Other non-current assets” line items in our Conso</w:t>
      </w:r>
      <w:r>
        <w:rPr>
          <w:rFonts w:eastAsia="Times New Roman"/>
          <w:color w:val="000000"/>
          <w:sz w:val="20"/>
          <w:szCs w:val="20"/>
        </w:rPr>
        <w:t>lidated Balance Sheet exceeded 5 percent of our total current assets or total assets, respectively, at January 1, 2021 or January 3, 2020. No accrued liabilities or expenses within the “Other accrued items” or “Other long-term liabilities” line items in ou</w:t>
      </w:r>
      <w:r>
        <w:rPr>
          <w:rFonts w:eastAsia="Times New Roman"/>
          <w:color w:val="000000"/>
          <w:sz w:val="20"/>
          <w:szCs w:val="20"/>
        </w:rPr>
        <w:t>r Consolidated Balance Sheet exceeded 5 percent of our total current liabilities or total liabilities, respectively, at January 1, 2021 or January 3, 2020.</w:t>
      </w:r>
    </w:p>
    <w:p w14:paraId="52C64AFA" w14:textId="77777777" w:rsidR="00000000" w:rsidRDefault="001A570A">
      <w:pPr>
        <w:ind w:firstLine="450"/>
        <w:divId w:val="686181027"/>
        <w:rPr>
          <w:rFonts w:eastAsia="Times New Roman"/>
        </w:rPr>
      </w:pPr>
      <w:r>
        <w:rPr>
          <w:rFonts w:eastAsia="Times New Roman"/>
          <w:b/>
          <w:bCs/>
          <w:color w:val="000000"/>
          <w:sz w:val="20"/>
          <w:szCs w:val="20"/>
        </w:rPr>
        <w:t>Income Taxes</w:t>
      </w:r>
      <w:r>
        <w:rPr>
          <w:rFonts w:eastAsia="Times New Roman"/>
          <w:color w:val="000000"/>
          <w:sz w:val="20"/>
          <w:szCs w:val="20"/>
        </w:rPr>
        <w:t> — We follow the liability method of accounting for income taxes. We record the estimate</w:t>
      </w:r>
      <w:r>
        <w:rPr>
          <w:rFonts w:eastAsia="Times New Roman"/>
          <w:color w:val="000000"/>
          <w:sz w:val="20"/>
          <w:szCs w:val="20"/>
        </w:rPr>
        <w:t>d future tax effects of temporary differences between the tax basis of assets and liabilities and amounts reported in our Consolidated Balance Sheet, as well as operating loss and tax credit carryforwards. We follow very specific and detailed guidelines in</w:t>
      </w:r>
      <w:r>
        <w:rPr>
          <w:rFonts w:eastAsia="Times New Roman"/>
          <w:color w:val="000000"/>
          <w:sz w:val="20"/>
          <w:szCs w:val="20"/>
        </w:rPr>
        <w:t xml:space="preserve"> each tax jurisdiction regarding the recoverability of any tax assets recorded on the balance sheet and provide necessary valuation allowances as required. We regularly review our deferred tax assets for recoverability based on historical taxable income, p</w:t>
      </w:r>
      <w:r>
        <w:rPr>
          <w:rFonts w:eastAsia="Times New Roman"/>
          <w:color w:val="000000"/>
          <w:sz w:val="20"/>
          <w:szCs w:val="20"/>
        </w:rPr>
        <w:t xml:space="preserve">rojected future taxable income, the expected timing of the reversals of existing temporary differences and tax planning strategies. See </w:t>
      </w:r>
      <w:r>
        <w:rPr>
          <w:rFonts w:eastAsia="Times New Roman"/>
          <w:i/>
          <w:iCs/>
          <w:color w:val="000000"/>
          <w:sz w:val="20"/>
          <w:szCs w:val="20"/>
        </w:rPr>
        <w:t>Note 23: Income Taxes</w:t>
      </w:r>
      <w:r>
        <w:rPr>
          <w:rFonts w:eastAsia="Times New Roman"/>
          <w:color w:val="000000"/>
          <w:sz w:val="20"/>
          <w:szCs w:val="20"/>
        </w:rPr>
        <w:t xml:space="preserve"> in these Notes for additional information regarding income taxes.</w:t>
      </w:r>
    </w:p>
    <w:p w14:paraId="1C37428C" w14:textId="77777777" w:rsidR="00000000" w:rsidRDefault="001A570A">
      <w:pPr>
        <w:ind w:firstLine="450"/>
        <w:divId w:val="1716393447"/>
        <w:rPr>
          <w:rFonts w:eastAsia="Times New Roman"/>
        </w:rPr>
      </w:pPr>
      <w:r>
        <w:rPr>
          <w:rFonts w:eastAsia="Times New Roman"/>
          <w:b/>
          <w:bCs/>
          <w:color w:val="000000"/>
          <w:sz w:val="20"/>
          <w:szCs w:val="20"/>
        </w:rPr>
        <w:t>Standard Warranties</w:t>
      </w:r>
      <w:r>
        <w:rPr>
          <w:rFonts w:eastAsia="Times New Roman"/>
          <w:color w:val="000000"/>
          <w:sz w:val="20"/>
          <w:szCs w:val="20"/>
        </w:rPr>
        <w:t xml:space="preserve"> — We record </w:t>
      </w:r>
      <w:r>
        <w:rPr>
          <w:rFonts w:eastAsia="Times New Roman"/>
          <w:color w:val="000000"/>
          <w:sz w:val="20"/>
          <w:szCs w:val="20"/>
        </w:rPr>
        <w:t>estimated standard warranty costs in the period in which the related products are delivered. Factors that affect the estimated cost for warranties include the terms of the contract, the type and complexity of the delivered product, number of installed unit</w:t>
      </w:r>
      <w:r>
        <w:rPr>
          <w:rFonts w:eastAsia="Times New Roman"/>
          <w:color w:val="000000"/>
          <w:sz w:val="20"/>
          <w:szCs w:val="20"/>
        </w:rPr>
        <w:t>s, historical experience and management’s assumptions regarding anticipated rates of warranty claims and cost per claim. Our standard warranties start from the shipment, delivery or customer acceptance date and continue as follows:</w:t>
      </w:r>
    </w:p>
    <w:tbl>
      <w:tblPr>
        <w:tblW w:w="3548" w:type="pct"/>
        <w:jc w:val="center"/>
        <w:tblCellMar>
          <w:top w:w="15" w:type="dxa"/>
          <w:left w:w="15" w:type="dxa"/>
          <w:bottom w:w="15" w:type="dxa"/>
          <w:right w:w="15" w:type="dxa"/>
        </w:tblCellMar>
        <w:tblLook w:val="04A0" w:firstRow="1" w:lastRow="0" w:firstColumn="1" w:lastColumn="0" w:noHBand="0" w:noVBand="1"/>
      </w:tblPr>
      <w:tblGrid>
        <w:gridCol w:w="39"/>
        <w:gridCol w:w="3175"/>
        <w:gridCol w:w="37"/>
        <w:gridCol w:w="36"/>
        <w:gridCol w:w="96"/>
        <w:gridCol w:w="36"/>
        <w:gridCol w:w="37"/>
        <w:gridCol w:w="2402"/>
        <w:gridCol w:w="36"/>
      </w:tblGrid>
      <w:tr w:rsidR="00000000" w14:paraId="76A1755C" w14:textId="77777777">
        <w:trPr>
          <w:divId w:val="1299531657"/>
          <w:jc w:val="center"/>
        </w:trPr>
        <w:tc>
          <w:tcPr>
            <w:tcW w:w="50" w:type="pct"/>
            <w:vAlign w:val="center"/>
            <w:hideMark/>
          </w:tcPr>
          <w:p w14:paraId="0F00B3A7" w14:textId="77777777" w:rsidR="00000000" w:rsidRDefault="001A570A">
            <w:pPr>
              <w:ind w:firstLine="450"/>
              <w:rPr>
                <w:rFonts w:eastAsia="Times New Roman"/>
              </w:rPr>
            </w:pPr>
          </w:p>
        </w:tc>
        <w:tc>
          <w:tcPr>
            <w:tcW w:w="2748" w:type="pct"/>
            <w:vAlign w:val="center"/>
            <w:hideMark/>
          </w:tcPr>
          <w:p w14:paraId="28F8C963" w14:textId="77777777" w:rsidR="00000000" w:rsidRDefault="001A570A">
            <w:pPr>
              <w:rPr>
                <w:rFonts w:eastAsia="Times New Roman"/>
                <w:sz w:val="20"/>
                <w:szCs w:val="20"/>
              </w:rPr>
            </w:pPr>
          </w:p>
        </w:tc>
        <w:tc>
          <w:tcPr>
            <w:tcW w:w="5" w:type="pct"/>
            <w:vAlign w:val="center"/>
            <w:hideMark/>
          </w:tcPr>
          <w:p w14:paraId="6B52ABE3" w14:textId="77777777" w:rsidR="00000000" w:rsidRDefault="001A570A">
            <w:pPr>
              <w:rPr>
                <w:rFonts w:eastAsia="Times New Roman"/>
                <w:sz w:val="20"/>
                <w:szCs w:val="20"/>
              </w:rPr>
            </w:pPr>
          </w:p>
        </w:tc>
        <w:tc>
          <w:tcPr>
            <w:tcW w:w="5" w:type="pct"/>
            <w:vAlign w:val="center"/>
            <w:hideMark/>
          </w:tcPr>
          <w:p w14:paraId="5D9903E5" w14:textId="77777777" w:rsidR="00000000" w:rsidRDefault="001A570A">
            <w:pPr>
              <w:rPr>
                <w:rFonts w:eastAsia="Times New Roman"/>
                <w:sz w:val="20"/>
                <w:szCs w:val="20"/>
              </w:rPr>
            </w:pPr>
          </w:p>
        </w:tc>
        <w:tc>
          <w:tcPr>
            <w:tcW w:w="40" w:type="pct"/>
            <w:vAlign w:val="center"/>
            <w:hideMark/>
          </w:tcPr>
          <w:p w14:paraId="52375FB4" w14:textId="77777777" w:rsidR="00000000" w:rsidRDefault="001A570A">
            <w:pPr>
              <w:rPr>
                <w:rFonts w:eastAsia="Times New Roman"/>
                <w:sz w:val="20"/>
                <w:szCs w:val="20"/>
              </w:rPr>
            </w:pPr>
          </w:p>
        </w:tc>
        <w:tc>
          <w:tcPr>
            <w:tcW w:w="5" w:type="pct"/>
            <w:vAlign w:val="center"/>
            <w:hideMark/>
          </w:tcPr>
          <w:p w14:paraId="315F4B5E" w14:textId="77777777" w:rsidR="00000000" w:rsidRDefault="001A570A">
            <w:pPr>
              <w:rPr>
                <w:rFonts w:eastAsia="Times New Roman"/>
                <w:sz w:val="20"/>
                <w:szCs w:val="20"/>
              </w:rPr>
            </w:pPr>
          </w:p>
        </w:tc>
        <w:tc>
          <w:tcPr>
            <w:tcW w:w="50" w:type="pct"/>
            <w:vAlign w:val="center"/>
            <w:hideMark/>
          </w:tcPr>
          <w:p w14:paraId="2FDB19DC" w14:textId="77777777" w:rsidR="00000000" w:rsidRDefault="001A570A">
            <w:pPr>
              <w:rPr>
                <w:rFonts w:eastAsia="Times New Roman"/>
                <w:sz w:val="20"/>
                <w:szCs w:val="20"/>
              </w:rPr>
            </w:pPr>
          </w:p>
        </w:tc>
        <w:tc>
          <w:tcPr>
            <w:tcW w:w="2090" w:type="pct"/>
            <w:vAlign w:val="center"/>
            <w:hideMark/>
          </w:tcPr>
          <w:p w14:paraId="037BD60E" w14:textId="77777777" w:rsidR="00000000" w:rsidRDefault="001A570A">
            <w:pPr>
              <w:rPr>
                <w:rFonts w:eastAsia="Times New Roman"/>
                <w:sz w:val="20"/>
                <w:szCs w:val="20"/>
              </w:rPr>
            </w:pPr>
          </w:p>
        </w:tc>
        <w:tc>
          <w:tcPr>
            <w:tcW w:w="5" w:type="pct"/>
            <w:vAlign w:val="center"/>
            <w:hideMark/>
          </w:tcPr>
          <w:p w14:paraId="40CF955A" w14:textId="77777777" w:rsidR="00000000" w:rsidRDefault="001A570A">
            <w:pPr>
              <w:rPr>
                <w:rFonts w:eastAsia="Times New Roman"/>
                <w:sz w:val="20"/>
                <w:szCs w:val="20"/>
              </w:rPr>
            </w:pPr>
          </w:p>
        </w:tc>
      </w:tr>
      <w:tr w:rsidR="00000000" w14:paraId="2CED08BD" w14:textId="77777777">
        <w:trPr>
          <w:divId w:val="1299531657"/>
          <w:jc w:val="center"/>
        </w:trPr>
        <w:tc>
          <w:tcPr>
            <w:tcW w:w="0" w:type="auto"/>
            <w:gridSpan w:val="3"/>
            <w:tcMar>
              <w:top w:w="30" w:type="dxa"/>
              <w:left w:w="20" w:type="dxa"/>
              <w:bottom w:w="30" w:type="dxa"/>
              <w:right w:w="20" w:type="dxa"/>
            </w:tcMar>
            <w:vAlign w:val="bottom"/>
            <w:hideMark/>
          </w:tcPr>
          <w:p w14:paraId="2B203832" w14:textId="77777777" w:rsidR="00000000" w:rsidRDefault="001A570A">
            <w:pPr>
              <w:jc w:val="center"/>
              <w:rPr>
                <w:rFonts w:eastAsia="Times New Roman"/>
              </w:rPr>
            </w:pPr>
            <w:r>
              <w:rPr>
                <w:rFonts w:eastAsia="Times New Roman"/>
                <w:b/>
                <w:bCs/>
                <w:color w:val="000000"/>
                <w:sz w:val="16"/>
                <w:szCs w:val="16"/>
              </w:rPr>
              <w:t>Segment</w:t>
            </w:r>
          </w:p>
        </w:tc>
        <w:tc>
          <w:tcPr>
            <w:tcW w:w="0" w:type="auto"/>
            <w:gridSpan w:val="3"/>
            <w:tcMar>
              <w:top w:w="30" w:type="dxa"/>
              <w:left w:w="20" w:type="dxa"/>
              <w:bottom w:w="30" w:type="dxa"/>
              <w:right w:w="20" w:type="dxa"/>
            </w:tcMar>
            <w:vAlign w:val="bottom"/>
            <w:hideMark/>
          </w:tcPr>
          <w:p w14:paraId="0E188DB0"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F006344" w14:textId="77777777" w:rsidR="00000000" w:rsidRDefault="001A570A">
            <w:pPr>
              <w:jc w:val="center"/>
              <w:rPr>
                <w:rFonts w:eastAsia="Times New Roman"/>
              </w:rPr>
            </w:pPr>
            <w:r>
              <w:rPr>
                <w:rFonts w:eastAsia="Times New Roman"/>
                <w:b/>
                <w:bCs/>
                <w:color w:val="000000"/>
                <w:sz w:val="16"/>
                <w:szCs w:val="16"/>
              </w:rPr>
              <w:t>Average Warranty Period</w:t>
            </w:r>
          </w:p>
        </w:tc>
      </w:tr>
      <w:tr w:rsidR="00000000" w14:paraId="24A2419B" w14:textId="77777777">
        <w:trPr>
          <w:divId w:val="1299531657"/>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14:paraId="1C74F6C1" w14:textId="77777777" w:rsidR="00000000" w:rsidRDefault="001A570A">
            <w:pPr>
              <w:rPr>
                <w:rFonts w:eastAsia="Times New Roman"/>
              </w:rPr>
            </w:pPr>
            <w:r>
              <w:rPr>
                <w:rFonts w:eastAsia="Times New Roman"/>
                <w:color w:val="000000"/>
                <w:sz w:val="20"/>
                <w:szCs w:val="20"/>
              </w:rPr>
              <w:t>Integrated Mission Systems</w:t>
            </w:r>
          </w:p>
        </w:tc>
        <w:tc>
          <w:tcPr>
            <w:tcW w:w="0" w:type="auto"/>
            <w:gridSpan w:val="3"/>
            <w:shd w:val="clear" w:color="auto" w:fill="CCEEFF"/>
            <w:tcMar>
              <w:top w:w="0" w:type="dxa"/>
              <w:left w:w="20" w:type="dxa"/>
              <w:bottom w:w="0" w:type="dxa"/>
              <w:right w:w="20" w:type="dxa"/>
            </w:tcMar>
            <w:vAlign w:val="center"/>
            <w:hideMark/>
          </w:tcPr>
          <w:p w14:paraId="4E2B1783" w14:textId="77777777" w:rsidR="00000000" w:rsidRDefault="001A570A">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31EEC7" w14:textId="77777777" w:rsidR="00000000" w:rsidRDefault="001A570A">
            <w:pPr>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w:t>
            </w:r>
          </w:p>
        </w:tc>
      </w:tr>
      <w:tr w:rsidR="00000000" w14:paraId="2992114E" w14:textId="77777777">
        <w:trPr>
          <w:divId w:val="1299531657"/>
          <w:jc w:val="center"/>
        </w:trPr>
        <w:tc>
          <w:tcPr>
            <w:tcW w:w="0" w:type="auto"/>
            <w:gridSpan w:val="3"/>
            <w:shd w:val="clear" w:color="auto" w:fill="FFFFFF"/>
            <w:tcMar>
              <w:top w:w="30" w:type="dxa"/>
              <w:left w:w="20" w:type="dxa"/>
              <w:bottom w:w="30" w:type="dxa"/>
              <w:right w:w="20" w:type="dxa"/>
            </w:tcMar>
            <w:hideMark/>
          </w:tcPr>
          <w:p w14:paraId="7FBB8DB4"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3"/>
            <w:shd w:val="clear" w:color="auto" w:fill="FFFFFF"/>
            <w:tcMar>
              <w:top w:w="30" w:type="dxa"/>
              <w:left w:w="20" w:type="dxa"/>
              <w:bottom w:w="30" w:type="dxa"/>
              <w:right w:w="20" w:type="dxa"/>
            </w:tcMar>
            <w:vAlign w:val="bottom"/>
            <w:hideMark/>
          </w:tcPr>
          <w:p w14:paraId="59382DA5" w14:textId="77777777" w:rsidR="00000000" w:rsidRDefault="001A570A">
            <w:pPr>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5B3C0B80" w14:textId="77777777" w:rsidR="00000000" w:rsidRDefault="001A570A">
            <w:pPr>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w:t>
            </w:r>
          </w:p>
        </w:tc>
      </w:tr>
      <w:tr w:rsidR="00000000" w14:paraId="017031CE" w14:textId="77777777">
        <w:trPr>
          <w:divId w:val="1299531657"/>
          <w:jc w:val="center"/>
        </w:trPr>
        <w:tc>
          <w:tcPr>
            <w:tcW w:w="0" w:type="auto"/>
            <w:gridSpan w:val="3"/>
            <w:shd w:val="clear" w:color="auto" w:fill="CCEEFF"/>
            <w:tcMar>
              <w:top w:w="30" w:type="dxa"/>
              <w:left w:w="20" w:type="dxa"/>
              <w:bottom w:w="30" w:type="dxa"/>
              <w:right w:w="20" w:type="dxa"/>
            </w:tcMar>
            <w:hideMark/>
          </w:tcPr>
          <w:p w14:paraId="63AEB513" w14:textId="77777777" w:rsidR="00000000" w:rsidRDefault="001A570A">
            <w:pPr>
              <w:rPr>
                <w:rFonts w:eastAsia="Times New Roman"/>
              </w:rPr>
            </w:pPr>
            <w:r>
              <w:rPr>
                <w:rFonts w:eastAsia="Times New Roman"/>
                <w:color w:val="000000"/>
                <w:sz w:val="20"/>
                <w:szCs w:val="20"/>
              </w:rPr>
              <w:t>Communication Systems</w:t>
            </w:r>
          </w:p>
        </w:tc>
        <w:tc>
          <w:tcPr>
            <w:tcW w:w="0" w:type="auto"/>
            <w:gridSpan w:val="3"/>
            <w:shd w:val="clear" w:color="auto" w:fill="CCEEFF"/>
            <w:tcMar>
              <w:top w:w="30" w:type="dxa"/>
              <w:left w:w="20" w:type="dxa"/>
              <w:bottom w:w="30" w:type="dxa"/>
              <w:right w:w="20" w:type="dxa"/>
            </w:tcMar>
            <w:vAlign w:val="bottom"/>
            <w:hideMark/>
          </w:tcPr>
          <w:p w14:paraId="40658EA4" w14:textId="77777777" w:rsidR="00000000" w:rsidRDefault="001A570A">
            <w:pPr>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14:paraId="131E0345" w14:textId="77777777" w:rsidR="00000000" w:rsidRDefault="001A570A">
            <w:pPr>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five years</w:t>
            </w:r>
          </w:p>
        </w:tc>
      </w:tr>
      <w:tr w:rsidR="00000000" w14:paraId="094CF99E" w14:textId="77777777">
        <w:trPr>
          <w:divId w:val="1299531657"/>
          <w:jc w:val="center"/>
        </w:trPr>
        <w:tc>
          <w:tcPr>
            <w:tcW w:w="0" w:type="auto"/>
            <w:gridSpan w:val="3"/>
            <w:shd w:val="clear" w:color="auto" w:fill="FFFFFF"/>
            <w:tcMar>
              <w:top w:w="30" w:type="dxa"/>
              <w:left w:w="20" w:type="dxa"/>
              <w:bottom w:w="30" w:type="dxa"/>
              <w:right w:w="20" w:type="dxa"/>
            </w:tcMar>
            <w:hideMark/>
          </w:tcPr>
          <w:p w14:paraId="4833671B" w14:textId="77777777" w:rsidR="00000000" w:rsidRDefault="001A570A">
            <w:pPr>
              <w:rPr>
                <w:rFonts w:eastAsia="Times New Roman"/>
              </w:rPr>
            </w:pPr>
            <w:r>
              <w:rPr>
                <w:rFonts w:eastAsia="Times New Roman"/>
                <w:color w:val="000000"/>
                <w:sz w:val="20"/>
                <w:szCs w:val="20"/>
              </w:rPr>
              <w:t>Aviation Systems</w:t>
            </w:r>
          </w:p>
        </w:tc>
        <w:tc>
          <w:tcPr>
            <w:tcW w:w="0" w:type="auto"/>
            <w:gridSpan w:val="3"/>
            <w:shd w:val="clear" w:color="auto" w:fill="FFFFFF"/>
            <w:tcMar>
              <w:top w:w="30" w:type="dxa"/>
              <w:left w:w="20" w:type="dxa"/>
              <w:bottom w:w="30" w:type="dxa"/>
              <w:right w:w="20" w:type="dxa"/>
            </w:tcMar>
            <w:vAlign w:val="bottom"/>
            <w:hideMark/>
          </w:tcPr>
          <w:p w14:paraId="77074448" w14:textId="77777777" w:rsidR="00000000" w:rsidRDefault="001A570A">
            <w:pPr>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6CD382C7" w14:textId="77777777" w:rsidR="00000000" w:rsidRDefault="001A570A">
            <w:pPr>
              <w:jc w:val="center"/>
              <w:rPr>
                <w:rFonts w:eastAsia="Times New Roman"/>
              </w:rPr>
            </w:pP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years</w:t>
            </w:r>
          </w:p>
        </w:tc>
      </w:tr>
    </w:tbl>
    <w:p w14:paraId="6910D679" w14:textId="77777777" w:rsidR="00000000" w:rsidRDefault="001A570A">
      <w:pPr>
        <w:ind w:firstLine="450"/>
        <w:divId w:val="1880821946"/>
        <w:rPr>
          <w:rFonts w:eastAsia="Times New Roman"/>
        </w:rPr>
      </w:pPr>
      <w:r>
        <w:rPr>
          <w:rFonts w:eastAsia="Times New Roman"/>
          <w:color w:val="000000"/>
          <w:sz w:val="20"/>
          <w:szCs w:val="20"/>
        </w:rPr>
        <w:t xml:space="preserve">Because our products are manufactured, in many cases, to customer specifications and their acceptance is based on meeting those specifications, we historically have experienced minimal warranty costs. Factors that affect our warranty liability include the </w:t>
      </w:r>
      <w:r>
        <w:rPr>
          <w:rFonts w:eastAsia="Times New Roman"/>
          <w:color w:val="000000"/>
          <w:sz w:val="20"/>
          <w:szCs w:val="20"/>
        </w:rPr>
        <w:t>number of installed units, historical experience, anticipated delays in delivery of products to end customers, in-country support for international sales and our assumptions regarding anticipated rates of warranty claims and cost per claim. We assess the a</w:t>
      </w:r>
      <w:r>
        <w:rPr>
          <w:rFonts w:eastAsia="Times New Roman"/>
          <w:color w:val="000000"/>
          <w:sz w:val="20"/>
          <w:szCs w:val="20"/>
        </w:rPr>
        <w:t xml:space="preserve">dequacy of our recorded warranty liabilities every quarter and make adjustments to the liability as necessary. See </w:t>
      </w:r>
      <w:r>
        <w:rPr>
          <w:rFonts w:eastAsia="Times New Roman"/>
          <w:i/>
          <w:iCs/>
          <w:color w:val="000000"/>
          <w:sz w:val="20"/>
          <w:szCs w:val="20"/>
        </w:rPr>
        <w:t>Note 12: Accrued Warranties</w:t>
      </w:r>
      <w:r>
        <w:rPr>
          <w:rFonts w:eastAsia="Times New Roman"/>
          <w:color w:val="000000"/>
          <w:sz w:val="20"/>
          <w:szCs w:val="20"/>
        </w:rPr>
        <w:t xml:space="preserve"> in these Notes for additional information regarding warranties.</w:t>
      </w:r>
    </w:p>
    <w:p w14:paraId="4600C303" w14:textId="77777777" w:rsidR="00000000" w:rsidRDefault="001A570A">
      <w:pPr>
        <w:ind w:firstLine="450"/>
        <w:divId w:val="963661094"/>
        <w:rPr>
          <w:rFonts w:eastAsia="Times New Roman"/>
        </w:rPr>
      </w:pPr>
      <w:r>
        <w:rPr>
          <w:rFonts w:eastAsia="Times New Roman"/>
          <w:b/>
          <w:bCs/>
          <w:color w:val="000000"/>
          <w:sz w:val="20"/>
          <w:szCs w:val="20"/>
        </w:rPr>
        <w:t>Foreign Currency Translation</w:t>
      </w:r>
      <w:r>
        <w:rPr>
          <w:rFonts w:eastAsia="Times New Roman"/>
          <w:color w:val="000000"/>
          <w:sz w:val="20"/>
          <w:szCs w:val="20"/>
        </w:rPr>
        <w:t> — The functional cur</w:t>
      </w:r>
      <w:r>
        <w:rPr>
          <w:rFonts w:eastAsia="Times New Roman"/>
          <w:color w:val="000000"/>
          <w:sz w:val="20"/>
          <w:szCs w:val="20"/>
        </w:rPr>
        <w:t>rency for most international subsidiaries is the local currency. Assets and liabilities are translated at current rates of exchange and income and expense items are translated at the weighted average exchange rate for the year. The resulting translation ad</w:t>
      </w:r>
      <w:r>
        <w:rPr>
          <w:rFonts w:eastAsia="Times New Roman"/>
          <w:color w:val="000000"/>
          <w:sz w:val="20"/>
          <w:szCs w:val="20"/>
        </w:rPr>
        <w:t xml:space="preserve">justments are recorded as a separate component of shareholders’ equity. </w:t>
      </w:r>
    </w:p>
    <w:p w14:paraId="264628E0" w14:textId="77777777" w:rsidR="00000000" w:rsidRDefault="001A570A">
      <w:pPr>
        <w:ind w:firstLine="450"/>
        <w:divId w:val="1112937421"/>
        <w:rPr>
          <w:rFonts w:eastAsia="Times New Roman"/>
        </w:rPr>
      </w:pPr>
      <w:r>
        <w:rPr>
          <w:rFonts w:eastAsia="Times New Roman"/>
          <w:b/>
          <w:bCs/>
          <w:color w:val="000000"/>
          <w:sz w:val="20"/>
          <w:szCs w:val="20"/>
        </w:rPr>
        <w:t>Stock Options and Other Share-Based Compensation</w:t>
      </w:r>
      <w:r>
        <w:rPr>
          <w:rFonts w:eastAsia="Times New Roman"/>
          <w:color w:val="000000"/>
          <w:sz w:val="20"/>
          <w:szCs w:val="20"/>
        </w:rPr>
        <w:t> — We measure compensation cost for all share-based payments (including employee stock options) at fair value and recognize cost over t</w:t>
      </w:r>
      <w:r>
        <w:rPr>
          <w:rFonts w:eastAsia="Times New Roman"/>
          <w:color w:val="000000"/>
          <w:sz w:val="20"/>
          <w:szCs w:val="20"/>
        </w:rPr>
        <w:t xml:space="preserve">he vesting period, with forfeitures recognized as they occur. It is our practice to issue shares when options are exercised. See </w:t>
      </w:r>
      <w:r>
        <w:rPr>
          <w:rFonts w:eastAsia="Times New Roman"/>
          <w:i/>
          <w:iCs/>
          <w:color w:val="000000"/>
          <w:sz w:val="20"/>
          <w:szCs w:val="20"/>
        </w:rPr>
        <w:t>Note 16: Stock Options and Other Share-Based Compensation</w:t>
      </w:r>
      <w:r>
        <w:rPr>
          <w:rFonts w:eastAsia="Times New Roman"/>
          <w:color w:val="000000"/>
          <w:sz w:val="20"/>
          <w:szCs w:val="20"/>
        </w:rPr>
        <w:t xml:space="preserve"> in these Notes for additional information regarding share-based compe</w:t>
      </w:r>
      <w:r>
        <w:rPr>
          <w:rFonts w:eastAsia="Times New Roman"/>
          <w:color w:val="000000"/>
          <w:sz w:val="20"/>
          <w:szCs w:val="20"/>
        </w:rPr>
        <w:t>nsation.</w:t>
      </w:r>
    </w:p>
    <w:p w14:paraId="6C9AEA98" w14:textId="77777777" w:rsidR="00000000" w:rsidRDefault="001A570A">
      <w:pPr>
        <w:ind w:firstLine="450"/>
        <w:divId w:val="497309543"/>
        <w:rPr>
          <w:rFonts w:eastAsia="Times New Roman"/>
        </w:rPr>
      </w:pPr>
      <w:r>
        <w:rPr>
          <w:rFonts w:eastAsia="Times New Roman"/>
          <w:b/>
          <w:bCs/>
          <w:color w:val="000000"/>
          <w:sz w:val="20"/>
          <w:szCs w:val="20"/>
        </w:rPr>
        <w:t xml:space="preserve">Restructuring and Other Exit Costs </w:t>
      </w:r>
      <w:r>
        <w:rPr>
          <w:rFonts w:eastAsia="Times New Roman"/>
          <w:color w:val="000000"/>
          <w:sz w:val="20"/>
          <w:szCs w:val="20"/>
        </w:rPr>
        <w:t>— We record restructuring and other exit costs at their fair value when incurred. In cases where employees are required to render service until they are terminated in order to receive the termination benefits and</w:t>
      </w:r>
      <w:r>
        <w:rPr>
          <w:rFonts w:eastAsia="Times New Roman"/>
          <w:color w:val="000000"/>
          <w:sz w:val="20"/>
          <w:szCs w:val="20"/>
        </w:rPr>
        <w:t xml:space="preserve"> will be retained beyond the minimum retention period, we record the expense ratably over the future service period. These costs are included as a component of the “Engineering, selling and administrative expenses” line items in our Consolidated Statement </w:t>
      </w:r>
      <w:r>
        <w:rPr>
          <w:rFonts w:eastAsia="Times New Roman"/>
          <w:color w:val="000000"/>
          <w:sz w:val="20"/>
          <w:szCs w:val="20"/>
        </w:rPr>
        <w:t xml:space="preserve">of Income. See </w:t>
      </w:r>
      <w:r>
        <w:rPr>
          <w:rFonts w:eastAsia="Times New Roman"/>
          <w:i/>
          <w:iCs/>
          <w:color w:val="000000"/>
          <w:sz w:val="20"/>
          <w:szCs w:val="20"/>
        </w:rPr>
        <w:t>Note 4: Restructuring and Other Exit Costs</w:t>
      </w:r>
      <w:r>
        <w:rPr>
          <w:rFonts w:eastAsia="Times New Roman"/>
          <w:color w:val="000000"/>
          <w:sz w:val="20"/>
          <w:szCs w:val="20"/>
        </w:rPr>
        <w:t xml:space="preserve"> in these Notes for additional information regarding restructuring and other exit costs.</w:t>
      </w:r>
    </w:p>
    <w:p w14:paraId="0E26C587" w14:textId="77777777" w:rsidR="00000000" w:rsidRDefault="001A570A">
      <w:pPr>
        <w:ind w:firstLine="450"/>
        <w:divId w:val="430860922"/>
        <w:rPr>
          <w:rFonts w:eastAsia="Times New Roman"/>
        </w:rPr>
      </w:pPr>
      <w:r>
        <w:rPr>
          <w:rFonts w:eastAsia="Times New Roman"/>
          <w:b/>
          <w:bCs/>
          <w:color w:val="000000"/>
          <w:sz w:val="20"/>
          <w:szCs w:val="20"/>
        </w:rPr>
        <w:t>Revenue Recognition</w:t>
      </w:r>
      <w:r>
        <w:rPr>
          <w:rFonts w:eastAsia="Times New Roman"/>
          <w:color w:val="000000"/>
          <w:sz w:val="20"/>
          <w:szCs w:val="20"/>
        </w:rPr>
        <w:t> — We account for a contract when it has approval and commitment from all parties, the righ</w:t>
      </w:r>
      <w:r>
        <w:rPr>
          <w:rFonts w:eastAsia="Times New Roman"/>
          <w:color w:val="000000"/>
          <w:sz w:val="20"/>
          <w:szCs w:val="20"/>
        </w:rPr>
        <w:t>ts and payment terms of the parties can be identified, the contract has commercial substance and the collectability of the consideration, or transaction price, is probable. Our contracts are often subsequently modified to include changes in specifications,</w:t>
      </w:r>
      <w:r>
        <w:rPr>
          <w:rFonts w:eastAsia="Times New Roman"/>
          <w:color w:val="000000"/>
          <w:sz w:val="20"/>
          <w:szCs w:val="20"/>
        </w:rPr>
        <w:t xml:space="preserve"> requirements </w:t>
      </w:r>
    </w:p>
    <w:p w14:paraId="00748CB6" w14:textId="77777777" w:rsidR="00000000" w:rsidRDefault="001A570A">
      <w:pPr>
        <w:ind w:firstLine="450"/>
        <w:jc w:val="center"/>
        <w:divId w:val="1798790343"/>
        <w:rPr>
          <w:rFonts w:eastAsia="Times New Roman"/>
        </w:rPr>
      </w:pPr>
      <w:r>
        <w:rPr>
          <w:rFonts w:eastAsia="Times New Roman"/>
          <w:color w:val="000000"/>
          <w:sz w:val="20"/>
          <w:szCs w:val="20"/>
        </w:rPr>
        <w:t>84</w:t>
      </w:r>
    </w:p>
    <w:p w14:paraId="1246CC3B" w14:textId="77777777" w:rsidR="00000000" w:rsidRDefault="001A570A">
      <w:pPr>
        <w:rPr>
          <w:rFonts w:eastAsia="Times New Roman"/>
        </w:rPr>
      </w:pPr>
      <w:r>
        <w:rPr>
          <w:rFonts w:eastAsia="Times New Roman"/>
        </w:rPr>
        <w:pict w14:anchorId="66658D34">
          <v:rect id="_x0000_i1112" style="width:0;height:1.5pt" o:hralign="center" o:hrstd="t" o:hr="t" fillcolor="#a0a0a0" stroked="f"/>
        </w:pict>
      </w:r>
    </w:p>
    <w:p w14:paraId="4115AA0F" w14:textId="77777777" w:rsidR="00000000" w:rsidRDefault="001A570A">
      <w:pPr>
        <w:ind w:firstLine="450"/>
        <w:divId w:val="421341102"/>
        <w:rPr>
          <w:rFonts w:eastAsia="Times New Roman"/>
        </w:rPr>
      </w:pPr>
    </w:p>
    <w:p w14:paraId="7729D062" w14:textId="77777777" w:rsidR="00000000" w:rsidRDefault="001A570A">
      <w:pPr>
        <w:divId w:val="211888952"/>
        <w:rPr>
          <w:rFonts w:eastAsia="Times New Roman"/>
        </w:rPr>
      </w:pPr>
      <w:r>
        <w:rPr>
          <w:rFonts w:eastAsia="Times New Roman"/>
          <w:color w:val="000000"/>
          <w:sz w:val="20"/>
          <w:szCs w:val="20"/>
        </w:rPr>
        <w:t>or price that may create new or change existing enforceable rights and obligations. We do not account for contract modifications (including unexercised options) or follow-on contracts until they meet the requirements noted above to account for a contract.</w:t>
      </w:r>
    </w:p>
    <w:p w14:paraId="1A2C3A56" w14:textId="77777777" w:rsidR="00000000" w:rsidRDefault="001A570A">
      <w:pPr>
        <w:ind w:firstLine="450"/>
        <w:divId w:val="284046183"/>
        <w:rPr>
          <w:rFonts w:eastAsia="Times New Roman"/>
        </w:rPr>
      </w:pPr>
      <w:r>
        <w:rPr>
          <w:rFonts w:eastAsia="Times New Roman"/>
          <w:color w:val="000000"/>
          <w:sz w:val="20"/>
          <w:szCs w:val="20"/>
        </w:rPr>
        <w:t>At the inception of each contract, we evaluate the promised goods and services to determine whether the contract should be accounted for as having one or more performance obligations. A performance obligation is a promise to transfer a distinct good or ser</w:t>
      </w:r>
      <w:r>
        <w:rPr>
          <w:rFonts w:eastAsia="Times New Roman"/>
          <w:color w:val="000000"/>
          <w:sz w:val="20"/>
          <w:szCs w:val="20"/>
        </w:rPr>
        <w:t>vice to a customer and represents the unit of accounting for revenue recognition. A substantial majority of our revenue is derived from long-term development and production contracts involving the design, development, manufacture or modification of aerospa</w:t>
      </w:r>
      <w:r>
        <w:rPr>
          <w:rFonts w:eastAsia="Times New Roman"/>
          <w:color w:val="000000"/>
          <w:sz w:val="20"/>
          <w:szCs w:val="20"/>
        </w:rPr>
        <w:t>ce and defense products and related services according to the customers’ specifications. Due to the highly interdependent and interrelated nature of the underlying goods and services and the significant service of integration that we provide, which often r</w:t>
      </w:r>
      <w:r>
        <w:rPr>
          <w:rFonts w:eastAsia="Times New Roman"/>
          <w:color w:val="000000"/>
          <w:sz w:val="20"/>
          <w:szCs w:val="20"/>
        </w:rPr>
        <w:t>esult in the delivery of multiple units, we account for these contracts as one performance obligation. For contracts that include both development/production and follow-on support services (for example, operations and maintenance), we generally consider th</w:t>
      </w:r>
      <w:r>
        <w:rPr>
          <w:rFonts w:eastAsia="Times New Roman"/>
          <w:color w:val="000000"/>
          <w:sz w:val="20"/>
          <w:szCs w:val="20"/>
        </w:rPr>
        <w:t>e follow-on services distinct in the context of the contract and account for them as separate performance obligations. Additionally, a significant amount of our revenue is derived from contracts to provide multiple distinct goods to a customer where the go</w:t>
      </w:r>
      <w:r>
        <w:rPr>
          <w:rFonts w:eastAsia="Times New Roman"/>
          <w:color w:val="000000"/>
          <w:sz w:val="20"/>
          <w:szCs w:val="20"/>
        </w:rPr>
        <w:t>ods can readily be sold to other customers based on their commercial nature and, accordingly, these goods are accounted for as separate performance obligations. Shipping and handling costs incurred after control of a product has transferred to the customer</w:t>
      </w:r>
      <w:r>
        <w:rPr>
          <w:rFonts w:eastAsia="Times New Roman"/>
          <w:color w:val="000000"/>
          <w:sz w:val="20"/>
          <w:szCs w:val="20"/>
        </w:rPr>
        <w:t xml:space="preserve"> (for example, in free on board shipping arrangements) are treated as fulfillment costs and, therefore, are not accounted for as separate performance obligations. Also, we record taxes collected from customers and remitted to governmental authorities on a </w:t>
      </w:r>
      <w:r>
        <w:rPr>
          <w:rFonts w:eastAsia="Times New Roman"/>
          <w:color w:val="000000"/>
          <w:sz w:val="20"/>
          <w:szCs w:val="20"/>
        </w:rPr>
        <w:t>net basis in that they are excluded from revenue.</w:t>
      </w:r>
    </w:p>
    <w:p w14:paraId="2DC6BD1A" w14:textId="77777777" w:rsidR="00000000" w:rsidRDefault="001A570A">
      <w:pPr>
        <w:ind w:firstLine="450"/>
        <w:divId w:val="308412421"/>
        <w:rPr>
          <w:rFonts w:eastAsia="Times New Roman"/>
        </w:rPr>
      </w:pPr>
      <w:r>
        <w:rPr>
          <w:rFonts w:eastAsia="Times New Roman"/>
          <w:color w:val="000000"/>
          <w:sz w:val="20"/>
          <w:szCs w:val="20"/>
        </w:rPr>
        <w:t>As noted above, our contracts are often subsequently modified to include changes in specifications, requirements or price. Depending on the nature of the modification, we consider whether to account for the</w:t>
      </w:r>
      <w:r>
        <w:rPr>
          <w:rFonts w:eastAsia="Times New Roman"/>
          <w:color w:val="000000"/>
          <w:sz w:val="20"/>
          <w:szCs w:val="20"/>
        </w:rPr>
        <w:t xml:space="preserve"> modification as an adjustment to the existing contract or as a separate contract. Often, the deliverables in our contract modifications are not distinct from the existing contract due to the significant integration and interrelated tasks provided in the c</w:t>
      </w:r>
      <w:r>
        <w:rPr>
          <w:rFonts w:eastAsia="Times New Roman"/>
          <w:color w:val="000000"/>
          <w:sz w:val="20"/>
          <w:szCs w:val="20"/>
        </w:rPr>
        <w:t>ontext of the contract. Therefore, such modifications are accounted for as if they are part of the existing contract, and we may be required to recognize a cumulative catch-up adjustment to revenue at the date of the contract modification.</w:t>
      </w:r>
    </w:p>
    <w:p w14:paraId="3C514957" w14:textId="77777777" w:rsidR="00000000" w:rsidRDefault="001A570A">
      <w:pPr>
        <w:ind w:firstLine="450"/>
        <w:divId w:val="1382100075"/>
        <w:rPr>
          <w:rFonts w:eastAsia="Times New Roman"/>
        </w:rPr>
      </w:pPr>
      <w:r>
        <w:rPr>
          <w:rFonts w:eastAsia="Times New Roman"/>
          <w:color w:val="000000"/>
          <w:sz w:val="20"/>
          <w:szCs w:val="20"/>
        </w:rPr>
        <w:t>We determine the transaction price for each contract based on our best estimate of the consideration we expect to receive, which includes assumptions regarding variable consideration, such as award and incentive fees. These variable amounts are generally a</w:t>
      </w:r>
      <w:r>
        <w:rPr>
          <w:rFonts w:eastAsia="Times New Roman"/>
          <w:color w:val="000000"/>
          <w:sz w:val="20"/>
          <w:szCs w:val="20"/>
        </w:rPr>
        <w:t>warded upon achievement of certain negotiated performance metrics, program milestones or cost targets and can be based upon customer discretion. We include such estimated amounts in the transaction price to the extent it is probable that a significant reve</w:t>
      </w:r>
      <w:r>
        <w:rPr>
          <w:rFonts w:eastAsia="Times New Roman"/>
          <w:color w:val="000000"/>
          <w:sz w:val="20"/>
          <w:szCs w:val="20"/>
        </w:rPr>
        <w:t>rsal of cumulative revenue recognized will not occur when the uncertainty associated with the variable consideration is resolved. We estimate variable consideration primarily using the most likely amount method.</w:t>
      </w:r>
    </w:p>
    <w:p w14:paraId="15775F9B" w14:textId="77777777" w:rsidR="00000000" w:rsidRDefault="001A570A">
      <w:pPr>
        <w:ind w:firstLine="450"/>
        <w:divId w:val="635570571"/>
        <w:rPr>
          <w:rFonts w:eastAsia="Times New Roman"/>
        </w:rPr>
      </w:pPr>
      <w:r>
        <w:rPr>
          <w:rFonts w:eastAsia="Times New Roman"/>
          <w:color w:val="000000"/>
          <w:sz w:val="20"/>
          <w:szCs w:val="20"/>
        </w:rPr>
        <w:t>For contracts with multiple performance obli</w:t>
      </w:r>
      <w:r>
        <w:rPr>
          <w:rFonts w:eastAsia="Times New Roman"/>
          <w:color w:val="000000"/>
          <w:sz w:val="20"/>
          <w:szCs w:val="20"/>
        </w:rPr>
        <w:t>gations, we allocate the transaction price to each performance obligation based on the relative standalone selling price of the good or service underlying each performance obligation. The standalone selling price represents the amount for which we would se</w:t>
      </w:r>
      <w:r>
        <w:rPr>
          <w:rFonts w:eastAsia="Times New Roman"/>
          <w:color w:val="000000"/>
          <w:sz w:val="20"/>
          <w:szCs w:val="20"/>
        </w:rPr>
        <w:t>ll the good or service to a customer on a standalone basis (i.e., not sold as a bundle with any other products or services). Our contracts with the U.S. Government, including foreign military sales contracts, are subject to the Federal Acquisition Regulati</w:t>
      </w:r>
      <w:r>
        <w:rPr>
          <w:rFonts w:eastAsia="Times New Roman"/>
          <w:color w:val="000000"/>
          <w:sz w:val="20"/>
          <w:szCs w:val="20"/>
        </w:rPr>
        <w:t>ons (“FAR”) and the prices of our contract deliverables are typically based on our estimated or actual costs plus a reasonable profit margin. As a result, the standalone selling prices of the goods and services in these contracts are typically equal to the</w:t>
      </w:r>
      <w:r>
        <w:rPr>
          <w:rFonts w:eastAsia="Times New Roman"/>
          <w:color w:val="000000"/>
          <w:sz w:val="20"/>
          <w:szCs w:val="20"/>
        </w:rPr>
        <w:t xml:space="preserve"> selling prices stated in the contract, thereby, eliminating the need to allocate (or reallocate) the transaction price to the multiple performance obligations. In our non-U.S. Government contracts, we also generally use the expected cost plus a reasonable</w:t>
      </w:r>
      <w:r>
        <w:rPr>
          <w:rFonts w:eastAsia="Times New Roman"/>
          <w:color w:val="000000"/>
          <w:sz w:val="20"/>
          <w:szCs w:val="20"/>
        </w:rPr>
        <w:t xml:space="preserve"> profit margin approach to determine standalone selling price. In addition, we determine standalone selling price for certain contracts that are commercial in nature based on observable selling prices.</w:t>
      </w:r>
    </w:p>
    <w:p w14:paraId="1F9B7E59" w14:textId="77777777" w:rsidR="00000000" w:rsidRDefault="001A570A">
      <w:pPr>
        <w:ind w:firstLine="450"/>
        <w:divId w:val="692877217"/>
        <w:rPr>
          <w:rFonts w:eastAsia="Times New Roman"/>
        </w:rPr>
      </w:pPr>
      <w:r>
        <w:rPr>
          <w:rFonts w:eastAsia="Times New Roman"/>
          <w:color w:val="000000"/>
          <w:sz w:val="20"/>
          <w:szCs w:val="20"/>
        </w:rPr>
        <w:t>We recognize revenue for each performance obligation w</w:t>
      </w:r>
      <w:r>
        <w:rPr>
          <w:rFonts w:eastAsia="Times New Roman"/>
          <w:color w:val="000000"/>
          <w:sz w:val="20"/>
          <w:szCs w:val="20"/>
        </w:rPr>
        <w:t>hen (or as) the performance obligation is satisfied by transferring control of the promised goods or services underlying the performance obligation to the customer. The transfer of control can occur over time or at a point in time.</w:t>
      </w:r>
    </w:p>
    <w:p w14:paraId="2B4AE949" w14:textId="77777777" w:rsidR="00000000" w:rsidRDefault="001A570A">
      <w:pPr>
        <w:ind w:firstLine="450"/>
        <w:divId w:val="295568161"/>
        <w:rPr>
          <w:rFonts w:eastAsia="Times New Roman"/>
        </w:rPr>
      </w:pPr>
      <w:r>
        <w:rPr>
          <w:rFonts w:eastAsia="Times New Roman"/>
          <w:i/>
          <w:iCs/>
          <w:color w:val="000000"/>
          <w:sz w:val="20"/>
          <w:szCs w:val="20"/>
        </w:rPr>
        <w:t>Point in Time Revenue Re</w:t>
      </w:r>
      <w:r>
        <w:rPr>
          <w:rFonts w:eastAsia="Times New Roman"/>
          <w:i/>
          <w:iCs/>
          <w:color w:val="000000"/>
          <w:sz w:val="20"/>
          <w:szCs w:val="20"/>
        </w:rPr>
        <w:t>cognition:</w:t>
      </w:r>
      <w:r>
        <w:rPr>
          <w:rFonts w:eastAsia="Times New Roman"/>
          <w:color w:val="000000"/>
          <w:sz w:val="20"/>
          <w:szCs w:val="20"/>
        </w:rPr>
        <w:t xml:space="preserve"> Our performance obligations are satisfied at a point in time unless they meet at least one of the following criteria, in which case they are satisfied over time:</w:t>
      </w:r>
    </w:p>
    <w:p w14:paraId="73E45DE6" w14:textId="77777777" w:rsidR="00000000" w:rsidRDefault="001A570A">
      <w:pPr>
        <w:ind w:hanging="360"/>
        <w:divId w:val="136725870"/>
        <w:rPr>
          <w:rFonts w:eastAsia="Times New Roman"/>
        </w:rPr>
      </w:pPr>
      <w:r>
        <w:rPr>
          <w:rFonts w:eastAsia="Times New Roman"/>
          <w:color w:val="000000"/>
          <w:sz w:val="20"/>
          <w:szCs w:val="20"/>
        </w:rPr>
        <w:t>•The customer simultaneously receives and consumes the benefits provided by our per</w:t>
      </w:r>
      <w:r>
        <w:rPr>
          <w:rFonts w:eastAsia="Times New Roman"/>
          <w:color w:val="000000"/>
          <w:sz w:val="20"/>
          <w:szCs w:val="20"/>
        </w:rPr>
        <w:t>formance as we perform;</w:t>
      </w:r>
    </w:p>
    <w:p w14:paraId="1AF32C3B" w14:textId="77777777" w:rsidR="00000000" w:rsidRDefault="001A570A">
      <w:pPr>
        <w:ind w:hanging="360"/>
        <w:divId w:val="734817812"/>
        <w:rPr>
          <w:rFonts w:eastAsia="Times New Roman"/>
        </w:rPr>
      </w:pPr>
      <w:r>
        <w:rPr>
          <w:rFonts w:eastAsia="Times New Roman"/>
          <w:color w:val="000000"/>
          <w:sz w:val="20"/>
          <w:szCs w:val="20"/>
        </w:rPr>
        <w:t>•Our performance creates or enhances an asset (for example, work in process) that the customer controls as the asset is created or enhanced; or</w:t>
      </w:r>
    </w:p>
    <w:p w14:paraId="7DF487A8" w14:textId="77777777" w:rsidR="00000000" w:rsidRDefault="001A570A">
      <w:pPr>
        <w:ind w:hanging="360"/>
        <w:divId w:val="426848938"/>
        <w:rPr>
          <w:rFonts w:eastAsia="Times New Roman"/>
        </w:rPr>
      </w:pPr>
      <w:r>
        <w:rPr>
          <w:rFonts w:eastAsia="Times New Roman"/>
          <w:color w:val="000000"/>
          <w:sz w:val="20"/>
          <w:szCs w:val="20"/>
        </w:rPr>
        <w:t xml:space="preserve">•Our performance does not create an asset with an alternative use to us, and we have an </w:t>
      </w:r>
      <w:r>
        <w:rPr>
          <w:rFonts w:eastAsia="Times New Roman"/>
          <w:color w:val="000000"/>
          <w:sz w:val="20"/>
          <w:szCs w:val="20"/>
        </w:rPr>
        <w:t>enforceable right to payment for performance completed to date.</w:t>
      </w:r>
    </w:p>
    <w:p w14:paraId="29052906" w14:textId="77777777" w:rsidR="00000000" w:rsidRDefault="001A570A">
      <w:pPr>
        <w:ind w:firstLine="450"/>
        <w:divId w:val="1091009870"/>
        <w:rPr>
          <w:rFonts w:eastAsia="Times New Roman"/>
        </w:rPr>
      </w:pPr>
      <w:r>
        <w:rPr>
          <w:rFonts w:eastAsia="Times New Roman"/>
          <w:color w:val="000000"/>
          <w:sz w:val="20"/>
          <w:szCs w:val="20"/>
        </w:rPr>
        <w:t>As noted above, a significant amount of our revenue is derived from contracts to provide multiple distinct goods to a customer that are commercial in nature and can readily be sold to other cu</w:t>
      </w:r>
      <w:r>
        <w:rPr>
          <w:rFonts w:eastAsia="Times New Roman"/>
          <w:color w:val="000000"/>
          <w:sz w:val="20"/>
          <w:szCs w:val="20"/>
        </w:rPr>
        <w:t>stomers. These performance obligations do not meet any of the three criteria listed above to recognize revenue over time; therefore, we recognize revenue at a point in time, generally when the goods are received and accepted by the customer.</w:t>
      </w:r>
    </w:p>
    <w:p w14:paraId="4603A1B9" w14:textId="77777777" w:rsidR="00000000" w:rsidRDefault="001A570A">
      <w:pPr>
        <w:ind w:firstLine="450"/>
        <w:jc w:val="center"/>
        <w:divId w:val="924610102"/>
        <w:rPr>
          <w:rFonts w:eastAsia="Times New Roman"/>
        </w:rPr>
      </w:pPr>
      <w:r>
        <w:rPr>
          <w:rFonts w:eastAsia="Times New Roman"/>
          <w:color w:val="000000"/>
          <w:sz w:val="20"/>
          <w:szCs w:val="20"/>
        </w:rPr>
        <w:t>85</w:t>
      </w:r>
    </w:p>
    <w:p w14:paraId="1460082E" w14:textId="77777777" w:rsidR="00000000" w:rsidRDefault="001A570A">
      <w:pPr>
        <w:rPr>
          <w:rFonts w:eastAsia="Times New Roman"/>
        </w:rPr>
      </w:pPr>
      <w:r>
        <w:rPr>
          <w:rFonts w:eastAsia="Times New Roman"/>
        </w:rPr>
        <w:pict w14:anchorId="60E6E9F1">
          <v:rect id="_x0000_i1113" style="width:0;height:1.5pt" o:hralign="center" o:hrstd="t" o:hr="t" fillcolor="#a0a0a0" stroked="f"/>
        </w:pict>
      </w:r>
    </w:p>
    <w:p w14:paraId="43269B9C" w14:textId="77777777" w:rsidR="00000000" w:rsidRDefault="001A570A">
      <w:pPr>
        <w:ind w:firstLine="450"/>
        <w:divId w:val="1173229937"/>
        <w:rPr>
          <w:rFonts w:eastAsia="Times New Roman"/>
        </w:rPr>
      </w:pPr>
    </w:p>
    <w:p w14:paraId="3B2C93C7" w14:textId="77777777" w:rsidR="00000000" w:rsidRDefault="001A570A">
      <w:pPr>
        <w:ind w:firstLine="450"/>
        <w:divId w:val="1510832323"/>
        <w:rPr>
          <w:rFonts w:eastAsia="Times New Roman"/>
        </w:rPr>
      </w:pPr>
      <w:r>
        <w:rPr>
          <w:rFonts w:eastAsia="Times New Roman"/>
          <w:i/>
          <w:iCs/>
          <w:color w:val="000000"/>
          <w:sz w:val="20"/>
          <w:szCs w:val="20"/>
        </w:rPr>
        <w:t xml:space="preserve">Over Time Revenue Recognition: </w:t>
      </w:r>
      <w:r>
        <w:rPr>
          <w:rFonts w:eastAsia="Times New Roman"/>
          <w:color w:val="000000"/>
          <w:sz w:val="20"/>
          <w:szCs w:val="20"/>
        </w:rPr>
        <w:t>For U.S. Government development and production contracts, there is a continuous transfer of control of the asset to the customer as it is being produced based on FAR clauses in the contract that pr</w:t>
      </w:r>
      <w:r>
        <w:rPr>
          <w:rFonts w:eastAsia="Times New Roman"/>
          <w:color w:val="000000"/>
          <w:sz w:val="20"/>
          <w:szCs w:val="20"/>
        </w:rPr>
        <w:t>ovide the customer with lien rights to work in process and allow the customer to unilaterally terminate the contract for convenience, pay us for costs incurred plus a reasonable profit and take control of any work in process. This also typically applies to</w:t>
      </w:r>
      <w:r>
        <w:rPr>
          <w:rFonts w:eastAsia="Times New Roman"/>
          <w:color w:val="000000"/>
          <w:sz w:val="20"/>
          <w:szCs w:val="20"/>
        </w:rPr>
        <w:t xml:space="preserve"> our contracts with prime contractors for U.S. Government development and production contracts, when the above-described FAR clauses are flowed down to us by the prime contractors.</w:t>
      </w:r>
    </w:p>
    <w:p w14:paraId="382E068B" w14:textId="77777777" w:rsidR="00000000" w:rsidRDefault="001A570A">
      <w:pPr>
        <w:ind w:firstLine="450"/>
        <w:divId w:val="2015061476"/>
        <w:rPr>
          <w:rFonts w:eastAsia="Times New Roman"/>
        </w:rPr>
      </w:pPr>
      <w:r>
        <w:rPr>
          <w:rFonts w:eastAsia="Times New Roman"/>
          <w:color w:val="000000"/>
          <w:sz w:val="20"/>
          <w:szCs w:val="20"/>
        </w:rPr>
        <w:t>Our non-U.S. Government development and production contracts, including int</w:t>
      </w:r>
      <w:r>
        <w:rPr>
          <w:rFonts w:eastAsia="Times New Roman"/>
          <w:color w:val="000000"/>
          <w:sz w:val="20"/>
          <w:szCs w:val="20"/>
        </w:rPr>
        <w:t>ernational direct commercial contracts and U.S. contracts with state and local agencies, utilities, commercial and transportation organizations, often do not include the FAR clauses described above. However, over time revenue recognition is typically suppo</w:t>
      </w:r>
      <w:r>
        <w:rPr>
          <w:rFonts w:eastAsia="Times New Roman"/>
          <w:color w:val="000000"/>
          <w:sz w:val="20"/>
          <w:szCs w:val="20"/>
        </w:rPr>
        <w:t>rted either through our performance creating or enhancing an asset that the customer controls as it is created or enhanced or based on other contractual provisions or relevant laws that provide us with an enforceable right to payment for our work performed</w:t>
      </w:r>
      <w:r>
        <w:rPr>
          <w:rFonts w:eastAsia="Times New Roman"/>
          <w:color w:val="000000"/>
          <w:sz w:val="20"/>
          <w:szCs w:val="20"/>
        </w:rPr>
        <w:t xml:space="preserve"> to date plus a reasonable profit if our customer were permitted to and did terminate the contract for reasons other than our failure to perform as promised.</w:t>
      </w:r>
    </w:p>
    <w:p w14:paraId="58BDE6C0" w14:textId="77777777" w:rsidR="00000000" w:rsidRDefault="001A570A">
      <w:pPr>
        <w:ind w:firstLine="450"/>
        <w:divId w:val="358556315"/>
        <w:rPr>
          <w:rFonts w:eastAsia="Times New Roman"/>
        </w:rPr>
      </w:pPr>
      <w:r>
        <w:rPr>
          <w:rFonts w:eastAsia="Times New Roman"/>
          <w:color w:val="000000"/>
          <w:sz w:val="20"/>
          <w:szCs w:val="20"/>
        </w:rPr>
        <w:t xml:space="preserve">Revenue for our development and production contracts is recognized over time, typically using the </w:t>
      </w:r>
      <w:r>
        <w:rPr>
          <w:rFonts w:eastAsia="Times New Roman"/>
          <w:color w:val="000000"/>
          <w:sz w:val="20"/>
          <w:szCs w:val="20"/>
        </w:rPr>
        <w:t xml:space="preserve">POC cost-to-cost method, whereby we measure our progress towards completion of the performance obligation based on the ratio of costs incurred to date to estimated costs at completion under the contract. Because costs incurred represent work performed, we </w:t>
      </w:r>
      <w:r>
        <w:rPr>
          <w:rFonts w:eastAsia="Times New Roman"/>
          <w:color w:val="000000"/>
          <w:sz w:val="20"/>
          <w:szCs w:val="20"/>
        </w:rPr>
        <w:t>believe this method best depicts transfer of control of the asset to the customer.</w:t>
      </w:r>
    </w:p>
    <w:p w14:paraId="084A2EF1" w14:textId="77777777" w:rsidR="00000000" w:rsidRDefault="001A570A">
      <w:pPr>
        <w:ind w:firstLine="450"/>
        <w:divId w:val="860122272"/>
        <w:rPr>
          <w:rFonts w:eastAsia="Times New Roman"/>
        </w:rPr>
      </w:pPr>
      <w:r>
        <w:rPr>
          <w:rFonts w:eastAsia="Times New Roman"/>
          <w:color w:val="000000"/>
          <w:sz w:val="20"/>
          <w:szCs w:val="20"/>
        </w:rPr>
        <w:t xml:space="preserve">For performance obligations to provide services that are satisfied over time, we recognize revenue either on a straight-line basis, the POC cost-to-cost method, or based on </w:t>
      </w:r>
      <w:r>
        <w:rPr>
          <w:rFonts w:eastAsia="Times New Roman"/>
          <w:color w:val="000000"/>
          <w:sz w:val="20"/>
          <w:szCs w:val="20"/>
        </w:rPr>
        <w:t>the right-to-invoice method (i.e., based on our right to bill the customer), depending on which method best depicts transfer of control to the customer.</w:t>
      </w:r>
    </w:p>
    <w:p w14:paraId="20F78934" w14:textId="77777777" w:rsidR="00000000" w:rsidRDefault="001A570A">
      <w:pPr>
        <w:ind w:firstLine="450"/>
        <w:divId w:val="1814635153"/>
        <w:rPr>
          <w:rFonts w:eastAsia="Times New Roman"/>
        </w:rPr>
      </w:pPr>
      <w:r>
        <w:rPr>
          <w:rFonts w:eastAsia="Times New Roman"/>
          <w:i/>
          <w:iCs/>
          <w:color w:val="000000"/>
          <w:sz w:val="20"/>
          <w:szCs w:val="20"/>
        </w:rPr>
        <w:t xml:space="preserve">Contract Estimates: </w:t>
      </w:r>
      <w:r>
        <w:rPr>
          <w:rFonts w:eastAsia="Times New Roman"/>
          <w:color w:val="000000"/>
          <w:sz w:val="20"/>
          <w:szCs w:val="20"/>
        </w:rPr>
        <w:t>Under the POC cost-to-cost method of revenue recognition, a single estimated profit</w:t>
      </w:r>
      <w:r>
        <w:rPr>
          <w:rFonts w:eastAsia="Times New Roman"/>
          <w:color w:val="000000"/>
          <w:sz w:val="20"/>
          <w:szCs w:val="20"/>
        </w:rPr>
        <w:t xml:space="preserve"> margin is used to recognize profit for each performance obligation over its period of performance. Recognition of profit on a contract requires estimates of the total cost at completion and transaction price and the measurement of progress towards complet</w:t>
      </w:r>
      <w:r>
        <w:rPr>
          <w:rFonts w:eastAsia="Times New Roman"/>
          <w:color w:val="000000"/>
          <w:sz w:val="20"/>
          <w:szCs w:val="20"/>
        </w:rPr>
        <w:t>ion. Due to the long-term nature of many of our contracts, developing the estimated total cost at completion and total transaction price often requires judgment. Factors that must be considered in estimating the cost of the work to be completed include the</w:t>
      </w:r>
      <w:r>
        <w:rPr>
          <w:rFonts w:eastAsia="Times New Roman"/>
          <w:color w:val="000000"/>
          <w:sz w:val="20"/>
          <w:szCs w:val="20"/>
        </w:rPr>
        <w:t xml:space="preserve"> nature and complexity of the work to be performed, subcontractor performance and the risk and impact of delayed performance. Factors that must be considered in estimating the total transaction price include contractual cost or performance incentives (such</w:t>
      </w:r>
      <w:r>
        <w:rPr>
          <w:rFonts w:eastAsia="Times New Roman"/>
          <w:color w:val="000000"/>
          <w:sz w:val="20"/>
          <w:szCs w:val="20"/>
        </w:rPr>
        <w:t xml:space="preserve"> as incentive fees, award fees and penalties) and other forms of variable consideration as well as our historical experience and our expectation for performance on the contract. At the outset of each contract, we gauge its complexity and perceived risks an</w:t>
      </w:r>
      <w:r>
        <w:rPr>
          <w:rFonts w:eastAsia="Times New Roman"/>
          <w:color w:val="000000"/>
          <w:sz w:val="20"/>
          <w:szCs w:val="20"/>
        </w:rPr>
        <w:t>d establish an estimated total cost at completion in line with these expectations. After establishing the estimated total cost at completion, we follow a standard Estimate at Completion (“EAC”) process in which we review the progress and performance on our</w:t>
      </w:r>
      <w:r>
        <w:rPr>
          <w:rFonts w:eastAsia="Times New Roman"/>
          <w:color w:val="000000"/>
          <w:sz w:val="20"/>
          <w:szCs w:val="20"/>
        </w:rPr>
        <w:t xml:space="preserve"> ongoing contracts at least quarterly and, in many cases, more frequently. If we successfully retire risks associated with the technical, schedule and cost aspects of a contract, we may lower our estimated total cost at completion commensurate with the ret</w:t>
      </w:r>
      <w:r>
        <w:rPr>
          <w:rFonts w:eastAsia="Times New Roman"/>
          <w:color w:val="000000"/>
          <w:sz w:val="20"/>
          <w:szCs w:val="20"/>
        </w:rPr>
        <w:t>irement of these risks. Conversely, if we are not successful in retiring these risks, we may increase our estimated total cost at completion. Additionally, as the contract progresses, our estimates of total transaction price may increase or decrease if, fo</w:t>
      </w:r>
      <w:r>
        <w:rPr>
          <w:rFonts w:eastAsia="Times New Roman"/>
          <w:color w:val="000000"/>
          <w:sz w:val="20"/>
          <w:szCs w:val="20"/>
        </w:rPr>
        <w:t>r example, we receive award fees that are higher or lower than expected. When adjustments in estimated total costs at completion or in estimated total transaction price are determined, the related impact on operating income is recognized using the cumulati</w:t>
      </w:r>
      <w:r>
        <w:rPr>
          <w:rFonts w:eastAsia="Times New Roman"/>
          <w:color w:val="000000"/>
          <w:sz w:val="20"/>
          <w:szCs w:val="20"/>
        </w:rPr>
        <w:t>ve catch-up method, which recognizes in the current period the cumulative effect of such adjustments for all prior periods. Any anticipated losses on these contracts are fully recognized in the period in which the losses become evident.</w:t>
      </w:r>
    </w:p>
    <w:p w14:paraId="53574577" w14:textId="77777777" w:rsidR="00000000" w:rsidRDefault="001A570A">
      <w:pPr>
        <w:ind w:firstLine="450"/>
        <w:divId w:val="607586425"/>
        <w:rPr>
          <w:rFonts w:eastAsia="Times New Roman"/>
        </w:rPr>
      </w:pPr>
      <w:r>
        <w:rPr>
          <w:rFonts w:eastAsia="Times New Roman"/>
          <w:color w:val="000000"/>
          <w:sz w:val="20"/>
          <w:szCs w:val="20"/>
        </w:rPr>
        <w:t>Net EAC adjustments</w:t>
      </w:r>
      <w:r>
        <w:rPr>
          <w:rFonts w:eastAsia="Times New Roman"/>
          <w:color w:val="000000"/>
          <w:sz w:val="20"/>
          <w:szCs w:val="20"/>
        </w:rPr>
        <w:t xml:space="preserve"> had the following impact to earnings for the periods presented:</w:t>
      </w:r>
    </w:p>
    <w:tbl>
      <w:tblPr>
        <w:tblW w:w="4985" w:type="pct"/>
        <w:tblCellMar>
          <w:top w:w="15" w:type="dxa"/>
          <w:left w:w="15" w:type="dxa"/>
          <w:bottom w:w="15" w:type="dxa"/>
          <w:right w:w="15" w:type="dxa"/>
        </w:tblCellMar>
        <w:tblLook w:val="04A0" w:firstRow="1" w:lastRow="0" w:firstColumn="1" w:lastColumn="0" w:noHBand="0" w:noVBand="1"/>
      </w:tblPr>
      <w:tblGrid>
        <w:gridCol w:w="56"/>
        <w:gridCol w:w="3880"/>
        <w:gridCol w:w="36"/>
        <w:gridCol w:w="121"/>
        <w:gridCol w:w="872"/>
        <w:gridCol w:w="37"/>
        <w:gridCol w:w="36"/>
        <w:gridCol w:w="36"/>
        <w:gridCol w:w="36"/>
        <w:gridCol w:w="121"/>
        <w:gridCol w:w="828"/>
        <w:gridCol w:w="36"/>
        <w:gridCol w:w="36"/>
        <w:gridCol w:w="36"/>
        <w:gridCol w:w="36"/>
        <w:gridCol w:w="120"/>
        <w:gridCol w:w="828"/>
        <w:gridCol w:w="36"/>
        <w:gridCol w:w="36"/>
        <w:gridCol w:w="36"/>
        <w:gridCol w:w="36"/>
        <w:gridCol w:w="120"/>
        <w:gridCol w:w="830"/>
        <w:gridCol w:w="36"/>
      </w:tblGrid>
      <w:tr w:rsidR="00000000" w14:paraId="305B5C8B" w14:textId="77777777">
        <w:trPr>
          <w:divId w:val="655299521"/>
        </w:trPr>
        <w:tc>
          <w:tcPr>
            <w:tcW w:w="50" w:type="pct"/>
            <w:vAlign w:val="center"/>
            <w:hideMark/>
          </w:tcPr>
          <w:p w14:paraId="5610BB33" w14:textId="77777777" w:rsidR="00000000" w:rsidRDefault="001A570A">
            <w:pPr>
              <w:ind w:firstLine="450"/>
              <w:rPr>
                <w:rFonts w:eastAsia="Times New Roman"/>
              </w:rPr>
            </w:pPr>
          </w:p>
        </w:tc>
        <w:tc>
          <w:tcPr>
            <w:tcW w:w="2387" w:type="pct"/>
            <w:vAlign w:val="center"/>
            <w:hideMark/>
          </w:tcPr>
          <w:p w14:paraId="5AEA6C9E" w14:textId="77777777" w:rsidR="00000000" w:rsidRDefault="001A570A">
            <w:pPr>
              <w:rPr>
                <w:rFonts w:eastAsia="Times New Roman"/>
                <w:sz w:val="20"/>
                <w:szCs w:val="20"/>
              </w:rPr>
            </w:pPr>
          </w:p>
        </w:tc>
        <w:tc>
          <w:tcPr>
            <w:tcW w:w="5" w:type="pct"/>
            <w:vAlign w:val="center"/>
            <w:hideMark/>
          </w:tcPr>
          <w:p w14:paraId="6E55C21C" w14:textId="77777777" w:rsidR="00000000" w:rsidRDefault="001A570A">
            <w:pPr>
              <w:rPr>
                <w:rFonts w:eastAsia="Times New Roman"/>
                <w:sz w:val="20"/>
                <w:szCs w:val="20"/>
              </w:rPr>
            </w:pPr>
          </w:p>
        </w:tc>
        <w:tc>
          <w:tcPr>
            <w:tcW w:w="50" w:type="pct"/>
            <w:vAlign w:val="center"/>
            <w:hideMark/>
          </w:tcPr>
          <w:p w14:paraId="6B04AEC5" w14:textId="77777777" w:rsidR="00000000" w:rsidRDefault="001A570A">
            <w:pPr>
              <w:rPr>
                <w:rFonts w:eastAsia="Times New Roman"/>
                <w:sz w:val="20"/>
                <w:szCs w:val="20"/>
              </w:rPr>
            </w:pPr>
          </w:p>
        </w:tc>
        <w:tc>
          <w:tcPr>
            <w:tcW w:w="557" w:type="pct"/>
            <w:vAlign w:val="center"/>
            <w:hideMark/>
          </w:tcPr>
          <w:p w14:paraId="2DB1AC7C" w14:textId="77777777" w:rsidR="00000000" w:rsidRDefault="001A570A">
            <w:pPr>
              <w:rPr>
                <w:rFonts w:eastAsia="Times New Roman"/>
                <w:sz w:val="20"/>
                <w:szCs w:val="20"/>
              </w:rPr>
            </w:pPr>
          </w:p>
        </w:tc>
        <w:tc>
          <w:tcPr>
            <w:tcW w:w="5" w:type="pct"/>
            <w:vAlign w:val="center"/>
            <w:hideMark/>
          </w:tcPr>
          <w:p w14:paraId="1432E0B3" w14:textId="77777777" w:rsidR="00000000" w:rsidRDefault="001A570A">
            <w:pPr>
              <w:rPr>
                <w:rFonts w:eastAsia="Times New Roman"/>
                <w:sz w:val="20"/>
                <w:szCs w:val="20"/>
              </w:rPr>
            </w:pPr>
          </w:p>
        </w:tc>
        <w:tc>
          <w:tcPr>
            <w:tcW w:w="5" w:type="pct"/>
            <w:vAlign w:val="center"/>
            <w:hideMark/>
          </w:tcPr>
          <w:p w14:paraId="7EE2E9B9" w14:textId="77777777" w:rsidR="00000000" w:rsidRDefault="001A570A">
            <w:pPr>
              <w:rPr>
                <w:rFonts w:eastAsia="Times New Roman"/>
                <w:sz w:val="20"/>
                <w:szCs w:val="20"/>
              </w:rPr>
            </w:pPr>
          </w:p>
        </w:tc>
        <w:tc>
          <w:tcPr>
            <w:tcW w:w="26" w:type="pct"/>
            <w:vAlign w:val="center"/>
            <w:hideMark/>
          </w:tcPr>
          <w:p w14:paraId="622D4EF9" w14:textId="77777777" w:rsidR="00000000" w:rsidRDefault="001A570A">
            <w:pPr>
              <w:rPr>
                <w:rFonts w:eastAsia="Times New Roman"/>
                <w:sz w:val="20"/>
                <w:szCs w:val="20"/>
              </w:rPr>
            </w:pPr>
          </w:p>
        </w:tc>
        <w:tc>
          <w:tcPr>
            <w:tcW w:w="5" w:type="pct"/>
            <w:vAlign w:val="center"/>
            <w:hideMark/>
          </w:tcPr>
          <w:p w14:paraId="7F3B8E87" w14:textId="77777777" w:rsidR="00000000" w:rsidRDefault="001A570A">
            <w:pPr>
              <w:rPr>
                <w:rFonts w:eastAsia="Times New Roman"/>
                <w:sz w:val="20"/>
                <w:szCs w:val="20"/>
              </w:rPr>
            </w:pPr>
          </w:p>
        </w:tc>
        <w:tc>
          <w:tcPr>
            <w:tcW w:w="50" w:type="pct"/>
            <w:vAlign w:val="center"/>
            <w:hideMark/>
          </w:tcPr>
          <w:p w14:paraId="2AD7DCB6" w14:textId="77777777" w:rsidR="00000000" w:rsidRDefault="001A570A">
            <w:pPr>
              <w:rPr>
                <w:rFonts w:eastAsia="Times New Roman"/>
                <w:sz w:val="20"/>
                <w:szCs w:val="20"/>
              </w:rPr>
            </w:pPr>
          </w:p>
        </w:tc>
        <w:tc>
          <w:tcPr>
            <w:tcW w:w="557" w:type="pct"/>
            <w:vAlign w:val="center"/>
            <w:hideMark/>
          </w:tcPr>
          <w:p w14:paraId="363AFBC6" w14:textId="77777777" w:rsidR="00000000" w:rsidRDefault="001A570A">
            <w:pPr>
              <w:rPr>
                <w:rFonts w:eastAsia="Times New Roman"/>
                <w:sz w:val="20"/>
                <w:szCs w:val="20"/>
              </w:rPr>
            </w:pPr>
          </w:p>
        </w:tc>
        <w:tc>
          <w:tcPr>
            <w:tcW w:w="5" w:type="pct"/>
            <w:vAlign w:val="center"/>
            <w:hideMark/>
          </w:tcPr>
          <w:p w14:paraId="0FD9A39D" w14:textId="77777777" w:rsidR="00000000" w:rsidRDefault="001A570A">
            <w:pPr>
              <w:rPr>
                <w:rFonts w:eastAsia="Times New Roman"/>
                <w:sz w:val="20"/>
                <w:szCs w:val="20"/>
              </w:rPr>
            </w:pPr>
          </w:p>
        </w:tc>
        <w:tc>
          <w:tcPr>
            <w:tcW w:w="5" w:type="pct"/>
            <w:vAlign w:val="center"/>
            <w:hideMark/>
          </w:tcPr>
          <w:p w14:paraId="2B6678DB" w14:textId="77777777" w:rsidR="00000000" w:rsidRDefault="001A570A">
            <w:pPr>
              <w:rPr>
                <w:rFonts w:eastAsia="Times New Roman"/>
                <w:sz w:val="20"/>
                <w:szCs w:val="20"/>
              </w:rPr>
            </w:pPr>
          </w:p>
        </w:tc>
        <w:tc>
          <w:tcPr>
            <w:tcW w:w="26" w:type="pct"/>
            <w:vAlign w:val="center"/>
            <w:hideMark/>
          </w:tcPr>
          <w:p w14:paraId="15373397" w14:textId="77777777" w:rsidR="00000000" w:rsidRDefault="001A570A">
            <w:pPr>
              <w:rPr>
                <w:rFonts w:eastAsia="Times New Roman"/>
                <w:sz w:val="20"/>
                <w:szCs w:val="20"/>
              </w:rPr>
            </w:pPr>
          </w:p>
        </w:tc>
        <w:tc>
          <w:tcPr>
            <w:tcW w:w="5" w:type="pct"/>
            <w:vAlign w:val="center"/>
            <w:hideMark/>
          </w:tcPr>
          <w:p w14:paraId="01C2ED05" w14:textId="77777777" w:rsidR="00000000" w:rsidRDefault="001A570A">
            <w:pPr>
              <w:rPr>
                <w:rFonts w:eastAsia="Times New Roman"/>
                <w:sz w:val="20"/>
                <w:szCs w:val="20"/>
              </w:rPr>
            </w:pPr>
          </w:p>
        </w:tc>
        <w:tc>
          <w:tcPr>
            <w:tcW w:w="50" w:type="pct"/>
            <w:vAlign w:val="center"/>
            <w:hideMark/>
          </w:tcPr>
          <w:p w14:paraId="2E0B7F08" w14:textId="77777777" w:rsidR="00000000" w:rsidRDefault="001A570A">
            <w:pPr>
              <w:rPr>
                <w:rFonts w:eastAsia="Times New Roman"/>
                <w:sz w:val="20"/>
                <w:szCs w:val="20"/>
              </w:rPr>
            </w:pPr>
          </w:p>
        </w:tc>
        <w:tc>
          <w:tcPr>
            <w:tcW w:w="557" w:type="pct"/>
            <w:vAlign w:val="center"/>
            <w:hideMark/>
          </w:tcPr>
          <w:p w14:paraId="0A1521D1" w14:textId="77777777" w:rsidR="00000000" w:rsidRDefault="001A570A">
            <w:pPr>
              <w:rPr>
                <w:rFonts w:eastAsia="Times New Roman"/>
                <w:sz w:val="20"/>
                <w:szCs w:val="20"/>
              </w:rPr>
            </w:pPr>
          </w:p>
        </w:tc>
        <w:tc>
          <w:tcPr>
            <w:tcW w:w="5" w:type="pct"/>
            <w:vAlign w:val="center"/>
            <w:hideMark/>
          </w:tcPr>
          <w:p w14:paraId="67BEF31D" w14:textId="77777777" w:rsidR="00000000" w:rsidRDefault="001A570A">
            <w:pPr>
              <w:rPr>
                <w:rFonts w:eastAsia="Times New Roman"/>
                <w:sz w:val="20"/>
                <w:szCs w:val="20"/>
              </w:rPr>
            </w:pPr>
          </w:p>
        </w:tc>
        <w:tc>
          <w:tcPr>
            <w:tcW w:w="5" w:type="pct"/>
            <w:vAlign w:val="center"/>
            <w:hideMark/>
          </w:tcPr>
          <w:p w14:paraId="23819579" w14:textId="77777777" w:rsidR="00000000" w:rsidRDefault="001A570A">
            <w:pPr>
              <w:rPr>
                <w:rFonts w:eastAsia="Times New Roman"/>
                <w:sz w:val="20"/>
                <w:szCs w:val="20"/>
              </w:rPr>
            </w:pPr>
          </w:p>
        </w:tc>
        <w:tc>
          <w:tcPr>
            <w:tcW w:w="26" w:type="pct"/>
            <w:vAlign w:val="center"/>
            <w:hideMark/>
          </w:tcPr>
          <w:p w14:paraId="3D50190D" w14:textId="77777777" w:rsidR="00000000" w:rsidRDefault="001A570A">
            <w:pPr>
              <w:rPr>
                <w:rFonts w:eastAsia="Times New Roman"/>
                <w:sz w:val="20"/>
                <w:szCs w:val="20"/>
              </w:rPr>
            </w:pPr>
          </w:p>
        </w:tc>
        <w:tc>
          <w:tcPr>
            <w:tcW w:w="5" w:type="pct"/>
            <w:vAlign w:val="center"/>
            <w:hideMark/>
          </w:tcPr>
          <w:p w14:paraId="44DDD63F" w14:textId="77777777" w:rsidR="00000000" w:rsidRDefault="001A570A">
            <w:pPr>
              <w:rPr>
                <w:rFonts w:eastAsia="Times New Roman"/>
                <w:sz w:val="20"/>
                <w:szCs w:val="20"/>
              </w:rPr>
            </w:pPr>
          </w:p>
        </w:tc>
        <w:tc>
          <w:tcPr>
            <w:tcW w:w="50" w:type="pct"/>
            <w:vAlign w:val="center"/>
            <w:hideMark/>
          </w:tcPr>
          <w:p w14:paraId="0D711684" w14:textId="77777777" w:rsidR="00000000" w:rsidRDefault="001A570A">
            <w:pPr>
              <w:rPr>
                <w:rFonts w:eastAsia="Times New Roman"/>
                <w:sz w:val="20"/>
                <w:szCs w:val="20"/>
              </w:rPr>
            </w:pPr>
          </w:p>
        </w:tc>
        <w:tc>
          <w:tcPr>
            <w:tcW w:w="557" w:type="pct"/>
            <w:vAlign w:val="center"/>
            <w:hideMark/>
          </w:tcPr>
          <w:p w14:paraId="46798172" w14:textId="77777777" w:rsidR="00000000" w:rsidRDefault="001A570A">
            <w:pPr>
              <w:rPr>
                <w:rFonts w:eastAsia="Times New Roman"/>
                <w:sz w:val="20"/>
                <w:szCs w:val="20"/>
              </w:rPr>
            </w:pPr>
          </w:p>
        </w:tc>
        <w:tc>
          <w:tcPr>
            <w:tcW w:w="5" w:type="pct"/>
            <w:vAlign w:val="center"/>
            <w:hideMark/>
          </w:tcPr>
          <w:p w14:paraId="3E67D4CC" w14:textId="77777777" w:rsidR="00000000" w:rsidRDefault="001A570A">
            <w:pPr>
              <w:rPr>
                <w:rFonts w:eastAsia="Times New Roman"/>
                <w:sz w:val="20"/>
                <w:szCs w:val="20"/>
              </w:rPr>
            </w:pPr>
          </w:p>
        </w:tc>
      </w:tr>
      <w:tr w:rsidR="00000000" w14:paraId="7CA3461F" w14:textId="77777777">
        <w:trPr>
          <w:divId w:val="655299521"/>
        </w:trPr>
        <w:tc>
          <w:tcPr>
            <w:tcW w:w="0" w:type="auto"/>
            <w:gridSpan w:val="3"/>
            <w:tcMar>
              <w:top w:w="0" w:type="dxa"/>
              <w:left w:w="20" w:type="dxa"/>
              <w:bottom w:w="0" w:type="dxa"/>
              <w:right w:w="20" w:type="dxa"/>
            </w:tcMar>
            <w:vAlign w:val="center"/>
            <w:hideMark/>
          </w:tcPr>
          <w:p w14:paraId="3BFA1072"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0355B7FD"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0A801ED5"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02B9483"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52ED5C33"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76F6FF0B"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096B5D08" w14:textId="77777777">
        <w:trPr>
          <w:divId w:val="655299521"/>
        </w:trPr>
        <w:tc>
          <w:tcPr>
            <w:tcW w:w="0" w:type="auto"/>
            <w:gridSpan w:val="3"/>
            <w:tcMar>
              <w:top w:w="30" w:type="dxa"/>
              <w:left w:w="20" w:type="dxa"/>
              <w:bottom w:w="30" w:type="dxa"/>
              <w:right w:w="20" w:type="dxa"/>
            </w:tcMar>
            <w:vAlign w:val="bottom"/>
            <w:hideMark/>
          </w:tcPr>
          <w:p w14:paraId="1EC620A7" w14:textId="77777777" w:rsidR="00000000" w:rsidRDefault="001A570A">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1DF7738"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64ED5CE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132282"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561F74F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D83514"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479086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44EE00" w14:textId="77777777" w:rsidR="00000000" w:rsidRDefault="001A570A">
            <w:pPr>
              <w:jc w:val="center"/>
              <w:rPr>
                <w:rFonts w:eastAsia="Times New Roman"/>
              </w:rPr>
            </w:pPr>
            <w:r>
              <w:rPr>
                <w:rFonts w:eastAsia="Times New Roman"/>
                <w:b/>
                <w:bCs/>
                <w:color w:val="000000"/>
                <w:sz w:val="16"/>
                <w:szCs w:val="16"/>
              </w:rPr>
              <w:t>June 29, 2018</w:t>
            </w:r>
          </w:p>
        </w:tc>
      </w:tr>
      <w:tr w:rsidR="00000000" w14:paraId="3264E4A0" w14:textId="77777777">
        <w:trPr>
          <w:divId w:val="655299521"/>
          <w:trHeight w:val="60"/>
        </w:trPr>
        <w:tc>
          <w:tcPr>
            <w:tcW w:w="0" w:type="auto"/>
            <w:gridSpan w:val="3"/>
            <w:tcMar>
              <w:top w:w="0" w:type="dxa"/>
              <w:left w:w="20" w:type="dxa"/>
              <w:bottom w:w="0" w:type="dxa"/>
              <w:right w:w="20" w:type="dxa"/>
            </w:tcMar>
            <w:vAlign w:val="center"/>
            <w:hideMark/>
          </w:tcPr>
          <w:p w14:paraId="76DCA60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9D9C47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251E69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06EF0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40D2C7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7006A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CBB454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5C7E44" w14:textId="77777777" w:rsidR="00000000" w:rsidRDefault="001A570A">
            <w:pPr>
              <w:rPr>
                <w:rFonts w:eastAsia="Times New Roman"/>
                <w:sz w:val="20"/>
                <w:szCs w:val="20"/>
              </w:rPr>
            </w:pPr>
          </w:p>
        </w:tc>
      </w:tr>
      <w:tr w:rsidR="00000000" w14:paraId="5FBAC231" w14:textId="77777777">
        <w:trPr>
          <w:divId w:val="655299521"/>
        </w:trPr>
        <w:tc>
          <w:tcPr>
            <w:tcW w:w="0" w:type="auto"/>
            <w:gridSpan w:val="3"/>
            <w:shd w:val="clear" w:color="auto" w:fill="CCEEFF"/>
            <w:tcMar>
              <w:top w:w="30" w:type="dxa"/>
              <w:left w:w="20" w:type="dxa"/>
              <w:bottom w:w="30" w:type="dxa"/>
              <w:right w:w="20" w:type="dxa"/>
            </w:tcMar>
            <w:hideMark/>
          </w:tcPr>
          <w:p w14:paraId="63A39395" w14:textId="77777777" w:rsidR="00000000" w:rsidRDefault="001A570A">
            <w:pPr>
              <w:rPr>
                <w:rFonts w:eastAsia="Times New Roman"/>
              </w:rPr>
            </w:pPr>
            <w:r>
              <w:rPr>
                <w:rFonts w:eastAsia="Times New Roman"/>
                <w:color w:val="000000"/>
                <w:sz w:val="20"/>
                <w:szCs w:val="20"/>
              </w:rPr>
              <w:t>Net EAC adjustments, before income taxes</w:t>
            </w:r>
          </w:p>
        </w:tc>
        <w:tc>
          <w:tcPr>
            <w:tcW w:w="0" w:type="auto"/>
            <w:shd w:val="clear" w:color="auto" w:fill="CCEEFF"/>
            <w:tcMar>
              <w:top w:w="30" w:type="dxa"/>
              <w:left w:w="20" w:type="dxa"/>
              <w:bottom w:w="30" w:type="dxa"/>
              <w:right w:w="0" w:type="dxa"/>
            </w:tcMar>
            <w:vAlign w:val="bottom"/>
            <w:hideMark/>
          </w:tcPr>
          <w:p w14:paraId="1561A39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CD468C" w14:textId="77777777" w:rsidR="00000000" w:rsidRDefault="001A570A">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14:paraId="271844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FFFBF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72C21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8DF55B" w14:textId="77777777" w:rsidR="00000000" w:rsidRDefault="001A570A">
            <w:pPr>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14:paraId="510A72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AA5C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15BEF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4C127A"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596D98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9F40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64DC6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677BE3" w14:textId="77777777" w:rsidR="00000000" w:rsidRDefault="001A570A">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0008769B" w14:textId="77777777" w:rsidR="00000000" w:rsidRDefault="001A570A">
            <w:pPr>
              <w:jc w:val="right"/>
              <w:rPr>
                <w:rFonts w:eastAsia="Times New Roman"/>
              </w:rPr>
            </w:pPr>
          </w:p>
        </w:tc>
      </w:tr>
      <w:tr w:rsidR="00000000" w14:paraId="150631B1" w14:textId="77777777">
        <w:trPr>
          <w:divId w:val="655299521"/>
        </w:trPr>
        <w:tc>
          <w:tcPr>
            <w:tcW w:w="0" w:type="auto"/>
            <w:gridSpan w:val="3"/>
            <w:shd w:val="clear" w:color="auto" w:fill="FFFFFF"/>
            <w:tcMar>
              <w:top w:w="30" w:type="dxa"/>
              <w:left w:w="20" w:type="dxa"/>
              <w:bottom w:w="30" w:type="dxa"/>
              <w:right w:w="20" w:type="dxa"/>
            </w:tcMar>
            <w:hideMark/>
          </w:tcPr>
          <w:p w14:paraId="1AB8C040" w14:textId="77777777" w:rsidR="00000000" w:rsidRDefault="001A570A">
            <w:pPr>
              <w:rPr>
                <w:rFonts w:eastAsia="Times New Roman"/>
              </w:rPr>
            </w:pPr>
            <w:r>
              <w:rPr>
                <w:rFonts w:eastAsia="Times New Roman"/>
                <w:color w:val="000000"/>
                <w:sz w:val="20"/>
                <w:szCs w:val="20"/>
              </w:rPr>
              <w:t>Net EAC adjustments, net of income taxes</w:t>
            </w:r>
          </w:p>
        </w:tc>
        <w:tc>
          <w:tcPr>
            <w:tcW w:w="0" w:type="auto"/>
            <w:shd w:val="clear" w:color="auto" w:fill="FFFFFF"/>
            <w:tcMar>
              <w:top w:w="30" w:type="dxa"/>
              <w:left w:w="20" w:type="dxa"/>
              <w:bottom w:w="30" w:type="dxa"/>
              <w:right w:w="0" w:type="dxa"/>
            </w:tcMar>
            <w:vAlign w:val="bottom"/>
            <w:hideMark/>
          </w:tcPr>
          <w:p w14:paraId="3CB40E5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964D08" w14:textId="77777777" w:rsidR="00000000" w:rsidRDefault="001A570A">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14:paraId="3B1625AA"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5BAFCAF7" w14:textId="77777777" w:rsidR="00000000" w:rsidRDefault="001A570A">
            <w:pPr>
              <w:jc w:val="right"/>
              <w:rPr>
                <w:rFonts w:eastAsia="Times New Roman"/>
                <w:sz w:val="20"/>
                <w:szCs w:val="20"/>
              </w:rPr>
            </w:pPr>
          </w:p>
        </w:tc>
        <w:tc>
          <w:tcPr>
            <w:tcW w:w="0" w:type="auto"/>
            <w:tcMar>
              <w:top w:w="30" w:type="dxa"/>
              <w:left w:w="20" w:type="dxa"/>
              <w:bottom w:w="30" w:type="dxa"/>
              <w:right w:w="0" w:type="dxa"/>
            </w:tcMar>
            <w:vAlign w:val="bottom"/>
            <w:hideMark/>
          </w:tcPr>
          <w:p w14:paraId="020A4844" w14:textId="77777777" w:rsidR="00000000" w:rsidRDefault="001A570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F8306B5" w14:textId="77777777" w:rsidR="00000000" w:rsidRDefault="001A570A">
            <w:pPr>
              <w:jc w:val="right"/>
              <w:rPr>
                <w:rFonts w:eastAsia="Times New Roman"/>
              </w:rPr>
            </w:pPr>
            <w:r>
              <w:rPr>
                <w:rFonts w:eastAsia="Times New Roman"/>
                <w:color w:val="000000"/>
                <w:sz w:val="20"/>
                <w:szCs w:val="20"/>
              </w:rPr>
              <w:t>103 </w:t>
            </w:r>
          </w:p>
        </w:tc>
        <w:tc>
          <w:tcPr>
            <w:tcW w:w="0" w:type="auto"/>
            <w:tcMar>
              <w:top w:w="30" w:type="dxa"/>
              <w:left w:w="0" w:type="dxa"/>
              <w:bottom w:w="30" w:type="dxa"/>
              <w:right w:w="20" w:type="dxa"/>
            </w:tcMar>
            <w:vAlign w:val="bottom"/>
            <w:hideMark/>
          </w:tcPr>
          <w:p w14:paraId="40A53BD4"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1DF4F7FA" w14:textId="77777777" w:rsidR="00000000" w:rsidRDefault="001A570A">
            <w:pPr>
              <w:jc w:val="right"/>
              <w:rPr>
                <w:rFonts w:eastAsia="Times New Roman"/>
                <w:sz w:val="20"/>
                <w:szCs w:val="20"/>
              </w:rPr>
            </w:pPr>
          </w:p>
        </w:tc>
        <w:tc>
          <w:tcPr>
            <w:tcW w:w="0" w:type="auto"/>
            <w:tcMar>
              <w:top w:w="30" w:type="dxa"/>
              <w:left w:w="20" w:type="dxa"/>
              <w:bottom w:w="30" w:type="dxa"/>
              <w:right w:w="0" w:type="dxa"/>
            </w:tcMar>
            <w:vAlign w:val="bottom"/>
            <w:hideMark/>
          </w:tcPr>
          <w:p w14:paraId="59DA01FE" w14:textId="77777777" w:rsidR="00000000" w:rsidRDefault="001A570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B8B54C1" w14:textId="77777777" w:rsidR="00000000" w:rsidRDefault="001A570A">
            <w:pPr>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14:paraId="4B3F1DAB" w14:textId="77777777" w:rsidR="00000000" w:rsidRDefault="001A570A">
            <w:pPr>
              <w:jc w:val="right"/>
              <w:rPr>
                <w:rFonts w:eastAsia="Times New Roman"/>
              </w:rPr>
            </w:pPr>
          </w:p>
        </w:tc>
        <w:tc>
          <w:tcPr>
            <w:tcW w:w="0" w:type="auto"/>
            <w:gridSpan w:val="3"/>
            <w:tcMar>
              <w:top w:w="0" w:type="dxa"/>
              <w:left w:w="20" w:type="dxa"/>
              <w:bottom w:w="0" w:type="dxa"/>
              <w:right w:w="20" w:type="dxa"/>
            </w:tcMar>
            <w:vAlign w:val="center"/>
            <w:hideMark/>
          </w:tcPr>
          <w:p w14:paraId="4F6213BE" w14:textId="77777777" w:rsidR="00000000" w:rsidRDefault="001A570A">
            <w:pPr>
              <w:jc w:val="right"/>
              <w:rPr>
                <w:rFonts w:eastAsia="Times New Roman"/>
                <w:sz w:val="20"/>
                <w:szCs w:val="20"/>
              </w:rPr>
            </w:pPr>
          </w:p>
        </w:tc>
        <w:tc>
          <w:tcPr>
            <w:tcW w:w="0" w:type="auto"/>
            <w:tcMar>
              <w:top w:w="30" w:type="dxa"/>
              <w:left w:w="20" w:type="dxa"/>
              <w:bottom w:w="30" w:type="dxa"/>
              <w:right w:w="0" w:type="dxa"/>
            </w:tcMar>
            <w:vAlign w:val="bottom"/>
            <w:hideMark/>
          </w:tcPr>
          <w:p w14:paraId="009C4C13" w14:textId="77777777" w:rsidR="00000000" w:rsidRDefault="001A570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71F2589" w14:textId="77777777" w:rsidR="00000000" w:rsidRDefault="001A570A">
            <w:pPr>
              <w:jc w:val="right"/>
              <w:rPr>
                <w:rFonts w:eastAsia="Times New Roman"/>
              </w:rPr>
            </w:pPr>
            <w:r>
              <w:rPr>
                <w:rFonts w:eastAsia="Times New Roman"/>
                <w:color w:val="000000"/>
                <w:sz w:val="20"/>
                <w:szCs w:val="20"/>
              </w:rPr>
              <w:t>(13)</w:t>
            </w:r>
          </w:p>
        </w:tc>
        <w:tc>
          <w:tcPr>
            <w:tcW w:w="0" w:type="auto"/>
            <w:tcMar>
              <w:top w:w="30" w:type="dxa"/>
              <w:left w:w="0" w:type="dxa"/>
              <w:bottom w:w="30" w:type="dxa"/>
              <w:right w:w="20" w:type="dxa"/>
            </w:tcMar>
            <w:vAlign w:val="bottom"/>
            <w:hideMark/>
          </w:tcPr>
          <w:p w14:paraId="50EFA7D3" w14:textId="77777777" w:rsidR="00000000" w:rsidRDefault="001A570A">
            <w:pPr>
              <w:jc w:val="right"/>
              <w:rPr>
                <w:rFonts w:eastAsia="Times New Roman"/>
              </w:rPr>
            </w:pPr>
          </w:p>
        </w:tc>
      </w:tr>
      <w:tr w:rsidR="00000000" w14:paraId="3C5A3C48" w14:textId="77777777">
        <w:trPr>
          <w:divId w:val="655299521"/>
        </w:trPr>
        <w:tc>
          <w:tcPr>
            <w:tcW w:w="0" w:type="auto"/>
            <w:gridSpan w:val="3"/>
            <w:shd w:val="clear" w:color="auto" w:fill="CCEEFF"/>
            <w:tcMar>
              <w:top w:w="30" w:type="dxa"/>
              <w:left w:w="20" w:type="dxa"/>
              <w:bottom w:w="30" w:type="dxa"/>
              <w:right w:w="20" w:type="dxa"/>
            </w:tcMar>
            <w:hideMark/>
          </w:tcPr>
          <w:p w14:paraId="29AD21FA" w14:textId="77777777" w:rsidR="00000000" w:rsidRDefault="001A570A">
            <w:pPr>
              <w:ind w:hanging="270"/>
              <w:divId w:val="547835358"/>
              <w:rPr>
                <w:rFonts w:eastAsia="Times New Roman"/>
              </w:rPr>
            </w:pPr>
            <w:r>
              <w:rPr>
                <w:rFonts w:eastAsia="Times New Roman"/>
                <w:color w:val="000000"/>
                <w:sz w:val="20"/>
                <w:szCs w:val="20"/>
              </w:rPr>
              <w:t>Net EAC adjustments, net of income taxes, per diluted share</w:t>
            </w:r>
          </w:p>
        </w:tc>
        <w:tc>
          <w:tcPr>
            <w:tcW w:w="0" w:type="auto"/>
            <w:shd w:val="clear" w:color="auto" w:fill="CCEEFF"/>
            <w:tcMar>
              <w:top w:w="30" w:type="dxa"/>
              <w:left w:w="20" w:type="dxa"/>
              <w:bottom w:w="30" w:type="dxa"/>
              <w:right w:w="0" w:type="dxa"/>
            </w:tcMar>
            <w:vAlign w:val="bottom"/>
            <w:hideMark/>
          </w:tcPr>
          <w:p w14:paraId="71FD430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00F06F" w14:textId="77777777" w:rsidR="00000000" w:rsidRDefault="001A570A">
            <w:pPr>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14:paraId="6B148F1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24B1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C83E6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0F997C" w14:textId="77777777" w:rsidR="00000000" w:rsidRDefault="001A570A">
            <w:pPr>
              <w:jc w:val="right"/>
              <w:rPr>
                <w:rFonts w:eastAsia="Times New Roman"/>
              </w:rPr>
            </w:pPr>
            <w:r>
              <w:rPr>
                <w:rFonts w:eastAsia="Times New Roman"/>
                <w:color w:val="000000"/>
                <w:sz w:val="20"/>
                <w:szCs w:val="20"/>
              </w:rPr>
              <w:t>0.46 </w:t>
            </w:r>
          </w:p>
        </w:tc>
        <w:tc>
          <w:tcPr>
            <w:tcW w:w="0" w:type="auto"/>
            <w:shd w:val="clear" w:color="auto" w:fill="CCEEFF"/>
            <w:tcMar>
              <w:top w:w="30" w:type="dxa"/>
              <w:left w:w="0" w:type="dxa"/>
              <w:bottom w:w="30" w:type="dxa"/>
              <w:right w:w="20" w:type="dxa"/>
            </w:tcMar>
            <w:vAlign w:val="bottom"/>
            <w:hideMark/>
          </w:tcPr>
          <w:p w14:paraId="38802B9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568AC"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5D4B0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141C65" w14:textId="77777777" w:rsidR="00000000" w:rsidRDefault="001A570A">
            <w:pPr>
              <w:jc w:val="right"/>
              <w:rPr>
                <w:rFonts w:eastAsia="Times New Roman"/>
              </w:rPr>
            </w:pPr>
            <w:r>
              <w:rPr>
                <w:rFonts w:eastAsia="Times New Roman"/>
                <w:color w:val="000000"/>
                <w:sz w:val="20"/>
                <w:szCs w:val="20"/>
              </w:rPr>
              <w:t>0.10 </w:t>
            </w:r>
          </w:p>
        </w:tc>
        <w:tc>
          <w:tcPr>
            <w:tcW w:w="0" w:type="auto"/>
            <w:shd w:val="clear" w:color="auto" w:fill="CCEEFF"/>
            <w:tcMar>
              <w:top w:w="30" w:type="dxa"/>
              <w:left w:w="0" w:type="dxa"/>
              <w:bottom w:w="30" w:type="dxa"/>
              <w:right w:w="20" w:type="dxa"/>
            </w:tcMar>
            <w:vAlign w:val="bottom"/>
            <w:hideMark/>
          </w:tcPr>
          <w:p w14:paraId="349201C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B9DF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C6EE2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AC4D6D" w14:textId="77777777" w:rsidR="00000000" w:rsidRDefault="001A570A">
            <w:pPr>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14:paraId="0C232BF6" w14:textId="77777777" w:rsidR="00000000" w:rsidRDefault="001A570A">
            <w:pPr>
              <w:jc w:val="right"/>
              <w:rPr>
                <w:rFonts w:eastAsia="Times New Roman"/>
              </w:rPr>
            </w:pPr>
          </w:p>
        </w:tc>
      </w:tr>
    </w:tbl>
    <w:p w14:paraId="6CC76DAC" w14:textId="77777777" w:rsidR="00000000" w:rsidRDefault="001A570A">
      <w:pPr>
        <w:ind w:firstLine="450"/>
        <w:divId w:val="1383794334"/>
        <w:rPr>
          <w:rFonts w:eastAsia="Times New Roman"/>
        </w:rPr>
      </w:pPr>
      <w:r>
        <w:rPr>
          <w:rFonts w:eastAsia="Times New Roman"/>
          <w:color w:val="000000"/>
          <w:sz w:val="20"/>
          <w:szCs w:val="20"/>
        </w:rPr>
        <w:t>Revenue recognized from performance obligations satisfied in prior periods was $493 million, $170 million, $59 million and $43 million in fiscal 2020, the two quarters ended January 3, 2020, and fiscal 2019 and 2018, respectively.</w:t>
      </w:r>
    </w:p>
    <w:p w14:paraId="39C73F52" w14:textId="77777777" w:rsidR="00000000" w:rsidRDefault="001A570A">
      <w:pPr>
        <w:ind w:firstLine="450"/>
        <w:divId w:val="1473911982"/>
        <w:rPr>
          <w:rFonts w:eastAsia="Times New Roman"/>
        </w:rPr>
      </w:pPr>
      <w:r>
        <w:rPr>
          <w:rFonts w:eastAsia="Times New Roman"/>
          <w:i/>
          <w:iCs/>
          <w:color w:val="000000"/>
          <w:sz w:val="20"/>
          <w:szCs w:val="20"/>
        </w:rPr>
        <w:t>Bil</w:t>
      </w:r>
      <w:r>
        <w:rPr>
          <w:rFonts w:eastAsia="Times New Roman"/>
          <w:i/>
          <w:iCs/>
          <w:color w:val="000000"/>
          <w:sz w:val="20"/>
          <w:szCs w:val="20"/>
        </w:rPr>
        <w:t xml:space="preserve">l-and-Hold Arrangements: </w:t>
      </w:r>
      <w:r>
        <w:rPr>
          <w:rFonts w:eastAsia="Times New Roman"/>
          <w:color w:val="000000"/>
          <w:sz w:val="20"/>
          <w:szCs w:val="20"/>
        </w:rPr>
        <w:t>For certain of our contracts, the finished product may temporarily be stored at our location under a bill-and-hold arrangement. Revenue is recognized on bill-and-hold arrangements at the point in time when the customer obtains cont</w:t>
      </w:r>
      <w:r>
        <w:rPr>
          <w:rFonts w:eastAsia="Times New Roman"/>
          <w:color w:val="000000"/>
          <w:sz w:val="20"/>
          <w:szCs w:val="20"/>
        </w:rPr>
        <w:t>rol of the product and all of the following criteria have been met: the arrangement is substantive (for example, the customer has requested the arrangement); the product is identified separately as belonging to the customer; the product is ready for physic</w:t>
      </w:r>
      <w:r>
        <w:rPr>
          <w:rFonts w:eastAsia="Times New Roman"/>
          <w:color w:val="000000"/>
          <w:sz w:val="20"/>
          <w:szCs w:val="20"/>
        </w:rPr>
        <w:t xml:space="preserve">al transfer to the customer; and we do not have the ability to use the product or direct it to another customer. In determining when the customer obtains control of the product, we consider certain indicators, including whether we have a </w:t>
      </w:r>
    </w:p>
    <w:p w14:paraId="2BD4EC8E" w14:textId="77777777" w:rsidR="00000000" w:rsidRDefault="001A570A">
      <w:pPr>
        <w:ind w:firstLine="450"/>
        <w:jc w:val="center"/>
        <w:divId w:val="1617371600"/>
        <w:rPr>
          <w:rFonts w:eastAsia="Times New Roman"/>
        </w:rPr>
      </w:pPr>
      <w:r>
        <w:rPr>
          <w:rFonts w:eastAsia="Times New Roman"/>
          <w:color w:val="000000"/>
          <w:sz w:val="20"/>
          <w:szCs w:val="20"/>
        </w:rPr>
        <w:t>86</w:t>
      </w:r>
    </w:p>
    <w:p w14:paraId="2283CD2B" w14:textId="77777777" w:rsidR="00000000" w:rsidRDefault="001A570A">
      <w:pPr>
        <w:rPr>
          <w:rFonts w:eastAsia="Times New Roman"/>
        </w:rPr>
      </w:pPr>
      <w:r>
        <w:rPr>
          <w:rFonts w:eastAsia="Times New Roman"/>
        </w:rPr>
        <w:pict w14:anchorId="15A9AB87">
          <v:rect id="_x0000_i1114" style="width:0;height:1.5pt" o:hralign="center" o:hrstd="t" o:hr="t" fillcolor="#a0a0a0" stroked="f"/>
        </w:pict>
      </w:r>
    </w:p>
    <w:p w14:paraId="3562AC56" w14:textId="77777777" w:rsidR="00000000" w:rsidRDefault="001A570A">
      <w:pPr>
        <w:ind w:firstLine="450"/>
        <w:divId w:val="365563059"/>
        <w:rPr>
          <w:rFonts w:eastAsia="Times New Roman"/>
        </w:rPr>
      </w:pPr>
    </w:p>
    <w:p w14:paraId="257A1E2F" w14:textId="77777777" w:rsidR="00000000" w:rsidRDefault="001A570A">
      <w:pPr>
        <w:divId w:val="566499026"/>
        <w:rPr>
          <w:rFonts w:eastAsia="Times New Roman"/>
        </w:rPr>
      </w:pPr>
      <w:r>
        <w:rPr>
          <w:rFonts w:eastAsia="Times New Roman"/>
          <w:color w:val="000000"/>
          <w:sz w:val="20"/>
          <w:szCs w:val="20"/>
        </w:rPr>
        <w:t>present right to payment from the customer, whether title and/or significant risks and rewards of ownership have transferred to the customer and whether customer acceptance has been received (in the case of arrangements with custome</w:t>
      </w:r>
      <w:r>
        <w:rPr>
          <w:rFonts w:eastAsia="Times New Roman"/>
          <w:color w:val="000000"/>
          <w:sz w:val="20"/>
          <w:szCs w:val="20"/>
        </w:rPr>
        <w:t>r acceptance provisions).</w:t>
      </w:r>
    </w:p>
    <w:p w14:paraId="58E4BABA" w14:textId="77777777" w:rsidR="00000000" w:rsidRDefault="001A570A">
      <w:pPr>
        <w:ind w:firstLine="450"/>
        <w:divId w:val="329019603"/>
        <w:rPr>
          <w:rFonts w:eastAsia="Times New Roman"/>
        </w:rPr>
      </w:pPr>
      <w:r>
        <w:rPr>
          <w:rFonts w:eastAsia="Times New Roman"/>
          <w:i/>
          <w:iCs/>
          <w:color w:val="000000"/>
          <w:sz w:val="20"/>
          <w:szCs w:val="20"/>
        </w:rPr>
        <w:t>Backlog:</w:t>
      </w:r>
      <w:r>
        <w:rPr>
          <w:rFonts w:eastAsia="Times New Roman"/>
          <w:color w:val="000000"/>
          <w:sz w:val="20"/>
          <w:szCs w:val="20"/>
        </w:rPr>
        <w:t xml:space="preserve"> Backlog, which is the equivalent of our remaining performance obligations, represents the future revenue we expect to recognize as we perform on our current contracts. Backlog comprises both funded backlog (i.e., firm ord</w:t>
      </w:r>
      <w:r>
        <w:rPr>
          <w:rFonts w:eastAsia="Times New Roman"/>
          <w:color w:val="000000"/>
          <w:sz w:val="20"/>
          <w:szCs w:val="20"/>
        </w:rPr>
        <w:t>ers for which funding is authorized and appropriated) and unfunded backlog. Backlog excludes unexercised contract options and potential orders under ordering-type contracts, such as indefinite delivery, indefinite quantity (“IDIQ”) contracts.</w:t>
      </w:r>
    </w:p>
    <w:p w14:paraId="59DC609D" w14:textId="77777777" w:rsidR="00000000" w:rsidRDefault="001A570A">
      <w:pPr>
        <w:ind w:firstLine="450"/>
        <w:divId w:val="1725177585"/>
        <w:rPr>
          <w:rFonts w:eastAsia="Times New Roman"/>
        </w:rPr>
      </w:pPr>
      <w:r>
        <w:rPr>
          <w:rFonts w:eastAsia="Times New Roman"/>
          <w:b/>
          <w:bCs/>
          <w:color w:val="000000"/>
          <w:sz w:val="20"/>
          <w:szCs w:val="20"/>
        </w:rPr>
        <w:t>Retirement an</w:t>
      </w:r>
      <w:r>
        <w:rPr>
          <w:rFonts w:eastAsia="Times New Roman"/>
          <w:b/>
          <w:bCs/>
          <w:color w:val="000000"/>
          <w:sz w:val="20"/>
          <w:szCs w:val="20"/>
        </w:rPr>
        <w:t>d Post-Employment Benefits</w:t>
      </w:r>
      <w:r>
        <w:rPr>
          <w:rFonts w:eastAsia="Times New Roman"/>
          <w:color w:val="000000"/>
          <w:sz w:val="20"/>
          <w:szCs w:val="20"/>
        </w:rPr>
        <w:t> — Defined benefit plans that we sponsor are accounted for as defined benefit pension and other postretirement defined benefit plans (collectively referred to as “defined benefit plans”). Accordingly, the funded or unfunded positi</w:t>
      </w:r>
      <w:r>
        <w:rPr>
          <w:rFonts w:eastAsia="Times New Roman"/>
          <w:color w:val="000000"/>
          <w:sz w:val="20"/>
          <w:szCs w:val="20"/>
        </w:rPr>
        <w:t>on of each defined benefit plan is recorded in our Consolidated Balance Sheet. Actuarial gains and losses and prior service costs or credits that have not yet been recognized through income are recorded in the “Accumulated other comprehensive loss” line it</w:t>
      </w:r>
      <w:r>
        <w:rPr>
          <w:rFonts w:eastAsia="Times New Roman"/>
          <w:color w:val="000000"/>
          <w:sz w:val="20"/>
          <w:szCs w:val="20"/>
        </w:rPr>
        <w:t xml:space="preserve">em within equity in our Consolidated Balance Sheet, net of taxes, until they are amortized as a component of net periodic benefit cost. The determination of benefit obligations and the recognition of expenses related to defined benefit plans are dependent </w:t>
      </w:r>
      <w:r>
        <w:rPr>
          <w:rFonts w:eastAsia="Times New Roman"/>
          <w:color w:val="000000"/>
          <w:sz w:val="20"/>
          <w:szCs w:val="20"/>
        </w:rPr>
        <w:t>on various assumptions. The major assumptions primarily relate to discount rates, long-term expected rates of return on plan assets, the rate of future compensation increases, mortality, termination, and health care cost trend rates. We develop each assump</w:t>
      </w:r>
      <w:r>
        <w:rPr>
          <w:rFonts w:eastAsia="Times New Roman"/>
          <w:color w:val="000000"/>
          <w:sz w:val="20"/>
          <w:szCs w:val="20"/>
        </w:rPr>
        <w:t>tion using relevant Company experience in conjunction with market-related data. Actuarial assumptions are reviewed annually with third-party consultants and adjusted as appropriate. For the recognition of net periodic benefit cost, the calculation of the l</w:t>
      </w:r>
      <w:r>
        <w:rPr>
          <w:rFonts w:eastAsia="Times New Roman"/>
          <w:color w:val="000000"/>
          <w:sz w:val="20"/>
          <w:szCs w:val="20"/>
        </w:rPr>
        <w:t>ong-term expected return on plan assets is generally derived using a market-related value of plan assets based on yearly average asset values at the measurement date over the last five years, to be phased in over five years. Actual results that differ from</w:t>
      </w:r>
      <w:r>
        <w:rPr>
          <w:rFonts w:eastAsia="Times New Roman"/>
          <w:color w:val="000000"/>
          <w:sz w:val="20"/>
          <w:szCs w:val="20"/>
        </w:rPr>
        <w:t xml:space="preserve"> our assumptions are accumulated and generally amortized for each plan to the extent required over the estimated future life expectancy or, if applicable, the future working lifetime of the plan’s active participants. The fair value of plan assets is deter</w:t>
      </w:r>
      <w:r>
        <w:rPr>
          <w:rFonts w:eastAsia="Times New Roman"/>
          <w:color w:val="000000"/>
          <w:sz w:val="20"/>
          <w:szCs w:val="20"/>
        </w:rPr>
        <w:t xml:space="preserve">mined based on market prices or estimated fair value at the measurement date. The measurement date for valuing defined benefit plan assets and obligations is the end of the month closest to our fiscal year end. </w:t>
      </w:r>
    </w:p>
    <w:p w14:paraId="76734837" w14:textId="77777777" w:rsidR="00000000" w:rsidRDefault="001A570A">
      <w:pPr>
        <w:ind w:firstLine="450"/>
        <w:divId w:val="28723229"/>
        <w:rPr>
          <w:rFonts w:eastAsia="Times New Roman"/>
        </w:rPr>
      </w:pPr>
      <w:r>
        <w:rPr>
          <w:rFonts w:eastAsia="Times New Roman"/>
          <w:color w:val="000000"/>
          <w:sz w:val="20"/>
          <w:szCs w:val="20"/>
        </w:rPr>
        <w:t xml:space="preserve">We record the service cost component of net </w:t>
      </w:r>
      <w:r>
        <w:rPr>
          <w:rFonts w:eastAsia="Times New Roman"/>
          <w:color w:val="000000"/>
          <w:sz w:val="20"/>
          <w:szCs w:val="20"/>
        </w:rPr>
        <w:t>periodic benefit income in the “Cost of product sales and services” and “Engineering, selling and administrative expenses” line items in our Consolidated Statement of Income. The non-service cost components of net periodic benefit income are included in th</w:t>
      </w:r>
      <w:r>
        <w:rPr>
          <w:rFonts w:eastAsia="Times New Roman"/>
          <w:color w:val="000000"/>
          <w:sz w:val="20"/>
          <w:szCs w:val="20"/>
        </w:rPr>
        <w:t xml:space="preserve">e “Non-operating income” line item in our Consolidated Statement of Income. </w:t>
      </w:r>
    </w:p>
    <w:p w14:paraId="3FA65660" w14:textId="77777777" w:rsidR="00000000" w:rsidRDefault="001A570A">
      <w:pPr>
        <w:ind w:firstLine="450"/>
        <w:divId w:val="624847732"/>
        <w:rPr>
          <w:rFonts w:eastAsia="Times New Roman"/>
        </w:rPr>
      </w:pPr>
      <w:r>
        <w:rPr>
          <w:rFonts w:eastAsia="Times New Roman"/>
          <w:color w:val="000000"/>
          <w:sz w:val="20"/>
          <w:szCs w:val="20"/>
        </w:rPr>
        <w:t>We also provide retirement benefits to many of our U.S.-based employees through defined contribution retirement plans, including 401(k) plans and certain non-qualified deferred co</w:t>
      </w:r>
      <w:r>
        <w:rPr>
          <w:rFonts w:eastAsia="Times New Roman"/>
          <w:color w:val="000000"/>
          <w:sz w:val="20"/>
          <w:szCs w:val="20"/>
        </w:rPr>
        <w:t>mpensation plans. The defined contribution retirement plans have matching and savings elements. Company contributions to the retirement plans are based on employees’ savings with no other funding requirements. We may make additional contributions to the re</w:t>
      </w:r>
      <w:r>
        <w:rPr>
          <w:rFonts w:eastAsia="Times New Roman"/>
          <w:color w:val="000000"/>
          <w:sz w:val="20"/>
          <w:szCs w:val="20"/>
        </w:rPr>
        <w:t xml:space="preserve">tirement plans at our discretion. Retirement and postretirement benefits also include unfunded limited healthcare plans for U.S.-based retirees and employees on long-term disability. We estimate benefits for these plans using actuarial valuations that are </w:t>
      </w:r>
      <w:r>
        <w:rPr>
          <w:rFonts w:eastAsia="Times New Roman"/>
          <w:color w:val="000000"/>
          <w:sz w:val="20"/>
          <w:szCs w:val="20"/>
        </w:rPr>
        <w:t>based in part on certain key assumptions we make, including the discount rate, the expected long-term rate of return on plan assets, the rate of future compensation increases, healthcare cost trend rates and employee turnover and mortality, each appropriat</w:t>
      </w:r>
      <w:r>
        <w:rPr>
          <w:rFonts w:eastAsia="Times New Roman"/>
          <w:color w:val="000000"/>
          <w:sz w:val="20"/>
          <w:szCs w:val="20"/>
        </w:rPr>
        <w:t>ely based on the nature of the plans. We accrue the cost of these benefits during an employee’s active service life, except in the case of our healthcare plans for disabled employees, the costs of which we accrue when the disabling event occurs.</w:t>
      </w:r>
    </w:p>
    <w:p w14:paraId="6B4C6608" w14:textId="77777777" w:rsidR="00000000" w:rsidRDefault="001A570A">
      <w:pPr>
        <w:ind w:firstLine="450"/>
        <w:divId w:val="1854224304"/>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15: Pension and Other Postretirement Benefits </w:t>
      </w:r>
      <w:r>
        <w:rPr>
          <w:rFonts w:eastAsia="Times New Roman"/>
          <w:color w:val="000000"/>
          <w:sz w:val="20"/>
          <w:szCs w:val="20"/>
        </w:rPr>
        <w:t>in these Notes for additional information regarding our defined benefit plans.</w:t>
      </w:r>
    </w:p>
    <w:p w14:paraId="6CF333D8" w14:textId="77777777" w:rsidR="00000000" w:rsidRDefault="001A570A">
      <w:pPr>
        <w:ind w:firstLine="450"/>
        <w:divId w:val="1953240555"/>
        <w:rPr>
          <w:rFonts w:eastAsia="Times New Roman"/>
        </w:rPr>
      </w:pPr>
      <w:r>
        <w:rPr>
          <w:rFonts w:eastAsia="Times New Roman"/>
          <w:b/>
          <w:bCs/>
          <w:color w:val="000000"/>
          <w:sz w:val="20"/>
          <w:szCs w:val="20"/>
        </w:rPr>
        <w:t>Environmental Expenditures</w:t>
      </w:r>
      <w:r>
        <w:rPr>
          <w:rFonts w:eastAsia="Times New Roman"/>
          <w:color w:val="000000"/>
          <w:sz w:val="20"/>
          <w:szCs w:val="20"/>
        </w:rPr>
        <w:t> — We capitalize environmental expenditures that increase the life or efficiency of property or that</w:t>
      </w:r>
      <w:r>
        <w:rPr>
          <w:rFonts w:eastAsia="Times New Roman"/>
          <w:color w:val="000000"/>
          <w:sz w:val="20"/>
          <w:szCs w:val="20"/>
        </w:rPr>
        <w:t xml:space="preserve"> reduce or prevent environmental contamination. We accrue environmental expenses resulting from existing conditions that relate to past or current operations. Our accruals for environmental expenses are recorded on a site-by-site basis when it is probable </w:t>
      </w:r>
      <w:r>
        <w:rPr>
          <w:rFonts w:eastAsia="Times New Roman"/>
          <w:color w:val="000000"/>
          <w:sz w:val="20"/>
          <w:szCs w:val="20"/>
        </w:rPr>
        <w:t>a liability has been incurred and the amount of the liability can be reasonably estimated, based on current law and existing technologies available to us. Our accruals for environmental expenses represent the best estimates related to the investigation and</w:t>
      </w:r>
      <w:r>
        <w:rPr>
          <w:rFonts w:eastAsia="Times New Roman"/>
          <w:color w:val="000000"/>
          <w:sz w:val="20"/>
          <w:szCs w:val="20"/>
        </w:rPr>
        <w:t xml:space="preserve"> remediation of environmental media such as water, soil, soil vapor, air and structures, as well as related legal fees, and are reviewed periodically, at least annually at the year-end balance sheet date, and updated for progress of investigation and remed</w:t>
      </w:r>
      <w:r>
        <w:rPr>
          <w:rFonts w:eastAsia="Times New Roman"/>
          <w:color w:val="000000"/>
          <w:sz w:val="20"/>
          <w:szCs w:val="20"/>
        </w:rPr>
        <w:t xml:space="preserve">iation efforts and changes in facts and legal circumstances. If the timing and amount of future cash payments for environmental liabilities are fixed or reliably determinable, we generally discount such cash flows in estimating our accrual. </w:t>
      </w:r>
    </w:p>
    <w:p w14:paraId="4918D7E2" w14:textId="77777777" w:rsidR="00000000" w:rsidRDefault="001A570A">
      <w:pPr>
        <w:ind w:firstLine="450"/>
        <w:divId w:val="1424105520"/>
        <w:rPr>
          <w:rFonts w:eastAsia="Times New Roman"/>
        </w:rPr>
      </w:pPr>
      <w:r>
        <w:rPr>
          <w:rFonts w:eastAsia="Times New Roman"/>
          <w:color w:val="000000"/>
          <w:sz w:val="20"/>
          <w:szCs w:val="20"/>
        </w:rPr>
        <w:t>As of January 1, 2021, we were named, and continue to be named, as a potentially responsible party at 84 sites where future liabilities could exist. These sites included 9 sites owned by us, 65 sites associated with our former and current locations or oper</w:t>
      </w:r>
      <w:r>
        <w:rPr>
          <w:rFonts w:eastAsia="Times New Roman"/>
          <w:color w:val="000000"/>
          <w:sz w:val="20"/>
          <w:szCs w:val="20"/>
        </w:rPr>
        <w:t>ations and 10 hazardous waste treatment, storage or disposal facility sites not owned by us that contain hazardous substances allegedly attributable to us from past operations.</w:t>
      </w:r>
    </w:p>
    <w:p w14:paraId="591EE107" w14:textId="77777777" w:rsidR="00000000" w:rsidRDefault="001A570A">
      <w:pPr>
        <w:ind w:firstLine="450"/>
        <w:divId w:val="1735154732"/>
        <w:rPr>
          <w:rFonts w:eastAsia="Times New Roman"/>
        </w:rPr>
      </w:pPr>
      <w:r>
        <w:rPr>
          <w:rFonts w:eastAsia="Times New Roman"/>
          <w:color w:val="000000"/>
          <w:sz w:val="20"/>
          <w:szCs w:val="20"/>
        </w:rPr>
        <w:t>Based on an assessment of relevant factors, we estimated that our liability und</w:t>
      </w:r>
      <w:r>
        <w:rPr>
          <w:rFonts w:eastAsia="Times New Roman"/>
          <w:color w:val="000000"/>
          <w:sz w:val="20"/>
          <w:szCs w:val="20"/>
        </w:rPr>
        <w:t>er applicable environmental statutes and regulations for identified sites was $117 million. The current portion of our estimated environmental liability is included in the “Other accrued items” line item and the non-current portion is included in the “Othe</w:t>
      </w:r>
      <w:r>
        <w:rPr>
          <w:rFonts w:eastAsia="Times New Roman"/>
          <w:color w:val="000000"/>
          <w:sz w:val="20"/>
          <w:szCs w:val="20"/>
        </w:rPr>
        <w:t>r long-term liabilities” line item in our Consolidated Balance Sheet.</w:t>
      </w:r>
    </w:p>
    <w:p w14:paraId="10ABA0EA" w14:textId="77777777" w:rsidR="00000000" w:rsidRDefault="001A570A">
      <w:pPr>
        <w:ind w:firstLine="450"/>
        <w:jc w:val="center"/>
        <w:divId w:val="668145387"/>
        <w:rPr>
          <w:rFonts w:eastAsia="Times New Roman"/>
        </w:rPr>
      </w:pPr>
      <w:r>
        <w:rPr>
          <w:rFonts w:eastAsia="Times New Roman"/>
          <w:color w:val="000000"/>
          <w:sz w:val="20"/>
          <w:szCs w:val="20"/>
        </w:rPr>
        <w:t>87</w:t>
      </w:r>
    </w:p>
    <w:p w14:paraId="2348DC8B" w14:textId="77777777" w:rsidR="00000000" w:rsidRDefault="001A570A">
      <w:pPr>
        <w:rPr>
          <w:rFonts w:eastAsia="Times New Roman"/>
        </w:rPr>
      </w:pPr>
      <w:r>
        <w:rPr>
          <w:rFonts w:eastAsia="Times New Roman"/>
        </w:rPr>
        <w:pict w14:anchorId="29261FE1">
          <v:rect id="_x0000_i1115" style="width:0;height:1.5pt" o:hralign="center" o:hrstd="t" o:hr="t" fillcolor="#a0a0a0" stroked="f"/>
        </w:pict>
      </w:r>
    </w:p>
    <w:p w14:paraId="3D41886E" w14:textId="77777777" w:rsidR="00000000" w:rsidRDefault="001A570A">
      <w:pPr>
        <w:ind w:firstLine="450"/>
        <w:divId w:val="655575790"/>
        <w:rPr>
          <w:rFonts w:eastAsia="Times New Roman"/>
        </w:rPr>
      </w:pPr>
    </w:p>
    <w:p w14:paraId="161BA5D3" w14:textId="77777777" w:rsidR="00000000" w:rsidRDefault="001A570A">
      <w:pPr>
        <w:ind w:firstLine="450"/>
        <w:divId w:val="849292928"/>
        <w:rPr>
          <w:rFonts w:eastAsia="Times New Roman"/>
        </w:rPr>
      </w:pPr>
      <w:r>
        <w:rPr>
          <w:rFonts w:eastAsia="Times New Roman"/>
          <w:color w:val="000000"/>
          <w:sz w:val="20"/>
          <w:szCs w:val="20"/>
        </w:rPr>
        <w:t>The relevant factors we considered in estimating our potential liabilities under applicable environmental statutes and regulations included some</w:t>
      </w:r>
      <w:r>
        <w:rPr>
          <w:rFonts w:eastAsia="Times New Roman"/>
          <w:color w:val="000000"/>
          <w:sz w:val="20"/>
          <w:szCs w:val="20"/>
        </w:rPr>
        <w:t xml:space="preserve"> or all of the following as to each site: incomplete information regarding particular sites and other potentially responsible parties; uncertainty regarding the extent of investigation or remediation; our share, if any, of liability for such conditions; th</w:t>
      </w:r>
      <w:r>
        <w:rPr>
          <w:rFonts w:eastAsia="Times New Roman"/>
          <w:color w:val="000000"/>
          <w:sz w:val="20"/>
          <w:szCs w:val="20"/>
        </w:rPr>
        <w:t xml:space="preserve">e selection of alternative remedial approaches; changes in environmental standards and regulatory requirements; potential insurance proceeds; cost-sharing agreements with other parties and potential indemnification from successor and predecessor owners of </w:t>
      </w:r>
      <w:r>
        <w:rPr>
          <w:rFonts w:eastAsia="Times New Roman"/>
          <w:color w:val="000000"/>
          <w:sz w:val="20"/>
          <w:szCs w:val="20"/>
        </w:rPr>
        <w:t>these sites. We do not believe that any uncertainties regarding these relevant factors will materially affect our potential liability under applicable environmental statutes and regulations. We believe the total amount accrued is appropriate based on exist</w:t>
      </w:r>
      <w:r>
        <w:rPr>
          <w:rFonts w:eastAsia="Times New Roman"/>
          <w:color w:val="000000"/>
          <w:sz w:val="20"/>
          <w:szCs w:val="20"/>
        </w:rPr>
        <w:t>ing facts and circumstances, although we note the total amount accrued may increase or decrease in future years.</w:t>
      </w:r>
    </w:p>
    <w:p w14:paraId="3DB55C87" w14:textId="77777777" w:rsidR="00000000" w:rsidRDefault="001A570A">
      <w:pPr>
        <w:ind w:firstLine="450"/>
        <w:divId w:val="47922721"/>
        <w:rPr>
          <w:rFonts w:eastAsia="Times New Roman"/>
        </w:rPr>
      </w:pPr>
      <w:r>
        <w:rPr>
          <w:rFonts w:eastAsia="Times New Roman"/>
          <w:b/>
          <w:bCs/>
          <w:color w:val="000000"/>
          <w:sz w:val="20"/>
          <w:szCs w:val="20"/>
        </w:rPr>
        <w:t>Financial Guarantees and Commercial Commitments</w:t>
      </w:r>
      <w:r>
        <w:rPr>
          <w:rFonts w:eastAsia="Times New Roman"/>
          <w:color w:val="000000"/>
          <w:sz w:val="20"/>
          <w:szCs w:val="20"/>
        </w:rPr>
        <w:t> — Financial guarantees are contingent commitments issued to guarantee the performance of a cust</w:t>
      </w:r>
      <w:r>
        <w:rPr>
          <w:rFonts w:eastAsia="Times New Roman"/>
          <w:color w:val="000000"/>
          <w:sz w:val="20"/>
          <w:szCs w:val="20"/>
        </w:rPr>
        <w:t>omer to a third party in borrowing arrangements, such as commercial paper issuances, bond financings and similar transactions. As of January 1, 2021, we did not have material financial guarantees and there were no such contingent commitments accrued for in</w:t>
      </w:r>
      <w:r>
        <w:rPr>
          <w:rFonts w:eastAsia="Times New Roman"/>
          <w:color w:val="000000"/>
          <w:sz w:val="20"/>
          <w:szCs w:val="20"/>
        </w:rPr>
        <w:t xml:space="preserve"> our Consolidated Balance Sheet. </w:t>
      </w:r>
    </w:p>
    <w:p w14:paraId="71AB8ED1" w14:textId="77777777" w:rsidR="00000000" w:rsidRDefault="001A570A">
      <w:pPr>
        <w:ind w:firstLine="450"/>
        <w:divId w:val="552809588"/>
        <w:rPr>
          <w:rFonts w:eastAsia="Times New Roman"/>
        </w:rPr>
      </w:pPr>
      <w:r>
        <w:rPr>
          <w:rFonts w:eastAsia="Times New Roman"/>
          <w:color w:val="000000"/>
          <w:sz w:val="20"/>
          <w:szCs w:val="20"/>
        </w:rPr>
        <w:t>We have entered into commercial commitments in the normal course of business including surety bonds, standby letter of credit agreements and other arrangements with financial institutions and customers primarily relating t</w:t>
      </w:r>
      <w:r>
        <w:rPr>
          <w:rFonts w:eastAsia="Times New Roman"/>
          <w:color w:val="000000"/>
          <w:sz w:val="20"/>
          <w:szCs w:val="20"/>
        </w:rPr>
        <w:t xml:space="preserve">o the guarantee of future performance on certain contracts to provide products and services to customers and to obtain insurance policies with our insurance carriers. </w:t>
      </w:r>
    </w:p>
    <w:p w14:paraId="5D92D7B8" w14:textId="77777777" w:rsidR="00000000" w:rsidRDefault="001A570A">
      <w:pPr>
        <w:ind w:firstLine="450"/>
        <w:divId w:val="1310674090"/>
        <w:rPr>
          <w:rFonts w:eastAsia="Times New Roman"/>
        </w:rPr>
      </w:pPr>
      <w:r>
        <w:rPr>
          <w:rFonts w:eastAsia="Times New Roman"/>
          <w:b/>
          <w:bCs/>
          <w:color w:val="000000"/>
          <w:sz w:val="20"/>
          <w:szCs w:val="20"/>
        </w:rPr>
        <w:t>Financial Instruments and Risk Management</w:t>
      </w:r>
      <w:r>
        <w:rPr>
          <w:rFonts w:eastAsia="Times New Roman"/>
          <w:color w:val="000000"/>
          <w:sz w:val="20"/>
          <w:szCs w:val="20"/>
        </w:rPr>
        <w:t> — In the normal course of business, we are exp</w:t>
      </w:r>
      <w:r>
        <w:rPr>
          <w:rFonts w:eastAsia="Times New Roman"/>
          <w:color w:val="000000"/>
          <w:sz w:val="20"/>
          <w:szCs w:val="20"/>
        </w:rPr>
        <w:t>osed to global market risks, including the effect of changes in foreign currency exchange rates. We use derivative instruments to manage our exposure to such risks and formally document all relationships between hedging instruments and hedged items, as wel</w:t>
      </w:r>
      <w:r>
        <w:rPr>
          <w:rFonts w:eastAsia="Times New Roman"/>
          <w:color w:val="000000"/>
          <w:sz w:val="20"/>
          <w:szCs w:val="20"/>
        </w:rPr>
        <w:t>l as the risk-management objective and strategy for undertaking hedge transactions. We may also enter into derivative instruments that are not designated as hedges and do not qualify for hedge accounting. We recognize all derivatives in our Consolidated Ba</w:t>
      </w:r>
      <w:r>
        <w:rPr>
          <w:rFonts w:eastAsia="Times New Roman"/>
          <w:color w:val="000000"/>
          <w:sz w:val="20"/>
          <w:szCs w:val="20"/>
        </w:rPr>
        <w:t>lance Sheet at fair value. Derivatives that are not hedges must be adjusted to fair value through income. If the derivative is a hedge, depending on the nature of the hedge, changes in the fair value of the derivative are either offset against the change i</w:t>
      </w:r>
      <w:r>
        <w:rPr>
          <w:rFonts w:eastAsia="Times New Roman"/>
          <w:color w:val="000000"/>
          <w:sz w:val="20"/>
          <w:szCs w:val="20"/>
        </w:rPr>
        <w:t xml:space="preserve">n fair value of assets, liabilities or firm commitments through earnings or recognized in other comprehensive income until the hedged item is recognized in earnings. We do not hold or issue derivatives for speculative trading purposes. See </w:t>
      </w:r>
      <w:r>
        <w:rPr>
          <w:rFonts w:eastAsia="Times New Roman"/>
          <w:i/>
          <w:iCs/>
          <w:color w:val="000000"/>
          <w:sz w:val="20"/>
          <w:szCs w:val="20"/>
        </w:rPr>
        <w:t>Note 20: Derivat</w:t>
      </w:r>
      <w:r>
        <w:rPr>
          <w:rFonts w:eastAsia="Times New Roman"/>
          <w:i/>
          <w:iCs/>
          <w:color w:val="000000"/>
          <w:sz w:val="20"/>
          <w:szCs w:val="20"/>
        </w:rPr>
        <w:t>ive Instruments and Hedging Activities</w:t>
      </w:r>
      <w:r>
        <w:rPr>
          <w:rFonts w:eastAsia="Times New Roman"/>
          <w:color w:val="000000"/>
          <w:sz w:val="20"/>
          <w:szCs w:val="20"/>
        </w:rPr>
        <w:t xml:space="preserve"> in these Notes for additional information regarding our use of derivative instruments.</w:t>
      </w:r>
    </w:p>
    <w:p w14:paraId="656A87FB" w14:textId="77777777" w:rsidR="00000000" w:rsidRDefault="001A570A">
      <w:pPr>
        <w:ind w:firstLine="450"/>
        <w:divId w:val="884291896"/>
        <w:rPr>
          <w:rFonts w:eastAsia="Times New Roman"/>
        </w:rPr>
      </w:pPr>
      <w:r>
        <w:rPr>
          <w:rFonts w:eastAsia="Times New Roman"/>
          <w:b/>
          <w:bCs/>
          <w:color w:val="000000"/>
          <w:sz w:val="20"/>
          <w:szCs w:val="20"/>
        </w:rPr>
        <w:t>Income From Continuing Operations Per Share</w:t>
      </w:r>
      <w:r>
        <w:rPr>
          <w:rFonts w:eastAsia="Times New Roman"/>
          <w:color w:val="000000"/>
          <w:sz w:val="20"/>
          <w:szCs w:val="20"/>
        </w:rPr>
        <w:t xml:space="preserve"> — For all periods presented in our Consolidated Financial Statements and these Notes, </w:t>
      </w:r>
      <w:r>
        <w:rPr>
          <w:rFonts w:eastAsia="Times New Roman"/>
          <w:color w:val="000000"/>
          <w:sz w:val="20"/>
          <w:szCs w:val="20"/>
        </w:rPr>
        <w:t xml:space="preserve">income from continuing operations per share is computed using the two-class method. The two-class method of computing income from continuing operations per share is an earnings allocation formula that determines income from continuing operations per share </w:t>
      </w:r>
      <w:r>
        <w:rPr>
          <w:rFonts w:eastAsia="Times New Roman"/>
          <w:color w:val="000000"/>
          <w:sz w:val="20"/>
          <w:szCs w:val="20"/>
        </w:rPr>
        <w:t xml:space="preserve">for common stock and any participating securities according to dividends paid and participation rights in undistributed earnings. Historically, our restricted stock awards and restricted stock unit awards generally have met the definition of participating </w:t>
      </w:r>
      <w:r>
        <w:rPr>
          <w:rFonts w:eastAsia="Times New Roman"/>
          <w:color w:val="000000"/>
          <w:sz w:val="20"/>
          <w:szCs w:val="20"/>
        </w:rPr>
        <w:t>securities and were included in the computations of income from continuing operations per basic and diluted common share. However, restricted stock awards and restricted stock unit awards granted during fiscal 2020 and the two quarters ended January 3, 202</w:t>
      </w:r>
      <w:r>
        <w:rPr>
          <w:rFonts w:eastAsia="Times New Roman"/>
          <w:color w:val="000000"/>
          <w:sz w:val="20"/>
          <w:szCs w:val="20"/>
        </w:rPr>
        <w:t>0 did not meet the definition of participating securities. Under the two-class method, income from continuing operations per common share is computed by dividing the sum of earnings distributed to common shareholders and undistributed earnings allocated to</w:t>
      </w:r>
      <w:r>
        <w:rPr>
          <w:rFonts w:eastAsia="Times New Roman"/>
          <w:color w:val="000000"/>
          <w:sz w:val="20"/>
          <w:szCs w:val="20"/>
        </w:rPr>
        <w:t xml:space="preserve"> common shareholders by the weighted-average number of common shares outstanding for the period. Income from continuing operations per diluted common share is computed using the more dilutive of the two-class method or the treasury stock method. In applyin</w:t>
      </w:r>
      <w:r>
        <w:rPr>
          <w:rFonts w:eastAsia="Times New Roman"/>
          <w:color w:val="000000"/>
          <w:sz w:val="20"/>
          <w:szCs w:val="20"/>
        </w:rPr>
        <w:t xml:space="preserve">g the two-class method, undistributed earnings are allocated to both common shares and participating securities based on the weighted-average shares outstanding during the period. See </w:t>
      </w:r>
      <w:r>
        <w:rPr>
          <w:rFonts w:eastAsia="Times New Roman"/>
          <w:i/>
          <w:iCs/>
          <w:color w:val="000000"/>
          <w:sz w:val="20"/>
          <w:szCs w:val="20"/>
        </w:rPr>
        <w:t>Note 17: Income From Continuing Operations Per Share</w:t>
      </w:r>
      <w:r>
        <w:rPr>
          <w:rFonts w:eastAsia="Times New Roman"/>
          <w:color w:val="000000"/>
          <w:sz w:val="20"/>
          <w:szCs w:val="20"/>
        </w:rPr>
        <w:t xml:space="preserve"> in these Notes for </w:t>
      </w:r>
      <w:r>
        <w:rPr>
          <w:rFonts w:eastAsia="Times New Roman"/>
          <w:color w:val="000000"/>
          <w:sz w:val="20"/>
          <w:szCs w:val="20"/>
        </w:rPr>
        <w:t>additional information.</w:t>
      </w:r>
    </w:p>
    <w:p w14:paraId="42EF95BB" w14:textId="77777777" w:rsidR="00000000" w:rsidRDefault="001A570A">
      <w:pPr>
        <w:ind w:firstLine="450"/>
        <w:divId w:val="1043863606"/>
        <w:rPr>
          <w:rFonts w:eastAsia="Times New Roman"/>
        </w:rPr>
      </w:pPr>
      <w:r>
        <w:rPr>
          <w:rFonts w:eastAsia="Times New Roman"/>
          <w:b/>
          <w:bCs/>
          <w:color w:val="000000"/>
          <w:sz w:val="20"/>
          <w:szCs w:val="20"/>
        </w:rPr>
        <w:t>Business Segments</w:t>
      </w:r>
      <w:r>
        <w:rPr>
          <w:rFonts w:eastAsia="Times New Roman"/>
          <w:color w:val="000000"/>
          <w:sz w:val="20"/>
          <w:szCs w:val="20"/>
        </w:rPr>
        <w:t> — We evaluate each business segment’s performance based on its operating income or loss, which we define as profit or loss from operations before income taxes, including pension income and excluding interest income</w:t>
      </w:r>
      <w:r>
        <w:rPr>
          <w:rFonts w:eastAsia="Times New Roman"/>
          <w:color w:val="000000"/>
          <w:sz w:val="20"/>
          <w:szCs w:val="20"/>
        </w:rPr>
        <w:t xml:space="preserve"> and expense, royalties and related intellectual property expenses, equity method investment income or loss and gains or losses from securities and other investments. Intersegment sales are generally transferred at cost to the buying segment, and the sourc</w:t>
      </w:r>
      <w:r>
        <w:rPr>
          <w:rFonts w:eastAsia="Times New Roman"/>
          <w:color w:val="000000"/>
          <w:sz w:val="20"/>
          <w:szCs w:val="20"/>
        </w:rPr>
        <w:t xml:space="preserve">ing segment recognizes a profit that is eliminated. The “Corporate eliminations” line item in </w:t>
      </w:r>
      <w:r>
        <w:rPr>
          <w:rFonts w:eastAsia="Times New Roman"/>
          <w:i/>
          <w:iCs/>
          <w:color w:val="000000"/>
          <w:sz w:val="20"/>
          <w:szCs w:val="20"/>
        </w:rPr>
        <w:t>Note 25: Business Segments</w:t>
      </w:r>
      <w:r>
        <w:rPr>
          <w:rFonts w:eastAsia="Times New Roman"/>
          <w:color w:val="000000"/>
          <w:sz w:val="20"/>
          <w:szCs w:val="20"/>
        </w:rPr>
        <w:t xml:space="preserve"> in these Notes represents the elimination of intersegment sales. Corporate expenses are primarily allocated to our business segments us</w:t>
      </w:r>
      <w:r>
        <w:rPr>
          <w:rFonts w:eastAsia="Times New Roman"/>
          <w:color w:val="000000"/>
          <w:sz w:val="20"/>
          <w:szCs w:val="20"/>
        </w:rPr>
        <w:t xml:space="preserve">ing an allocation methodology prescribed by U.S. Government regulations for government contractors. The “Unallocated corporate expenses and corporate eliminations” line item in </w:t>
      </w:r>
      <w:r>
        <w:rPr>
          <w:rFonts w:eastAsia="Times New Roman"/>
          <w:i/>
          <w:iCs/>
          <w:color w:val="000000"/>
          <w:sz w:val="20"/>
          <w:szCs w:val="20"/>
        </w:rPr>
        <w:t>Note 25: Business Segments</w:t>
      </w:r>
      <w:r>
        <w:rPr>
          <w:rFonts w:eastAsia="Times New Roman"/>
          <w:color w:val="000000"/>
          <w:sz w:val="20"/>
          <w:szCs w:val="20"/>
        </w:rPr>
        <w:t xml:space="preserve"> in these Notes represents the portion of corporate e</w:t>
      </w:r>
      <w:r>
        <w:rPr>
          <w:rFonts w:eastAsia="Times New Roman"/>
          <w:color w:val="000000"/>
          <w:sz w:val="20"/>
          <w:szCs w:val="20"/>
        </w:rPr>
        <w:t xml:space="preserve">xpenses not allocated to our business segments and elimination of intersegment profits. The “Pension adjustment” line item in </w:t>
      </w:r>
      <w:r>
        <w:rPr>
          <w:rFonts w:eastAsia="Times New Roman"/>
          <w:i/>
          <w:iCs/>
          <w:color w:val="000000"/>
          <w:sz w:val="20"/>
          <w:szCs w:val="20"/>
        </w:rPr>
        <w:t>Note 25: Business Segments</w:t>
      </w:r>
      <w:r>
        <w:rPr>
          <w:rFonts w:eastAsia="Times New Roman"/>
          <w:color w:val="000000"/>
          <w:sz w:val="20"/>
          <w:szCs w:val="20"/>
        </w:rPr>
        <w:t xml:space="preserve"> in these Notes represents the reconciliation of the non-service components of net periodic pension and </w:t>
      </w:r>
      <w:r>
        <w:rPr>
          <w:rFonts w:eastAsia="Times New Roman"/>
          <w:color w:val="000000"/>
          <w:sz w:val="20"/>
          <w:szCs w:val="20"/>
        </w:rPr>
        <w:t xml:space="preserve">postretirement benefit costs, which are a component of segment operating income but are included in the “Non-operating income” line item in our Consolidated Statement of Income. The non-service components of net periodic pension and postretirement benefit </w:t>
      </w:r>
      <w:r>
        <w:rPr>
          <w:rFonts w:eastAsia="Times New Roman"/>
          <w:color w:val="000000"/>
          <w:sz w:val="20"/>
          <w:szCs w:val="20"/>
        </w:rPr>
        <w:t xml:space="preserve">costs include interest cost, expected return on plan assets, amortization of net actuarial gain or loss and effect of curtailments or settlements. </w:t>
      </w:r>
    </w:p>
    <w:p w14:paraId="7C4FEFD6" w14:textId="77777777" w:rsidR="00000000" w:rsidRDefault="001A570A">
      <w:pPr>
        <w:ind w:firstLine="450"/>
        <w:jc w:val="center"/>
        <w:divId w:val="1797916500"/>
        <w:rPr>
          <w:rFonts w:eastAsia="Times New Roman"/>
        </w:rPr>
      </w:pPr>
      <w:r>
        <w:rPr>
          <w:rFonts w:eastAsia="Times New Roman"/>
          <w:color w:val="000000"/>
          <w:sz w:val="20"/>
          <w:szCs w:val="20"/>
        </w:rPr>
        <w:t>88</w:t>
      </w:r>
    </w:p>
    <w:p w14:paraId="21B0DAD5" w14:textId="77777777" w:rsidR="00000000" w:rsidRDefault="001A570A">
      <w:pPr>
        <w:rPr>
          <w:rFonts w:eastAsia="Times New Roman"/>
        </w:rPr>
      </w:pPr>
      <w:r>
        <w:rPr>
          <w:rFonts w:eastAsia="Times New Roman"/>
        </w:rPr>
        <w:pict w14:anchorId="36A1B94E">
          <v:rect id="_x0000_i1116" style="width:0;height:1.5pt" o:hralign="center" o:hrstd="t" o:hr="t" fillcolor="#a0a0a0" stroked="f"/>
        </w:pict>
      </w:r>
    </w:p>
    <w:p w14:paraId="18C7DB0C" w14:textId="77777777" w:rsidR="00000000" w:rsidRDefault="001A570A">
      <w:pPr>
        <w:ind w:firstLine="450"/>
        <w:divId w:val="1258518469"/>
        <w:rPr>
          <w:rFonts w:eastAsia="Times New Roman"/>
        </w:rPr>
      </w:pPr>
    </w:p>
    <w:p w14:paraId="462B21A4" w14:textId="77777777" w:rsidR="00000000" w:rsidRDefault="001A570A">
      <w:pPr>
        <w:divId w:val="726882343"/>
        <w:rPr>
          <w:rFonts w:eastAsia="Times New Roman"/>
        </w:rPr>
      </w:pPr>
      <w:r>
        <w:rPr>
          <w:rFonts w:eastAsia="Times New Roman"/>
          <w:b/>
          <w:bCs/>
          <w:color w:val="000000"/>
          <w:sz w:val="20"/>
          <w:szCs w:val="20"/>
        </w:rPr>
        <w:t xml:space="preserve">NOTE 2: ACCOUNTING CHANGES OR RECENT ACCOUNTING PRONOUNCEMENTS </w:t>
      </w:r>
    </w:p>
    <w:p w14:paraId="7FB678F3" w14:textId="77777777" w:rsidR="00000000" w:rsidRDefault="001A570A">
      <w:pPr>
        <w:divId w:val="1703558337"/>
        <w:rPr>
          <w:rFonts w:eastAsia="Times New Roman"/>
        </w:rPr>
      </w:pPr>
      <w:r>
        <w:rPr>
          <w:rFonts w:eastAsia="Times New Roman"/>
          <w:b/>
          <w:bCs/>
          <w:color w:val="000000"/>
          <w:sz w:val="20"/>
          <w:szCs w:val="20"/>
        </w:rPr>
        <w:t>Ad</w:t>
      </w:r>
      <w:r>
        <w:rPr>
          <w:rFonts w:eastAsia="Times New Roman"/>
          <w:b/>
          <w:bCs/>
          <w:color w:val="000000"/>
          <w:sz w:val="20"/>
          <w:szCs w:val="20"/>
        </w:rPr>
        <w:t>option of New Accounting Standards</w:t>
      </w:r>
    </w:p>
    <w:p w14:paraId="164B0375" w14:textId="77777777" w:rsidR="00000000" w:rsidRDefault="001A570A">
      <w:pPr>
        <w:ind w:firstLine="450"/>
        <w:divId w:val="1131367014"/>
        <w:rPr>
          <w:rFonts w:eastAsia="Times New Roman"/>
        </w:rPr>
      </w:pPr>
      <w:r>
        <w:rPr>
          <w:rFonts w:eastAsia="Times New Roman"/>
          <w:color w:val="000000"/>
          <w:sz w:val="20"/>
          <w:szCs w:val="20"/>
        </w:rPr>
        <w:t xml:space="preserve">Effective January 3, 2020, we adopted Accounting Standards Update 2016-13, </w:t>
      </w:r>
      <w:r>
        <w:rPr>
          <w:rFonts w:eastAsia="Times New Roman"/>
          <w:i/>
          <w:iCs/>
          <w:color w:val="000000"/>
          <w:sz w:val="20"/>
          <w:szCs w:val="20"/>
        </w:rPr>
        <w:t xml:space="preserve">Financial Instruments—Credit Losses (Topic 326): Measurement of Credit Losses on Financial Instruments </w:t>
      </w:r>
      <w:r>
        <w:rPr>
          <w:rFonts w:eastAsia="Times New Roman"/>
          <w:color w:val="000000"/>
          <w:sz w:val="20"/>
          <w:szCs w:val="20"/>
        </w:rPr>
        <w:t>on a modified retrospective basis</w:t>
      </w:r>
      <w:r>
        <w:rPr>
          <w:rFonts w:eastAsia="Times New Roman"/>
          <w:i/>
          <w:iCs/>
          <w:color w:val="000000"/>
          <w:sz w:val="20"/>
          <w:szCs w:val="20"/>
        </w:rPr>
        <w:t xml:space="preserve">. </w:t>
      </w:r>
      <w:r>
        <w:rPr>
          <w:rFonts w:eastAsia="Times New Roman"/>
          <w:color w:val="000000"/>
          <w:sz w:val="20"/>
          <w:szCs w:val="20"/>
        </w:rPr>
        <w:t xml:space="preserve">The new </w:t>
      </w:r>
      <w:r>
        <w:rPr>
          <w:rFonts w:eastAsia="Times New Roman"/>
          <w:color w:val="000000"/>
          <w:sz w:val="20"/>
          <w:szCs w:val="20"/>
        </w:rPr>
        <w:t>standard</w:t>
      </w:r>
      <w:r>
        <w:rPr>
          <w:rFonts w:eastAsia="Times New Roman"/>
          <w:i/>
          <w:iCs/>
          <w:color w:val="000000"/>
          <w:sz w:val="20"/>
          <w:szCs w:val="20"/>
        </w:rPr>
        <w:t xml:space="preserve"> </w:t>
      </w:r>
      <w:r>
        <w:rPr>
          <w:rFonts w:eastAsia="Times New Roman"/>
          <w:color w:val="000000"/>
          <w:sz w:val="20"/>
          <w:szCs w:val="20"/>
        </w:rPr>
        <w:t xml:space="preserve">replaces the existing impairment model, under which impairment of financial instruments, including accounts receivable and contract assets, is recognized when it becomes probable a loss has been incurred, with a model that requires recognition of </w:t>
      </w:r>
      <w:r>
        <w:rPr>
          <w:rFonts w:eastAsia="Times New Roman"/>
          <w:color w:val="000000"/>
          <w:sz w:val="20"/>
          <w:szCs w:val="20"/>
        </w:rPr>
        <w:t>expected credit losses over the estimated life of an asset at inception and requires consideration of a broader range of reasonable and supportable information to inform credit loss estimates. Adopting this standard did not have a material impact on our fi</w:t>
      </w:r>
      <w:r>
        <w:rPr>
          <w:rFonts w:eastAsia="Times New Roman"/>
          <w:color w:val="000000"/>
          <w:sz w:val="20"/>
          <w:szCs w:val="20"/>
        </w:rPr>
        <w:t>nancial condition, results of operations, cash flows or equity.</w:t>
      </w:r>
    </w:p>
    <w:p w14:paraId="56D058AC" w14:textId="77777777" w:rsidR="00000000" w:rsidRDefault="001A570A">
      <w:pPr>
        <w:divId w:val="1105685134"/>
        <w:rPr>
          <w:rFonts w:eastAsia="Times New Roman"/>
        </w:rPr>
      </w:pPr>
      <w:r>
        <w:rPr>
          <w:rFonts w:eastAsia="Times New Roman"/>
          <w:b/>
          <w:bCs/>
          <w:color w:val="000000"/>
          <w:sz w:val="20"/>
          <w:szCs w:val="20"/>
        </w:rPr>
        <w:t xml:space="preserve">NOTE 3: BUSINESS DIVESTITURES AND ASSET SALES </w:t>
      </w:r>
    </w:p>
    <w:p w14:paraId="11E6AF08" w14:textId="77777777" w:rsidR="00000000" w:rsidRDefault="001A570A">
      <w:pPr>
        <w:divId w:val="12417858"/>
        <w:rPr>
          <w:rFonts w:eastAsia="Times New Roman"/>
        </w:rPr>
      </w:pPr>
      <w:r>
        <w:rPr>
          <w:rFonts w:eastAsia="Times New Roman"/>
          <w:b/>
          <w:bCs/>
          <w:color w:val="000000"/>
          <w:sz w:val="20"/>
          <w:szCs w:val="20"/>
        </w:rPr>
        <w:t xml:space="preserve">Divestitures </w:t>
      </w:r>
    </w:p>
    <w:p w14:paraId="59D572A3" w14:textId="77777777" w:rsidR="00000000" w:rsidRDefault="001A570A">
      <w:pPr>
        <w:ind w:firstLine="450"/>
        <w:divId w:val="1298608507"/>
        <w:rPr>
          <w:rFonts w:eastAsia="Times New Roman"/>
        </w:rPr>
      </w:pPr>
      <w:r>
        <w:rPr>
          <w:rFonts w:eastAsia="Times New Roman"/>
          <w:i/>
          <w:iCs/>
          <w:color w:val="000000"/>
          <w:sz w:val="20"/>
          <w:szCs w:val="20"/>
        </w:rPr>
        <w:t>EOTech business</w:t>
      </w:r>
      <w:r>
        <w:rPr>
          <w:rFonts w:eastAsia="Times New Roman"/>
          <w:color w:val="000000"/>
          <w:sz w:val="20"/>
          <w:szCs w:val="20"/>
        </w:rPr>
        <w:t>. On July 31, 2020, we completed the divestiture of our EOTech business for $42 million (net cash proceeds of $40 mi</w:t>
      </w:r>
      <w:r>
        <w:rPr>
          <w:rFonts w:eastAsia="Times New Roman"/>
          <w:color w:val="000000"/>
          <w:sz w:val="20"/>
          <w:szCs w:val="20"/>
        </w:rPr>
        <w:t>llion after selling costs and estimated purchase price adjustments), subject to final customary purchase price adjustments as set forth in the definitive sale agreement, and recognized a pre-tax gain of $2 million, which is included in the “Business divest</w:t>
      </w:r>
      <w:r>
        <w:rPr>
          <w:rFonts w:eastAsia="Times New Roman"/>
          <w:color w:val="000000"/>
          <w:sz w:val="20"/>
          <w:szCs w:val="20"/>
        </w:rPr>
        <w:t>iture-related (losses) gains” line item in our Consolidated Statement of Income for fiscal 2020. The EOTech business, which was acquired in connection with the L3Harris Merger on June 29, 2019, manufactures holographic sighting systems, magnified field opt</w:t>
      </w:r>
      <w:r>
        <w:rPr>
          <w:rFonts w:eastAsia="Times New Roman"/>
          <w:color w:val="000000"/>
          <w:sz w:val="20"/>
          <w:szCs w:val="20"/>
        </w:rPr>
        <w:t>ics and accessories for military, law enforcement and commercial markets around the world. The operating results of the EOTech business through the date of divestiture are reported as part of our Communication Systems segment. Income before income taxes of</w:t>
      </w:r>
      <w:r>
        <w:rPr>
          <w:rFonts w:eastAsia="Times New Roman"/>
          <w:color w:val="000000"/>
          <w:sz w:val="20"/>
          <w:szCs w:val="20"/>
        </w:rPr>
        <w:t xml:space="preserve"> the EOTech business through the date of divestiture was not material for fiscal 2020 or the two quarters ended January 3, 2020.</w:t>
      </w:r>
    </w:p>
    <w:p w14:paraId="6C9BC1E9" w14:textId="77777777" w:rsidR="00000000" w:rsidRDefault="001A570A">
      <w:pPr>
        <w:ind w:firstLine="450"/>
        <w:divId w:val="1306156170"/>
        <w:rPr>
          <w:rFonts w:eastAsia="Times New Roman"/>
        </w:rPr>
      </w:pPr>
      <w:r>
        <w:rPr>
          <w:rFonts w:eastAsia="Times New Roman"/>
          <w:color w:val="000000"/>
          <w:sz w:val="20"/>
          <w:szCs w:val="20"/>
        </w:rPr>
        <w:t>In connection with the preparation of our financial statements for the quarter ended April 3, 2020, we tested goodwill assigned</w:t>
      </w:r>
      <w:r>
        <w:rPr>
          <w:rFonts w:eastAsia="Times New Roman"/>
          <w:color w:val="000000"/>
          <w:sz w:val="20"/>
          <w:szCs w:val="20"/>
        </w:rPr>
        <w:t xml:space="preserve"> to the EOTech business disposal group and goodwill assigned to the retained businesses of the reporting unit for impairment and concluded that no goodwill impairment existed at the time the held for sale criteria were met.</w:t>
      </w:r>
    </w:p>
    <w:p w14:paraId="2E6AFAA9" w14:textId="77777777" w:rsidR="00000000" w:rsidRDefault="001A570A">
      <w:pPr>
        <w:ind w:firstLine="450"/>
        <w:divId w:val="945816863"/>
        <w:rPr>
          <w:rFonts w:eastAsia="Times New Roman"/>
        </w:rPr>
      </w:pPr>
      <w:r>
        <w:rPr>
          <w:rFonts w:eastAsia="Times New Roman"/>
          <w:i/>
          <w:iCs/>
          <w:color w:val="000000"/>
          <w:sz w:val="20"/>
          <w:szCs w:val="20"/>
        </w:rPr>
        <w:t>Applied Kilovolts and Analytical</w:t>
      </w:r>
      <w:r>
        <w:rPr>
          <w:rFonts w:eastAsia="Times New Roman"/>
          <w:i/>
          <w:iCs/>
          <w:color w:val="000000"/>
          <w:sz w:val="20"/>
          <w:szCs w:val="20"/>
        </w:rPr>
        <w:t xml:space="preserve"> Instrumentation business. </w:t>
      </w:r>
      <w:r>
        <w:rPr>
          <w:rFonts w:eastAsia="Times New Roman"/>
          <w:color w:val="000000"/>
          <w:sz w:val="20"/>
          <w:szCs w:val="20"/>
        </w:rPr>
        <w:t>On May 15, 2020, we completed the divestiture of our Applied Kilovolts and Analytical Instrumentation business for net cash proceeds of $12 million, after selling costs and purchase price adjustments as set forth in the definitiv</w:t>
      </w:r>
      <w:r>
        <w:rPr>
          <w:rFonts w:eastAsia="Times New Roman"/>
          <w:color w:val="000000"/>
          <w:sz w:val="20"/>
          <w:szCs w:val="20"/>
        </w:rPr>
        <w:t>e sale agreement. The operating results of the Applied Kilovolts and Analytical Instrumentation business through the date of divestiture are reported as part of our Space and Airborne Systems segment. Income before income taxes of the Applied Kilovolts and</w:t>
      </w:r>
      <w:r>
        <w:rPr>
          <w:rFonts w:eastAsia="Times New Roman"/>
          <w:color w:val="000000"/>
          <w:sz w:val="20"/>
          <w:szCs w:val="20"/>
        </w:rPr>
        <w:t xml:space="preserve"> Analytical Instrumentation business through the date of divestiture was not material in fiscal 2020, the two quarters ended January 3, 2020, or fiscal 2019 or 2018. </w:t>
      </w:r>
    </w:p>
    <w:p w14:paraId="591EF857" w14:textId="77777777" w:rsidR="00000000" w:rsidRDefault="001A570A">
      <w:pPr>
        <w:ind w:firstLine="450"/>
        <w:divId w:val="275217940"/>
        <w:rPr>
          <w:rFonts w:eastAsia="Times New Roman"/>
        </w:rPr>
      </w:pPr>
      <w:r>
        <w:rPr>
          <w:rFonts w:eastAsia="Times New Roman"/>
          <w:color w:val="000000"/>
          <w:sz w:val="20"/>
          <w:szCs w:val="20"/>
        </w:rPr>
        <w:t>In connection with the preparation of our financial statements for the quarter ended Apri</w:t>
      </w:r>
      <w:r>
        <w:rPr>
          <w:rFonts w:eastAsia="Times New Roman"/>
          <w:color w:val="000000"/>
          <w:sz w:val="20"/>
          <w:szCs w:val="20"/>
        </w:rPr>
        <w:t>l 3, 2020, we tested goodwill assigned to the Applied Kilovolts and Analytical Instrumentation business disposal group and goodwill assigned to the retained businesses of the reporting unit for impairment and concluded that goodwill related to the disposal</w:t>
      </w:r>
      <w:r>
        <w:rPr>
          <w:rFonts w:eastAsia="Times New Roman"/>
          <w:color w:val="000000"/>
          <w:sz w:val="20"/>
          <w:szCs w:val="20"/>
        </w:rPr>
        <w:t xml:space="preserve"> group was impaired. As a result, we recorded a non-cash impairment charge of $5 million, which is included in the “Impairment of goodwill and other assets” line item in our Consolidated Statement of Income for fiscal 2020.</w:t>
      </w:r>
    </w:p>
    <w:p w14:paraId="1429FE5F" w14:textId="77777777" w:rsidR="00000000" w:rsidRDefault="001A570A">
      <w:pPr>
        <w:ind w:firstLine="450"/>
        <w:divId w:val="1965110405"/>
        <w:rPr>
          <w:rFonts w:eastAsia="Times New Roman"/>
        </w:rPr>
      </w:pPr>
      <w:r>
        <w:rPr>
          <w:rFonts w:eastAsia="Times New Roman"/>
          <w:i/>
          <w:iCs/>
          <w:color w:val="000000"/>
          <w:sz w:val="20"/>
          <w:szCs w:val="20"/>
        </w:rPr>
        <w:t xml:space="preserve">Airport security and automation </w:t>
      </w:r>
      <w:r>
        <w:rPr>
          <w:rFonts w:eastAsia="Times New Roman"/>
          <w:i/>
          <w:iCs/>
          <w:color w:val="000000"/>
          <w:sz w:val="20"/>
          <w:szCs w:val="20"/>
        </w:rPr>
        <w:t xml:space="preserve">business. </w:t>
      </w:r>
      <w:r>
        <w:rPr>
          <w:rFonts w:eastAsia="Times New Roman"/>
          <w:color w:val="000000"/>
          <w:sz w:val="20"/>
          <w:szCs w:val="20"/>
        </w:rPr>
        <w:t>On May 4, 2020, we completed the divestiture of the Security &amp; Detection Systems and MacDonald Humfrey Automation solutions business (“airport security and automation business”) to Leidos, Inc. for $1 billion (net cash proceeds of $987 million af</w:t>
      </w:r>
      <w:r>
        <w:rPr>
          <w:rFonts w:eastAsia="Times New Roman"/>
          <w:color w:val="000000"/>
          <w:sz w:val="20"/>
          <w:szCs w:val="20"/>
        </w:rPr>
        <w:t xml:space="preserve">ter selling costs and purchase price adjustments as set forth in the definitive sale agreement, and recognized a pre-tax loss of $23 million, which is included in the “Business divestiture-related (losses) gains” line item in our Consolidated Statement of </w:t>
      </w:r>
      <w:r>
        <w:rPr>
          <w:rFonts w:eastAsia="Times New Roman"/>
          <w:color w:val="000000"/>
          <w:sz w:val="20"/>
          <w:szCs w:val="20"/>
        </w:rPr>
        <w:t>Income for fiscal 2020. The airport security and automation business, which was acquired in connection with the L3Harris Merger on June 29, 2019, provides solutions used by the aviation and transportation industries, regulatory and customs authorities, gov</w:t>
      </w:r>
      <w:r>
        <w:rPr>
          <w:rFonts w:eastAsia="Times New Roman"/>
          <w:color w:val="000000"/>
          <w:sz w:val="20"/>
          <w:szCs w:val="20"/>
        </w:rPr>
        <w:t>ernment and law enforcement agencies and commercial and other high-security facilities. The operating results of the airport security and automation business through the date of divestiture are reported as part of our Aviation Systems segment. Income befor</w:t>
      </w:r>
      <w:r>
        <w:rPr>
          <w:rFonts w:eastAsia="Times New Roman"/>
          <w:color w:val="000000"/>
          <w:sz w:val="20"/>
          <w:szCs w:val="20"/>
        </w:rPr>
        <w:t>e income taxes of the airport security and automation business through the date of divestiture was not material in fiscal 2020, and was $27 million in the two quarters ended January 3, 2020.</w:t>
      </w:r>
    </w:p>
    <w:p w14:paraId="2A10310B" w14:textId="77777777" w:rsidR="00000000" w:rsidRDefault="001A570A">
      <w:pPr>
        <w:ind w:firstLine="450"/>
        <w:divId w:val="1773160013"/>
        <w:rPr>
          <w:rFonts w:eastAsia="Times New Roman"/>
        </w:rPr>
      </w:pPr>
      <w:r>
        <w:rPr>
          <w:rFonts w:eastAsia="Times New Roman"/>
          <w:color w:val="000000"/>
          <w:sz w:val="20"/>
          <w:szCs w:val="20"/>
        </w:rPr>
        <w:t xml:space="preserve">Because the then-pending divestiture of the airport security and </w:t>
      </w:r>
      <w:r>
        <w:rPr>
          <w:rFonts w:eastAsia="Times New Roman"/>
          <w:color w:val="000000"/>
          <w:sz w:val="20"/>
          <w:szCs w:val="20"/>
        </w:rPr>
        <w:t>automation business would represent the disposal of a portion of a reporting unit within our Aviation Systems segment, we assigned $531 million of goodwill to the airport security and automation business disposal group on a relative fair value basis during</w:t>
      </w:r>
      <w:r>
        <w:rPr>
          <w:rFonts w:eastAsia="Times New Roman"/>
          <w:color w:val="000000"/>
          <w:sz w:val="20"/>
          <w:szCs w:val="20"/>
        </w:rPr>
        <w:t xml:space="preserve"> the quarter ended April 3, 2020, when the held for sale criteria were met. In connection with the preparation of our financial statements for the quarter ended April 3, 2020, we tested goodwill assigned to the disposal group and goodwill assigned to the r</w:t>
      </w:r>
      <w:r>
        <w:rPr>
          <w:rFonts w:eastAsia="Times New Roman"/>
          <w:color w:val="000000"/>
          <w:sz w:val="20"/>
          <w:szCs w:val="20"/>
        </w:rPr>
        <w:t xml:space="preserve">etained businesses of the reporting unit for impairment and concluded that no goodwill impairment existed at the time the held for sale criteria were met in late January 2020. However, indicators of potential impairment of goodwill related to the retained </w:t>
      </w:r>
      <w:r>
        <w:rPr>
          <w:rFonts w:eastAsia="Times New Roman"/>
          <w:color w:val="000000"/>
          <w:sz w:val="20"/>
          <w:szCs w:val="20"/>
        </w:rPr>
        <w:t>businesses of the reporting unit were present at April 3, 2020 and July 3, 2020 due to the downturn in the commercial aviation market that resulted from the novel COVID-19 strain of coronavirus pandemic (“COVID”) and its impact on global air traffic and cu</w:t>
      </w:r>
      <w:r>
        <w:rPr>
          <w:rFonts w:eastAsia="Times New Roman"/>
          <w:color w:val="000000"/>
          <w:sz w:val="20"/>
          <w:szCs w:val="20"/>
        </w:rPr>
        <w:t xml:space="preserve">stomer demand. See </w:t>
      </w:r>
      <w:r>
        <w:rPr>
          <w:rFonts w:eastAsia="Times New Roman"/>
          <w:i/>
          <w:iCs/>
          <w:color w:val="000000"/>
          <w:sz w:val="20"/>
          <w:szCs w:val="20"/>
        </w:rPr>
        <w:t>Note 10: Goodwill</w:t>
      </w:r>
      <w:r>
        <w:rPr>
          <w:rFonts w:eastAsia="Times New Roman"/>
          <w:color w:val="000000"/>
          <w:sz w:val="20"/>
          <w:szCs w:val="20"/>
        </w:rPr>
        <w:t xml:space="preserve"> in these Notes for additional information regarding goodwill impairment.</w:t>
      </w:r>
    </w:p>
    <w:p w14:paraId="4A36451E" w14:textId="77777777" w:rsidR="00000000" w:rsidRDefault="001A570A">
      <w:pPr>
        <w:ind w:firstLine="450"/>
        <w:jc w:val="center"/>
        <w:divId w:val="497232909"/>
        <w:rPr>
          <w:rFonts w:eastAsia="Times New Roman"/>
        </w:rPr>
      </w:pPr>
      <w:r>
        <w:rPr>
          <w:rFonts w:eastAsia="Times New Roman"/>
          <w:color w:val="000000"/>
          <w:sz w:val="20"/>
          <w:szCs w:val="20"/>
        </w:rPr>
        <w:t>89</w:t>
      </w:r>
    </w:p>
    <w:p w14:paraId="1F066CBD" w14:textId="77777777" w:rsidR="00000000" w:rsidRDefault="001A570A">
      <w:pPr>
        <w:rPr>
          <w:rFonts w:eastAsia="Times New Roman"/>
        </w:rPr>
      </w:pPr>
      <w:r>
        <w:rPr>
          <w:rFonts w:eastAsia="Times New Roman"/>
        </w:rPr>
        <w:pict w14:anchorId="754EB282">
          <v:rect id="_x0000_i1117" style="width:0;height:1.5pt" o:hralign="center" o:hrstd="t" o:hr="t" fillcolor="#a0a0a0" stroked="f"/>
        </w:pict>
      </w:r>
    </w:p>
    <w:p w14:paraId="54864428" w14:textId="77777777" w:rsidR="00000000" w:rsidRDefault="001A570A">
      <w:pPr>
        <w:ind w:firstLine="450"/>
        <w:divId w:val="846021465"/>
        <w:rPr>
          <w:rFonts w:eastAsia="Times New Roman"/>
        </w:rPr>
      </w:pPr>
    </w:p>
    <w:p w14:paraId="3DF1A6E5" w14:textId="77777777" w:rsidR="00000000" w:rsidRDefault="001A570A">
      <w:pPr>
        <w:ind w:firstLine="450"/>
        <w:divId w:val="2127693743"/>
        <w:rPr>
          <w:rFonts w:eastAsia="Times New Roman"/>
        </w:rPr>
      </w:pPr>
      <w:r>
        <w:rPr>
          <w:rFonts w:eastAsia="Times New Roman"/>
          <w:i/>
          <w:iCs/>
          <w:color w:val="000000"/>
          <w:sz w:val="20"/>
          <w:szCs w:val="20"/>
        </w:rPr>
        <w:t xml:space="preserve">VSE Disposal Group. </w:t>
      </w:r>
      <w:r>
        <w:rPr>
          <w:rFonts w:eastAsia="Times New Roman"/>
          <w:color w:val="000000"/>
          <w:sz w:val="20"/>
          <w:szCs w:val="20"/>
        </w:rPr>
        <w:t>During the quarter ended July 3, 2020, we determined the criteria to be classified as held for sale were met with respect to certain portions of our Voice Switch Enterprise business that we planned to divest (“VSE disposal group”); consequently, the assets</w:t>
      </w:r>
      <w:r>
        <w:rPr>
          <w:rFonts w:eastAsia="Times New Roman"/>
          <w:color w:val="000000"/>
          <w:sz w:val="20"/>
          <w:szCs w:val="20"/>
        </w:rPr>
        <w:t xml:space="preserve"> and liabilities of the VSE disposal group are classified as held for sale in our Consolidated Balance Sheet as of January 1, 2021. Income before income taxes of the VSE disposal group was not material in fiscal 2020, the two quarters ended January 3, 2020</w:t>
      </w:r>
      <w:r>
        <w:rPr>
          <w:rFonts w:eastAsia="Times New Roman"/>
          <w:color w:val="000000"/>
          <w:sz w:val="20"/>
          <w:szCs w:val="20"/>
        </w:rPr>
        <w:t>, or fiscal 2019 or 2018. The VSE disposal group is part of our Aviation Systems segment and provides voice over internet protocol systems for air traffic management communications.</w:t>
      </w:r>
    </w:p>
    <w:p w14:paraId="7A9C7C66" w14:textId="77777777" w:rsidR="00000000" w:rsidRDefault="001A570A">
      <w:pPr>
        <w:ind w:firstLine="450"/>
        <w:divId w:val="1615401457"/>
        <w:rPr>
          <w:rFonts w:eastAsia="Times New Roman"/>
        </w:rPr>
      </w:pPr>
      <w:r>
        <w:rPr>
          <w:rFonts w:eastAsia="Times New Roman"/>
          <w:color w:val="000000"/>
          <w:sz w:val="20"/>
          <w:szCs w:val="20"/>
        </w:rPr>
        <w:t>Because the potential divestiture of the VSE disposal group would represen</w:t>
      </w:r>
      <w:r>
        <w:rPr>
          <w:rFonts w:eastAsia="Times New Roman"/>
          <w:color w:val="000000"/>
          <w:sz w:val="20"/>
          <w:szCs w:val="20"/>
        </w:rPr>
        <w:t>t the disposal of a portion of a reporting unit within our Aviation Systems segment, we assigned $14 million of goodwill to the VSE disposal group on a relative fair value basis during the quarter ended July 3, 2020, when the held for sale criteria were me</w:t>
      </w:r>
      <w:r>
        <w:rPr>
          <w:rFonts w:eastAsia="Times New Roman"/>
          <w:color w:val="000000"/>
          <w:sz w:val="20"/>
          <w:szCs w:val="20"/>
        </w:rPr>
        <w:t>t. In connection with the preparation of our financial statements for fiscal 2020, we recognized a $32 million pre-tax loss to reduce the assets of the VSE disposal group to fair value, which included a non-cash goodwill impairment charge of $14 million (b</w:t>
      </w:r>
      <w:r>
        <w:rPr>
          <w:rFonts w:eastAsia="Times New Roman"/>
          <w:color w:val="000000"/>
          <w:sz w:val="20"/>
          <w:szCs w:val="20"/>
        </w:rPr>
        <w:t>ased on the excess of the carrying value of the business over estimated net cash proceeds, after estimated purchase price adjustments) and a $18 million non-cash remeasurement loss to reduce the remaining assets to fair value. These charges are included in</w:t>
      </w:r>
      <w:r>
        <w:rPr>
          <w:rFonts w:eastAsia="Times New Roman"/>
          <w:color w:val="000000"/>
          <w:sz w:val="20"/>
          <w:szCs w:val="20"/>
        </w:rPr>
        <w:t xml:space="preserve"> the “Impairment of goodwill and other assets” and “Business divestiture-related (losses) gains” line items in our Consolidated Statement of Income for fiscal 2020. The carrying amounts of assets and liabilities of the VSE disposal group that were classifi</w:t>
      </w:r>
      <w:r>
        <w:rPr>
          <w:rFonts w:eastAsia="Times New Roman"/>
          <w:color w:val="000000"/>
          <w:sz w:val="20"/>
          <w:szCs w:val="20"/>
        </w:rPr>
        <w:t xml:space="preserve">ed as held for sale in our Consolidated Balance Sheet at January 1, 2021 were $35 million and $13 million, respectively. We expect to complete the sale of the VSE disposal group by the end of the first half of 2021. </w:t>
      </w:r>
    </w:p>
    <w:p w14:paraId="605D53C2" w14:textId="77777777" w:rsidR="00000000" w:rsidRDefault="001A570A">
      <w:pPr>
        <w:ind w:firstLine="450"/>
        <w:divId w:val="1507205392"/>
        <w:rPr>
          <w:rFonts w:eastAsia="Times New Roman"/>
        </w:rPr>
      </w:pPr>
      <w:r>
        <w:rPr>
          <w:rFonts w:eastAsia="Times New Roman"/>
          <w:i/>
          <w:iCs/>
          <w:color w:val="000000"/>
          <w:sz w:val="20"/>
          <w:szCs w:val="20"/>
        </w:rPr>
        <w:t xml:space="preserve">Harris Night Vision. </w:t>
      </w:r>
      <w:r>
        <w:rPr>
          <w:rFonts w:eastAsia="Times New Roman"/>
          <w:color w:val="000000"/>
          <w:sz w:val="20"/>
          <w:szCs w:val="20"/>
        </w:rPr>
        <w:t>On September 13, 2</w:t>
      </w:r>
      <w:r>
        <w:rPr>
          <w:rFonts w:eastAsia="Times New Roman"/>
          <w:color w:val="000000"/>
          <w:sz w:val="20"/>
          <w:szCs w:val="20"/>
        </w:rPr>
        <w:t>019, we completed the sale of the Harris Night Vision business, a global supplier of high-performance, vision-enhancing products for U.S. and allied military and security forces and commercial customers, to Elbit Systems of America, LLC, a subsidiary of El</w:t>
      </w:r>
      <w:r>
        <w:rPr>
          <w:rFonts w:eastAsia="Times New Roman"/>
          <w:color w:val="000000"/>
          <w:sz w:val="20"/>
          <w:szCs w:val="20"/>
        </w:rPr>
        <w:t xml:space="preserve">bit Systems, Ltd., for $350 million (net cash proceeds of $343 million after selling costs and estimated purchase price adjustments), subject to final customary purchase price adjustments pursuant to a definitive agreement we entered into on April 4, 2019 </w:t>
      </w:r>
      <w:r>
        <w:rPr>
          <w:rFonts w:eastAsia="Times New Roman"/>
          <w:color w:val="000000"/>
          <w:sz w:val="20"/>
          <w:szCs w:val="20"/>
        </w:rPr>
        <w:t>as part of the regulatory process in connection with the L3Harris Merger and recognized a pre-tax gain of $229 million in the “Business divestiture-related (losses) gains” line item in our Consolidated Statement of Income during the two quarters ended Janu</w:t>
      </w:r>
      <w:r>
        <w:rPr>
          <w:rFonts w:eastAsia="Times New Roman"/>
          <w:color w:val="000000"/>
          <w:sz w:val="20"/>
          <w:szCs w:val="20"/>
        </w:rPr>
        <w:t>ary 3, 2020. During the quarter ended July 3, 2020, we finalized the purchase price adjustments and recognized a $12 million non-cash adjustment related to working capital, which decreased the gain initially recognized and is included in the “Business dive</w:t>
      </w:r>
      <w:r>
        <w:rPr>
          <w:rFonts w:eastAsia="Times New Roman"/>
          <w:color w:val="000000"/>
          <w:sz w:val="20"/>
          <w:szCs w:val="20"/>
        </w:rPr>
        <w:t>stiture-related (losses) gains” line item in our Consolidated Statement of Income for fiscal 2020.</w:t>
      </w:r>
    </w:p>
    <w:p w14:paraId="7763194F" w14:textId="77777777" w:rsidR="00000000" w:rsidRDefault="001A570A">
      <w:pPr>
        <w:ind w:firstLine="450"/>
        <w:divId w:val="63187306"/>
        <w:rPr>
          <w:rFonts w:eastAsia="Times New Roman"/>
        </w:rPr>
      </w:pPr>
      <w:r>
        <w:rPr>
          <w:rFonts w:eastAsia="Times New Roman"/>
          <w:color w:val="000000"/>
          <w:sz w:val="20"/>
          <w:szCs w:val="20"/>
        </w:rPr>
        <w:t>Through fiscal 2019, the Harris Night Vision business was reported as part of our former Communication Systems segment. As a result of the then-pending dives</w:t>
      </w:r>
      <w:r>
        <w:rPr>
          <w:rFonts w:eastAsia="Times New Roman"/>
          <w:color w:val="000000"/>
          <w:sz w:val="20"/>
          <w:szCs w:val="20"/>
        </w:rPr>
        <w:t>titure, the Harris Night Vision business was not included in any of our new business segments and, consequently, the operating results of the Harris Night Vision business are included in “Other non-reportable business segments” for the two quarters ended J</w:t>
      </w:r>
      <w:r>
        <w:rPr>
          <w:rFonts w:eastAsia="Times New Roman"/>
          <w:color w:val="000000"/>
          <w:sz w:val="20"/>
          <w:szCs w:val="20"/>
        </w:rPr>
        <w:t xml:space="preserve">anuary 3, 2020 and fiscal 2019 and 2018 in this Report. Income before income taxes for the Harris Night Vision business was not material for the two quarters ended January 3, 2020 and was $27 million and $20 million for fiscal 2019 and 2018, respectively. </w:t>
      </w:r>
    </w:p>
    <w:p w14:paraId="2FCED1C1" w14:textId="77777777" w:rsidR="00000000" w:rsidRDefault="001A570A">
      <w:pPr>
        <w:ind w:firstLine="450"/>
        <w:divId w:val="1361971481"/>
        <w:rPr>
          <w:rFonts w:eastAsia="Times New Roman"/>
        </w:rPr>
      </w:pPr>
      <w:r>
        <w:rPr>
          <w:rFonts w:eastAsia="Times New Roman"/>
          <w:color w:val="000000"/>
          <w:sz w:val="20"/>
          <w:szCs w:val="20"/>
        </w:rPr>
        <w:t>For purposes of allocating goodwill to the disposal groups above, we determined the fair value of each disposal group based on the respective negotiated selling price (or estimated net cash proceeds, in the case of no negotiated selling price), and the fa</w:t>
      </w:r>
      <w:r>
        <w:rPr>
          <w:rFonts w:eastAsia="Times New Roman"/>
          <w:color w:val="000000"/>
          <w:sz w:val="20"/>
          <w:szCs w:val="20"/>
        </w:rPr>
        <w:t xml:space="preserve">ir value of the retained businesses of the respective reporting unit based on a combination of market-based valuation techniques, utilizing quoted market prices and comparable publicly reported transactions, and projected discounted cash flows. These fair </w:t>
      </w:r>
      <w:r>
        <w:rPr>
          <w:rFonts w:eastAsia="Times New Roman"/>
          <w:color w:val="000000"/>
          <w:sz w:val="20"/>
          <w:szCs w:val="20"/>
        </w:rPr>
        <w:t xml:space="preserve">value determinations are categorized as Level 3 in the fair value hierarchy due to their use of internal projections and unobservable measurement inputs. See </w:t>
      </w:r>
      <w:r>
        <w:rPr>
          <w:rFonts w:eastAsia="Times New Roman"/>
          <w:i/>
          <w:iCs/>
          <w:color w:val="000000"/>
          <w:sz w:val="20"/>
          <w:szCs w:val="20"/>
        </w:rPr>
        <w:t>Note 1: Significant Accounting Policies</w:t>
      </w:r>
      <w:r>
        <w:rPr>
          <w:rFonts w:eastAsia="Times New Roman"/>
          <w:color w:val="000000"/>
          <w:sz w:val="20"/>
          <w:szCs w:val="20"/>
        </w:rPr>
        <w:t xml:space="preserve"> in these Notes for additional information regarding the fa</w:t>
      </w:r>
      <w:r>
        <w:rPr>
          <w:rFonts w:eastAsia="Times New Roman"/>
          <w:color w:val="000000"/>
          <w:sz w:val="20"/>
          <w:szCs w:val="20"/>
        </w:rPr>
        <w:t xml:space="preserve">ir value hierarchy. </w:t>
      </w:r>
    </w:p>
    <w:p w14:paraId="2C519BE0" w14:textId="77777777" w:rsidR="00000000" w:rsidRDefault="001A570A">
      <w:pPr>
        <w:divId w:val="548804133"/>
        <w:rPr>
          <w:rFonts w:eastAsia="Times New Roman"/>
        </w:rPr>
      </w:pPr>
      <w:r>
        <w:rPr>
          <w:rFonts w:eastAsia="Times New Roman"/>
          <w:b/>
          <w:bCs/>
          <w:color w:val="000000"/>
          <w:sz w:val="20"/>
          <w:szCs w:val="20"/>
        </w:rPr>
        <w:t xml:space="preserve">Asset Sales </w:t>
      </w:r>
    </w:p>
    <w:p w14:paraId="51D5B425" w14:textId="77777777" w:rsidR="00000000" w:rsidRDefault="001A570A">
      <w:pPr>
        <w:ind w:firstLine="450"/>
        <w:divId w:val="526674091"/>
        <w:rPr>
          <w:rFonts w:eastAsia="Times New Roman"/>
        </w:rPr>
      </w:pPr>
      <w:r>
        <w:rPr>
          <w:rFonts w:eastAsia="Times New Roman"/>
          <w:i/>
          <w:iCs/>
          <w:color w:val="000000"/>
          <w:sz w:val="20"/>
          <w:szCs w:val="20"/>
        </w:rPr>
        <w:t>Stormscope.</w:t>
      </w:r>
      <w:r>
        <w:rPr>
          <w:rFonts w:eastAsia="Times New Roman"/>
          <w:b/>
          <w:bCs/>
          <w:color w:val="000000"/>
          <w:sz w:val="20"/>
          <w:szCs w:val="20"/>
        </w:rPr>
        <w:t xml:space="preserve"> </w:t>
      </w:r>
      <w:r>
        <w:rPr>
          <w:rFonts w:eastAsia="Times New Roman"/>
          <w:color w:val="000000"/>
          <w:sz w:val="20"/>
          <w:szCs w:val="20"/>
        </w:rPr>
        <w:t>On August 30, 2019, we completed the sale of the Stormscope product line for $20 million in cash and recorded a pre-tax gain of $12 million in the “Engineering, selling and administrative expenses” line item of</w:t>
      </w:r>
      <w:r>
        <w:rPr>
          <w:rFonts w:eastAsia="Times New Roman"/>
          <w:color w:val="000000"/>
          <w:sz w:val="20"/>
          <w:szCs w:val="20"/>
        </w:rPr>
        <w:t xml:space="preserve"> our Consolidated Statement of Income for the two quarters ended January 3, 2020. </w:t>
      </w:r>
    </w:p>
    <w:p w14:paraId="0E6CCC22" w14:textId="77777777" w:rsidR="00000000" w:rsidRDefault="001A570A">
      <w:pPr>
        <w:divId w:val="291248016"/>
        <w:rPr>
          <w:rFonts w:eastAsia="Times New Roman"/>
        </w:rPr>
      </w:pPr>
      <w:r>
        <w:rPr>
          <w:rFonts w:eastAsia="Times New Roman"/>
          <w:b/>
          <w:bCs/>
          <w:color w:val="000000"/>
          <w:sz w:val="20"/>
          <w:szCs w:val="20"/>
        </w:rPr>
        <w:t>NOTE 4: RESTRUCTURING AND OTHER EXIT COSTS</w:t>
      </w:r>
      <w:r>
        <w:rPr>
          <w:rFonts w:eastAsia="Times New Roman"/>
          <w:b/>
          <w:bCs/>
          <w:i/>
          <w:iCs/>
          <w:color w:val="000000"/>
          <w:sz w:val="20"/>
          <w:szCs w:val="20"/>
        </w:rPr>
        <w:t xml:space="preserve"> </w:t>
      </w:r>
    </w:p>
    <w:p w14:paraId="7EDFDBE9" w14:textId="77777777" w:rsidR="00000000" w:rsidRDefault="001A570A">
      <w:pPr>
        <w:ind w:firstLine="450"/>
        <w:divId w:val="2014912877"/>
        <w:rPr>
          <w:rFonts w:eastAsia="Times New Roman"/>
        </w:rPr>
      </w:pPr>
      <w:r>
        <w:rPr>
          <w:rFonts w:eastAsia="Times New Roman"/>
          <w:color w:val="000000"/>
          <w:sz w:val="20"/>
          <w:szCs w:val="20"/>
        </w:rPr>
        <w:t>We record charges for restructuring and other exit activities related to sales or terminations of product lines, closures or relo</w:t>
      </w:r>
      <w:r>
        <w:rPr>
          <w:rFonts w:eastAsia="Times New Roman"/>
          <w:color w:val="000000"/>
          <w:sz w:val="20"/>
          <w:szCs w:val="20"/>
        </w:rPr>
        <w:t>cations of business activities, changes in management structure, and fundamental reorganizations that affect the nature and focus of operations. Such charges include termination benefits, contract termination costs and costs to consolidate facilities or re</w:t>
      </w:r>
      <w:r>
        <w:rPr>
          <w:rFonts w:eastAsia="Times New Roman"/>
          <w:color w:val="000000"/>
          <w:sz w:val="20"/>
          <w:szCs w:val="20"/>
        </w:rPr>
        <w:t>locate employees. We record these charges at their fair value when incurred. In cases where employees are required to render service until they are terminated in order to receive the termination benefits and will be retained beyond the minimum retention pe</w:t>
      </w:r>
      <w:r>
        <w:rPr>
          <w:rFonts w:eastAsia="Times New Roman"/>
          <w:color w:val="000000"/>
          <w:sz w:val="20"/>
          <w:szCs w:val="20"/>
        </w:rPr>
        <w:t>riod, we record the expense ratably over the future service period. These charges are included as a component of the “Engineering, selling and administrative expenses” line item in our Consolidated Statement of Income.</w:t>
      </w:r>
    </w:p>
    <w:p w14:paraId="6D04763F" w14:textId="77777777" w:rsidR="00000000" w:rsidRDefault="001A570A">
      <w:pPr>
        <w:ind w:firstLine="450"/>
        <w:divId w:val="1832599672"/>
        <w:rPr>
          <w:rFonts w:eastAsia="Times New Roman"/>
        </w:rPr>
      </w:pPr>
      <w:r>
        <w:rPr>
          <w:rFonts w:eastAsia="Times New Roman"/>
          <w:i/>
          <w:iCs/>
          <w:color w:val="000000"/>
          <w:sz w:val="20"/>
          <w:szCs w:val="20"/>
        </w:rPr>
        <w:t>L3Harris Merger-Related Restructuring</w:t>
      </w:r>
      <w:r>
        <w:rPr>
          <w:rFonts w:eastAsia="Times New Roman"/>
          <w:i/>
          <w:iCs/>
          <w:color w:val="000000"/>
          <w:sz w:val="20"/>
          <w:szCs w:val="20"/>
        </w:rPr>
        <w:t xml:space="preserve"> Costs.</w:t>
      </w:r>
      <w:r>
        <w:rPr>
          <w:rFonts w:eastAsia="Times New Roman"/>
          <w:color w:val="000000"/>
          <w:sz w:val="20"/>
          <w:szCs w:val="20"/>
        </w:rPr>
        <w:t xml:space="preserve"> We recorded restructuring charges of $10 million during fiscal 2020 and $117 million during the two quarters ended January 3, 2020 in connection with the L3Harris Merger. We had liabilities of $26 </w:t>
      </w:r>
    </w:p>
    <w:p w14:paraId="5F3951C9" w14:textId="77777777" w:rsidR="00000000" w:rsidRDefault="001A570A">
      <w:pPr>
        <w:ind w:firstLine="450"/>
        <w:jc w:val="center"/>
        <w:divId w:val="1717779847"/>
        <w:rPr>
          <w:rFonts w:eastAsia="Times New Roman"/>
        </w:rPr>
      </w:pPr>
      <w:r>
        <w:rPr>
          <w:rFonts w:eastAsia="Times New Roman"/>
          <w:color w:val="000000"/>
          <w:sz w:val="20"/>
          <w:szCs w:val="20"/>
        </w:rPr>
        <w:t>90</w:t>
      </w:r>
    </w:p>
    <w:p w14:paraId="35037273" w14:textId="77777777" w:rsidR="00000000" w:rsidRDefault="001A570A">
      <w:pPr>
        <w:rPr>
          <w:rFonts w:eastAsia="Times New Roman"/>
        </w:rPr>
      </w:pPr>
      <w:r>
        <w:rPr>
          <w:rFonts w:eastAsia="Times New Roman"/>
        </w:rPr>
        <w:pict w14:anchorId="672328E0">
          <v:rect id="_x0000_i1118" style="width:0;height:1.5pt" o:hralign="center" o:hrstd="t" o:hr="t" fillcolor="#a0a0a0" stroked="f"/>
        </w:pict>
      </w:r>
    </w:p>
    <w:p w14:paraId="604A64DE" w14:textId="77777777" w:rsidR="00000000" w:rsidRDefault="001A570A">
      <w:pPr>
        <w:ind w:firstLine="450"/>
        <w:divId w:val="607002757"/>
        <w:rPr>
          <w:rFonts w:eastAsia="Times New Roman"/>
        </w:rPr>
      </w:pPr>
    </w:p>
    <w:p w14:paraId="210C703E" w14:textId="77777777" w:rsidR="00000000" w:rsidRDefault="001A570A">
      <w:pPr>
        <w:divId w:val="279384308"/>
        <w:rPr>
          <w:rFonts w:eastAsia="Times New Roman"/>
        </w:rPr>
      </w:pPr>
      <w:r>
        <w:rPr>
          <w:rFonts w:eastAsia="Times New Roman"/>
          <w:color w:val="000000"/>
          <w:sz w:val="20"/>
          <w:szCs w:val="20"/>
        </w:rPr>
        <w:t xml:space="preserve">million </w:t>
      </w:r>
      <w:r>
        <w:rPr>
          <w:rFonts w:eastAsia="Times New Roman"/>
          <w:color w:val="000000"/>
          <w:sz w:val="20"/>
          <w:szCs w:val="20"/>
        </w:rPr>
        <w:t xml:space="preserve">and $58 million at January 1, 2021 and January 3, 2020, respectively, associated with these restructuring activities. We expect that the majority of the remaining liabilities as of January 1, 2021 will be paid in the next twelve months. </w:t>
      </w:r>
    </w:p>
    <w:p w14:paraId="753ABAF5" w14:textId="77777777" w:rsidR="00000000" w:rsidRDefault="001A570A">
      <w:pPr>
        <w:ind w:firstLine="450"/>
        <w:divId w:val="1613439757"/>
        <w:rPr>
          <w:rFonts w:eastAsia="Times New Roman"/>
        </w:rPr>
      </w:pPr>
      <w:r>
        <w:rPr>
          <w:rFonts w:eastAsia="Times New Roman"/>
          <w:color w:val="000000"/>
          <w:sz w:val="20"/>
          <w:szCs w:val="20"/>
        </w:rPr>
        <w:t>During the quarter</w:t>
      </w:r>
      <w:r>
        <w:rPr>
          <w:rFonts w:eastAsia="Times New Roman"/>
          <w:color w:val="000000"/>
          <w:sz w:val="20"/>
          <w:szCs w:val="20"/>
        </w:rPr>
        <w:t xml:space="preserve"> ended January 3, 2020, we finalized our plan to close L3’s former headquarters offices located at 600 Third Avenue in New York City. On December 3, 2019, we entered into an amended lease agreement with the landlord, which reduced the number of leased floo</w:t>
      </w:r>
      <w:r>
        <w:rPr>
          <w:rFonts w:eastAsia="Times New Roman"/>
          <w:color w:val="000000"/>
          <w:sz w:val="20"/>
          <w:szCs w:val="20"/>
        </w:rPr>
        <w:t>rs from six to five effective October 1, 2020 through the expiration of the lease on October 31, 2031. We recorded a $2 million lease modification and a $46 million impairment charge for ROU and other assets in connection with the modification of the lease</w:t>
      </w:r>
      <w:r>
        <w:rPr>
          <w:rFonts w:eastAsia="Times New Roman"/>
          <w:color w:val="000000"/>
          <w:sz w:val="20"/>
          <w:szCs w:val="20"/>
        </w:rPr>
        <w:t>. These charges are included in the “Engineering, selling and administrative expenses” and “Impairment of goodwill and other assets” line items in our Consolidated Statement of Income for the two quarters ended January 3, 2020. During 2020 we exited the fa</w:t>
      </w:r>
      <w:r>
        <w:rPr>
          <w:rFonts w:eastAsia="Times New Roman"/>
          <w:color w:val="000000"/>
          <w:sz w:val="20"/>
          <w:szCs w:val="20"/>
        </w:rPr>
        <w:t>cility and executed agreements to sublease three floors to multiple tenants and plan to sublease the remaining floors. We evaluated the lease for further impairment as commercial real estate conditions in New York City deteriorated due to COVID, but determ</w:t>
      </w:r>
      <w:r>
        <w:rPr>
          <w:rFonts w:eastAsia="Times New Roman"/>
          <w:color w:val="000000"/>
          <w:sz w:val="20"/>
          <w:szCs w:val="20"/>
        </w:rPr>
        <w:t>ined no further impairment was necessary.</w:t>
      </w:r>
    </w:p>
    <w:p w14:paraId="6923514C" w14:textId="77777777" w:rsidR="00000000" w:rsidRDefault="001A570A">
      <w:pPr>
        <w:ind w:firstLine="450"/>
        <w:divId w:val="690031361"/>
        <w:rPr>
          <w:rFonts w:eastAsia="Times New Roman"/>
        </w:rPr>
      </w:pPr>
      <w:r>
        <w:rPr>
          <w:rFonts w:eastAsia="Times New Roman"/>
          <w:i/>
          <w:iCs/>
          <w:color w:val="000000"/>
          <w:sz w:val="20"/>
          <w:szCs w:val="20"/>
        </w:rPr>
        <w:t xml:space="preserve">COVID Restructuring Costs. </w:t>
      </w:r>
      <w:r>
        <w:rPr>
          <w:rFonts w:eastAsia="Times New Roman"/>
          <w:color w:val="000000"/>
          <w:sz w:val="20"/>
          <w:szCs w:val="20"/>
        </w:rPr>
        <w:t>During fiscal 2020, we recorded $15 million of restructuring charges, including workforce reductions and other exit costs within our Aviation Systems segment associated with the COVID-rel</w:t>
      </w:r>
      <w:r>
        <w:rPr>
          <w:rFonts w:eastAsia="Times New Roman"/>
          <w:color w:val="000000"/>
          <w:sz w:val="20"/>
          <w:szCs w:val="20"/>
        </w:rPr>
        <w:t>ated downturn in our commercial aviation businesses and its impact on global air traffic and customer operations. In addition, during fiscal 2020, we recorded $1 million of restructuring charges for workforce reductions in our Communication Systems segment</w:t>
      </w:r>
      <w:r>
        <w:rPr>
          <w:rFonts w:eastAsia="Times New Roman"/>
          <w:color w:val="000000"/>
          <w:sz w:val="20"/>
          <w:szCs w:val="20"/>
        </w:rPr>
        <w:t xml:space="preserve"> associated with the COVID impact to local and state government customers of our Public Safety business sector. At January 1, 2021, we had liabilities of $8 million associated with COVID-related restructuring actions, of which substantially all will be pai</w:t>
      </w:r>
      <w:r>
        <w:rPr>
          <w:rFonts w:eastAsia="Times New Roman"/>
          <w:color w:val="000000"/>
          <w:sz w:val="20"/>
          <w:szCs w:val="20"/>
        </w:rPr>
        <w:t>d in the next twelve months.</w:t>
      </w:r>
    </w:p>
    <w:p w14:paraId="0AF2BA09" w14:textId="77777777" w:rsidR="00000000" w:rsidRDefault="001A570A">
      <w:pPr>
        <w:ind w:firstLine="450"/>
        <w:divId w:val="989600911"/>
        <w:rPr>
          <w:rFonts w:eastAsia="Times New Roman"/>
        </w:rPr>
      </w:pPr>
      <w:r>
        <w:rPr>
          <w:rFonts w:eastAsia="Times New Roman"/>
          <w:i/>
          <w:iCs/>
          <w:color w:val="000000"/>
          <w:sz w:val="20"/>
          <w:szCs w:val="20"/>
        </w:rPr>
        <w:t>Other Restructuring and Exit Costs.</w:t>
      </w:r>
      <w:r>
        <w:rPr>
          <w:rFonts w:eastAsia="Times New Roman"/>
          <w:color w:val="000000"/>
          <w:sz w:val="20"/>
          <w:szCs w:val="20"/>
        </w:rPr>
        <w:t xml:space="preserve"> In fiscal 2018, we recorded $5 million for integration and other costs in connection with our acquisition of Exelis Inc., which we acquired in fiscal 2015 (“Exelis”). At January 1, 2021, we h</w:t>
      </w:r>
      <w:r>
        <w:rPr>
          <w:rFonts w:eastAsia="Times New Roman"/>
          <w:color w:val="000000"/>
          <w:sz w:val="20"/>
          <w:szCs w:val="20"/>
        </w:rPr>
        <w:t xml:space="preserve">ad liabilities of $5 million associated with these integration activities and previous restructuring actions, which represent lease obligations associated with exited facilities with remaining terms of three years or less. </w:t>
      </w:r>
    </w:p>
    <w:p w14:paraId="1CD7B48D" w14:textId="77777777" w:rsidR="00000000" w:rsidRDefault="001A570A">
      <w:pPr>
        <w:ind w:firstLine="450"/>
        <w:divId w:val="901064239"/>
        <w:rPr>
          <w:rFonts w:eastAsia="Times New Roman"/>
        </w:rPr>
      </w:pPr>
      <w:r>
        <w:rPr>
          <w:rFonts w:eastAsia="Times New Roman"/>
          <w:color w:val="000000"/>
          <w:sz w:val="20"/>
          <w:szCs w:val="20"/>
        </w:rPr>
        <w:t>In fiscal 2018, we also recorded</w:t>
      </w:r>
      <w:r>
        <w:rPr>
          <w:rFonts w:eastAsia="Times New Roman"/>
          <w:color w:val="000000"/>
          <w:sz w:val="20"/>
          <w:szCs w:val="20"/>
        </w:rPr>
        <w:t xml:space="preserve"> $45 million of charges in connection with our decision to transition and exit a commercial line of business that had been developing an air-to-ground radio access network for the business aviation market based on the Long Term Evolution (“LTE”) standard o</w:t>
      </w:r>
      <w:r>
        <w:rPr>
          <w:rFonts w:eastAsia="Times New Roman"/>
          <w:color w:val="000000"/>
          <w:sz w:val="20"/>
          <w:szCs w:val="20"/>
        </w:rPr>
        <w:t xml:space="preserve">perating in the unlicensed spectrum The liability associated with this exit activity was paid in fiscal 2019. </w:t>
      </w:r>
    </w:p>
    <w:p w14:paraId="1A36516D" w14:textId="77777777" w:rsidR="00000000" w:rsidRDefault="001A570A">
      <w:pPr>
        <w:ind w:firstLine="450"/>
        <w:divId w:val="1498421277"/>
        <w:rPr>
          <w:rFonts w:eastAsia="Times New Roman"/>
        </w:rPr>
      </w:pPr>
      <w:r>
        <w:rPr>
          <w:rFonts w:eastAsia="Times New Roman"/>
          <w:color w:val="000000"/>
          <w:sz w:val="20"/>
          <w:szCs w:val="20"/>
        </w:rPr>
        <w:t>Our liabilities for restructuring and other exit costs are included in the “Compensation and benefits,” “Other accrued items” and “Other long-ter</w:t>
      </w:r>
      <w:r>
        <w:rPr>
          <w:rFonts w:eastAsia="Times New Roman"/>
          <w:color w:val="000000"/>
          <w:sz w:val="20"/>
          <w:szCs w:val="20"/>
        </w:rPr>
        <w:t xml:space="preserve">m liabilities” line items in our Consolidated Balance Sheet. Changes to our restructuring and other exit costs liabilities in fiscal 2020 and the two quarters ended January 3, 2020 were as follows: </w:t>
      </w:r>
    </w:p>
    <w:tbl>
      <w:tblPr>
        <w:tblW w:w="4985" w:type="pct"/>
        <w:tblCellMar>
          <w:top w:w="15" w:type="dxa"/>
          <w:left w:w="15" w:type="dxa"/>
          <w:bottom w:w="15" w:type="dxa"/>
          <w:right w:w="15" w:type="dxa"/>
        </w:tblCellMar>
        <w:tblLook w:val="04A0" w:firstRow="1" w:lastRow="0" w:firstColumn="1" w:lastColumn="0" w:noHBand="0" w:noVBand="1"/>
      </w:tblPr>
      <w:tblGrid>
        <w:gridCol w:w="38"/>
        <w:gridCol w:w="4548"/>
        <w:gridCol w:w="37"/>
        <w:gridCol w:w="121"/>
        <w:gridCol w:w="1017"/>
        <w:gridCol w:w="36"/>
        <w:gridCol w:w="36"/>
        <w:gridCol w:w="36"/>
        <w:gridCol w:w="36"/>
        <w:gridCol w:w="121"/>
        <w:gridCol w:w="976"/>
        <w:gridCol w:w="36"/>
        <w:gridCol w:w="36"/>
        <w:gridCol w:w="36"/>
        <w:gridCol w:w="36"/>
        <w:gridCol w:w="120"/>
        <w:gridCol w:w="979"/>
        <w:gridCol w:w="36"/>
      </w:tblGrid>
      <w:tr w:rsidR="00000000" w14:paraId="2A798351" w14:textId="77777777">
        <w:trPr>
          <w:divId w:val="1145314945"/>
        </w:trPr>
        <w:tc>
          <w:tcPr>
            <w:tcW w:w="50" w:type="pct"/>
            <w:vAlign w:val="center"/>
            <w:hideMark/>
          </w:tcPr>
          <w:p w14:paraId="30DE9206" w14:textId="77777777" w:rsidR="00000000" w:rsidRDefault="001A570A">
            <w:pPr>
              <w:ind w:firstLine="450"/>
              <w:rPr>
                <w:rFonts w:eastAsia="Times New Roman"/>
              </w:rPr>
            </w:pPr>
          </w:p>
        </w:tc>
        <w:tc>
          <w:tcPr>
            <w:tcW w:w="2776" w:type="pct"/>
            <w:vAlign w:val="center"/>
            <w:hideMark/>
          </w:tcPr>
          <w:p w14:paraId="6594B855" w14:textId="77777777" w:rsidR="00000000" w:rsidRDefault="001A570A">
            <w:pPr>
              <w:rPr>
                <w:rFonts w:eastAsia="Times New Roman"/>
                <w:sz w:val="20"/>
                <w:szCs w:val="20"/>
              </w:rPr>
            </w:pPr>
          </w:p>
        </w:tc>
        <w:tc>
          <w:tcPr>
            <w:tcW w:w="5" w:type="pct"/>
            <w:vAlign w:val="center"/>
            <w:hideMark/>
          </w:tcPr>
          <w:p w14:paraId="15709203" w14:textId="77777777" w:rsidR="00000000" w:rsidRDefault="001A570A">
            <w:pPr>
              <w:rPr>
                <w:rFonts w:eastAsia="Times New Roman"/>
                <w:sz w:val="20"/>
                <w:szCs w:val="20"/>
              </w:rPr>
            </w:pPr>
          </w:p>
        </w:tc>
        <w:tc>
          <w:tcPr>
            <w:tcW w:w="50" w:type="pct"/>
            <w:vAlign w:val="center"/>
            <w:hideMark/>
          </w:tcPr>
          <w:p w14:paraId="1A9E3D9B" w14:textId="77777777" w:rsidR="00000000" w:rsidRDefault="001A570A">
            <w:pPr>
              <w:rPr>
                <w:rFonts w:eastAsia="Times New Roman"/>
                <w:sz w:val="20"/>
                <w:szCs w:val="20"/>
              </w:rPr>
            </w:pPr>
          </w:p>
        </w:tc>
        <w:tc>
          <w:tcPr>
            <w:tcW w:w="643" w:type="pct"/>
            <w:vAlign w:val="center"/>
            <w:hideMark/>
          </w:tcPr>
          <w:p w14:paraId="43AE25D8" w14:textId="77777777" w:rsidR="00000000" w:rsidRDefault="001A570A">
            <w:pPr>
              <w:rPr>
                <w:rFonts w:eastAsia="Times New Roman"/>
                <w:sz w:val="20"/>
                <w:szCs w:val="20"/>
              </w:rPr>
            </w:pPr>
          </w:p>
        </w:tc>
        <w:tc>
          <w:tcPr>
            <w:tcW w:w="5" w:type="pct"/>
            <w:vAlign w:val="center"/>
            <w:hideMark/>
          </w:tcPr>
          <w:p w14:paraId="0AEEB4B3" w14:textId="77777777" w:rsidR="00000000" w:rsidRDefault="001A570A">
            <w:pPr>
              <w:rPr>
                <w:rFonts w:eastAsia="Times New Roman"/>
                <w:sz w:val="20"/>
                <w:szCs w:val="20"/>
              </w:rPr>
            </w:pPr>
          </w:p>
        </w:tc>
        <w:tc>
          <w:tcPr>
            <w:tcW w:w="5" w:type="pct"/>
            <w:vAlign w:val="center"/>
            <w:hideMark/>
          </w:tcPr>
          <w:p w14:paraId="0296F9B8" w14:textId="77777777" w:rsidR="00000000" w:rsidRDefault="001A570A">
            <w:pPr>
              <w:rPr>
                <w:rFonts w:eastAsia="Times New Roman"/>
                <w:sz w:val="20"/>
                <w:szCs w:val="20"/>
              </w:rPr>
            </w:pPr>
          </w:p>
        </w:tc>
        <w:tc>
          <w:tcPr>
            <w:tcW w:w="26" w:type="pct"/>
            <w:vAlign w:val="center"/>
            <w:hideMark/>
          </w:tcPr>
          <w:p w14:paraId="74F6AE47" w14:textId="77777777" w:rsidR="00000000" w:rsidRDefault="001A570A">
            <w:pPr>
              <w:rPr>
                <w:rFonts w:eastAsia="Times New Roman"/>
                <w:sz w:val="20"/>
                <w:szCs w:val="20"/>
              </w:rPr>
            </w:pPr>
          </w:p>
        </w:tc>
        <w:tc>
          <w:tcPr>
            <w:tcW w:w="5" w:type="pct"/>
            <w:vAlign w:val="center"/>
            <w:hideMark/>
          </w:tcPr>
          <w:p w14:paraId="3688E0F8" w14:textId="77777777" w:rsidR="00000000" w:rsidRDefault="001A570A">
            <w:pPr>
              <w:rPr>
                <w:rFonts w:eastAsia="Times New Roman"/>
                <w:sz w:val="20"/>
                <w:szCs w:val="20"/>
              </w:rPr>
            </w:pPr>
          </w:p>
        </w:tc>
        <w:tc>
          <w:tcPr>
            <w:tcW w:w="50" w:type="pct"/>
            <w:vAlign w:val="center"/>
            <w:hideMark/>
          </w:tcPr>
          <w:p w14:paraId="3C2B485C" w14:textId="77777777" w:rsidR="00000000" w:rsidRDefault="001A570A">
            <w:pPr>
              <w:rPr>
                <w:rFonts w:eastAsia="Times New Roman"/>
                <w:sz w:val="20"/>
                <w:szCs w:val="20"/>
              </w:rPr>
            </w:pPr>
          </w:p>
        </w:tc>
        <w:tc>
          <w:tcPr>
            <w:tcW w:w="643" w:type="pct"/>
            <w:vAlign w:val="center"/>
            <w:hideMark/>
          </w:tcPr>
          <w:p w14:paraId="6383C916" w14:textId="77777777" w:rsidR="00000000" w:rsidRDefault="001A570A">
            <w:pPr>
              <w:rPr>
                <w:rFonts w:eastAsia="Times New Roman"/>
                <w:sz w:val="20"/>
                <w:szCs w:val="20"/>
              </w:rPr>
            </w:pPr>
          </w:p>
        </w:tc>
        <w:tc>
          <w:tcPr>
            <w:tcW w:w="5" w:type="pct"/>
            <w:vAlign w:val="center"/>
            <w:hideMark/>
          </w:tcPr>
          <w:p w14:paraId="51C63EC3" w14:textId="77777777" w:rsidR="00000000" w:rsidRDefault="001A570A">
            <w:pPr>
              <w:rPr>
                <w:rFonts w:eastAsia="Times New Roman"/>
                <w:sz w:val="20"/>
                <w:szCs w:val="20"/>
              </w:rPr>
            </w:pPr>
          </w:p>
        </w:tc>
        <w:tc>
          <w:tcPr>
            <w:tcW w:w="5" w:type="pct"/>
            <w:vAlign w:val="center"/>
            <w:hideMark/>
          </w:tcPr>
          <w:p w14:paraId="3D629CA7" w14:textId="77777777" w:rsidR="00000000" w:rsidRDefault="001A570A">
            <w:pPr>
              <w:rPr>
                <w:rFonts w:eastAsia="Times New Roman"/>
                <w:sz w:val="20"/>
                <w:szCs w:val="20"/>
              </w:rPr>
            </w:pPr>
          </w:p>
        </w:tc>
        <w:tc>
          <w:tcPr>
            <w:tcW w:w="26" w:type="pct"/>
            <w:vAlign w:val="center"/>
            <w:hideMark/>
          </w:tcPr>
          <w:p w14:paraId="0B207608" w14:textId="77777777" w:rsidR="00000000" w:rsidRDefault="001A570A">
            <w:pPr>
              <w:rPr>
                <w:rFonts w:eastAsia="Times New Roman"/>
                <w:sz w:val="20"/>
                <w:szCs w:val="20"/>
              </w:rPr>
            </w:pPr>
          </w:p>
        </w:tc>
        <w:tc>
          <w:tcPr>
            <w:tcW w:w="5" w:type="pct"/>
            <w:vAlign w:val="center"/>
            <w:hideMark/>
          </w:tcPr>
          <w:p w14:paraId="775CCFB1" w14:textId="77777777" w:rsidR="00000000" w:rsidRDefault="001A570A">
            <w:pPr>
              <w:rPr>
                <w:rFonts w:eastAsia="Times New Roman"/>
                <w:sz w:val="20"/>
                <w:szCs w:val="20"/>
              </w:rPr>
            </w:pPr>
          </w:p>
        </w:tc>
        <w:tc>
          <w:tcPr>
            <w:tcW w:w="50" w:type="pct"/>
            <w:vAlign w:val="center"/>
            <w:hideMark/>
          </w:tcPr>
          <w:p w14:paraId="3E98C1BF" w14:textId="77777777" w:rsidR="00000000" w:rsidRDefault="001A570A">
            <w:pPr>
              <w:rPr>
                <w:rFonts w:eastAsia="Times New Roman"/>
                <w:sz w:val="20"/>
                <w:szCs w:val="20"/>
              </w:rPr>
            </w:pPr>
          </w:p>
        </w:tc>
        <w:tc>
          <w:tcPr>
            <w:tcW w:w="644" w:type="pct"/>
            <w:vAlign w:val="center"/>
            <w:hideMark/>
          </w:tcPr>
          <w:p w14:paraId="054D8D63" w14:textId="77777777" w:rsidR="00000000" w:rsidRDefault="001A570A">
            <w:pPr>
              <w:rPr>
                <w:rFonts w:eastAsia="Times New Roman"/>
                <w:sz w:val="20"/>
                <w:szCs w:val="20"/>
              </w:rPr>
            </w:pPr>
          </w:p>
        </w:tc>
        <w:tc>
          <w:tcPr>
            <w:tcW w:w="5" w:type="pct"/>
            <w:vAlign w:val="center"/>
            <w:hideMark/>
          </w:tcPr>
          <w:p w14:paraId="0B35D002" w14:textId="77777777" w:rsidR="00000000" w:rsidRDefault="001A570A">
            <w:pPr>
              <w:rPr>
                <w:rFonts w:eastAsia="Times New Roman"/>
                <w:sz w:val="20"/>
                <w:szCs w:val="20"/>
              </w:rPr>
            </w:pPr>
          </w:p>
        </w:tc>
      </w:tr>
      <w:tr w:rsidR="00000000" w14:paraId="58E0DEE6" w14:textId="77777777">
        <w:trPr>
          <w:divId w:val="1145314945"/>
        </w:trPr>
        <w:tc>
          <w:tcPr>
            <w:tcW w:w="0" w:type="auto"/>
            <w:gridSpan w:val="3"/>
            <w:tcMar>
              <w:top w:w="30" w:type="dxa"/>
              <w:left w:w="20" w:type="dxa"/>
              <w:bottom w:w="30" w:type="dxa"/>
              <w:right w:w="20" w:type="dxa"/>
            </w:tcMar>
            <w:vAlign w:val="bottom"/>
            <w:hideMark/>
          </w:tcPr>
          <w:p w14:paraId="12AF82CF"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23A0481" w14:textId="77777777" w:rsidR="00000000" w:rsidRDefault="001A570A">
            <w:pPr>
              <w:jc w:val="center"/>
              <w:rPr>
                <w:rFonts w:eastAsia="Times New Roman"/>
              </w:rPr>
            </w:pPr>
            <w:r>
              <w:rPr>
                <w:rFonts w:eastAsia="Times New Roman"/>
                <w:b/>
                <w:bCs/>
                <w:color w:val="000000"/>
                <w:sz w:val="16"/>
                <w:szCs w:val="16"/>
              </w:rPr>
              <w:t>Employee severance-related costs</w:t>
            </w:r>
          </w:p>
        </w:tc>
        <w:tc>
          <w:tcPr>
            <w:tcW w:w="0" w:type="auto"/>
            <w:gridSpan w:val="3"/>
            <w:tcMar>
              <w:top w:w="0" w:type="dxa"/>
              <w:left w:w="20" w:type="dxa"/>
              <w:bottom w:w="0" w:type="dxa"/>
              <w:right w:w="20" w:type="dxa"/>
            </w:tcMar>
            <w:vAlign w:val="center"/>
            <w:hideMark/>
          </w:tcPr>
          <w:p w14:paraId="36CBC9B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30741AF" w14:textId="77777777" w:rsidR="00000000" w:rsidRDefault="001A570A">
            <w:pPr>
              <w:jc w:val="center"/>
              <w:rPr>
                <w:rFonts w:eastAsia="Times New Roman"/>
              </w:rPr>
            </w:pPr>
            <w:r>
              <w:rPr>
                <w:rFonts w:eastAsia="Times New Roman"/>
                <w:b/>
                <w:bCs/>
                <w:color w:val="000000"/>
                <w:sz w:val="16"/>
                <w:szCs w:val="16"/>
              </w:rPr>
              <w:t>Facilities consolidation and other exit cost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086FB13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FEF42C2" w14:textId="77777777" w:rsidR="00000000" w:rsidRDefault="001A570A">
            <w:pPr>
              <w:jc w:val="center"/>
              <w:rPr>
                <w:rFonts w:eastAsia="Times New Roman"/>
              </w:rPr>
            </w:pPr>
            <w:r>
              <w:rPr>
                <w:rFonts w:eastAsia="Times New Roman"/>
                <w:b/>
                <w:bCs/>
                <w:color w:val="000000"/>
                <w:sz w:val="16"/>
                <w:szCs w:val="16"/>
              </w:rPr>
              <w:t>Total</w:t>
            </w:r>
          </w:p>
        </w:tc>
      </w:tr>
      <w:tr w:rsidR="00000000" w14:paraId="293281F1" w14:textId="77777777">
        <w:trPr>
          <w:divId w:val="1145314945"/>
          <w:trHeight w:val="60"/>
        </w:trPr>
        <w:tc>
          <w:tcPr>
            <w:tcW w:w="0" w:type="auto"/>
            <w:gridSpan w:val="3"/>
            <w:tcMar>
              <w:top w:w="0" w:type="dxa"/>
              <w:left w:w="20" w:type="dxa"/>
              <w:bottom w:w="0" w:type="dxa"/>
              <w:right w:w="20" w:type="dxa"/>
            </w:tcMar>
            <w:vAlign w:val="center"/>
            <w:hideMark/>
          </w:tcPr>
          <w:p w14:paraId="45D3EFE7"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EA73C4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0C0FF1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07A45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B39AA2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4070C2" w14:textId="77777777" w:rsidR="00000000" w:rsidRDefault="001A570A">
            <w:pPr>
              <w:rPr>
                <w:rFonts w:eastAsia="Times New Roman"/>
                <w:sz w:val="20"/>
                <w:szCs w:val="20"/>
              </w:rPr>
            </w:pPr>
          </w:p>
        </w:tc>
      </w:tr>
      <w:tr w:rsidR="00000000" w14:paraId="45463A31" w14:textId="77777777">
        <w:trPr>
          <w:divId w:val="1145314945"/>
        </w:trPr>
        <w:tc>
          <w:tcPr>
            <w:tcW w:w="0" w:type="auto"/>
            <w:gridSpan w:val="3"/>
            <w:vAlign w:val="center"/>
            <w:hideMark/>
          </w:tcPr>
          <w:p w14:paraId="11AFCEA0" w14:textId="77777777" w:rsidR="00000000" w:rsidRDefault="001A570A">
            <w:pPr>
              <w:rPr>
                <w:rFonts w:eastAsia="Times New Roman"/>
                <w:sz w:val="20"/>
                <w:szCs w:val="20"/>
              </w:rPr>
            </w:pPr>
          </w:p>
        </w:tc>
        <w:tc>
          <w:tcPr>
            <w:tcW w:w="0" w:type="auto"/>
            <w:gridSpan w:val="3"/>
            <w:vAlign w:val="center"/>
            <w:hideMark/>
          </w:tcPr>
          <w:p w14:paraId="20967BF6" w14:textId="77777777" w:rsidR="00000000" w:rsidRDefault="001A570A">
            <w:pPr>
              <w:rPr>
                <w:rFonts w:eastAsia="Times New Roman"/>
                <w:sz w:val="20"/>
                <w:szCs w:val="20"/>
              </w:rPr>
            </w:pPr>
          </w:p>
        </w:tc>
        <w:tc>
          <w:tcPr>
            <w:tcW w:w="0" w:type="auto"/>
            <w:gridSpan w:val="3"/>
            <w:vAlign w:val="center"/>
            <w:hideMark/>
          </w:tcPr>
          <w:p w14:paraId="481E49CF" w14:textId="77777777" w:rsidR="00000000" w:rsidRDefault="001A570A">
            <w:pPr>
              <w:rPr>
                <w:rFonts w:eastAsia="Times New Roman"/>
                <w:sz w:val="20"/>
                <w:szCs w:val="20"/>
              </w:rPr>
            </w:pPr>
          </w:p>
        </w:tc>
        <w:tc>
          <w:tcPr>
            <w:tcW w:w="0" w:type="auto"/>
            <w:gridSpan w:val="3"/>
            <w:vAlign w:val="center"/>
            <w:hideMark/>
          </w:tcPr>
          <w:p w14:paraId="4D0261F1" w14:textId="77777777" w:rsidR="00000000" w:rsidRDefault="001A570A">
            <w:pPr>
              <w:rPr>
                <w:rFonts w:eastAsia="Times New Roman"/>
                <w:sz w:val="20"/>
                <w:szCs w:val="20"/>
              </w:rPr>
            </w:pPr>
          </w:p>
        </w:tc>
        <w:tc>
          <w:tcPr>
            <w:tcW w:w="0" w:type="auto"/>
            <w:gridSpan w:val="3"/>
            <w:vAlign w:val="center"/>
            <w:hideMark/>
          </w:tcPr>
          <w:p w14:paraId="6F7428EC" w14:textId="77777777" w:rsidR="00000000" w:rsidRDefault="001A570A">
            <w:pPr>
              <w:rPr>
                <w:rFonts w:eastAsia="Times New Roman"/>
                <w:sz w:val="20"/>
                <w:szCs w:val="20"/>
              </w:rPr>
            </w:pPr>
          </w:p>
        </w:tc>
        <w:tc>
          <w:tcPr>
            <w:tcW w:w="0" w:type="auto"/>
            <w:gridSpan w:val="3"/>
            <w:vAlign w:val="center"/>
            <w:hideMark/>
          </w:tcPr>
          <w:p w14:paraId="5652E5C9" w14:textId="77777777" w:rsidR="00000000" w:rsidRDefault="001A570A">
            <w:pPr>
              <w:rPr>
                <w:rFonts w:eastAsia="Times New Roman"/>
                <w:sz w:val="20"/>
                <w:szCs w:val="20"/>
              </w:rPr>
            </w:pPr>
          </w:p>
        </w:tc>
      </w:tr>
      <w:tr w:rsidR="00000000" w14:paraId="4B8E622B" w14:textId="77777777">
        <w:trPr>
          <w:divId w:val="1145314945"/>
        </w:trPr>
        <w:tc>
          <w:tcPr>
            <w:tcW w:w="0" w:type="auto"/>
            <w:gridSpan w:val="3"/>
            <w:vAlign w:val="center"/>
            <w:hideMark/>
          </w:tcPr>
          <w:p w14:paraId="32335267" w14:textId="77777777" w:rsidR="00000000" w:rsidRDefault="001A570A">
            <w:pPr>
              <w:rPr>
                <w:rFonts w:eastAsia="Times New Roman"/>
                <w:sz w:val="20"/>
                <w:szCs w:val="20"/>
              </w:rPr>
            </w:pPr>
          </w:p>
        </w:tc>
        <w:tc>
          <w:tcPr>
            <w:tcW w:w="0" w:type="auto"/>
            <w:gridSpan w:val="3"/>
            <w:vAlign w:val="center"/>
            <w:hideMark/>
          </w:tcPr>
          <w:p w14:paraId="75ED02C5" w14:textId="77777777" w:rsidR="00000000" w:rsidRDefault="001A570A">
            <w:pPr>
              <w:rPr>
                <w:rFonts w:eastAsia="Times New Roman"/>
                <w:sz w:val="20"/>
                <w:szCs w:val="20"/>
              </w:rPr>
            </w:pPr>
          </w:p>
        </w:tc>
        <w:tc>
          <w:tcPr>
            <w:tcW w:w="0" w:type="auto"/>
            <w:gridSpan w:val="3"/>
            <w:vAlign w:val="center"/>
            <w:hideMark/>
          </w:tcPr>
          <w:p w14:paraId="2090391A" w14:textId="77777777" w:rsidR="00000000" w:rsidRDefault="001A570A">
            <w:pPr>
              <w:rPr>
                <w:rFonts w:eastAsia="Times New Roman"/>
                <w:sz w:val="20"/>
                <w:szCs w:val="20"/>
              </w:rPr>
            </w:pPr>
          </w:p>
        </w:tc>
        <w:tc>
          <w:tcPr>
            <w:tcW w:w="0" w:type="auto"/>
            <w:gridSpan w:val="3"/>
            <w:vAlign w:val="center"/>
            <w:hideMark/>
          </w:tcPr>
          <w:p w14:paraId="57EB65E6" w14:textId="77777777" w:rsidR="00000000" w:rsidRDefault="001A570A">
            <w:pPr>
              <w:rPr>
                <w:rFonts w:eastAsia="Times New Roman"/>
                <w:sz w:val="20"/>
                <w:szCs w:val="20"/>
              </w:rPr>
            </w:pPr>
          </w:p>
        </w:tc>
        <w:tc>
          <w:tcPr>
            <w:tcW w:w="0" w:type="auto"/>
            <w:gridSpan w:val="3"/>
            <w:vAlign w:val="center"/>
            <w:hideMark/>
          </w:tcPr>
          <w:p w14:paraId="7CB0FF05" w14:textId="77777777" w:rsidR="00000000" w:rsidRDefault="001A570A">
            <w:pPr>
              <w:rPr>
                <w:rFonts w:eastAsia="Times New Roman"/>
                <w:sz w:val="20"/>
                <w:szCs w:val="20"/>
              </w:rPr>
            </w:pPr>
          </w:p>
        </w:tc>
        <w:tc>
          <w:tcPr>
            <w:tcW w:w="0" w:type="auto"/>
            <w:gridSpan w:val="3"/>
            <w:vAlign w:val="center"/>
            <w:hideMark/>
          </w:tcPr>
          <w:p w14:paraId="2D34542F" w14:textId="77777777" w:rsidR="00000000" w:rsidRDefault="001A570A">
            <w:pPr>
              <w:rPr>
                <w:rFonts w:eastAsia="Times New Roman"/>
                <w:sz w:val="20"/>
                <w:szCs w:val="20"/>
              </w:rPr>
            </w:pPr>
          </w:p>
        </w:tc>
      </w:tr>
      <w:tr w:rsidR="00000000" w14:paraId="0A7C3387" w14:textId="77777777">
        <w:trPr>
          <w:divId w:val="1145314945"/>
        </w:trPr>
        <w:tc>
          <w:tcPr>
            <w:tcW w:w="0" w:type="auto"/>
            <w:gridSpan w:val="3"/>
            <w:vAlign w:val="center"/>
            <w:hideMark/>
          </w:tcPr>
          <w:p w14:paraId="3058F652" w14:textId="77777777" w:rsidR="00000000" w:rsidRDefault="001A570A">
            <w:pPr>
              <w:rPr>
                <w:rFonts w:eastAsia="Times New Roman"/>
                <w:sz w:val="20"/>
                <w:szCs w:val="20"/>
              </w:rPr>
            </w:pPr>
          </w:p>
        </w:tc>
        <w:tc>
          <w:tcPr>
            <w:tcW w:w="0" w:type="auto"/>
            <w:gridSpan w:val="3"/>
            <w:vAlign w:val="center"/>
            <w:hideMark/>
          </w:tcPr>
          <w:p w14:paraId="5FEE7470" w14:textId="77777777" w:rsidR="00000000" w:rsidRDefault="001A570A">
            <w:pPr>
              <w:rPr>
                <w:rFonts w:eastAsia="Times New Roman"/>
                <w:sz w:val="20"/>
                <w:szCs w:val="20"/>
              </w:rPr>
            </w:pPr>
          </w:p>
        </w:tc>
        <w:tc>
          <w:tcPr>
            <w:tcW w:w="0" w:type="auto"/>
            <w:gridSpan w:val="3"/>
            <w:vAlign w:val="center"/>
            <w:hideMark/>
          </w:tcPr>
          <w:p w14:paraId="59F5E5EC" w14:textId="77777777" w:rsidR="00000000" w:rsidRDefault="001A570A">
            <w:pPr>
              <w:rPr>
                <w:rFonts w:eastAsia="Times New Roman"/>
                <w:sz w:val="20"/>
                <w:szCs w:val="20"/>
              </w:rPr>
            </w:pPr>
          </w:p>
        </w:tc>
        <w:tc>
          <w:tcPr>
            <w:tcW w:w="0" w:type="auto"/>
            <w:gridSpan w:val="3"/>
            <w:vAlign w:val="center"/>
            <w:hideMark/>
          </w:tcPr>
          <w:p w14:paraId="49826487" w14:textId="77777777" w:rsidR="00000000" w:rsidRDefault="001A570A">
            <w:pPr>
              <w:rPr>
                <w:rFonts w:eastAsia="Times New Roman"/>
                <w:sz w:val="20"/>
                <w:szCs w:val="20"/>
              </w:rPr>
            </w:pPr>
          </w:p>
        </w:tc>
        <w:tc>
          <w:tcPr>
            <w:tcW w:w="0" w:type="auto"/>
            <w:gridSpan w:val="3"/>
            <w:vAlign w:val="center"/>
            <w:hideMark/>
          </w:tcPr>
          <w:p w14:paraId="2A57680F" w14:textId="77777777" w:rsidR="00000000" w:rsidRDefault="001A570A">
            <w:pPr>
              <w:rPr>
                <w:rFonts w:eastAsia="Times New Roman"/>
                <w:sz w:val="20"/>
                <w:szCs w:val="20"/>
              </w:rPr>
            </w:pPr>
          </w:p>
        </w:tc>
        <w:tc>
          <w:tcPr>
            <w:tcW w:w="0" w:type="auto"/>
            <w:gridSpan w:val="3"/>
            <w:vAlign w:val="center"/>
            <w:hideMark/>
          </w:tcPr>
          <w:p w14:paraId="763FD931" w14:textId="77777777" w:rsidR="00000000" w:rsidRDefault="001A570A">
            <w:pPr>
              <w:rPr>
                <w:rFonts w:eastAsia="Times New Roman"/>
                <w:sz w:val="20"/>
                <w:szCs w:val="20"/>
              </w:rPr>
            </w:pPr>
          </w:p>
        </w:tc>
      </w:tr>
      <w:tr w:rsidR="00000000" w14:paraId="2A00721C" w14:textId="77777777">
        <w:trPr>
          <w:divId w:val="1145314945"/>
        </w:trPr>
        <w:tc>
          <w:tcPr>
            <w:tcW w:w="0" w:type="auto"/>
            <w:gridSpan w:val="3"/>
            <w:vAlign w:val="center"/>
            <w:hideMark/>
          </w:tcPr>
          <w:p w14:paraId="59D165EF" w14:textId="77777777" w:rsidR="00000000" w:rsidRDefault="001A570A">
            <w:pPr>
              <w:rPr>
                <w:rFonts w:eastAsia="Times New Roman"/>
                <w:sz w:val="20"/>
                <w:szCs w:val="20"/>
              </w:rPr>
            </w:pPr>
          </w:p>
        </w:tc>
        <w:tc>
          <w:tcPr>
            <w:tcW w:w="0" w:type="auto"/>
            <w:gridSpan w:val="3"/>
            <w:vAlign w:val="center"/>
            <w:hideMark/>
          </w:tcPr>
          <w:p w14:paraId="51405BE3" w14:textId="77777777" w:rsidR="00000000" w:rsidRDefault="001A570A">
            <w:pPr>
              <w:rPr>
                <w:rFonts w:eastAsia="Times New Roman"/>
                <w:sz w:val="20"/>
                <w:szCs w:val="20"/>
              </w:rPr>
            </w:pPr>
          </w:p>
        </w:tc>
        <w:tc>
          <w:tcPr>
            <w:tcW w:w="0" w:type="auto"/>
            <w:gridSpan w:val="3"/>
            <w:vAlign w:val="center"/>
            <w:hideMark/>
          </w:tcPr>
          <w:p w14:paraId="2D11FA0B" w14:textId="77777777" w:rsidR="00000000" w:rsidRDefault="001A570A">
            <w:pPr>
              <w:rPr>
                <w:rFonts w:eastAsia="Times New Roman"/>
                <w:sz w:val="20"/>
                <w:szCs w:val="20"/>
              </w:rPr>
            </w:pPr>
          </w:p>
        </w:tc>
        <w:tc>
          <w:tcPr>
            <w:tcW w:w="0" w:type="auto"/>
            <w:gridSpan w:val="3"/>
            <w:vAlign w:val="center"/>
            <w:hideMark/>
          </w:tcPr>
          <w:p w14:paraId="25B24506" w14:textId="77777777" w:rsidR="00000000" w:rsidRDefault="001A570A">
            <w:pPr>
              <w:rPr>
                <w:rFonts w:eastAsia="Times New Roman"/>
                <w:sz w:val="20"/>
                <w:szCs w:val="20"/>
              </w:rPr>
            </w:pPr>
          </w:p>
        </w:tc>
        <w:tc>
          <w:tcPr>
            <w:tcW w:w="0" w:type="auto"/>
            <w:gridSpan w:val="3"/>
            <w:vAlign w:val="center"/>
            <w:hideMark/>
          </w:tcPr>
          <w:p w14:paraId="430EC687" w14:textId="77777777" w:rsidR="00000000" w:rsidRDefault="001A570A">
            <w:pPr>
              <w:rPr>
                <w:rFonts w:eastAsia="Times New Roman"/>
                <w:sz w:val="20"/>
                <w:szCs w:val="20"/>
              </w:rPr>
            </w:pPr>
          </w:p>
        </w:tc>
        <w:tc>
          <w:tcPr>
            <w:tcW w:w="0" w:type="auto"/>
            <w:gridSpan w:val="3"/>
            <w:vAlign w:val="center"/>
            <w:hideMark/>
          </w:tcPr>
          <w:p w14:paraId="28E31098" w14:textId="77777777" w:rsidR="00000000" w:rsidRDefault="001A570A">
            <w:pPr>
              <w:rPr>
                <w:rFonts w:eastAsia="Times New Roman"/>
                <w:sz w:val="20"/>
                <w:szCs w:val="20"/>
              </w:rPr>
            </w:pPr>
          </w:p>
        </w:tc>
      </w:tr>
      <w:tr w:rsidR="00000000" w14:paraId="7ED960ED" w14:textId="77777777">
        <w:trPr>
          <w:divId w:val="1145314945"/>
        </w:trPr>
        <w:tc>
          <w:tcPr>
            <w:tcW w:w="0" w:type="auto"/>
            <w:gridSpan w:val="3"/>
            <w:vAlign w:val="center"/>
            <w:hideMark/>
          </w:tcPr>
          <w:p w14:paraId="6E265C4F" w14:textId="77777777" w:rsidR="00000000" w:rsidRDefault="001A570A">
            <w:pPr>
              <w:rPr>
                <w:rFonts w:eastAsia="Times New Roman"/>
                <w:sz w:val="20"/>
                <w:szCs w:val="20"/>
              </w:rPr>
            </w:pPr>
          </w:p>
        </w:tc>
        <w:tc>
          <w:tcPr>
            <w:tcW w:w="0" w:type="auto"/>
            <w:gridSpan w:val="3"/>
            <w:vAlign w:val="center"/>
            <w:hideMark/>
          </w:tcPr>
          <w:p w14:paraId="50B02F1F" w14:textId="77777777" w:rsidR="00000000" w:rsidRDefault="001A570A">
            <w:pPr>
              <w:rPr>
                <w:rFonts w:eastAsia="Times New Roman"/>
                <w:sz w:val="20"/>
                <w:szCs w:val="20"/>
              </w:rPr>
            </w:pPr>
          </w:p>
        </w:tc>
        <w:tc>
          <w:tcPr>
            <w:tcW w:w="0" w:type="auto"/>
            <w:gridSpan w:val="3"/>
            <w:vAlign w:val="center"/>
            <w:hideMark/>
          </w:tcPr>
          <w:p w14:paraId="120C8BCF" w14:textId="77777777" w:rsidR="00000000" w:rsidRDefault="001A570A">
            <w:pPr>
              <w:rPr>
                <w:rFonts w:eastAsia="Times New Roman"/>
                <w:sz w:val="20"/>
                <w:szCs w:val="20"/>
              </w:rPr>
            </w:pPr>
          </w:p>
        </w:tc>
        <w:tc>
          <w:tcPr>
            <w:tcW w:w="0" w:type="auto"/>
            <w:gridSpan w:val="3"/>
            <w:vAlign w:val="center"/>
            <w:hideMark/>
          </w:tcPr>
          <w:p w14:paraId="065C4BFC" w14:textId="77777777" w:rsidR="00000000" w:rsidRDefault="001A570A">
            <w:pPr>
              <w:rPr>
                <w:rFonts w:eastAsia="Times New Roman"/>
                <w:sz w:val="20"/>
                <w:szCs w:val="20"/>
              </w:rPr>
            </w:pPr>
          </w:p>
        </w:tc>
        <w:tc>
          <w:tcPr>
            <w:tcW w:w="0" w:type="auto"/>
            <w:gridSpan w:val="3"/>
            <w:vAlign w:val="center"/>
            <w:hideMark/>
          </w:tcPr>
          <w:p w14:paraId="1DDBB679" w14:textId="77777777" w:rsidR="00000000" w:rsidRDefault="001A570A">
            <w:pPr>
              <w:rPr>
                <w:rFonts w:eastAsia="Times New Roman"/>
                <w:sz w:val="20"/>
                <w:szCs w:val="20"/>
              </w:rPr>
            </w:pPr>
          </w:p>
        </w:tc>
        <w:tc>
          <w:tcPr>
            <w:tcW w:w="0" w:type="auto"/>
            <w:gridSpan w:val="3"/>
            <w:vAlign w:val="center"/>
            <w:hideMark/>
          </w:tcPr>
          <w:p w14:paraId="10F41514" w14:textId="77777777" w:rsidR="00000000" w:rsidRDefault="001A570A">
            <w:pPr>
              <w:rPr>
                <w:rFonts w:eastAsia="Times New Roman"/>
                <w:sz w:val="20"/>
                <w:szCs w:val="20"/>
              </w:rPr>
            </w:pPr>
          </w:p>
        </w:tc>
      </w:tr>
      <w:tr w:rsidR="00000000" w14:paraId="51CFEDA4" w14:textId="77777777">
        <w:trPr>
          <w:divId w:val="1145314945"/>
        </w:trPr>
        <w:tc>
          <w:tcPr>
            <w:tcW w:w="0" w:type="auto"/>
            <w:gridSpan w:val="3"/>
            <w:vAlign w:val="center"/>
            <w:hideMark/>
          </w:tcPr>
          <w:p w14:paraId="74685AEE" w14:textId="77777777" w:rsidR="00000000" w:rsidRDefault="001A570A">
            <w:pPr>
              <w:rPr>
                <w:rFonts w:eastAsia="Times New Roman"/>
                <w:sz w:val="20"/>
                <w:szCs w:val="20"/>
              </w:rPr>
            </w:pPr>
          </w:p>
        </w:tc>
        <w:tc>
          <w:tcPr>
            <w:tcW w:w="0" w:type="auto"/>
            <w:gridSpan w:val="3"/>
            <w:vAlign w:val="center"/>
            <w:hideMark/>
          </w:tcPr>
          <w:p w14:paraId="62755FF5" w14:textId="77777777" w:rsidR="00000000" w:rsidRDefault="001A570A">
            <w:pPr>
              <w:rPr>
                <w:rFonts w:eastAsia="Times New Roman"/>
                <w:sz w:val="20"/>
                <w:szCs w:val="20"/>
              </w:rPr>
            </w:pPr>
          </w:p>
        </w:tc>
        <w:tc>
          <w:tcPr>
            <w:tcW w:w="0" w:type="auto"/>
            <w:gridSpan w:val="3"/>
            <w:vAlign w:val="center"/>
            <w:hideMark/>
          </w:tcPr>
          <w:p w14:paraId="4BEF31D0" w14:textId="77777777" w:rsidR="00000000" w:rsidRDefault="001A570A">
            <w:pPr>
              <w:rPr>
                <w:rFonts w:eastAsia="Times New Roman"/>
                <w:sz w:val="20"/>
                <w:szCs w:val="20"/>
              </w:rPr>
            </w:pPr>
          </w:p>
        </w:tc>
        <w:tc>
          <w:tcPr>
            <w:tcW w:w="0" w:type="auto"/>
            <w:gridSpan w:val="3"/>
            <w:vAlign w:val="center"/>
            <w:hideMark/>
          </w:tcPr>
          <w:p w14:paraId="3256E369" w14:textId="77777777" w:rsidR="00000000" w:rsidRDefault="001A570A">
            <w:pPr>
              <w:rPr>
                <w:rFonts w:eastAsia="Times New Roman"/>
                <w:sz w:val="20"/>
                <w:szCs w:val="20"/>
              </w:rPr>
            </w:pPr>
          </w:p>
        </w:tc>
        <w:tc>
          <w:tcPr>
            <w:tcW w:w="0" w:type="auto"/>
            <w:gridSpan w:val="3"/>
            <w:vAlign w:val="center"/>
            <w:hideMark/>
          </w:tcPr>
          <w:p w14:paraId="4A5F0DBC" w14:textId="77777777" w:rsidR="00000000" w:rsidRDefault="001A570A">
            <w:pPr>
              <w:rPr>
                <w:rFonts w:eastAsia="Times New Roman"/>
                <w:sz w:val="20"/>
                <w:szCs w:val="20"/>
              </w:rPr>
            </w:pPr>
          </w:p>
        </w:tc>
        <w:tc>
          <w:tcPr>
            <w:tcW w:w="0" w:type="auto"/>
            <w:gridSpan w:val="3"/>
            <w:vAlign w:val="center"/>
            <w:hideMark/>
          </w:tcPr>
          <w:p w14:paraId="3B9EAFED" w14:textId="77777777" w:rsidR="00000000" w:rsidRDefault="001A570A">
            <w:pPr>
              <w:rPr>
                <w:rFonts w:eastAsia="Times New Roman"/>
                <w:sz w:val="20"/>
                <w:szCs w:val="20"/>
              </w:rPr>
            </w:pPr>
          </w:p>
        </w:tc>
      </w:tr>
      <w:tr w:rsidR="00000000" w14:paraId="3CA7487A" w14:textId="77777777">
        <w:trPr>
          <w:divId w:val="1145314945"/>
        </w:trPr>
        <w:tc>
          <w:tcPr>
            <w:tcW w:w="0" w:type="auto"/>
            <w:gridSpan w:val="3"/>
            <w:vAlign w:val="center"/>
            <w:hideMark/>
          </w:tcPr>
          <w:p w14:paraId="30DC7E8D" w14:textId="77777777" w:rsidR="00000000" w:rsidRDefault="001A570A">
            <w:pPr>
              <w:rPr>
                <w:rFonts w:eastAsia="Times New Roman"/>
                <w:sz w:val="20"/>
                <w:szCs w:val="20"/>
              </w:rPr>
            </w:pPr>
          </w:p>
        </w:tc>
        <w:tc>
          <w:tcPr>
            <w:tcW w:w="0" w:type="auto"/>
            <w:gridSpan w:val="3"/>
            <w:vAlign w:val="center"/>
            <w:hideMark/>
          </w:tcPr>
          <w:p w14:paraId="15EFB620" w14:textId="77777777" w:rsidR="00000000" w:rsidRDefault="001A570A">
            <w:pPr>
              <w:rPr>
                <w:rFonts w:eastAsia="Times New Roman"/>
                <w:sz w:val="20"/>
                <w:szCs w:val="20"/>
              </w:rPr>
            </w:pPr>
          </w:p>
        </w:tc>
        <w:tc>
          <w:tcPr>
            <w:tcW w:w="0" w:type="auto"/>
            <w:gridSpan w:val="3"/>
            <w:vAlign w:val="center"/>
            <w:hideMark/>
          </w:tcPr>
          <w:p w14:paraId="282AA75E" w14:textId="77777777" w:rsidR="00000000" w:rsidRDefault="001A570A">
            <w:pPr>
              <w:rPr>
                <w:rFonts w:eastAsia="Times New Roman"/>
                <w:sz w:val="20"/>
                <w:szCs w:val="20"/>
              </w:rPr>
            </w:pPr>
          </w:p>
        </w:tc>
        <w:tc>
          <w:tcPr>
            <w:tcW w:w="0" w:type="auto"/>
            <w:gridSpan w:val="3"/>
            <w:vAlign w:val="center"/>
            <w:hideMark/>
          </w:tcPr>
          <w:p w14:paraId="07638E67" w14:textId="77777777" w:rsidR="00000000" w:rsidRDefault="001A570A">
            <w:pPr>
              <w:rPr>
                <w:rFonts w:eastAsia="Times New Roman"/>
                <w:sz w:val="20"/>
                <w:szCs w:val="20"/>
              </w:rPr>
            </w:pPr>
          </w:p>
        </w:tc>
        <w:tc>
          <w:tcPr>
            <w:tcW w:w="0" w:type="auto"/>
            <w:gridSpan w:val="3"/>
            <w:vAlign w:val="center"/>
            <w:hideMark/>
          </w:tcPr>
          <w:p w14:paraId="115AC350" w14:textId="77777777" w:rsidR="00000000" w:rsidRDefault="001A570A">
            <w:pPr>
              <w:rPr>
                <w:rFonts w:eastAsia="Times New Roman"/>
                <w:sz w:val="20"/>
                <w:szCs w:val="20"/>
              </w:rPr>
            </w:pPr>
          </w:p>
        </w:tc>
        <w:tc>
          <w:tcPr>
            <w:tcW w:w="0" w:type="auto"/>
            <w:gridSpan w:val="3"/>
            <w:vAlign w:val="center"/>
            <w:hideMark/>
          </w:tcPr>
          <w:p w14:paraId="620388E3" w14:textId="77777777" w:rsidR="00000000" w:rsidRDefault="001A570A">
            <w:pPr>
              <w:rPr>
                <w:rFonts w:eastAsia="Times New Roman"/>
                <w:sz w:val="20"/>
                <w:szCs w:val="20"/>
              </w:rPr>
            </w:pPr>
          </w:p>
        </w:tc>
      </w:tr>
      <w:tr w:rsidR="00000000" w14:paraId="28B55943" w14:textId="77777777">
        <w:trPr>
          <w:divId w:val="1145314945"/>
        </w:trPr>
        <w:tc>
          <w:tcPr>
            <w:tcW w:w="0" w:type="auto"/>
            <w:gridSpan w:val="3"/>
            <w:vAlign w:val="center"/>
            <w:hideMark/>
          </w:tcPr>
          <w:p w14:paraId="78944C41" w14:textId="77777777" w:rsidR="00000000" w:rsidRDefault="001A570A">
            <w:pPr>
              <w:rPr>
                <w:rFonts w:eastAsia="Times New Roman"/>
                <w:sz w:val="20"/>
                <w:szCs w:val="20"/>
              </w:rPr>
            </w:pPr>
          </w:p>
        </w:tc>
        <w:tc>
          <w:tcPr>
            <w:tcW w:w="0" w:type="auto"/>
            <w:gridSpan w:val="3"/>
            <w:vAlign w:val="center"/>
            <w:hideMark/>
          </w:tcPr>
          <w:p w14:paraId="6C3E54F1" w14:textId="77777777" w:rsidR="00000000" w:rsidRDefault="001A570A">
            <w:pPr>
              <w:rPr>
                <w:rFonts w:eastAsia="Times New Roman"/>
                <w:sz w:val="20"/>
                <w:szCs w:val="20"/>
              </w:rPr>
            </w:pPr>
          </w:p>
        </w:tc>
        <w:tc>
          <w:tcPr>
            <w:tcW w:w="0" w:type="auto"/>
            <w:gridSpan w:val="3"/>
            <w:vAlign w:val="center"/>
            <w:hideMark/>
          </w:tcPr>
          <w:p w14:paraId="2E4DA128" w14:textId="77777777" w:rsidR="00000000" w:rsidRDefault="001A570A">
            <w:pPr>
              <w:rPr>
                <w:rFonts w:eastAsia="Times New Roman"/>
                <w:sz w:val="20"/>
                <w:szCs w:val="20"/>
              </w:rPr>
            </w:pPr>
          </w:p>
        </w:tc>
        <w:tc>
          <w:tcPr>
            <w:tcW w:w="0" w:type="auto"/>
            <w:gridSpan w:val="3"/>
            <w:vAlign w:val="center"/>
            <w:hideMark/>
          </w:tcPr>
          <w:p w14:paraId="732C3BE4" w14:textId="77777777" w:rsidR="00000000" w:rsidRDefault="001A570A">
            <w:pPr>
              <w:rPr>
                <w:rFonts w:eastAsia="Times New Roman"/>
                <w:sz w:val="20"/>
                <w:szCs w:val="20"/>
              </w:rPr>
            </w:pPr>
          </w:p>
        </w:tc>
        <w:tc>
          <w:tcPr>
            <w:tcW w:w="0" w:type="auto"/>
            <w:gridSpan w:val="3"/>
            <w:vAlign w:val="center"/>
            <w:hideMark/>
          </w:tcPr>
          <w:p w14:paraId="03029B29" w14:textId="77777777" w:rsidR="00000000" w:rsidRDefault="001A570A">
            <w:pPr>
              <w:rPr>
                <w:rFonts w:eastAsia="Times New Roman"/>
                <w:sz w:val="20"/>
                <w:szCs w:val="20"/>
              </w:rPr>
            </w:pPr>
          </w:p>
        </w:tc>
        <w:tc>
          <w:tcPr>
            <w:tcW w:w="0" w:type="auto"/>
            <w:gridSpan w:val="3"/>
            <w:vAlign w:val="center"/>
            <w:hideMark/>
          </w:tcPr>
          <w:p w14:paraId="160714CA" w14:textId="77777777" w:rsidR="00000000" w:rsidRDefault="001A570A">
            <w:pPr>
              <w:rPr>
                <w:rFonts w:eastAsia="Times New Roman"/>
                <w:sz w:val="20"/>
                <w:szCs w:val="20"/>
              </w:rPr>
            </w:pPr>
          </w:p>
        </w:tc>
      </w:tr>
      <w:tr w:rsidR="00000000" w14:paraId="3DF1904B" w14:textId="77777777">
        <w:trPr>
          <w:divId w:val="1145314945"/>
        </w:trPr>
        <w:tc>
          <w:tcPr>
            <w:tcW w:w="0" w:type="auto"/>
            <w:gridSpan w:val="3"/>
            <w:shd w:val="clear" w:color="auto" w:fill="CCEEFF"/>
            <w:tcMar>
              <w:top w:w="30" w:type="dxa"/>
              <w:left w:w="20" w:type="dxa"/>
              <w:bottom w:w="30" w:type="dxa"/>
              <w:right w:w="20" w:type="dxa"/>
            </w:tcMar>
            <w:vAlign w:val="bottom"/>
            <w:hideMark/>
          </w:tcPr>
          <w:p w14:paraId="502E1B95" w14:textId="77777777" w:rsidR="00000000" w:rsidRDefault="001A570A">
            <w:pPr>
              <w:rPr>
                <w:rFonts w:eastAsia="Times New Roman"/>
              </w:rPr>
            </w:pPr>
            <w:r>
              <w:rPr>
                <w:rFonts w:eastAsia="Times New Roman"/>
                <w:color w:val="000000"/>
                <w:sz w:val="20"/>
                <w:szCs w:val="20"/>
              </w:rPr>
              <w:t>Balance at June 28, 2019</w:t>
            </w:r>
          </w:p>
        </w:tc>
        <w:tc>
          <w:tcPr>
            <w:tcW w:w="0" w:type="auto"/>
            <w:shd w:val="clear" w:color="auto" w:fill="CCEEFF"/>
            <w:tcMar>
              <w:top w:w="30" w:type="dxa"/>
              <w:left w:w="20" w:type="dxa"/>
              <w:bottom w:w="30" w:type="dxa"/>
              <w:right w:w="0" w:type="dxa"/>
            </w:tcMar>
            <w:vAlign w:val="bottom"/>
            <w:hideMark/>
          </w:tcPr>
          <w:p w14:paraId="13E4FE7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03052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EA896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63081"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9F708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AD80BC"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55304B0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AC46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0E709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037A98"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21831CB8" w14:textId="77777777" w:rsidR="00000000" w:rsidRDefault="001A570A">
            <w:pPr>
              <w:jc w:val="right"/>
              <w:rPr>
                <w:rFonts w:eastAsia="Times New Roman"/>
              </w:rPr>
            </w:pPr>
          </w:p>
        </w:tc>
      </w:tr>
      <w:tr w:rsidR="00000000" w14:paraId="793E8400" w14:textId="77777777">
        <w:trPr>
          <w:divId w:val="1145314945"/>
        </w:trPr>
        <w:tc>
          <w:tcPr>
            <w:tcW w:w="0" w:type="auto"/>
            <w:gridSpan w:val="3"/>
            <w:shd w:val="clear" w:color="auto" w:fill="FFFFFF"/>
            <w:tcMar>
              <w:top w:w="30" w:type="dxa"/>
              <w:left w:w="20" w:type="dxa"/>
              <w:bottom w:w="30" w:type="dxa"/>
              <w:right w:w="20" w:type="dxa"/>
            </w:tcMar>
            <w:vAlign w:val="bottom"/>
            <w:hideMark/>
          </w:tcPr>
          <w:p w14:paraId="773951BA" w14:textId="77777777" w:rsidR="00000000" w:rsidRDefault="001A570A">
            <w:pPr>
              <w:rPr>
                <w:rFonts w:eastAsia="Times New Roman"/>
              </w:rPr>
            </w:pPr>
            <w:r>
              <w:rPr>
                <w:rFonts w:eastAsia="Times New Roman"/>
                <w:color w:val="000000"/>
                <w:sz w:val="20"/>
                <w:szCs w:val="20"/>
              </w:rPr>
              <w:t>Additional provisions</w:t>
            </w:r>
          </w:p>
        </w:tc>
        <w:tc>
          <w:tcPr>
            <w:tcW w:w="0" w:type="auto"/>
            <w:gridSpan w:val="2"/>
            <w:shd w:val="clear" w:color="auto" w:fill="FFFFFF"/>
            <w:tcMar>
              <w:top w:w="30" w:type="dxa"/>
              <w:left w:w="20" w:type="dxa"/>
              <w:bottom w:w="30" w:type="dxa"/>
              <w:right w:w="0" w:type="dxa"/>
            </w:tcMar>
            <w:vAlign w:val="bottom"/>
            <w:hideMark/>
          </w:tcPr>
          <w:p w14:paraId="6D014D85"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6607D8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5053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4D74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E2CA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134F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90367"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7CD457F0" w14:textId="77777777" w:rsidR="00000000" w:rsidRDefault="001A570A">
            <w:pPr>
              <w:jc w:val="right"/>
              <w:rPr>
                <w:rFonts w:eastAsia="Times New Roman"/>
              </w:rPr>
            </w:pPr>
          </w:p>
        </w:tc>
      </w:tr>
      <w:tr w:rsidR="00000000" w14:paraId="0467DFE0" w14:textId="77777777">
        <w:trPr>
          <w:divId w:val="1145314945"/>
        </w:trPr>
        <w:tc>
          <w:tcPr>
            <w:tcW w:w="0" w:type="auto"/>
            <w:gridSpan w:val="3"/>
            <w:shd w:val="clear" w:color="auto" w:fill="CCEEFF"/>
            <w:tcMar>
              <w:top w:w="30" w:type="dxa"/>
              <w:left w:w="20" w:type="dxa"/>
              <w:bottom w:w="30" w:type="dxa"/>
              <w:right w:w="20" w:type="dxa"/>
            </w:tcMar>
            <w:vAlign w:val="bottom"/>
            <w:hideMark/>
          </w:tcPr>
          <w:p w14:paraId="6E5AF0E7" w14:textId="77777777" w:rsidR="00000000" w:rsidRDefault="001A570A">
            <w:pPr>
              <w:rPr>
                <w:rFonts w:eastAsia="Times New Roman"/>
              </w:rPr>
            </w:pPr>
            <w:r>
              <w:rPr>
                <w:rFonts w:eastAsia="Times New Roman"/>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14:paraId="31D8C654" w14:textId="77777777" w:rsidR="00000000" w:rsidRDefault="001A570A">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643D5A7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4217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44F03"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A97E0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934C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B8C1E" w14:textId="77777777" w:rsidR="00000000" w:rsidRDefault="001A570A">
            <w:pPr>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14:paraId="5B8B2719" w14:textId="77777777" w:rsidR="00000000" w:rsidRDefault="001A570A">
            <w:pPr>
              <w:jc w:val="right"/>
              <w:rPr>
                <w:rFonts w:eastAsia="Times New Roman"/>
              </w:rPr>
            </w:pPr>
          </w:p>
        </w:tc>
      </w:tr>
      <w:tr w:rsidR="00000000" w14:paraId="501C5A00" w14:textId="77777777">
        <w:trPr>
          <w:divId w:val="1145314945"/>
        </w:trPr>
        <w:tc>
          <w:tcPr>
            <w:tcW w:w="0" w:type="auto"/>
            <w:gridSpan w:val="3"/>
            <w:shd w:val="clear" w:color="auto" w:fill="FFFFFF"/>
            <w:tcMar>
              <w:top w:w="30" w:type="dxa"/>
              <w:left w:w="20" w:type="dxa"/>
              <w:bottom w:w="30" w:type="dxa"/>
              <w:right w:w="20" w:type="dxa"/>
            </w:tcMar>
            <w:vAlign w:val="bottom"/>
            <w:hideMark/>
          </w:tcPr>
          <w:p w14:paraId="2004362C"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C9EE663"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56F94A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9030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52298"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17FCE3E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0081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2EE6F"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18820C3E" w14:textId="77777777" w:rsidR="00000000" w:rsidRDefault="001A570A">
            <w:pPr>
              <w:jc w:val="right"/>
              <w:rPr>
                <w:rFonts w:eastAsia="Times New Roman"/>
              </w:rPr>
            </w:pPr>
          </w:p>
        </w:tc>
      </w:tr>
      <w:tr w:rsidR="00000000" w14:paraId="11B234D7" w14:textId="77777777">
        <w:trPr>
          <w:divId w:val="1145314945"/>
        </w:trPr>
        <w:tc>
          <w:tcPr>
            <w:tcW w:w="0" w:type="auto"/>
            <w:gridSpan w:val="3"/>
            <w:shd w:val="clear" w:color="auto" w:fill="CCEEFF"/>
            <w:tcMar>
              <w:top w:w="30" w:type="dxa"/>
              <w:left w:w="20" w:type="dxa"/>
              <w:bottom w:w="30" w:type="dxa"/>
              <w:right w:w="20" w:type="dxa"/>
            </w:tcMar>
            <w:hideMark/>
          </w:tcPr>
          <w:p w14:paraId="6AB583AB" w14:textId="77777777" w:rsidR="00000000" w:rsidRDefault="001A570A">
            <w:pPr>
              <w:rPr>
                <w:rFonts w:eastAsia="Times New Roman"/>
              </w:rPr>
            </w:pPr>
            <w:r>
              <w:rPr>
                <w:rFonts w:eastAsia="Times New Roman"/>
                <w:color w:val="000000"/>
                <w:sz w:val="20"/>
                <w:szCs w:val="20"/>
              </w:rPr>
              <w:t>Balance at January 3,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8936E0" w14:textId="77777777" w:rsidR="00000000" w:rsidRDefault="001A570A">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AFD9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FC8B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B34702" w14:textId="77777777" w:rsidR="00000000" w:rsidRDefault="001A570A">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B7D23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98F6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CF5E6E" w14:textId="77777777" w:rsidR="00000000" w:rsidRDefault="001A570A">
            <w:pPr>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6646AC" w14:textId="77777777" w:rsidR="00000000" w:rsidRDefault="001A570A">
            <w:pPr>
              <w:jc w:val="right"/>
              <w:rPr>
                <w:rFonts w:eastAsia="Times New Roman"/>
              </w:rPr>
            </w:pPr>
          </w:p>
        </w:tc>
      </w:tr>
      <w:tr w:rsidR="00000000" w14:paraId="51807583" w14:textId="77777777">
        <w:trPr>
          <w:divId w:val="1145314945"/>
        </w:trPr>
        <w:tc>
          <w:tcPr>
            <w:tcW w:w="0" w:type="auto"/>
            <w:gridSpan w:val="3"/>
            <w:shd w:val="clear" w:color="auto" w:fill="FFFFFF"/>
            <w:tcMar>
              <w:top w:w="30" w:type="dxa"/>
              <w:left w:w="20" w:type="dxa"/>
              <w:bottom w:w="30" w:type="dxa"/>
              <w:right w:w="20" w:type="dxa"/>
            </w:tcMar>
            <w:hideMark/>
          </w:tcPr>
          <w:p w14:paraId="7CA1D56C" w14:textId="77777777" w:rsidR="00000000" w:rsidRDefault="001A570A">
            <w:pPr>
              <w:rPr>
                <w:rFonts w:eastAsia="Times New Roman"/>
              </w:rPr>
            </w:pPr>
            <w:r>
              <w:rPr>
                <w:rFonts w:eastAsia="Times New Roman"/>
                <w:color w:val="000000"/>
                <w:sz w:val="20"/>
                <w:szCs w:val="20"/>
              </w:rPr>
              <w:t>Additional provisions</w:t>
            </w:r>
          </w:p>
        </w:tc>
        <w:tc>
          <w:tcPr>
            <w:tcW w:w="0" w:type="auto"/>
            <w:gridSpan w:val="2"/>
            <w:shd w:val="clear" w:color="auto" w:fill="FFFFFF"/>
            <w:tcMar>
              <w:top w:w="30" w:type="dxa"/>
              <w:left w:w="20" w:type="dxa"/>
              <w:bottom w:w="30" w:type="dxa"/>
              <w:right w:w="0" w:type="dxa"/>
            </w:tcMar>
            <w:vAlign w:val="bottom"/>
            <w:hideMark/>
          </w:tcPr>
          <w:p w14:paraId="67858EB6"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09C0CD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2215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5592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08F0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4E9D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8BDFA2"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790F0D5C" w14:textId="77777777" w:rsidR="00000000" w:rsidRDefault="001A570A">
            <w:pPr>
              <w:jc w:val="right"/>
              <w:rPr>
                <w:rFonts w:eastAsia="Times New Roman"/>
              </w:rPr>
            </w:pPr>
          </w:p>
        </w:tc>
      </w:tr>
      <w:tr w:rsidR="00000000" w14:paraId="6FDDBDC1" w14:textId="77777777">
        <w:trPr>
          <w:divId w:val="1145314945"/>
        </w:trPr>
        <w:tc>
          <w:tcPr>
            <w:tcW w:w="0" w:type="auto"/>
            <w:gridSpan w:val="3"/>
            <w:shd w:val="clear" w:color="auto" w:fill="CCEEFF"/>
            <w:tcMar>
              <w:top w:w="30" w:type="dxa"/>
              <w:left w:w="20" w:type="dxa"/>
              <w:bottom w:w="30" w:type="dxa"/>
              <w:right w:w="20" w:type="dxa"/>
            </w:tcMar>
            <w:hideMark/>
          </w:tcPr>
          <w:p w14:paraId="4828FC6E" w14:textId="77777777" w:rsidR="00000000" w:rsidRDefault="001A570A">
            <w:pPr>
              <w:rPr>
                <w:rFonts w:eastAsia="Times New Roman"/>
              </w:rPr>
            </w:pPr>
            <w:r>
              <w:rPr>
                <w:rFonts w:eastAsia="Times New Roman"/>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14:paraId="6768D9A1" w14:textId="77777777" w:rsidR="00000000" w:rsidRDefault="001A570A">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14:paraId="3C71F53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A19B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AA681"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45726EE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5EED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93E52" w14:textId="77777777" w:rsidR="00000000" w:rsidRDefault="001A570A">
            <w:pPr>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14:paraId="7C58A5CE" w14:textId="77777777" w:rsidR="00000000" w:rsidRDefault="001A570A">
            <w:pPr>
              <w:jc w:val="right"/>
              <w:rPr>
                <w:rFonts w:eastAsia="Times New Roman"/>
              </w:rPr>
            </w:pPr>
          </w:p>
        </w:tc>
      </w:tr>
      <w:tr w:rsidR="00000000" w14:paraId="564EF9B6" w14:textId="77777777">
        <w:trPr>
          <w:divId w:val="1145314945"/>
        </w:trPr>
        <w:tc>
          <w:tcPr>
            <w:tcW w:w="0" w:type="auto"/>
            <w:gridSpan w:val="3"/>
            <w:shd w:val="clear" w:color="auto" w:fill="FFFFFF"/>
            <w:tcMar>
              <w:top w:w="30" w:type="dxa"/>
              <w:left w:w="20" w:type="dxa"/>
              <w:bottom w:w="30" w:type="dxa"/>
              <w:right w:w="20" w:type="dxa"/>
            </w:tcMar>
            <w:hideMark/>
          </w:tcPr>
          <w:p w14:paraId="28C580F0"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3BF0395A"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9D4F41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4A0E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E48A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F66D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F860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67120"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8CE8847" w14:textId="77777777" w:rsidR="00000000" w:rsidRDefault="001A570A">
            <w:pPr>
              <w:jc w:val="right"/>
              <w:rPr>
                <w:rFonts w:eastAsia="Times New Roman"/>
              </w:rPr>
            </w:pPr>
          </w:p>
        </w:tc>
      </w:tr>
      <w:tr w:rsidR="00000000" w14:paraId="2C0C6BE0" w14:textId="77777777">
        <w:trPr>
          <w:divId w:val="1145314945"/>
        </w:trPr>
        <w:tc>
          <w:tcPr>
            <w:tcW w:w="0" w:type="auto"/>
            <w:gridSpan w:val="3"/>
            <w:shd w:val="clear" w:color="auto" w:fill="CCEEFF"/>
            <w:tcMar>
              <w:top w:w="30" w:type="dxa"/>
              <w:left w:w="20" w:type="dxa"/>
              <w:bottom w:w="30" w:type="dxa"/>
              <w:right w:w="20" w:type="dxa"/>
            </w:tcMar>
            <w:hideMark/>
          </w:tcPr>
          <w:p w14:paraId="2ECEA6DE" w14:textId="77777777" w:rsidR="00000000" w:rsidRDefault="001A570A">
            <w:pPr>
              <w:rPr>
                <w:rFonts w:eastAsia="Times New Roman"/>
              </w:rPr>
            </w:pPr>
            <w:r>
              <w:rPr>
                <w:rFonts w:eastAsia="Times New Roman"/>
                <w:color w:val="000000"/>
                <w:sz w:val="20"/>
                <w:szCs w:val="20"/>
              </w:rPr>
              <w:t>Balance at January 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E44DC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883E1A" w14:textId="77777777" w:rsidR="00000000" w:rsidRDefault="001A570A">
            <w:pPr>
              <w:jc w:val="right"/>
              <w:rPr>
                <w:rFonts w:eastAsia="Times New Roman"/>
              </w:rPr>
            </w:pPr>
            <w:r>
              <w:rPr>
                <w:rFonts w:eastAsia="Times New Roman"/>
                <w:color w:val="000000"/>
                <w:sz w:val="20"/>
                <w:szCs w:val="20"/>
              </w:rPr>
              <w:t>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C36CD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38EF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011E6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F852DA" w14:textId="77777777" w:rsidR="00000000" w:rsidRDefault="001A570A">
            <w:pPr>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8F2B5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F9B8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7D5BF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3EAE43" w14:textId="77777777" w:rsidR="00000000" w:rsidRDefault="001A570A">
            <w:pPr>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B00067" w14:textId="77777777" w:rsidR="00000000" w:rsidRDefault="001A570A">
            <w:pPr>
              <w:jc w:val="right"/>
              <w:rPr>
                <w:rFonts w:eastAsia="Times New Roman"/>
              </w:rPr>
            </w:pPr>
          </w:p>
        </w:tc>
      </w:tr>
    </w:tbl>
    <w:p w14:paraId="73933EE6" w14:textId="77777777" w:rsidR="00000000" w:rsidRDefault="001A570A">
      <w:pPr>
        <w:divId w:val="1538663087"/>
        <w:rPr>
          <w:rFonts w:eastAsia="Times New Roman"/>
        </w:rPr>
      </w:pPr>
      <w:r>
        <w:rPr>
          <w:rFonts w:eastAsia="Times New Roman"/>
          <w:color w:val="000000"/>
          <w:sz w:val="16"/>
          <w:szCs w:val="16"/>
        </w:rPr>
        <w:t>_______________</w:t>
      </w:r>
    </w:p>
    <w:p w14:paraId="72E0E52E" w14:textId="77777777" w:rsidR="00000000" w:rsidRDefault="001A570A">
      <w:pPr>
        <w:ind w:hanging="360"/>
        <w:divId w:val="517157625"/>
        <w:rPr>
          <w:rFonts w:eastAsia="Times New Roman"/>
        </w:rPr>
      </w:pPr>
      <w:r>
        <w:rPr>
          <w:rFonts w:eastAsia="Times New Roman"/>
          <w:color w:val="000000"/>
          <w:sz w:val="16"/>
          <w:szCs w:val="16"/>
        </w:rPr>
        <w:t>(1)Excludes our operating lease liability related to L3’s former headquarter offices.</w:t>
      </w:r>
    </w:p>
    <w:p w14:paraId="38C4F7A5" w14:textId="77777777" w:rsidR="00000000" w:rsidRDefault="001A570A">
      <w:pPr>
        <w:divId w:val="214120056"/>
        <w:rPr>
          <w:rFonts w:eastAsia="Times New Roman"/>
        </w:rPr>
      </w:pPr>
      <w:r>
        <w:rPr>
          <w:rFonts w:eastAsia="Times New Roman"/>
          <w:b/>
          <w:bCs/>
          <w:color w:val="000000"/>
          <w:sz w:val="20"/>
          <w:szCs w:val="20"/>
        </w:rPr>
        <w:t>NOTE 5: BUSINESS COMBINATION</w:t>
      </w:r>
      <w:r>
        <w:rPr>
          <w:rFonts w:eastAsia="Times New Roman"/>
          <w:b/>
          <w:bCs/>
          <w:i/>
          <w:iCs/>
          <w:color w:val="000000"/>
          <w:sz w:val="20"/>
          <w:szCs w:val="20"/>
        </w:rPr>
        <w:t xml:space="preserve"> </w:t>
      </w:r>
    </w:p>
    <w:p w14:paraId="775D3800" w14:textId="77777777" w:rsidR="00000000" w:rsidRDefault="001A570A">
      <w:pPr>
        <w:ind w:firstLine="450"/>
        <w:divId w:val="848065763"/>
        <w:rPr>
          <w:rFonts w:eastAsia="Times New Roman"/>
        </w:rPr>
      </w:pPr>
      <w:r>
        <w:rPr>
          <w:rFonts w:eastAsia="Times New Roman"/>
          <w:color w:val="000000"/>
          <w:sz w:val="20"/>
          <w:szCs w:val="20"/>
        </w:rPr>
        <w:t>On October 12, 2018, Harris Corporation, a Delaware corporation, entered into an Agreement and Plan of Merger (the “Merger Agreement”) with L3 Technologies, Inc., a Delaware corporation, and Leopard Merger Sub Inc., a Delaware corporation and a newly forme</w:t>
      </w:r>
      <w:r>
        <w:rPr>
          <w:rFonts w:eastAsia="Times New Roman"/>
          <w:color w:val="000000"/>
          <w:sz w:val="20"/>
          <w:szCs w:val="20"/>
        </w:rPr>
        <w:t>d, direct wholly-owned subsidiary of Harris (“Merger Sub”), pursuant to which Harris and L3 agreed to combine their respective businesses in an all-stock merger, at the closing of which Merger Sub would merge with and into L3, with L3 continuing as the sur</w:t>
      </w:r>
      <w:r>
        <w:rPr>
          <w:rFonts w:eastAsia="Times New Roman"/>
          <w:color w:val="000000"/>
          <w:sz w:val="20"/>
          <w:szCs w:val="20"/>
        </w:rPr>
        <w:t xml:space="preserve">viving corporation and a direct wholly-owned subsidiary of Harris (the “L3Harris Merger”). </w:t>
      </w:r>
    </w:p>
    <w:p w14:paraId="4E3A47A5" w14:textId="77777777" w:rsidR="00000000" w:rsidRDefault="001A570A">
      <w:pPr>
        <w:ind w:firstLine="450"/>
        <w:divId w:val="1109467883"/>
        <w:rPr>
          <w:rFonts w:eastAsia="Times New Roman"/>
        </w:rPr>
      </w:pPr>
      <w:r>
        <w:rPr>
          <w:rFonts w:eastAsia="Times New Roman"/>
          <w:color w:val="000000"/>
          <w:sz w:val="20"/>
          <w:szCs w:val="20"/>
        </w:rPr>
        <w:t>The closing of the L3Harris Merger occurred on June 29, 2019 (“Closing Date”), the first day of our Fiscal Transition Period. Upon completion of the L3Harris Merger</w:t>
      </w:r>
      <w:r>
        <w:rPr>
          <w:rFonts w:eastAsia="Times New Roman"/>
          <w:color w:val="000000"/>
          <w:sz w:val="20"/>
          <w:szCs w:val="20"/>
        </w:rPr>
        <w:t xml:space="preserve">, Harris was renamed “L3Harris Technologies, Inc.” and each share of L3 </w:t>
      </w:r>
    </w:p>
    <w:p w14:paraId="2CDB514B" w14:textId="77777777" w:rsidR="00000000" w:rsidRDefault="001A570A">
      <w:pPr>
        <w:ind w:firstLine="450"/>
        <w:jc w:val="center"/>
        <w:divId w:val="560218538"/>
        <w:rPr>
          <w:rFonts w:eastAsia="Times New Roman"/>
        </w:rPr>
      </w:pPr>
      <w:r>
        <w:rPr>
          <w:rFonts w:eastAsia="Times New Roman"/>
          <w:color w:val="000000"/>
          <w:sz w:val="20"/>
          <w:szCs w:val="20"/>
        </w:rPr>
        <w:t>91</w:t>
      </w:r>
    </w:p>
    <w:p w14:paraId="74CA879B" w14:textId="77777777" w:rsidR="00000000" w:rsidRDefault="001A570A">
      <w:pPr>
        <w:rPr>
          <w:rFonts w:eastAsia="Times New Roman"/>
        </w:rPr>
      </w:pPr>
      <w:r>
        <w:rPr>
          <w:rFonts w:eastAsia="Times New Roman"/>
        </w:rPr>
        <w:pict w14:anchorId="4AE3F8C2">
          <v:rect id="_x0000_i1119" style="width:0;height:1.5pt" o:hralign="center" o:hrstd="t" o:hr="t" fillcolor="#a0a0a0" stroked="f"/>
        </w:pict>
      </w:r>
    </w:p>
    <w:p w14:paraId="18C12B97" w14:textId="77777777" w:rsidR="00000000" w:rsidRDefault="001A570A">
      <w:pPr>
        <w:ind w:firstLine="450"/>
        <w:divId w:val="1006976412"/>
        <w:rPr>
          <w:rFonts w:eastAsia="Times New Roman"/>
        </w:rPr>
      </w:pPr>
    </w:p>
    <w:p w14:paraId="45B1F115" w14:textId="77777777" w:rsidR="00000000" w:rsidRDefault="001A570A">
      <w:pPr>
        <w:divId w:val="1737242110"/>
        <w:rPr>
          <w:rFonts w:eastAsia="Times New Roman"/>
        </w:rPr>
      </w:pPr>
      <w:r>
        <w:rPr>
          <w:rFonts w:eastAsia="Times New Roman"/>
          <w:color w:val="000000"/>
          <w:sz w:val="20"/>
          <w:szCs w:val="20"/>
        </w:rPr>
        <w:t>common stock converted into the right to receive 1.30 shares (“Exchange Ratio”) of L3Harris common stock. Shares of L3Harris common stock, whi</w:t>
      </w:r>
      <w:r>
        <w:rPr>
          <w:rFonts w:eastAsia="Times New Roman"/>
          <w:color w:val="000000"/>
          <w:sz w:val="20"/>
          <w:szCs w:val="20"/>
        </w:rPr>
        <w:t>ch previously traded under ticker symbol “HRS” on the New York Stock Exchange prior to completion of the L3Harris Merger, are traded under ticker symbol “LHX” following completion of the L3Harris Merger. L3Harris was owned on a fully diluted basis 54 perce</w:t>
      </w:r>
      <w:r>
        <w:rPr>
          <w:rFonts w:eastAsia="Times New Roman"/>
          <w:color w:val="000000"/>
          <w:sz w:val="20"/>
          <w:szCs w:val="20"/>
        </w:rPr>
        <w:t>nt by Harris shareholders and 46 percent by L3 shareholders immediately following the completion of the L3Harris Merger.</w:t>
      </w:r>
    </w:p>
    <w:p w14:paraId="567A996E" w14:textId="77777777" w:rsidR="00000000" w:rsidRDefault="001A570A">
      <w:pPr>
        <w:ind w:firstLine="450"/>
        <w:divId w:val="1574008772"/>
        <w:rPr>
          <w:rFonts w:eastAsia="Times New Roman"/>
        </w:rPr>
      </w:pPr>
      <w:r>
        <w:rPr>
          <w:rFonts w:eastAsia="Times New Roman"/>
          <w:color w:val="000000"/>
          <w:sz w:val="20"/>
          <w:szCs w:val="20"/>
        </w:rPr>
        <w:t>L3 was a prime contractor in intelligence, surveillance and reconnaissance (“ISR”) systems, aircraft sustainment (including modificatio</w:t>
      </w:r>
      <w:r>
        <w:rPr>
          <w:rFonts w:eastAsia="Times New Roman"/>
          <w:color w:val="000000"/>
          <w:sz w:val="20"/>
          <w:szCs w:val="20"/>
        </w:rPr>
        <w:t>ns and fleet management of special mission aircraft), simulation and training, night vision and image intensification equipment, and security and detection systems. L3 also was a leading provider of a broad range of communication, electronic and sensor sys</w:t>
      </w:r>
      <w:r>
        <w:rPr>
          <w:rFonts w:eastAsia="Times New Roman"/>
          <w:color w:val="000000"/>
          <w:sz w:val="20"/>
          <w:szCs w:val="20"/>
        </w:rPr>
        <w:t>tems used on military, homeland security and commercial platforms. L3 employed approximately 31,000 employees and its customers included the U.S. Department of Defense and its prime contractors, the U.S. Intelligence Community, the U.S. Department of Homel</w:t>
      </w:r>
      <w:r>
        <w:rPr>
          <w:rFonts w:eastAsia="Times New Roman"/>
          <w:color w:val="000000"/>
          <w:sz w:val="20"/>
          <w:szCs w:val="20"/>
        </w:rPr>
        <w:t>and Security, foreign governments and domestic and foreign commercial customers. L3 generated calendar 2018 revenue of approximately $10 billion.</w:t>
      </w:r>
    </w:p>
    <w:p w14:paraId="385CF2E5" w14:textId="77777777" w:rsidR="00000000" w:rsidRDefault="001A570A">
      <w:pPr>
        <w:ind w:firstLine="450"/>
        <w:divId w:val="1295330925"/>
        <w:rPr>
          <w:rFonts w:eastAsia="Times New Roman"/>
        </w:rPr>
      </w:pPr>
      <w:r>
        <w:rPr>
          <w:rFonts w:eastAsia="Times New Roman"/>
          <w:color w:val="000000"/>
          <w:sz w:val="20"/>
          <w:szCs w:val="20"/>
        </w:rPr>
        <w:t>In connection with completion of the L3Harris Merger, we issued to L3 shareholders 104 million shares of L3Har</w:t>
      </w:r>
      <w:r>
        <w:rPr>
          <w:rFonts w:eastAsia="Times New Roman"/>
          <w:color w:val="000000"/>
          <w:sz w:val="20"/>
          <w:szCs w:val="20"/>
        </w:rPr>
        <w:t>ris common stock, the trading price of which was $189.13 per share as of the Closing Date. In addition, we issued L3Harris share-based awards in replacement of certain outstanding L3 share-based awards held by employees.</w:t>
      </w:r>
    </w:p>
    <w:p w14:paraId="60DEFE2D" w14:textId="77777777" w:rsidR="00000000" w:rsidRDefault="001A570A">
      <w:pPr>
        <w:ind w:firstLine="450"/>
        <w:divId w:val="863637524"/>
        <w:rPr>
          <w:rFonts w:eastAsia="Times New Roman"/>
        </w:rPr>
      </w:pPr>
      <w:r>
        <w:rPr>
          <w:rFonts w:eastAsia="Times New Roman"/>
          <w:color w:val="000000"/>
          <w:sz w:val="20"/>
          <w:szCs w:val="20"/>
        </w:rPr>
        <w:t>We accounted for the L3Harris Merge</w:t>
      </w:r>
      <w:r>
        <w:rPr>
          <w:rFonts w:eastAsia="Times New Roman"/>
          <w:color w:val="000000"/>
          <w:sz w:val="20"/>
          <w:szCs w:val="20"/>
        </w:rPr>
        <w:t xml:space="preserve">r under the acquisition method of accounting, which required us to measure identifiable assets acquired, liabilities assumed and any noncontrolling interests in the acquiree at their fair values as of the Closing Date, with the excess of the consideration </w:t>
      </w:r>
      <w:r>
        <w:rPr>
          <w:rFonts w:eastAsia="Times New Roman"/>
          <w:color w:val="000000"/>
          <w:sz w:val="20"/>
          <w:szCs w:val="20"/>
        </w:rPr>
        <w:t xml:space="preserve">transferred over those fair values recorded as goodwill. </w:t>
      </w:r>
    </w:p>
    <w:p w14:paraId="65C9ED05" w14:textId="77777777" w:rsidR="00000000" w:rsidRDefault="001A570A">
      <w:pPr>
        <w:ind w:firstLine="450"/>
        <w:divId w:val="1701779108"/>
        <w:rPr>
          <w:rFonts w:eastAsia="Times New Roman"/>
        </w:rPr>
      </w:pPr>
      <w:r>
        <w:rPr>
          <w:rFonts w:eastAsia="Times New Roman"/>
          <w:color w:val="000000"/>
          <w:sz w:val="20"/>
          <w:szCs w:val="20"/>
        </w:rPr>
        <w:t xml:space="preserve">Our calculation of consideration transferred is as follows: </w:t>
      </w:r>
    </w:p>
    <w:tbl>
      <w:tblPr>
        <w:tblW w:w="4956" w:type="pct"/>
        <w:tblCellMar>
          <w:top w:w="15" w:type="dxa"/>
          <w:left w:w="15" w:type="dxa"/>
          <w:bottom w:w="15" w:type="dxa"/>
          <w:right w:w="15" w:type="dxa"/>
        </w:tblCellMar>
        <w:tblLook w:val="04A0" w:firstRow="1" w:lastRow="0" w:firstColumn="1" w:lastColumn="0" w:noHBand="0" w:noVBand="1"/>
      </w:tblPr>
      <w:tblGrid>
        <w:gridCol w:w="50"/>
        <w:gridCol w:w="7121"/>
        <w:gridCol w:w="39"/>
        <w:gridCol w:w="120"/>
        <w:gridCol w:w="867"/>
        <w:gridCol w:w="36"/>
      </w:tblGrid>
      <w:tr w:rsidR="00000000" w14:paraId="43793FE1" w14:textId="77777777">
        <w:trPr>
          <w:divId w:val="156964962"/>
        </w:trPr>
        <w:tc>
          <w:tcPr>
            <w:tcW w:w="50" w:type="pct"/>
            <w:vAlign w:val="center"/>
            <w:hideMark/>
          </w:tcPr>
          <w:p w14:paraId="0E96CF82" w14:textId="77777777" w:rsidR="00000000" w:rsidRDefault="001A570A">
            <w:pPr>
              <w:ind w:firstLine="450"/>
              <w:rPr>
                <w:rFonts w:eastAsia="Times New Roman"/>
              </w:rPr>
            </w:pPr>
          </w:p>
        </w:tc>
        <w:tc>
          <w:tcPr>
            <w:tcW w:w="4343" w:type="pct"/>
            <w:vAlign w:val="center"/>
            <w:hideMark/>
          </w:tcPr>
          <w:p w14:paraId="4AA356EA" w14:textId="77777777" w:rsidR="00000000" w:rsidRDefault="001A570A">
            <w:pPr>
              <w:rPr>
                <w:rFonts w:eastAsia="Times New Roman"/>
                <w:sz w:val="20"/>
                <w:szCs w:val="20"/>
              </w:rPr>
            </w:pPr>
          </w:p>
        </w:tc>
        <w:tc>
          <w:tcPr>
            <w:tcW w:w="5" w:type="pct"/>
            <w:vAlign w:val="center"/>
            <w:hideMark/>
          </w:tcPr>
          <w:p w14:paraId="774A1AAF" w14:textId="77777777" w:rsidR="00000000" w:rsidRDefault="001A570A">
            <w:pPr>
              <w:rPr>
                <w:rFonts w:eastAsia="Times New Roman"/>
                <w:sz w:val="20"/>
                <w:szCs w:val="20"/>
              </w:rPr>
            </w:pPr>
          </w:p>
        </w:tc>
        <w:tc>
          <w:tcPr>
            <w:tcW w:w="50" w:type="pct"/>
            <w:vAlign w:val="center"/>
            <w:hideMark/>
          </w:tcPr>
          <w:p w14:paraId="70EE96F2" w14:textId="77777777" w:rsidR="00000000" w:rsidRDefault="001A570A">
            <w:pPr>
              <w:rPr>
                <w:rFonts w:eastAsia="Times New Roman"/>
                <w:sz w:val="20"/>
                <w:szCs w:val="20"/>
              </w:rPr>
            </w:pPr>
          </w:p>
        </w:tc>
        <w:tc>
          <w:tcPr>
            <w:tcW w:w="546" w:type="pct"/>
            <w:vAlign w:val="center"/>
            <w:hideMark/>
          </w:tcPr>
          <w:p w14:paraId="0C21A6FF" w14:textId="77777777" w:rsidR="00000000" w:rsidRDefault="001A570A">
            <w:pPr>
              <w:rPr>
                <w:rFonts w:eastAsia="Times New Roman"/>
                <w:sz w:val="20"/>
                <w:szCs w:val="20"/>
              </w:rPr>
            </w:pPr>
          </w:p>
        </w:tc>
        <w:tc>
          <w:tcPr>
            <w:tcW w:w="5" w:type="pct"/>
            <w:vAlign w:val="center"/>
            <w:hideMark/>
          </w:tcPr>
          <w:p w14:paraId="02103977" w14:textId="77777777" w:rsidR="00000000" w:rsidRDefault="001A570A">
            <w:pPr>
              <w:rPr>
                <w:rFonts w:eastAsia="Times New Roman"/>
                <w:sz w:val="20"/>
                <w:szCs w:val="20"/>
              </w:rPr>
            </w:pPr>
          </w:p>
        </w:tc>
      </w:tr>
      <w:tr w:rsidR="00000000" w14:paraId="1B076651" w14:textId="77777777">
        <w:trPr>
          <w:divId w:val="156964962"/>
        </w:trPr>
        <w:tc>
          <w:tcPr>
            <w:tcW w:w="0" w:type="auto"/>
            <w:gridSpan w:val="3"/>
            <w:tcMar>
              <w:top w:w="30" w:type="dxa"/>
              <w:left w:w="20" w:type="dxa"/>
              <w:bottom w:w="30" w:type="dxa"/>
              <w:right w:w="20" w:type="dxa"/>
            </w:tcMar>
            <w:vAlign w:val="bottom"/>
            <w:hideMark/>
          </w:tcPr>
          <w:p w14:paraId="1D9476AE" w14:textId="77777777" w:rsidR="00000000" w:rsidRDefault="001A570A">
            <w:pPr>
              <w:rPr>
                <w:rFonts w:eastAsia="Times New Roman"/>
              </w:rPr>
            </w:pPr>
            <w:r>
              <w:rPr>
                <w:rFonts w:eastAsia="Times New Roman"/>
                <w:b/>
                <w:bCs/>
                <w:color w:val="000000"/>
                <w:sz w:val="16"/>
                <w:szCs w:val="16"/>
              </w:rPr>
              <w:t>(In millions, except exchange ratio and per share amounts)</w:t>
            </w:r>
          </w:p>
        </w:tc>
        <w:tc>
          <w:tcPr>
            <w:tcW w:w="0" w:type="auto"/>
            <w:gridSpan w:val="3"/>
            <w:tcMar>
              <w:top w:w="30" w:type="dxa"/>
              <w:left w:w="20" w:type="dxa"/>
              <w:bottom w:w="30" w:type="dxa"/>
              <w:right w:w="20" w:type="dxa"/>
            </w:tcMar>
            <w:vAlign w:val="bottom"/>
            <w:hideMark/>
          </w:tcPr>
          <w:p w14:paraId="6399B6D1" w14:textId="77777777" w:rsidR="00000000" w:rsidRDefault="001A570A">
            <w:pPr>
              <w:jc w:val="center"/>
              <w:rPr>
                <w:rFonts w:eastAsia="Times New Roman"/>
              </w:rPr>
            </w:pPr>
            <w:r>
              <w:rPr>
                <w:rFonts w:eastAsia="Times New Roman"/>
                <w:b/>
                <w:bCs/>
                <w:color w:val="000000"/>
                <w:sz w:val="16"/>
                <w:szCs w:val="16"/>
              </w:rPr>
              <w:t>June 29, 2019</w:t>
            </w:r>
          </w:p>
        </w:tc>
      </w:tr>
      <w:tr w:rsidR="00000000" w14:paraId="741229AE" w14:textId="77777777">
        <w:trPr>
          <w:divId w:val="156964962"/>
          <w:trHeight w:val="60"/>
        </w:trPr>
        <w:tc>
          <w:tcPr>
            <w:tcW w:w="0" w:type="auto"/>
            <w:gridSpan w:val="3"/>
            <w:tcMar>
              <w:top w:w="0" w:type="dxa"/>
              <w:left w:w="20" w:type="dxa"/>
              <w:bottom w:w="0" w:type="dxa"/>
              <w:right w:w="20" w:type="dxa"/>
            </w:tcMar>
            <w:vAlign w:val="center"/>
            <w:hideMark/>
          </w:tcPr>
          <w:p w14:paraId="05ECE49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0AC41B" w14:textId="77777777" w:rsidR="00000000" w:rsidRDefault="001A570A">
            <w:pPr>
              <w:rPr>
                <w:rFonts w:eastAsia="Times New Roman"/>
                <w:sz w:val="20"/>
                <w:szCs w:val="20"/>
              </w:rPr>
            </w:pPr>
          </w:p>
        </w:tc>
      </w:tr>
      <w:tr w:rsidR="00000000" w14:paraId="3F36AC27" w14:textId="77777777">
        <w:trPr>
          <w:divId w:val="156964962"/>
        </w:trPr>
        <w:tc>
          <w:tcPr>
            <w:tcW w:w="0" w:type="auto"/>
            <w:gridSpan w:val="3"/>
            <w:shd w:val="clear" w:color="auto" w:fill="CCEEFF"/>
            <w:tcMar>
              <w:top w:w="30" w:type="dxa"/>
              <w:left w:w="20" w:type="dxa"/>
              <w:bottom w:w="30" w:type="dxa"/>
              <w:right w:w="20" w:type="dxa"/>
            </w:tcMar>
            <w:vAlign w:val="bottom"/>
            <w:hideMark/>
          </w:tcPr>
          <w:p w14:paraId="77D5EB5F" w14:textId="77777777" w:rsidR="00000000" w:rsidRDefault="001A570A">
            <w:pPr>
              <w:rPr>
                <w:rFonts w:eastAsia="Times New Roman"/>
              </w:rPr>
            </w:pPr>
            <w:r>
              <w:rPr>
                <w:rFonts w:eastAsia="Times New Roman"/>
                <w:color w:val="000000"/>
                <w:sz w:val="20"/>
                <w:szCs w:val="20"/>
              </w:rPr>
              <w:t>Outstanding shares of L3 common stock as of June 28, 2019</w:t>
            </w:r>
          </w:p>
        </w:tc>
        <w:tc>
          <w:tcPr>
            <w:tcW w:w="0" w:type="auto"/>
            <w:gridSpan w:val="2"/>
            <w:shd w:val="clear" w:color="auto" w:fill="CCEEFF"/>
            <w:tcMar>
              <w:top w:w="30" w:type="dxa"/>
              <w:left w:w="20" w:type="dxa"/>
              <w:bottom w:w="30" w:type="dxa"/>
              <w:right w:w="0" w:type="dxa"/>
            </w:tcMar>
            <w:vAlign w:val="bottom"/>
            <w:hideMark/>
          </w:tcPr>
          <w:p w14:paraId="64B3A2C1" w14:textId="77777777" w:rsidR="00000000" w:rsidRDefault="001A570A">
            <w:pPr>
              <w:jc w:val="right"/>
              <w:rPr>
                <w:rFonts w:eastAsia="Times New Roman"/>
              </w:rPr>
            </w:pPr>
            <w:r>
              <w:rPr>
                <w:rFonts w:eastAsia="Times New Roman"/>
                <w:color w:val="000000"/>
                <w:sz w:val="20"/>
                <w:szCs w:val="20"/>
              </w:rPr>
              <w:t>79.63 </w:t>
            </w:r>
          </w:p>
        </w:tc>
        <w:tc>
          <w:tcPr>
            <w:tcW w:w="0" w:type="auto"/>
            <w:shd w:val="clear" w:color="auto" w:fill="CCEEFF"/>
            <w:tcMar>
              <w:top w:w="30" w:type="dxa"/>
              <w:left w:w="0" w:type="dxa"/>
              <w:bottom w:w="30" w:type="dxa"/>
              <w:right w:w="20" w:type="dxa"/>
            </w:tcMar>
            <w:vAlign w:val="bottom"/>
            <w:hideMark/>
          </w:tcPr>
          <w:p w14:paraId="5A77C112" w14:textId="77777777" w:rsidR="00000000" w:rsidRDefault="001A570A">
            <w:pPr>
              <w:jc w:val="right"/>
              <w:rPr>
                <w:rFonts w:eastAsia="Times New Roman"/>
              </w:rPr>
            </w:pPr>
          </w:p>
        </w:tc>
      </w:tr>
      <w:tr w:rsidR="00000000" w14:paraId="23F9BE8B" w14:textId="77777777">
        <w:trPr>
          <w:divId w:val="156964962"/>
        </w:trPr>
        <w:tc>
          <w:tcPr>
            <w:tcW w:w="0" w:type="auto"/>
            <w:gridSpan w:val="3"/>
            <w:shd w:val="clear" w:color="auto" w:fill="FFFFFF"/>
            <w:tcMar>
              <w:top w:w="30" w:type="dxa"/>
              <w:left w:w="20" w:type="dxa"/>
              <w:bottom w:w="30" w:type="dxa"/>
              <w:right w:w="20" w:type="dxa"/>
            </w:tcMar>
            <w:vAlign w:val="bottom"/>
            <w:hideMark/>
          </w:tcPr>
          <w:p w14:paraId="2F771B20" w14:textId="77777777" w:rsidR="00000000" w:rsidRDefault="001A570A">
            <w:pPr>
              <w:rPr>
                <w:rFonts w:eastAsia="Times New Roman"/>
              </w:rPr>
            </w:pPr>
            <w:r>
              <w:rPr>
                <w:rFonts w:eastAsia="Times New Roman"/>
                <w:color w:val="000000"/>
                <w:sz w:val="20"/>
                <w:szCs w:val="20"/>
              </w:rPr>
              <w:t>L3 restricted stock unit awards settled in shares of L3Harris common stock</w:t>
            </w:r>
          </w:p>
        </w:tc>
        <w:tc>
          <w:tcPr>
            <w:tcW w:w="0" w:type="auto"/>
            <w:gridSpan w:val="2"/>
            <w:shd w:val="clear" w:color="auto" w:fill="FFFFFF"/>
            <w:tcMar>
              <w:top w:w="30" w:type="dxa"/>
              <w:left w:w="20" w:type="dxa"/>
              <w:bottom w:w="30" w:type="dxa"/>
              <w:right w:w="0" w:type="dxa"/>
            </w:tcMar>
            <w:vAlign w:val="bottom"/>
            <w:hideMark/>
          </w:tcPr>
          <w:p w14:paraId="075874FE" w14:textId="77777777" w:rsidR="00000000" w:rsidRDefault="001A570A">
            <w:pPr>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14:paraId="678CE9FF" w14:textId="77777777" w:rsidR="00000000" w:rsidRDefault="001A570A">
            <w:pPr>
              <w:jc w:val="right"/>
              <w:rPr>
                <w:rFonts w:eastAsia="Times New Roman"/>
              </w:rPr>
            </w:pPr>
          </w:p>
        </w:tc>
      </w:tr>
      <w:tr w:rsidR="00000000" w14:paraId="757B58F2" w14:textId="77777777">
        <w:trPr>
          <w:divId w:val="156964962"/>
        </w:trPr>
        <w:tc>
          <w:tcPr>
            <w:tcW w:w="0" w:type="auto"/>
            <w:gridSpan w:val="3"/>
            <w:shd w:val="clear" w:color="auto" w:fill="CCEEFF"/>
            <w:tcMar>
              <w:top w:w="30" w:type="dxa"/>
              <w:left w:w="20" w:type="dxa"/>
              <w:bottom w:w="30" w:type="dxa"/>
              <w:right w:w="20" w:type="dxa"/>
            </w:tcMar>
            <w:vAlign w:val="bottom"/>
            <w:hideMark/>
          </w:tcPr>
          <w:p w14:paraId="3F0FAB58" w14:textId="77777777" w:rsidR="00000000" w:rsidRDefault="001A570A">
            <w:pPr>
              <w:rPr>
                <w:rFonts w:eastAsia="Times New Roman"/>
              </w:rPr>
            </w:pPr>
            <w:r>
              <w:rPr>
                <w:rFonts w:eastAsia="Times New Roman"/>
                <w:color w:val="000000"/>
                <w:sz w:val="20"/>
                <w:szCs w:val="20"/>
              </w:rPr>
              <w:t>L3 performance unit awards settled in shares of L3Harris common stock</w:t>
            </w:r>
          </w:p>
        </w:tc>
        <w:tc>
          <w:tcPr>
            <w:tcW w:w="0" w:type="auto"/>
            <w:gridSpan w:val="2"/>
            <w:shd w:val="clear" w:color="auto" w:fill="CCEEFF"/>
            <w:tcMar>
              <w:top w:w="30" w:type="dxa"/>
              <w:left w:w="20" w:type="dxa"/>
              <w:bottom w:w="30" w:type="dxa"/>
              <w:right w:w="0" w:type="dxa"/>
            </w:tcMar>
            <w:vAlign w:val="bottom"/>
            <w:hideMark/>
          </w:tcPr>
          <w:p w14:paraId="572D286F" w14:textId="77777777" w:rsidR="00000000" w:rsidRDefault="001A570A">
            <w:pPr>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14:paraId="7A74FF84" w14:textId="77777777" w:rsidR="00000000" w:rsidRDefault="001A570A">
            <w:pPr>
              <w:jc w:val="right"/>
              <w:rPr>
                <w:rFonts w:eastAsia="Times New Roman"/>
              </w:rPr>
            </w:pPr>
          </w:p>
        </w:tc>
      </w:tr>
      <w:tr w:rsidR="00000000" w14:paraId="0ECDDD95" w14:textId="77777777">
        <w:trPr>
          <w:divId w:val="156964962"/>
        </w:trPr>
        <w:tc>
          <w:tcPr>
            <w:tcW w:w="0" w:type="auto"/>
            <w:gridSpan w:val="3"/>
            <w:shd w:val="clear" w:color="auto" w:fill="FFFFFF"/>
            <w:tcMar>
              <w:top w:w="0" w:type="dxa"/>
              <w:left w:w="20" w:type="dxa"/>
              <w:bottom w:w="0" w:type="dxa"/>
              <w:right w:w="20" w:type="dxa"/>
            </w:tcMar>
            <w:vAlign w:val="center"/>
            <w:hideMark/>
          </w:tcPr>
          <w:p w14:paraId="18102EA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D9B3ED" w14:textId="77777777" w:rsidR="00000000" w:rsidRDefault="001A570A">
            <w:pPr>
              <w:jc w:val="right"/>
              <w:rPr>
                <w:rFonts w:eastAsia="Times New Roman"/>
              </w:rPr>
            </w:pPr>
            <w:r>
              <w:rPr>
                <w:rFonts w:eastAsia="Times New Roman"/>
                <w:color w:val="000000"/>
                <w:sz w:val="20"/>
                <w:szCs w:val="20"/>
              </w:rPr>
              <w:t>80.08 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D851FB" w14:textId="77777777" w:rsidR="00000000" w:rsidRDefault="001A570A">
            <w:pPr>
              <w:jc w:val="right"/>
              <w:rPr>
                <w:rFonts w:eastAsia="Times New Roman"/>
              </w:rPr>
            </w:pPr>
          </w:p>
        </w:tc>
      </w:tr>
      <w:tr w:rsidR="00000000" w14:paraId="66E187DC" w14:textId="77777777">
        <w:trPr>
          <w:divId w:val="156964962"/>
        </w:trPr>
        <w:tc>
          <w:tcPr>
            <w:tcW w:w="0" w:type="auto"/>
            <w:gridSpan w:val="3"/>
            <w:shd w:val="clear" w:color="auto" w:fill="CCEEFF"/>
            <w:tcMar>
              <w:top w:w="30" w:type="dxa"/>
              <w:left w:w="20" w:type="dxa"/>
              <w:bottom w:w="30" w:type="dxa"/>
              <w:right w:w="20" w:type="dxa"/>
            </w:tcMar>
            <w:vAlign w:val="bottom"/>
            <w:hideMark/>
          </w:tcPr>
          <w:p w14:paraId="0ABA56FA" w14:textId="77777777" w:rsidR="00000000" w:rsidRDefault="001A570A">
            <w:pPr>
              <w:rPr>
                <w:rFonts w:eastAsia="Times New Roman"/>
              </w:rPr>
            </w:pPr>
            <w:r>
              <w:rPr>
                <w:rFonts w:eastAsia="Times New Roman"/>
                <w:color w:val="000000"/>
                <w:sz w:val="20"/>
                <w:szCs w:val="20"/>
              </w:rPr>
              <w:t>Exchange Ratio</w:t>
            </w:r>
          </w:p>
        </w:tc>
        <w:tc>
          <w:tcPr>
            <w:tcW w:w="0" w:type="auto"/>
            <w:gridSpan w:val="2"/>
            <w:shd w:val="clear" w:color="auto" w:fill="CCEEFF"/>
            <w:tcMar>
              <w:top w:w="30" w:type="dxa"/>
              <w:left w:w="20" w:type="dxa"/>
              <w:bottom w:w="30" w:type="dxa"/>
              <w:right w:w="0" w:type="dxa"/>
            </w:tcMar>
            <w:vAlign w:val="bottom"/>
            <w:hideMark/>
          </w:tcPr>
          <w:p w14:paraId="29A770FD" w14:textId="77777777" w:rsidR="00000000" w:rsidRDefault="001A570A">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14:paraId="17A66E48" w14:textId="77777777" w:rsidR="00000000" w:rsidRDefault="001A570A">
            <w:pPr>
              <w:jc w:val="right"/>
              <w:rPr>
                <w:rFonts w:eastAsia="Times New Roman"/>
              </w:rPr>
            </w:pPr>
          </w:p>
        </w:tc>
      </w:tr>
      <w:tr w:rsidR="00000000" w14:paraId="46CFE974" w14:textId="77777777">
        <w:trPr>
          <w:divId w:val="156964962"/>
        </w:trPr>
        <w:tc>
          <w:tcPr>
            <w:tcW w:w="0" w:type="auto"/>
            <w:gridSpan w:val="3"/>
            <w:shd w:val="clear" w:color="auto" w:fill="FFFFFF"/>
            <w:tcMar>
              <w:top w:w="30" w:type="dxa"/>
              <w:left w:w="20" w:type="dxa"/>
              <w:bottom w:w="30" w:type="dxa"/>
              <w:right w:w="20" w:type="dxa"/>
            </w:tcMar>
            <w:vAlign w:val="bottom"/>
            <w:hideMark/>
          </w:tcPr>
          <w:p w14:paraId="7525FC9A" w14:textId="77777777" w:rsidR="00000000" w:rsidRDefault="001A570A">
            <w:pPr>
              <w:rPr>
                <w:rFonts w:eastAsia="Times New Roman"/>
              </w:rPr>
            </w:pPr>
            <w:r>
              <w:rPr>
                <w:rFonts w:eastAsia="Times New Roman"/>
                <w:color w:val="000000"/>
                <w:sz w:val="20"/>
                <w:szCs w:val="20"/>
              </w:rPr>
              <w:t>Shares of L3Harris common stock issued for L3 outstanding common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589F8C" w14:textId="77777777" w:rsidR="00000000" w:rsidRDefault="001A570A">
            <w:pPr>
              <w:jc w:val="right"/>
              <w:rPr>
                <w:rFonts w:eastAsia="Times New Roman"/>
              </w:rPr>
            </w:pPr>
            <w:r>
              <w:rPr>
                <w:rFonts w:eastAsia="Times New Roman"/>
                <w:color w:val="000000"/>
                <w:sz w:val="20"/>
                <w:szCs w:val="20"/>
              </w:rPr>
              <w:t>104.10 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EDA496" w14:textId="77777777" w:rsidR="00000000" w:rsidRDefault="001A570A">
            <w:pPr>
              <w:jc w:val="right"/>
              <w:rPr>
                <w:rFonts w:eastAsia="Times New Roman"/>
              </w:rPr>
            </w:pPr>
          </w:p>
        </w:tc>
      </w:tr>
      <w:tr w:rsidR="00000000" w14:paraId="5738634B" w14:textId="77777777">
        <w:trPr>
          <w:divId w:val="156964962"/>
        </w:trPr>
        <w:tc>
          <w:tcPr>
            <w:tcW w:w="0" w:type="auto"/>
            <w:gridSpan w:val="3"/>
            <w:shd w:val="clear" w:color="auto" w:fill="CCEEFF"/>
            <w:tcMar>
              <w:top w:w="30" w:type="dxa"/>
              <w:left w:w="20" w:type="dxa"/>
              <w:bottom w:w="30" w:type="dxa"/>
              <w:right w:w="20" w:type="dxa"/>
            </w:tcMar>
            <w:vAlign w:val="bottom"/>
            <w:hideMark/>
          </w:tcPr>
          <w:p w14:paraId="313BF49D" w14:textId="77777777" w:rsidR="00000000" w:rsidRDefault="001A570A">
            <w:pPr>
              <w:rPr>
                <w:rFonts w:eastAsia="Times New Roman"/>
              </w:rPr>
            </w:pPr>
            <w:r>
              <w:rPr>
                <w:rFonts w:eastAsia="Times New Roman"/>
                <w:color w:val="000000"/>
                <w:sz w:val="20"/>
                <w:szCs w:val="20"/>
              </w:rPr>
              <w:t>Price per share of L3Harris common stock as of June 28, 2019</w:t>
            </w:r>
          </w:p>
        </w:tc>
        <w:tc>
          <w:tcPr>
            <w:tcW w:w="0" w:type="auto"/>
            <w:shd w:val="clear" w:color="auto" w:fill="CCEEFF"/>
            <w:tcMar>
              <w:top w:w="30" w:type="dxa"/>
              <w:left w:w="20" w:type="dxa"/>
              <w:bottom w:w="30" w:type="dxa"/>
              <w:right w:w="0" w:type="dxa"/>
            </w:tcMar>
            <w:vAlign w:val="bottom"/>
            <w:hideMark/>
          </w:tcPr>
          <w:p w14:paraId="6423ECF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46E04D" w14:textId="77777777" w:rsidR="00000000" w:rsidRDefault="001A570A">
            <w:pPr>
              <w:jc w:val="right"/>
              <w:rPr>
                <w:rFonts w:eastAsia="Times New Roman"/>
              </w:rPr>
            </w:pPr>
            <w:r>
              <w:rPr>
                <w:rFonts w:eastAsia="Times New Roman"/>
                <w:color w:val="000000"/>
                <w:sz w:val="20"/>
                <w:szCs w:val="20"/>
              </w:rPr>
              <w:t>189.13 </w:t>
            </w:r>
          </w:p>
        </w:tc>
        <w:tc>
          <w:tcPr>
            <w:tcW w:w="0" w:type="auto"/>
            <w:shd w:val="clear" w:color="auto" w:fill="CCEEFF"/>
            <w:tcMar>
              <w:top w:w="30" w:type="dxa"/>
              <w:left w:w="0" w:type="dxa"/>
              <w:bottom w:w="30" w:type="dxa"/>
              <w:right w:w="20" w:type="dxa"/>
            </w:tcMar>
            <w:vAlign w:val="bottom"/>
            <w:hideMark/>
          </w:tcPr>
          <w:p w14:paraId="2717CDA1" w14:textId="77777777" w:rsidR="00000000" w:rsidRDefault="001A570A">
            <w:pPr>
              <w:jc w:val="right"/>
              <w:rPr>
                <w:rFonts w:eastAsia="Times New Roman"/>
              </w:rPr>
            </w:pPr>
          </w:p>
        </w:tc>
      </w:tr>
      <w:tr w:rsidR="00000000" w14:paraId="42F23B89" w14:textId="77777777">
        <w:trPr>
          <w:divId w:val="156964962"/>
        </w:trPr>
        <w:tc>
          <w:tcPr>
            <w:tcW w:w="0" w:type="auto"/>
            <w:gridSpan w:val="3"/>
            <w:shd w:val="clear" w:color="auto" w:fill="FFFFFF"/>
            <w:tcMar>
              <w:top w:w="30" w:type="dxa"/>
              <w:left w:w="245" w:type="dxa"/>
              <w:bottom w:w="30" w:type="dxa"/>
              <w:right w:w="20" w:type="dxa"/>
            </w:tcMar>
            <w:vAlign w:val="bottom"/>
            <w:hideMark/>
          </w:tcPr>
          <w:p w14:paraId="29460ADD" w14:textId="77777777" w:rsidR="00000000" w:rsidRDefault="001A570A">
            <w:pPr>
              <w:rPr>
                <w:rFonts w:eastAsia="Times New Roman"/>
              </w:rPr>
            </w:pPr>
            <w:r>
              <w:rPr>
                <w:rFonts w:eastAsia="Times New Roman"/>
                <w:color w:val="000000"/>
                <w:sz w:val="20"/>
                <w:szCs w:val="20"/>
              </w:rPr>
              <w:t>Fair value of L3Harris common stock issued for L3 outstanding common stock</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1B993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D210D9" w14:textId="77777777" w:rsidR="00000000" w:rsidRDefault="001A570A">
            <w:pPr>
              <w:jc w:val="right"/>
              <w:rPr>
                <w:rFonts w:eastAsia="Times New Roman"/>
              </w:rPr>
            </w:pPr>
            <w:r>
              <w:rPr>
                <w:rFonts w:eastAsia="Times New Roman"/>
                <w:color w:val="000000"/>
                <w:sz w:val="20"/>
                <w:szCs w:val="20"/>
              </w:rPr>
              <w:t>19,689 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DD3975" w14:textId="77777777" w:rsidR="00000000" w:rsidRDefault="001A570A">
            <w:pPr>
              <w:jc w:val="right"/>
              <w:rPr>
                <w:rFonts w:eastAsia="Times New Roman"/>
              </w:rPr>
            </w:pPr>
          </w:p>
        </w:tc>
      </w:tr>
      <w:tr w:rsidR="00000000" w14:paraId="0E6CBD2D" w14:textId="77777777">
        <w:trPr>
          <w:divId w:val="156964962"/>
        </w:trPr>
        <w:tc>
          <w:tcPr>
            <w:tcW w:w="0" w:type="auto"/>
            <w:gridSpan w:val="3"/>
            <w:shd w:val="clear" w:color="auto" w:fill="CCEEFF"/>
            <w:tcMar>
              <w:top w:w="30" w:type="dxa"/>
              <w:left w:w="245" w:type="dxa"/>
              <w:bottom w:w="30" w:type="dxa"/>
              <w:right w:w="20" w:type="dxa"/>
            </w:tcMar>
            <w:vAlign w:val="bottom"/>
            <w:hideMark/>
          </w:tcPr>
          <w:p w14:paraId="61E2BE53" w14:textId="77777777" w:rsidR="00000000" w:rsidRDefault="001A570A">
            <w:pPr>
              <w:rPr>
                <w:rFonts w:eastAsia="Times New Roman"/>
              </w:rPr>
            </w:pPr>
            <w:r>
              <w:rPr>
                <w:rFonts w:eastAsia="Times New Roman"/>
                <w:color w:val="000000"/>
                <w:sz w:val="20"/>
                <w:szCs w:val="20"/>
              </w:rPr>
              <w:t>Fair value of replacement restricted stock units attributable to merger consideration</w:t>
            </w:r>
          </w:p>
        </w:tc>
        <w:tc>
          <w:tcPr>
            <w:tcW w:w="0" w:type="auto"/>
            <w:gridSpan w:val="2"/>
            <w:shd w:val="clear" w:color="auto" w:fill="CCEEFF"/>
            <w:tcMar>
              <w:top w:w="30" w:type="dxa"/>
              <w:left w:w="20" w:type="dxa"/>
              <w:bottom w:w="30" w:type="dxa"/>
              <w:right w:w="0" w:type="dxa"/>
            </w:tcMar>
            <w:vAlign w:val="bottom"/>
            <w:hideMark/>
          </w:tcPr>
          <w:p w14:paraId="52AC61E6"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3A349609" w14:textId="77777777" w:rsidR="00000000" w:rsidRDefault="001A570A">
            <w:pPr>
              <w:jc w:val="right"/>
              <w:rPr>
                <w:rFonts w:eastAsia="Times New Roman"/>
              </w:rPr>
            </w:pPr>
          </w:p>
        </w:tc>
      </w:tr>
      <w:tr w:rsidR="00000000" w14:paraId="1F005CC9" w14:textId="77777777">
        <w:trPr>
          <w:divId w:val="156964962"/>
        </w:trPr>
        <w:tc>
          <w:tcPr>
            <w:tcW w:w="0" w:type="auto"/>
            <w:gridSpan w:val="3"/>
            <w:shd w:val="clear" w:color="auto" w:fill="FFFFFF"/>
            <w:tcMar>
              <w:top w:w="30" w:type="dxa"/>
              <w:left w:w="245" w:type="dxa"/>
              <w:bottom w:w="30" w:type="dxa"/>
              <w:right w:w="20" w:type="dxa"/>
            </w:tcMar>
            <w:vAlign w:val="bottom"/>
            <w:hideMark/>
          </w:tcPr>
          <w:p w14:paraId="7CA21C05" w14:textId="77777777" w:rsidR="00000000" w:rsidRDefault="001A570A">
            <w:pPr>
              <w:rPr>
                <w:rFonts w:eastAsia="Times New Roman"/>
              </w:rPr>
            </w:pPr>
            <w:r>
              <w:rPr>
                <w:rFonts w:eastAsia="Times New Roman"/>
                <w:color w:val="000000"/>
                <w:sz w:val="20"/>
                <w:szCs w:val="20"/>
              </w:rPr>
              <w:t>Fair value of L3Harris stock options issued to replace L3 outstanding stock options</w:t>
            </w:r>
          </w:p>
        </w:tc>
        <w:tc>
          <w:tcPr>
            <w:tcW w:w="0" w:type="auto"/>
            <w:gridSpan w:val="2"/>
            <w:shd w:val="clear" w:color="auto" w:fill="FFFFFF"/>
            <w:tcMar>
              <w:top w:w="30" w:type="dxa"/>
              <w:left w:w="20" w:type="dxa"/>
              <w:bottom w:w="30" w:type="dxa"/>
              <w:right w:w="0" w:type="dxa"/>
            </w:tcMar>
            <w:vAlign w:val="bottom"/>
            <w:hideMark/>
          </w:tcPr>
          <w:p w14:paraId="7219E041"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65BD01F1" w14:textId="77777777" w:rsidR="00000000" w:rsidRDefault="001A570A">
            <w:pPr>
              <w:jc w:val="right"/>
              <w:rPr>
                <w:rFonts w:eastAsia="Times New Roman"/>
              </w:rPr>
            </w:pPr>
          </w:p>
        </w:tc>
      </w:tr>
      <w:tr w:rsidR="00000000" w14:paraId="166E898A" w14:textId="77777777">
        <w:trPr>
          <w:divId w:val="156964962"/>
        </w:trPr>
        <w:tc>
          <w:tcPr>
            <w:tcW w:w="0" w:type="auto"/>
            <w:gridSpan w:val="3"/>
            <w:shd w:val="clear" w:color="auto" w:fill="CCEEFF"/>
            <w:tcMar>
              <w:top w:w="30" w:type="dxa"/>
              <w:left w:w="245" w:type="dxa"/>
              <w:bottom w:w="30" w:type="dxa"/>
              <w:right w:w="20" w:type="dxa"/>
            </w:tcMar>
            <w:vAlign w:val="bottom"/>
            <w:hideMark/>
          </w:tcPr>
          <w:p w14:paraId="6BF44383" w14:textId="77777777" w:rsidR="00000000" w:rsidRDefault="001A570A">
            <w:pPr>
              <w:rPr>
                <w:rFonts w:eastAsia="Times New Roman"/>
              </w:rPr>
            </w:pPr>
            <w:r>
              <w:rPr>
                <w:rFonts w:eastAsia="Times New Roman"/>
                <w:color w:val="000000"/>
                <w:sz w:val="20"/>
                <w:szCs w:val="20"/>
              </w:rPr>
              <w:t>Withholding tax liability incurred for converted L3 share-based awards</w:t>
            </w:r>
          </w:p>
        </w:tc>
        <w:tc>
          <w:tcPr>
            <w:tcW w:w="0" w:type="auto"/>
            <w:gridSpan w:val="2"/>
            <w:shd w:val="clear" w:color="auto" w:fill="CCEEFF"/>
            <w:tcMar>
              <w:top w:w="30" w:type="dxa"/>
              <w:left w:w="20" w:type="dxa"/>
              <w:bottom w:w="30" w:type="dxa"/>
              <w:right w:w="0" w:type="dxa"/>
            </w:tcMar>
            <w:vAlign w:val="bottom"/>
            <w:hideMark/>
          </w:tcPr>
          <w:p w14:paraId="14CEF726" w14:textId="77777777" w:rsidR="00000000" w:rsidRDefault="001A570A">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62EC1856" w14:textId="77777777" w:rsidR="00000000" w:rsidRDefault="001A570A">
            <w:pPr>
              <w:jc w:val="right"/>
              <w:rPr>
                <w:rFonts w:eastAsia="Times New Roman"/>
              </w:rPr>
            </w:pPr>
          </w:p>
        </w:tc>
      </w:tr>
      <w:tr w:rsidR="00000000" w14:paraId="18430395" w14:textId="77777777">
        <w:trPr>
          <w:divId w:val="156964962"/>
        </w:trPr>
        <w:tc>
          <w:tcPr>
            <w:tcW w:w="0" w:type="auto"/>
            <w:gridSpan w:val="3"/>
            <w:shd w:val="clear" w:color="auto" w:fill="FFFFFF"/>
            <w:tcMar>
              <w:top w:w="30" w:type="dxa"/>
              <w:left w:w="20" w:type="dxa"/>
              <w:bottom w:w="30" w:type="dxa"/>
              <w:right w:w="20" w:type="dxa"/>
            </w:tcMar>
            <w:vAlign w:val="bottom"/>
            <w:hideMark/>
          </w:tcPr>
          <w:p w14:paraId="299F34FF" w14:textId="77777777" w:rsidR="00000000" w:rsidRDefault="001A570A">
            <w:pPr>
              <w:rPr>
                <w:rFonts w:eastAsia="Times New Roman"/>
              </w:rPr>
            </w:pPr>
            <w:r>
              <w:rPr>
                <w:rFonts w:eastAsia="Times New Roman"/>
                <w:color w:val="000000"/>
                <w:sz w:val="20"/>
                <w:szCs w:val="20"/>
              </w:rPr>
              <w:t>Fair value of replacement award consideration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C0E783" w14:textId="77777777" w:rsidR="00000000" w:rsidRDefault="001A570A">
            <w:pPr>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7E745E" w14:textId="77777777" w:rsidR="00000000" w:rsidRDefault="001A570A">
            <w:pPr>
              <w:jc w:val="right"/>
              <w:rPr>
                <w:rFonts w:eastAsia="Times New Roman"/>
              </w:rPr>
            </w:pPr>
          </w:p>
        </w:tc>
      </w:tr>
      <w:tr w:rsidR="00000000" w14:paraId="76AA2D83" w14:textId="77777777">
        <w:trPr>
          <w:divId w:val="156964962"/>
        </w:trPr>
        <w:tc>
          <w:tcPr>
            <w:tcW w:w="0" w:type="auto"/>
            <w:gridSpan w:val="3"/>
            <w:shd w:val="clear" w:color="auto" w:fill="CCEEFF"/>
            <w:tcMar>
              <w:top w:w="30" w:type="dxa"/>
              <w:left w:w="20" w:type="dxa"/>
              <w:bottom w:w="30" w:type="dxa"/>
              <w:right w:w="20" w:type="dxa"/>
            </w:tcMar>
            <w:vAlign w:val="bottom"/>
            <w:hideMark/>
          </w:tcPr>
          <w:p w14:paraId="5DED1EE7" w14:textId="77777777" w:rsidR="00000000" w:rsidRDefault="001A570A">
            <w:pPr>
              <w:rPr>
                <w:rFonts w:eastAsia="Times New Roman"/>
              </w:rPr>
            </w:pPr>
            <w:r>
              <w:rPr>
                <w:rFonts w:eastAsia="Times New Roman"/>
                <w:color w:val="000000"/>
                <w:sz w:val="20"/>
                <w:szCs w:val="20"/>
              </w:rPr>
              <w:t>Fair value of total consideration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C77176" w14:textId="77777777" w:rsidR="00000000" w:rsidRDefault="001A570A">
            <w:pPr>
              <w:jc w:val="right"/>
              <w:rPr>
                <w:rFonts w:eastAsia="Times New Roman"/>
              </w:rPr>
            </w:pPr>
            <w:r>
              <w:rPr>
                <w:rFonts w:eastAsia="Times New Roman"/>
                <w:color w:val="000000"/>
                <w:sz w:val="20"/>
                <w:szCs w:val="20"/>
              </w:rPr>
              <w:t>19,845 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58AB23" w14:textId="77777777" w:rsidR="00000000" w:rsidRDefault="001A570A">
            <w:pPr>
              <w:jc w:val="right"/>
              <w:rPr>
                <w:rFonts w:eastAsia="Times New Roman"/>
              </w:rPr>
            </w:pPr>
          </w:p>
        </w:tc>
      </w:tr>
      <w:tr w:rsidR="00000000" w14:paraId="0E37F00E" w14:textId="77777777">
        <w:trPr>
          <w:divId w:val="156964962"/>
        </w:trPr>
        <w:tc>
          <w:tcPr>
            <w:tcW w:w="0" w:type="auto"/>
            <w:gridSpan w:val="3"/>
            <w:shd w:val="clear" w:color="auto" w:fill="FFFFFF"/>
            <w:tcMar>
              <w:top w:w="30" w:type="dxa"/>
              <w:left w:w="20" w:type="dxa"/>
              <w:bottom w:w="30" w:type="dxa"/>
              <w:right w:w="20" w:type="dxa"/>
            </w:tcMar>
            <w:vAlign w:val="bottom"/>
            <w:hideMark/>
          </w:tcPr>
          <w:p w14:paraId="79A0E596" w14:textId="77777777" w:rsidR="00000000" w:rsidRDefault="001A570A">
            <w:pPr>
              <w:rPr>
                <w:rFonts w:eastAsia="Times New Roman"/>
              </w:rPr>
            </w:pPr>
            <w:r>
              <w:rPr>
                <w:rFonts w:eastAsia="Times New Roman"/>
                <w:color w:val="000000"/>
                <w:sz w:val="20"/>
                <w:szCs w:val="20"/>
              </w:rPr>
              <w:t>Less cash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949405" w14:textId="77777777" w:rsidR="00000000" w:rsidRDefault="001A570A">
            <w:pPr>
              <w:jc w:val="right"/>
              <w:rPr>
                <w:rFonts w:eastAsia="Times New Roman"/>
              </w:rPr>
            </w:pPr>
            <w:r>
              <w:rPr>
                <w:rFonts w:eastAsia="Times New Roman"/>
                <w:color w:val="000000"/>
                <w:sz w:val="20"/>
                <w:szCs w:val="20"/>
              </w:rPr>
              <w:t>(1,195)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FF4647" w14:textId="77777777" w:rsidR="00000000" w:rsidRDefault="001A570A">
            <w:pPr>
              <w:jc w:val="right"/>
              <w:rPr>
                <w:rFonts w:eastAsia="Times New Roman"/>
              </w:rPr>
            </w:pPr>
          </w:p>
        </w:tc>
      </w:tr>
      <w:tr w:rsidR="00000000" w14:paraId="11D97D77" w14:textId="77777777">
        <w:trPr>
          <w:divId w:val="156964962"/>
        </w:trPr>
        <w:tc>
          <w:tcPr>
            <w:tcW w:w="0" w:type="auto"/>
            <w:gridSpan w:val="3"/>
            <w:shd w:val="clear" w:color="auto" w:fill="CCEEFF"/>
            <w:tcMar>
              <w:top w:w="30" w:type="dxa"/>
              <w:left w:w="20" w:type="dxa"/>
              <w:bottom w:w="30" w:type="dxa"/>
              <w:right w:w="20" w:type="dxa"/>
            </w:tcMar>
            <w:vAlign w:val="bottom"/>
            <w:hideMark/>
          </w:tcPr>
          <w:p w14:paraId="13010FE5" w14:textId="77777777" w:rsidR="00000000" w:rsidRDefault="001A570A">
            <w:pPr>
              <w:rPr>
                <w:rFonts w:eastAsia="Times New Roman"/>
              </w:rPr>
            </w:pPr>
            <w:r>
              <w:rPr>
                <w:rFonts w:eastAsia="Times New Roman"/>
                <w:color w:val="000000"/>
                <w:sz w:val="20"/>
                <w:szCs w:val="20"/>
              </w:rPr>
              <w:t>Total net consideration transferred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CB909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77E1BA" w14:textId="77777777" w:rsidR="00000000" w:rsidRDefault="001A570A">
            <w:pPr>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1B7EBA" w14:textId="77777777" w:rsidR="00000000" w:rsidRDefault="001A570A">
            <w:pPr>
              <w:jc w:val="right"/>
              <w:rPr>
                <w:rFonts w:eastAsia="Times New Roman"/>
              </w:rPr>
            </w:pPr>
          </w:p>
        </w:tc>
      </w:tr>
    </w:tbl>
    <w:p w14:paraId="5FAEF42D" w14:textId="77777777" w:rsidR="00000000" w:rsidRDefault="001A570A">
      <w:pPr>
        <w:ind w:firstLine="450"/>
        <w:jc w:val="center"/>
        <w:divId w:val="1971932258"/>
        <w:rPr>
          <w:rFonts w:eastAsia="Times New Roman"/>
        </w:rPr>
      </w:pPr>
      <w:r>
        <w:rPr>
          <w:rFonts w:eastAsia="Times New Roman"/>
          <w:color w:val="000000"/>
          <w:sz w:val="20"/>
          <w:szCs w:val="20"/>
        </w:rPr>
        <w:t>92</w:t>
      </w:r>
    </w:p>
    <w:p w14:paraId="55DA5A28" w14:textId="77777777" w:rsidR="00000000" w:rsidRDefault="001A570A">
      <w:pPr>
        <w:rPr>
          <w:rFonts w:eastAsia="Times New Roman"/>
        </w:rPr>
      </w:pPr>
      <w:r>
        <w:rPr>
          <w:rFonts w:eastAsia="Times New Roman"/>
        </w:rPr>
        <w:pict w14:anchorId="26CB0D16">
          <v:rect id="_x0000_i1120" style="width:0;height:1.5pt" o:hralign="center" o:hrstd="t" o:hr="t" fillcolor="#a0a0a0" stroked="f"/>
        </w:pict>
      </w:r>
    </w:p>
    <w:p w14:paraId="34C19B61" w14:textId="77777777" w:rsidR="00000000" w:rsidRDefault="001A570A">
      <w:pPr>
        <w:ind w:firstLine="450"/>
        <w:divId w:val="1837844244"/>
        <w:rPr>
          <w:rFonts w:eastAsia="Times New Roman"/>
        </w:rPr>
      </w:pPr>
    </w:p>
    <w:p w14:paraId="0272B2D5" w14:textId="77777777" w:rsidR="00000000" w:rsidRDefault="001A570A">
      <w:pPr>
        <w:ind w:firstLine="450"/>
        <w:divId w:val="100422552"/>
        <w:rPr>
          <w:rFonts w:eastAsia="Times New Roman"/>
        </w:rPr>
      </w:pPr>
      <w:r>
        <w:rPr>
          <w:rFonts w:eastAsia="Times New Roman"/>
          <w:color w:val="000000"/>
          <w:sz w:val="20"/>
          <w:szCs w:val="20"/>
        </w:rPr>
        <w:t>Our preliminary fair value estimates and assumptions to measure the assets acquired, liabilities assumed and noncontrolling interests in L3 were subject to change as we obtained additional information during the measur</w:t>
      </w:r>
      <w:r>
        <w:rPr>
          <w:rFonts w:eastAsia="Times New Roman"/>
          <w:color w:val="000000"/>
          <w:sz w:val="20"/>
          <w:szCs w:val="20"/>
        </w:rPr>
        <w:t>ement period. We completed our accounting for the L3Harris Merger during the quarter ended July 3, 2020. The following table summarizes the initial fair value amounts recognized during the quarter ended September 27, 2019 for each major class of assets acq</w:t>
      </w:r>
      <w:r>
        <w:rPr>
          <w:rFonts w:eastAsia="Times New Roman"/>
          <w:color w:val="000000"/>
          <w:sz w:val="20"/>
          <w:szCs w:val="20"/>
        </w:rPr>
        <w:t>uired or liability assumed and noncontrolling interests, as well as adjustments during the measurement period:</w:t>
      </w:r>
    </w:p>
    <w:tbl>
      <w:tblPr>
        <w:tblW w:w="4971" w:type="pct"/>
        <w:tblCellMar>
          <w:top w:w="15" w:type="dxa"/>
          <w:left w:w="15" w:type="dxa"/>
          <w:bottom w:w="15" w:type="dxa"/>
          <w:right w:w="15" w:type="dxa"/>
        </w:tblCellMar>
        <w:tblLook w:val="04A0" w:firstRow="1" w:lastRow="0" w:firstColumn="1" w:lastColumn="0" w:noHBand="0" w:noVBand="1"/>
      </w:tblPr>
      <w:tblGrid>
        <w:gridCol w:w="39"/>
        <w:gridCol w:w="4070"/>
        <w:gridCol w:w="37"/>
        <w:gridCol w:w="121"/>
        <w:gridCol w:w="1328"/>
        <w:gridCol w:w="36"/>
        <w:gridCol w:w="36"/>
        <w:gridCol w:w="36"/>
        <w:gridCol w:w="36"/>
        <w:gridCol w:w="121"/>
        <w:gridCol w:w="1001"/>
        <w:gridCol w:w="36"/>
        <w:gridCol w:w="36"/>
        <w:gridCol w:w="36"/>
        <w:gridCol w:w="36"/>
        <w:gridCol w:w="120"/>
        <w:gridCol w:w="1097"/>
        <w:gridCol w:w="36"/>
      </w:tblGrid>
      <w:tr w:rsidR="00000000" w14:paraId="23A938AB" w14:textId="77777777">
        <w:trPr>
          <w:divId w:val="1040856173"/>
        </w:trPr>
        <w:tc>
          <w:tcPr>
            <w:tcW w:w="50" w:type="pct"/>
            <w:vAlign w:val="center"/>
            <w:hideMark/>
          </w:tcPr>
          <w:p w14:paraId="054339A6" w14:textId="77777777" w:rsidR="00000000" w:rsidRDefault="001A570A">
            <w:pPr>
              <w:ind w:firstLine="450"/>
              <w:rPr>
                <w:rFonts w:eastAsia="Times New Roman"/>
              </w:rPr>
            </w:pPr>
          </w:p>
        </w:tc>
        <w:tc>
          <w:tcPr>
            <w:tcW w:w="2495" w:type="pct"/>
            <w:vAlign w:val="center"/>
            <w:hideMark/>
          </w:tcPr>
          <w:p w14:paraId="7F07457B" w14:textId="77777777" w:rsidR="00000000" w:rsidRDefault="001A570A">
            <w:pPr>
              <w:rPr>
                <w:rFonts w:eastAsia="Times New Roman"/>
                <w:sz w:val="20"/>
                <w:szCs w:val="20"/>
              </w:rPr>
            </w:pPr>
          </w:p>
        </w:tc>
        <w:tc>
          <w:tcPr>
            <w:tcW w:w="5" w:type="pct"/>
            <w:vAlign w:val="center"/>
            <w:hideMark/>
          </w:tcPr>
          <w:p w14:paraId="55018F03" w14:textId="77777777" w:rsidR="00000000" w:rsidRDefault="001A570A">
            <w:pPr>
              <w:rPr>
                <w:rFonts w:eastAsia="Times New Roman"/>
                <w:sz w:val="20"/>
                <w:szCs w:val="20"/>
              </w:rPr>
            </w:pPr>
          </w:p>
        </w:tc>
        <w:tc>
          <w:tcPr>
            <w:tcW w:w="50" w:type="pct"/>
            <w:vAlign w:val="center"/>
            <w:hideMark/>
          </w:tcPr>
          <w:p w14:paraId="37D84314" w14:textId="77777777" w:rsidR="00000000" w:rsidRDefault="001A570A">
            <w:pPr>
              <w:rPr>
                <w:rFonts w:eastAsia="Times New Roman"/>
                <w:sz w:val="20"/>
                <w:szCs w:val="20"/>
              </w:rPr>
            </w:pPr>
          </w:p>
        </w:tc>
        <w:tc>
          <w:tcPr>
            <w:tcW w:w="833" w:type="pct"/>
            <w:vAlign w:val="center"/>
            <w:hideMark/>
          </w:tcPr>
          <w:p w14:paraId="7E9219B3" w14:textId="77777777" w:rsidR="00000000" w:rsidRDefault="001A570A">
            <w:pPr>
              <w:rPr>
                <w:rFonts w:eastAsia="Times New Roman"/>
                <w:sz w:val="20"/>
                <w:szCs w:val="20"/>
              </w:rPr>
            </w:pPr>
          </w:p>
        </w:tc>
        <w:tc>
          <w:tcPr>
            <w:tcW w:w="5" w:type="pct"/>
            <w:vAlign w:val="center"/>
            <w:hideMark/>
          </w:tcPr>
          <w:p w14:paraId="45F0D426" w14:textId="77777777" w:rsidR="00000000" w:rsidRDefault="001A570A">
            <w:pPr>
              <w:rPr>
                <w:rFonts w:eastAsia="Times New Roman"/>
                <w:sz w:val="20"/>
                <w:szCs w:val="20"/>
              </w:rPr>
            </w:pPr>
          </w:p>
        </w:tc>
        <w:tc>
          <w:tcPr>
            <w:tcW w:w="5" w:type="pct"/>
            <w:vAlign w:val="center"/>
            <w:hideMark/>
          </w:tcPr>
          <w:p w14:paraId="430793D7" w14:textId="77777777" w:rsidR="00000000" w:rsidRDefault="001A570A">
            <w:pPr>
              <w:rPr>
                <w:rFonts w:eastAsia="Times New Roman"/>
                <w:sz w:val="20"/>
                <w:szCs w:val="20"/>
              </w:rPr>
            </w:pPr>
          </w:p>
        </w:tc>
        <w:tc>
          <w:tcPr>
            <w:tcW w:w="26" w:type="pct"/>
            <w:vAlign w:val="center"/>
            <w:hideMark/>
          </w:tcPr>
          <w:p w14:paraId="14BF7760" w14:textId="77777777" w:rsidR="00000000" w:rsidRDefault="001A570A">
            <w:pPr>
              <w:rPr>
                <w:rFonts w:eastAsia="Times New Roman"/>
                <w:sz w:val="20"/>
                <w:szCs w:val="20"/>
              </w:rPr>
            </w:pPr>
          </w:p>
        </w:tc>
        <w:tc>
          <w:tcPr>
            <w:tcW w:w="5" w:type="pct"/>
            <w:vAlign w:val="center"/>
            <w:hideMark/>
          </w:tcPr>
          <w:p w14:paraId="1053504E" w14:textId="77777777" w:rsidR="00000000" w:rsidRDefault="001A570A">
            <w:pPr>
              <w:rPr>
                <w:rFonts w:eastAsia="Times New Roman"/>
                <w:sz w:val="20"/>
                <w:szCs w:val="20"/>
              </w:rPr>
            </w:pPr>
          </w:p>
        </w:tc>
        <w:tc>
          <w:tcPr>
            <w:tcW w:w="50" w:type="pct"/>
            <w:vAlign w:val="center"/>
            <w:hideMark/>
          </w:tcPr>
          <w:p w14:paraId="673C7D2D" w14:textId="77777777" w:rsidR="00000000" w:rsidRDefault="001A570A">
            <w:pPr>
              <w:rPr>
                <w:rFonts w:eastAsia="Times New Roman"/>
                <w:sz w:val="20"/>
                <w:szCs w:val="20"/>
              </w:rPr>
            </w:pPr>
          </w:p>
        </w:tc>
        <w:tc>
          <w:tcPr>
            <w:tcW w:w="660" w:type="pct"/>
            <w:vAlign w:val="center"/>
            <w:hideMark/>
          </w:tcPr>
          <w:p w14:paraId="169B1412" w14:textId="77777777" w:rsidR="00000000" w:rsidRDefault="001A570A">
            <w:pPr>
              <w:rPr>
                <w:rFonts w:eastAsia="Times New Roman"/>
                <w:sz w:val="20"/>
                <w:szCs w:val="20"/>
              </w:rPr>
            </w:pPr>
          </w:p>
        </w:tc>
        <w:tc>
          <w:tcPr>
            <w:tcW w:w="5" w:type="pct"/>
            <w:vAlign w:val="center"/>
            <w:hideMark/>
          </w:tcPr>
          <w:p w14:paraId="565DBF85" w14:textId="77777777" w:rsidR="00000000" w:rsidRDefault="001A570A">
            <w:pPr>
              <w:rPr>
                <w:rFonts w:eastAsia="Times New Roman"/>
                <w:sz w:val="20"/>
                <w:szCs w:val="20"/>
              </w:rPr>
            </w:pPr>
          </w:p>
        </w:tc>
        <w:tc>
          <w:tcPr>
            <w:tcW w:w="5" w:type="pct"/>
            <w:vAlign w:val="center"/>
            <w:hideMark/>
          </w:tcPr>
          <w:p w14:paraId="65892802" w14:textId="77777777" w:rsidR="00000000" w:rsidRDefault="001A570A">
            <w:pPr>
              <w:rPr>
                <w:rFonts w:eastAsia="Times New Roman"/>
                <w:sz w:val="20"/>
                <w:szCs w:val="20"/>
              </w:rPr>
            </w:pPr>
          </w:p>
        </w:tc>
        <w:tc>
          <w:tcPr>
            <w:tcW w:w="26" w:type="pct"/>
            <w:vAlign w:val="center"/>
            <w:hideMark/>
          </w:tcPr>
          <w:p w14:paraId="59D0B4A2" w14:textId="77777777" w:rsidR="00000000" w:rsidRDefault="001A570A">
            <w:pPr>
              <w:rPr>
                <w:rFonts w:eastAsia="Times New Roman"/>
                <w:sz w:val="20"/>
                <w:szCs w:val="20"/>
              </w:rPr>
            </w:pPr>
          </w:p>
        </w:tc>
        <w:tc>
          <w:tcPr>
            <w:tcW w:w="5" w:type="pct"/>
            <w:vAlign w:val="center"/>
            <w:hideMark/>
          </w:tcPr>
          <w:p w14:paraId="36AE97E0" w14:textId="77777777" w:rsidR="00000000" w:rsidRDefault="001A570A">
            <w:pPr>
              <w:rPr>
                <w:rFonts w:eastAsia="Times New Roman"/>
                <w:sz w:val="20"/>
                <w:szCs w:val="20"/>
              </w:rPr>
            </w:pPr>
          </w:p>
        </w:tc>
        <w:tc>
          <w:tcPr>
            <w:tcW w:w="50" w:type="pct"/>
            <w:vAlign w:val="center"/>
            <w:hideMark/>
          </w:tcPr>
          <w:p w14:paraId="63052ADD" w14:textId="77777777" w:rsidR="00000000" w:rsidRDefault="001A570A">
            <w:pPr>
              <w:rPr>
                <w:rFonts w:eastAsia="Times New Roman"/>
                <w:sz w:val="20"/>
                <w:szCs w:val="20"/>
              </w:rPr>
            </w:pPr>
          </w:p>
        </w:tc>
        <w:tc>
          <w:tcPr>
            <w:tcW w:w="718" w:type="pct"/>
            <w:vAlign w:val="center"/>
            <w:hideMark/>
          </w:tcPr>
          <w:p w14:paraId="584A4CDB" w14:textId="77777777" w:rsidR="00000000" w:rsidRDefault="001A570A">
            <w:pPr>
              <w:rPr>
                <w:rFonts w:eastAsia="Times New Roman"/>
                <w:sz w:val="20"/>
                <w:szCs w:val="20"/>
              </w:rPr>
            </w:pPr>
          </w:p>
        </w:tc>
        <w:tc>
          <w:tcPr>
            <w:tcW w:w="5" w:type="pct"/>
            <w:vAlign w:val="center"/>
            <w:hideMark/>
          </w:tcPr>
          <w:p w14:paraId="35734EF7" w14:textId="77777777" w:rsidR="00000000" w:rsidRDefault="001A570A">
            <w:pPr>
              <w:rPr>
                <w:rFonts w:eastAsia="Times New Roman"/>
                <w:sz w:val="20"/>
                <w:szCs w:val="20"/>
              </w:rPr>
            </w:pPr>
          </w:p>
        </w:tc>
      </w:tr>
      <w:tr w:rsidR="00000000" w14:paraId="072EAEFE" w14:textId="77777777">
        <w:trPr>
          <w:divId w:val="1040856173"/>
        </w:trPr>
        <w:tc>
          <w:tcPr>
            <w:tcW w:w="0" w:type="auto"/>
            <w:gridSpan w:val="3"/>
            <w:tcMar>
              <w:top w:w="30" w:type="dxa"/>
              <w:left w:w="20" w:type="dxa"/>
              <w:bottom w:w="30" w:type="dxa"/>
              <w:right w:w="20" w:type="dxa"/>
            </w:tcMar>
            <w:vAlign w:val="bottom"/>
            <w:hideMark/>
          </w:tcPr>
          <w:p w14:paraId="2DEFB0E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5F62F512" w14:textId="77777777" w:rsidR="00000000" w:rsidRDefault="001A570A">
            <w:pPr>
              <w:jc w:val="center"/>
              <w:rPr>
                <w:rFonts w:eastAsia="Times New Roman"/>
              </w:rPr>
            </w:pPr>
            <w:r>
              <w:rPr>
                <w:rFonts w:eastAsia="Times New Roman"/>
                <w:b/>
                <w:bCs/>
                <w:color w:val="000000"/>
                <w:sz w:val="16"/>
                <w:szCs w:val="16"/>
              </w:rPr>
              <w:t>Preliminary Fair Value as of September 27, 2019</w:t>
            </w:r>
          </w:p>
        </w:tc>
        <w:tc>
          <w:tcPr>
            <w:tcW w:w="0" w:type="auto"/>
            <w:gridSpan w:val="3"/>
            <w:tcMar>
              <w:top w:w="0" w:type="dxa"/>
              <w:left w:w="20" w:type="dxa"/>
              <w:bottom w:w="0" w:type="dxa"/>
              <w:right w:w="20" w:type="dxa"/>
            </w:tcMar>
            <w:vAlign w:val="center"/>
            <w:hideMark/>
          </w:tcPr>
          <w:p w14:paraId="72609B3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F305BFB" w14:textId="77777777" w:rsidR="00000000" w:rsidRDefault="001A570A">
            <w:pPr>
              <w:jc w:val="center"/>
              <w:rPr>
                <w:rFonts w:eastAsia="Times New Roman"/>
              </w:rPr>
            </w:pPr>
            <w:r>
              <w:rPr>
                <w:rFonts w:eastAsia="Times New Roman"/>
                <w:b/>
                <w:bCs/>
                <w:color w:val="000000"/>
                <w:sz w:val="16"/>
                <w:szCs w:val="16"/>
              </w:rPr>
              <w:t>Measurement Period Adjustments</w:t>
            </w:r>
          </w:p>
        </w:tc>
        <w:tc>
          <w:tcPr>
            <w:tcW w:w="0" w:type="auto"/>
            <w:gridSpan w:val="3"/>
            <w:tcMar>
              <w:top w:w="0" w:type="dxa"/>
              <w:left w:w="20" w:type="dxa"/>
              <w:bottom w:w="0" w:type="dxa"/>
              <w:right w:w="20" w:type="dxa"/>
            </w:tcMar>
            <w:vAlign w:val="center"/>
            <w:hideMark/>
          </w:tcPr>
          <w:p w14:paraId="7D45B0E1"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59F9BF3" w14:textId="77777777" w:rsidR="00000000" w:rsidRDefault="001A570A">
            <w:pPr>
              <w:jc w:val="center"/>
              <w:rPr>
                <w:rFonts w:eastAsia="Times New Roman"/>
              </w:rPr>
            </w:pPr>
            <w:r>
              <w:rPr>
                <w:rFonts w:eastAsia="Times New Roman"/>
                <w:b/>
                <w:bCs/>
                <w:color w:val="000000"/>
                <w:sz w:val="16"/>
                <w:szCs w:val="16"/>
              </w:rPr>
              <w:t>Adjusted Fair Value as of July 3, 2020</w:t>
            </w:r>
          </w:p>
        </w:tc>
      </w:tr>
      <w:tr w:rsidR="00000000" w14:paraId="3E50D89E" w14:textId="77777777">
        <w:trPr>
          <w:divId w:val="1040856173"/>
          <w:trHeight w:val="60"/>
        </w:trPr>
        <w:tc>
          <w:tcPr>
            <w:tcW w:w="0" w:type="auto"/>
            <w:gridSpan w:val="3"/>
            <w:tcMar>
              <w:top w:w="0" w:type="dxa"/>
              <w:left w:w="20" w:type="dxa"/>
              <w:bottom w:w="0" w:type="dxa"/>
              <w:right w:w="20" w:type="dxa"/>
            </w:tcMar>
            <w:vAlign w:val="center"/>
            <w:hideMark/>
          </w:tcPr>
          <w:p w14:paraId="24FC078A"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3B9F4A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FEA808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50C1B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F25203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51AC6F" w14:textId="77777777" w:rsidR="00000000" w:rsidRDefault="001A570A">
            <w:pPr>
              <w:rPr>
                <w:rFonts w:eastAsia="Times New Roman"/>
                <w:sz w:val="20"/>
                <w:szCs w:val="20"/>
              </w:rPr>
            </w:pPr>
          </w:p>
        </w:tc>
      </w:tr>
      <w:tr w:rsidR="00000000" w14:paraId="09937963"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3E930B60" w14:textId="77777777" w:rsidR="00000000" w:rsidRDefault="001A570A">
            <w:pPr>
              <w:rPr>
                <w:rFonts w:eastAsia="Times New Roman"/>
              </w:rPr>
            </w:pPr>
            <w:r>
              <w:rPr>
                <w:rFonts w:eastAsia="Times New Roman"/>
                <w:color w:val="000000"/>
                <w:sz w:val="20"/>
                <w:szCs w:val="20"/>
              </w:rPr>
              <w:t>Receivables</w:t>
            </w:r>
          </w:p>
        </w:tc>
        <w:tc>
          <w:tcPr>
            <w:tcW w:w="0" w:type="auto"/>
            <w:shd w:val="clear" w:color="auto" w:fill="CCEEFF"/>
            <w:tcMar>
              <w:top w:w="30" w:type="dxa"/>
              <w:left w:w="20" w:type="dxa"/>
              <w:bottom w:w="30" w:type="dxa"/>
              <w:right w:w="0" w:type="dxa"/>
            </w:tcMar>
            <w:vAlign w:val="bottom"/>
            <w:hideMark/>
          </w:tcPr>
          <w:p w14:paraId="2A2843E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C0FF0E" w14:textId="77777777" w:rsidR="00000000" w:rsidRDefault="001A570A">
            <w:pPr>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14:paraId="3805A0A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0844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0F635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621E39" w14:textId="77777777" w:rsidR="00000000" w:rsidRDefault="001A570A">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14:paraId="3C2E5D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72D0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E7927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EB34DB" w14:textId="77777777" w:rsidR="00000000" w:rsidRDefault="001A570A">
            <w:pPr>
              <w:jc w:val="right"/>
              <w:rPr>
                <w:rFonts w:eastAsia="Times New Roman"/>
              </w:rPr>
            </w:pPr>
            <w:r>
              <w:rPr>
                <w:rFonts w:eastAsia="Times New Roman"/>
                <w:color w:val="000000"/>
                <w:sz w:val="20"/>
                <w:szCs w:val="20"/>
              </w:rPr>
              <w:t>829 </w:t>
            </w:r>
          </w:p>
        </w:tc>
        <w:tc>
          <w:tcPr>
            <w:tcW w:w="0" w:type="auto"/>
            <w:shd w:val="clear" w:color="auto" w:fill="CCEEFF"/>
            <w:tcMar>
              <w:top w:w="30" w:type="dxa"/>
              <w:left w:w="0" w:type="dxa"/>
              <w:bottom w:w="30" w:type="dxa"/>
              <w:right w:w="20" w:type="dxa"/>
            </w:tcMar>
            <w:vAlign w:val="bottom"/>
            <w:hideMark/>
          </w:tcPr>
          <w:p w14:paraId="4E576390" w14:textId="77777777" w:rsidR="00000000" w:rsidRDefault="001A570A">
            <w:pPr>
              <w:jc w:val="right"/>
              <w:rPr>
                <w:rFonts w:eastAsia="Times New Roman"/>
              </w:rPr>
            </w:pPr>
          </w:p>
        </w:tc>
      </w:tr>
      <w:tr w:rsidR="00000000" w14:paraId="467B596A"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79A477EB" w14:textId="77777777" w:rsidR="00000000" w:rsidRDefault="001A570A">
            <w:pPr>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14:paraId="359971FA" w14:textId="77777777" w:rsidR="00000000" w:rsidRDefault="001A570A">
            <w:pPr>
              <w:jc w:val="right"/>
              <w:rPr>
                <w:rFonts w:eastAsia="Times New Roman"/>
              </w:rPr>
            </w:pPr>
            <w:r>
              <w:rPr>
                <w:rFonts w:eastAsia="Times New Roman"/>
                <w:color w:val="000000"/>
                <w:sz w:val="20"/>
                <w:szCs w:val="20"/>
              </w:rPr>
              <w:t>1,708 </w:t>
            </w:r>
          </w:p>
        </w:tc>
        <w:tc>
          <w:tcPr>
            <w:tcW w:w="0" w:type="auto"/>
            <w:shd w:val="clear" w:color="auto" w:fill="FFFFFF"/>
            <w:tcMar>
              <w:top w:w="30" w:type="dxa"/>
              <w:left w:w="0" w:type="dxa"/>
              <w:bottom w:w="30" w:type="dxa"/>
              <w:right w:w="20" w:type="dxa"/>
            </w:tcMar>
            <w:vAlign w:val="bottom"/>
            <w:hideMark/>
          </w:tcPr>
          <w:p w14:paraId="5AB644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29A0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BC38BD" w14:textId="77777777" w:rsidR="00000000" w:rsidRDefault="001A570A">
            <w:pPr>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14:paraId="51D992F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7BB3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5EA46" w14:textId="77777777" w:rsidR="00000000" w:rsidRDefault="001A570A">
            <w:pPr>
              <w:jc w:val="right"/>
              <w:rPr>
                <w:rFonts w:eastAsia="Times New Roman"/>
              </w:rPr>
            </w:pPr>
            <w:r>
              <w:rPr>
                <w:rFonts w:eastAsia="Times New Roman"/>
                <w:color w:val="000000"/>
                <w:sz w:val="20"/>
                <w:szCs w:val="20"/>
              </w:rPr>
              <w:t>1,651 </w:t>
            </w:r>
          </w:p>
        </w:tc>
        <w:tc>
          <w:tcPr>
            <w:tcW w:w="0" w:type="auto"/>
            <w:shd w:val="clear" w:color="auto" w:fill="FFFFFF"/>
            <w:tcMar>
              <w:top w:w="30" w:type="dxa"/>
              <w:left w:w="0" w:type="dxa"/>
              <w:bottom w:w="30" w:type="dxa"/>
              <w:right w:w="20" w:type="dxa"/>
            </w:tcMar>
            <w:vAlign w:val="bottom"/>
            <w:hideMark/>
          </w:tcPr>
          <w:p w14:paraId="10F9493D" w14:textId="77777777" w:rsidR="00000000" w:rsidRDefault="001A570A">
            <w:pPr>
              <w:jc w:val="right"/>
              <w:rPr>
                <w:rFonts w:eastAsia="Times New Roman"/>
              </w:rPr>
            </w:pPr>
          </w:p>
        </w:tc>
      </w:tr>
      <w:tr w:rsidR="00000000" w14:paraId="4E530F6D"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05221074" w14:textId="77777777" w:rsidR="00000000" w:rsidRDefault="001A570A">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06DDD68F" w14:textId="77777777" w:rsidR="00000000" w:rsidRDefault="001A570A">
            <w:pPr>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bottom"/>
            <w:hideMark/>
          </w:tcPr>
          <w:p w14:paraId="077CEA1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C57E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352EEE"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14:paraId="21563D8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3081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9F5A1" w14:textId="77777777" w:rsidR="00000000" w:rsidRDefault="001A570A">
            <w:pPr>
              <w:jc w:val="right"/>
              <w:rPr>
                <w:rFonts w:eastAsia="Times New Roman"/>
              </w:rPr>
            </w:pPr>
            <w:r>
              <w:rPr>
                <w:rFonts w:eastAsia="Times New Roman"/>
                <w:color w:val="000000"/>
                <w:sz w:val="20"/>
                <w:szCs w:val="20"/>
              </w:rPr>
              <w:t>983 </w:t>
            </w:r>
          </w:p>
        </w:tc>
        <w:tc>
          <w:tcPr>
            <w:tcW w:w="0" w:type="auto"/>
            <w:shd w:val="clear" w:color="auto" w:fill="CCEEFF"/>
            <w:tcMar>
              <w:top w:w="30" w:type="dxa"/>
              <w:left w:w="0" w:type="dxa"/>
              <w:bottom w:w="30" w:type="dxa"/>
              <w:right w:w="20" w:type="dxa"/>
            </w:tcMar>
            <w:vAlign w:val="bottom"/>
            <w:hideMark/>
          </w:tcPr>
          <w:p w14:paraId="11B0FFD3" w14:textId="77777777" w:rsidR="00000000" w:rsidRDefault="001A570A">
            <w:pPr>
              <w:jc w:val="right"/>
              <w:rPr>
                <w:rFonts w:eastAsia="Times New Roman"/>
              </w:rPr>
            </w:pPr>
          </w:p>
        </w:tc>
      </w:tr>
      <w:tr w:rsidR="00000000" w14:paraId="1D573188"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6383B744" w14:textId="77777777" w:rsidR="00000000" w:rsidRDefault="001A570A">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14:paraId="4F1A9068" w14:textId="77777777" w:rsidR="00000000" w:rsidRDefault="001A570A">
            <w:pPr>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14:paraId="4922C46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6002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D0DCB8"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20B03EA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1902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2D937" w14:textId="77777777" w:rsidR="00000000" w:rsidRDefault="001A570A">
            <w:pPr>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14:paraId="12B3F8A9" w14:textId="77777777" w:rsidR="00000000" w:rsidRDefault="001A570A">
            <w:pPr>
              <w:jc w:val="right"/>
              <w:rPr>
                <w:rFonts w:eastAsia="Times New Roman"/>
              </w:rPr>
            </w:pPr>
          </w:p>
        </w:tc>
      </w:tr>
      <w:tr w:rsidR="00000000" w14:paraId="760633D4"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3513E27B" w14:textId="77777777" w:rsidR="00000000" w:rsidRDefault="001A570A">
            <w:pPr>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14:paraId="56E46BBD" w14:textId="77777777" w:rsidR="00000000" w:rsidRDefault="001A570A">
            <w:pPr>
              <w:jc w:val="right"/>
              <w:rPr>
                <w:rFonts w:eastAsia="Times New Roman"/>
              </w:rPr>
            </w:pPr>
            <w:r>
              <w:rPr>
                <w:rFonts w:eastAsia="Times New Roman"/>
                <w:color w:val="000000"/>
                <w:sz w:val="20"/>
                <w:szCs w:val="20"/>
              </w:rPr>
              <w:t>1,176 </w:t>
            </w:r>
          </w:p>
        </w:tc>
        <w:tc>
          <w:tcPr>
            <w:tcW w:w="0" w:type="auto"/>
            <w:shd w:val="clear" w:color="auto" w:fill="CCEEFF"/>
            <w:tcMar>
              <w:top w:w="30" w:type="dxa"/>
              <w:left w:w="0" w:type="dxa"/>
              <w:bottom w:w="30" w:type="dxa"/>
              <w:right w:w="20" w:type="dxa"/>
            </w:tcMar>
            <w:vAlign w:val="bottom"/>
            <w:hideMark/>
          </w:tcPr>
          <w:p w14:paraId="1406107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1B6A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B86129" w14:textId="77777777" w:rsidR="00000000" w:rsidRDefault="001A570A">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4774227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BB88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3DA54" w14:textId="77777777" w:rsidR="00000000" w:rsidRDefault="001A570A">
            <w:pPr>
              <w:jc w:val="right"/>
              <w:rPr>
                <w:rFonts w:eastAsia="Times New Roman"/>
              </w:rPr>
            </w:pPr>
            <w:r>
              <w:rPr>
                <w:rFonts w:eastAsia="Times New Roman"/>
                <w:color w:val="000000"/>
                <w:sz w:val="20"/>
                <w:szCs w:val="20"/>
              </w:rPr>
              <w:t>1,219 </w:t>
            </w:r>
          </w:p>
        </w:tc>
        <w:tc>
          <w:tcPr>
            <w:tcW w:w="0" w:type="auto"/>
            <w:shd w:val="clear" w:color="auto" w:fill="CCEEFF"/>
            <w:tcMar>
              <w:top w:w="30" w:type="dxa"/>
              <w:left w:w="0" w:type="dxa"/>
              <w:bottom w:w="30" w:type="dxa"/>
              <w:right w:w="20" w:type="dxa"/>
            </w:tcMar>
            <w:vAlign w:val="bottom"/>
            <w:hideMark/>
          </w:tcPr>
          <w:p w14:paraId="3E9BB1F1" w14:textId="77777777" w:rsidR="00000000" w:rsidRDefault="001A570A">
            <w:pPr>
              <w:jc w:val="right"/>
              <w:rPr>
                <w:rFonts w:eastAsia="Times New Roman"/>
              </w:rPr>
            </w:pPr>
          </w:p>
        </w:tc>
      </w:tr>
      <w:tr w:rsidR="00000000" w14:paraId="1089534C"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66FF3E94" w14:textId="77777777" w:rsidR="00000000" w:rsidRDefault="001A570A">
            <w:pPr>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14:paraId="6910A9A0" w14:textId="77777777" w:rsidR="00000000" w:rsidRDefault="001A570A">
            <w:pPr>
              <w:jc w:val="right"/>
              <w:rPr>
                <w:rFonts w:eastAsia="Times New Roman"/>
              </w:rPr>
            </w:pPr>
            <w:r>
              <w:rPr>
                <w:rFonts w:eastAsia="Times New Roman"/>
                <w:color w:val="000000"/>
                <w:sz w:val="20"/>
                <w:szCs w:val="20"/>
              </w:rPr>
              <w:t>704 </w:t>
            </w:r>
          </w:p>
        </w:tc>
        <w:tc>
          <w:tcPr>
            <w:tcW w:w="0" w:type="auto"/>
            <w:shd w:val="clear" w:color="auto" w:fill="FFFFFF"/>
            <w:tcMar>
              <w:top w:w="30" w:type="dxa"/>
              <w:left w:w="0" w:type="dxa"/>
              <w:bottom w:w="30" w:type="dxa"/>
              <w:right w:w="20" w:type="dxa"/>
            </w:tcMar>
            <w:vAlign w:val="bottom"/>
            <w:hideMark/>
          </w:tcPr>
          <w:p w14:paraId="3F48549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2DDA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F4377" w14:textId="77777777" w:rsidR="00000000" w:rsidRDefault="001A570A">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47ABEB3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CA0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568626" w14:textId="77777777" w:rsidR="00000000" w:rsidRDefault="001A570A">
            <w:pPr>
              <w:jc w:val="right"/>
              <w:rPr>
                <w:rFonts w:eastAsia="Times New Roman"/>
              </w:rPr>
            </w:pPr>
            <w:r>
              <w:rPr>
                <w:rFonts w:eastAsia="Times New Roman"/>
                <w:color w:val="000000"/>
                <w:sz w:val="20"/>
                <w:szCs w:val="20"/>
              </w:rPr>
              <w:t>812 </w:t>
            </w:r>
          </w:p>
        </w:tc>
        <w:tc>
          <w:tcPr>
            <w:tcW w:w="0" w:type="auto"/>
            <w:shd w:val="clear" w:color="auto" w:fill="FFFFFF"/>
            <w:tcMar>
              <w:top w:w="30" w:type="dxa"/>
              <w:left w:w="0" w:type="dxa"/>
              <w:bottom w:w="30" w:type="dxa"/>
              <w:right w:w="20" w:type="dxa"/>
            </w:tcMar>
            <w:vAlign w:val="bottom"/>
            <w:hideMark/>
          </w:tcPr>
          <w:p w14:paraId="5D65415C" w14:textId="77777777" w:rsidR="00000000" w:rsidRDefault="001A570A">
            <w:pPr>
              <w:jc w:val="right"/>
              <w:rPr>
                <w:rFonts w:eastAsia="Times New Roman"/>
              </w:rPr>
            </w:pPr>
          </w:p>
        </w:tc>
      </w:tr>
      <w:tr w:rsidR="00000000" w14:paraId="29BDFB8B"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7F4D3B29" w14:textId="77777777" w:rsidR="00000000" w:rsidRDefault="001A570A">
            <w:pPr>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50E388B5" w14:textId="77777777" w:rsidR="00000000" w:rsidRDefault="001A570A">
            <w:pPr>
              <w:jc w:val="right"/>
              <w:rPr>
                <w:rFonts w:eastAsia="Times New Roman"/>
              </w:rPr>
            </w:pPr>
            <w:r>
              <w:rPr>
                <w:rFonts w:eastAsia="Times New Roman"/>
                <w:color w:val="000000"/>
                <w:sz w:val="20"/>
                <w:szCs w:val="20"/>
              </w:rPr>
              <w:t>15,423 </w:t>
            </w:r>
          </w:p>
        </w:tc>
        <w:tc>
          <w:tcPr>
            <w:tcW w:w="0" w:type="auto"/>
            <w:shd w:val="clear" w:color="auto" w:fill="CCEEFF"/>
            <w:tcMar>
              <w:top w:w="30" w:type="dxa"/>
              <w:left w:w="0" w:type="dxa"/>
              <w:bottom w:w="30" w:type="dxa"/>
              <w:right w:w="20" w:type="dxa"/>
            </w:tcMar>
            <w:vAlign w:val="bottom"/>
            <w:hideMark/>
          </w:tcPr>
          <w:p w14:paraId="4400687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549F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47328" w14:textId="77777777" w:rsidR="00000000" w:rsidRDefault="001A570A">
            <w:pPr>
              <w:jc w:val="right"/>
              <w:rPr>
                <w:rFonts w:eastAsia="Times New Roman"/>
              </w:rPr>
            </w:pPr>
            <w:r>
              <w:rPr>
                <w:rFonts w:eastAsia="Times New Roman"/>
                <w:color w:val="000000"/>
                <w:sz w:val="20"/>
                <w:szCs w:val="20"/>
              </w:rPr>
              <w:t>(841)</w:t>
            </w:r>
          </w:p>
        </w:tc>
        <w:tc>
          <w:tcPr>
            <w:tcW w:w="0" w:type="auto"/>
            <w:shd w:val="clear" w:color="auto" w:fill="CCEEFF"/>
            <w:tcMar>
              <w:top w:w="30" w:type="dxa"/>
              <w:left w:w="0" w:type="dxa"/>
              <w:bottom w:w="30" w:type="dxa"/>
              <w:right w:w="20" w:type="dxa"/>
            </w:tcMar>
            <w:vAlign w:val="bottom"/>
            <w:hideMark/>
          </w:tcPr>
          <w:p w14:paraId="3622B6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589B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1FA1F" w14:textId="77777777" w:rsidR="00000000" w:rsidRDefault="001A570A">
            <w:pPr>
              <w:jc w:val="right"/>
              <w:rPr>
                <w:rFonts w:eastAsia="Times New Roman"/>
              </w:rPr>
            </w:pPr>
            <w:r>
              <w:rPr>
                <w:rFonts w:eastAsia="Times New Roman"/>
                <w:color w:val="000000"/>
                <w:sz w:val="20"/>
                <w:szCs w:val="20"/>
              </w:rPr>
              <w:t>14,582 </w:t>
            </w:r>
          </w:p>
        </w:tc>
        <w:tc>
          <w:tcPr>
            <w:tcW w:w="0" w:type="auto"/>
            <w:shd w:val="clear" w:color="auto" w:fill="CCEEFF"/>
            <w:tcMar>
              <w:top w:w="30" w:type="dxa"/>
              <w:left w:w="0" w:type="dxa"/>
              <w:bottom w:w="30" w:type="dxa"/>
              <w:right w:w="20" w:type="dxa"/>
            </w:tcMar>
            <w:vAlign w:val="bottom"/>
            <w:hideMark/>
          </w:tcPr>
          <w:p w14:paraId="2E951E73" w14:textId="77777777" w:rsidR="00000000" w:rsidRDefault="001A570A">
            <w:pPr>
              <w:jc w:val="right"/>
              <w:rPr>
                <w:rFonts w:eastAsia="Times New Roman"/>
              </w:rPr>
            </w:pPr>
          </w:p>
        </w:tc>
      </w:tr>
      <w:tr w:rsidR="00000000" w14:paraId="02031FB7"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7867CE32" w14:textId="77777777" w:rsidR="00000000" w:rsidRDefault="001A570A">
            <w:pPr>
              <w:rPr>
                <w:rFonts w:eastAsia="Times New Roman"/>
              </w:rPr>
            </w:pPr>
            <w:r>
              <w:rPr>
                <w:rFonts w:eastAsia="Times New Roman"/>
                <w:color w:val="000000"/>
                <w:sz w:val="20"/>
                <w:szCs w:val="20"/>
              </w:rPr>
              <w:t>Other intangible assets</w:t>
            </w:r>
          </w:p>
        </w:tc>
        <w:tc>
          <w:tcPr>
            <w:tcW w:w="0" w:type="auto"/>
            <w:gridSpan w:val="2"/>
            <w:shd w:val="clear" w:color="auto" w:fill="FFFFFF"/>
            <w:tcMar>
              <w:top w:w="30" w:type="dxa"/>
              <w:left w:w="20" w:type="dxa"/>
              <w:bottom w:w="30" w:type="dxa"/>
              <w:right w:w="0" w:type="dxa"/>
            </w:tcMar>
            <w:vAlign w:val="bottom"/>
            <w:hideMark/>
          </w:tcPr>
          <w:p w14:paraId="415E580A" w14:textId="77777777" w:rsidR="00000000" w:rsidRDefault="001A570A">
            <w:pPr>
              <w:jc w:val="right"/>
              <w:rPr>
                <w:rFonts w:eastAsia="Times New Roman"/>
              </w:rPr>
            </w:pPr>
            <w:r>
              <w:rPr>
                <w:rFonts w:eastAsia="Times New Roman"/>
                <w:color w:val="000000"/>
                <w:sz w:val="20"/>
                <w:szCs w:val="20"/>
              </w:rPr>
              <w:t>6,768 </w:t>
            </w:r>
          </w:p>
        </w:tc>
        <w:tc>
          <w:tcPr>
            <w:tcW w:w="0" w:type="auto"/>
            <w:shd w:val="clear" w:color="auto" w:fill="FFFFFF"/>
            <w:tcMar>
              <w:top w:w="30" w:type="dxa"/>
              <w:left w:w="0" w:type="dxa"/>
              <w:bottom w:w="30" w:type="dxa"/>
              <w:right w:w="20" w:type="dxa"/>
            </w:tcMar>
            <w:vAlign w:val="bottom"/>
            <w:hideMark/>
          </w:tcPr>
          <w:p w14:paraId="5B64457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A755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03AB5F" w14:textId="77777777" w:rsidR="00000000" w:rsidRDefault="001A570A">
            <w:pPr>
              <w:jc w:val="right"/>
              <w:rPr>
                <w:rFonts w:eastAsia="Times New Roman"/>
              </w:rPr>
            </w:pPr>
            <w:r>
              <w:rPr>
                <w:rFonts w:eastAsia="Times New Roman"/>
                <w:color w:val="000000"/>
                <w:sz w:val="20"/>
                <w:szCs w:val="20"/>
              </w:rPr>
              <w:t>1,690 </w:t>
            </w:r>
          </w:p>
        </w:tc>
        <w:tc>
          <w:tcPr>
            <w:tcW w:w="0" w:type="auto"/>
            <w:shd w:val="clear" w:color="auto" w:fill="FFFFFF"/>
            <w:tcMar>
              <w:top w:w="30" w:type="dxa"/>
              <w:left w:w="0" w:type="dxa"/>
              <w:bottom w:w="30" w:type="dxa"/>
              <w:right w:w="20" w:type="dxa"/>
            </w:tcMar>
            <w:vAlign w:val="bottom"/>
            <w:hideMark/>
          </w:tcPr>
          <w:p w14:paraId="41D23A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BE67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646CFD" w14:textId="77777777" w:rsidR="00000000" w:rsidRDefault="001A570A">
            <w:pPr>
              <w:jc w:val="right"/>
              <w:rPr>
                <w:rFonts w:eastAsia="Times New Roman"/>
              </w:rPr>
            </w:pPr>
            <w:r>
              <w:rPr>
                <w:rFonts w:eastAsia="Times New Roman"/>
                <w:color w:val="000000"/>
                <w:sz w:val="20"/>
                <w:szCs w:val="20"/>
              </w:rPr>
              <w:t>8,458 </w:t>
            </w:r>
          </w:p>
        </w:tc>
        <w:tc>
          <w:tcPr>
            <w:tcW w:w="0" w:type="auto"/>
            <w:shd w:val="clear" w:color="auto" w:fill="FFFFFF"/>
            <w:tcMar>
              <w:top w:w="30" w:type="dxa"/>
              <w:left w:w="0" w:type="dxa"/>
              <w:bottom w:w="30" w:type="dxa"/>
              <w:right w:w="20" w:type="dxa"/>
            </w:tcMar>
            <w:vAlign w:val="bottom"/>
            <w:hideMark/>
          </w:tcPr>
          <w:p w14:paraId="6DB63459" w14:textId="77777777" w:rsidR="00000000" w:rsidRDefault="001A570A">
            <w:pPr>
              <w:jc w:val="right"/>
              <w:rPr>
                <w:rFonts w:eastAsia="Times New Roman"/>
              </w:rPr>
            </w:pPr>
          </w:p>
        </w:tc>
      </w:tr>
      <w:tr w:rsidR="00000000" w14:paraId="3CE18C28"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4CE459D1" w14:textId="77777777" w:rsidR="00000000" w:rsidRDefault="001A570A">
            <w:pPr>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6F567274" w14:textId="77777777" w:rsidR="00000000" w:rsidRDefault="001A570A">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6271C09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5D21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9C4E0" w14:textId="77777777" w:rsidR="00000000" w:rsidRDefault="001A570A">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14:paraId="0D529D4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8160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168E6" w14:textId="77777777" w:rsidR="00000000" w:rsidRDefault="001A570A">
            <w:pPr>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14:paraId="1DC22A68" w14:textId="77777777" w:rsidR="00000000" w:rsidRDefault="001A570A">
            <w:pPr>
              <w:jc w:val="right"/>
              <w:rPr>
                <w:rFonts w:eastAsia="Times New Roman"/>
              </w:rPr>
            </w:pPr>
          </w:p>
        </w:tc>
      </w:tr>
      <w:tr w:rsidR="00000000" w14:paraId="38A3BD68" w14:textId="77777777">
        <w:trPr>
          <w:divId w:val="1040856173"/>
        </w:trPr>
        <w:tc>
          <w:tcPr>
            <w:tcW w:w="0" w:type="auto"/>
            <w:gridSpan w:val="3"/>
            <w:shd w:val="clear" w:color="auto" w:fill="FFFFFF"/>
            <w:tcMar>
              <w:top w:w="30" w:type="dxa"/>
              <w:left w:w="20" w:type="dxa"/>
              <w:bottom w:w="30" w:type="dxa"/>
              <w:right w:w="20" w:type="dxa"/>
            </w:tcMar>
            <w:vAlign w:val="bottom"/>
            <w:hideMark/>
          </w:tcPr>
          <w:p w14:paraId="33CAB319" w14:textId="77777777" w:rsidR="00000000" w:rsidRDefault="001A570A">
            <w:pPr>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45946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5A4653" w14:textId="77777777" w:rsidR="00000000" w:rsidRDefault="001A570A">
            <w:pPr>
              <w:jc w:val="right"/>
              <w:rPr>
                <w:rFonts w:eastAsia="Times New Roman"/>
              </w:rPr>
            </w:pPr>
            <w:r>
              <w:rPr>
                <w:rFonts w:eastAsia="Times New Roman"/>
                <w:color w:val="000000"/>
                <w:sz w:val="20"/>
                <w:szCs w:val="20"/>
              </w:rPr>
              <w:t>28,528 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48A60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592FD"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B4BBD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970F54" w14:textId="77777777" w:rsidR="00000000" w:rsidRDefault="001A570A">
            <w:pPr>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33FCC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45FE4"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8F774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DEF91F" w14:textId="77777777" w:rsidR="00000000" w:rsidRDefault="001A570A">
            <w:pPr>
              <w:jc w:val="right"/>
              <w:rPr>
                <w:rFonts w:eastAsia="Times New Roman"/>
              </w:rPr>
            </w:pPr>
            <w:r>
              <w:rPr>
                <w:rFonts w:eastAsia="Times New Roman"/>
                <w:color w:val="000000"/>
                <w:sz w:val="20"/>
                <w:szCs w:val="20"/>
              </w:rPr>
              <w:t>29,349 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07BB27" w14:textId="77777777" w:rsidR="00000000" w:rsidRDefault="001A570A">
            <w:pPr>
              <w:jc w:val="right"/>
              <w:rPr>
                <w:rFonts w:eastAsia="Times New Roman"/>
              </w:rPr>
            </w:pPr>
          </w:p>
        </w:tc>
      </w:tr>
      <w:tr w:rsidR="00000000" w14:paraId="74AC3179" w14:textId="77777777">
        <w:trPr>
          <w:divId w:val="1040856173"/>
          <w:trHeight w:val="280"/>
        </w:trPr>
        <w:tc>
          <w:tcPr>
            <w:tcW w:w="0" w:type="auto"/>
            <w:gridSpan w:val="3"/>
            <w:shd w:val="clear" w:color="auto" w:fill="CCEEFF"/>
            <w:tcMar>
              <w:top w:w="0" w:type="dxa"/>
              <w:left w:w="20" w:type="dxa"/>
              <w:bottom w:w="0" w:type="dxa"/>
              <w:right w:w="20" w:type="dxa"/>
            </w:tcMar>
            <w:vAlign w:val="center"/>
            <w:hideMark/>
          </w:tcPr>
          <w:p w14:paraId="7CA60A88" w14:textId="77777777" w:rsidR="00000000" w:rsidRDefault="001A570A">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EEF5C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56816B"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AFC85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A50BEC"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C70233" w14:textId="77777777" w:rsidR="00000000" w:rsidRDefault="001A570A">
            <w:pPr>
              <w:rPr>
                <w:rFonts w:eastAsia="Times New Roman"/>
                <w:sz w:val="20"/>
                <w:szCs w:val="20"/>
              </w:rPr>
            </w:pPr>
          </w:p>
        </w:tc>
      </w:tr>
      <w:tr w:rsidR="00000000" w14:paraId="5214F530"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0CF2D739" w14:textId="77777777" w:rsidR="00000000" w:rsidRDefault="001A570A">
            <w:pPr>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14:paraId="5B3762E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DAE0EE" w14:textId="77777777" w:rsidR="00000000" w:rsidRDefault="001A570A">
            <w:pPr>
              <w:jc w:val="right"/>
              <w:rPr>
                <w:rFonts w:eastAsia="Times New Roman"/>
              </w:rPr>
            </w:pPr>
            <w:r>
              <w:rPr>
                <w:rFonts w:eastAsia="Times New Roman"/>
                <w:color w:val="000000"/>
                <w:sz w:val="20"/>
                <w:szCs w:val="20"/>
              </w:rPr>
              <w:t>898 </w:t>
            </w:r>
          </w:p>
        </w:tc>
        <w:tc>
          <w:tcPr>
            <w:tcW w:w="0" w:type="auto"/>
            <w:shd w:val="clear" w:color="auto" w:fill="FFFFFF"/>
            <w:tcMar>
              <w:top w:w="30" w:type="dxa"/>
              <w:left w:w="0" w:type="dxa"/>
              <w:bottom w:w="30" w:type="dxa"/>
              <w:right w:w="20" w:type="dxa"/>
            </w:tcMar>
            <w:vAlign w:val="bottom"/>
            <w:hideMark/>
          </w:tcPr>
          <w:p w14:paraId="45F40B9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C6BF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7644E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3E6D3F" w14:textId="77777777" w:rsidR="00000000" w:rsidRDefault="001A570A">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59F1D21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6A6A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03779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105E94" w14:textId="77777777" w:rsidR="00000000" w:rsidRDefault="001A570A">
            <w:pPr>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14:paraId="10095BD7" w14:textId="77777777" w:rsidR="00000000" w:rsidRDefault="001A570A">
            <w:pPr>
              <w:jc w:val="right"/>
              <w:rPr>
                <w:rFonts w:eastAsia="Times New Roman"/>
              </w:rPr>
            </w:pPr>
          </w:p>
        </w:tc>
      </w:tr>
      <w:tr w:rsidR="00000000" w14:paraId="7E86BB69"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090F011E" w14:textId="77777777" w:rsidR="00000000" w:rsidRDefault="001A570A">
            <w:pPr>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14:paraId="1FAA84BD" w14:textId="77777777" w:rsidR="00000000" w:rsidRDefault="001A570A">
            <w:pPr>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14:paraId="6BB2F9E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A42C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508BC3"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90E65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A7E0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2C2E5" w14:textId="77777777" w:rsidR="00000000" w:rsidRDefault="001A570A">
            <w:pPr>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14:paraId="091B7C93" w14:textId="77777777" w:rsidR="00000000" w:rsidRDefault="001A570A">
            <w:pPr>
              <w:jc w:val="right"/>
              <w:rPr>
                <w:rFonts w:eastAsia="Times New Roman"/>
              </w:rPr>
            </w:pPr>
          </w:p>
        </w:tc>
      </w:tr>
      <w:tr w:rsidR="00000000" w14:paraId="79DC055F"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11D0AB33" w14:textId="77777777" w:rsidR="00000000" w:rsidRDefault="001A570A">
            <w:pPr>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14:paraId="0D448757" w14:textId="77777777" w:rsidR="00000000" w:rsidRDefault="001A570A">
            <w:pPr>
              <w:jc w:val="right"/>
              <w:rPr>
                <w:rFonts w:eastAsia="Times New Roman"/>
              </w:rPr>
            </w:pPr>
            <w:r>
              <w:rPr>
                <w:rFonts w:eastAsia="Times New Roman"/>
                <w:color w:val="000000"/>
                <w:sz w:val="20"/>
                <w:szCs w:val="20"/>
              </w:rPr>
              <w:t>772 </w:t>
            </w:r>
          </w:p>
        </w:tc>
        <w:tc>
          <w:tcPr>
            <w:tcW w:w="0" w:type="auto"/>
            <w:shd w:val="clear" w:color="auto" w:fill="FFFFFF"/>
            <w:tcMar>
              <w:top w:w="30" w:type="dxa"/>
              <w:left w:w="0" w:type="dxa"/>
              <w:bottom w:w="30" w:type="dxa"/>
              <w:right w:w="20" w:type="dxa"/>
            </w:tcMar>
            <w:vAlign w:val="bottom"/>
            <w:hideMark/>
          </w:tcPr>
          <w:p w14:paraId="1908D6D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6E5D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BA2D4" w14:textId="77777777" w:rsidR="00000000" w:rsidRDefault="001A570A">
            <w:pPr>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1EB243F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5ED8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63557" w14:textId="77777777" w:rsidR="00000000" w:rsidRDefault="001A570A">
            <w:pPr>
              <w:jc w:val="right"/>
              <w:rPr>
                <w:rFonts w:eastAsia="Times New Roman"/>
              </w:rPr>
            </w:pPr>
            <w:r>
              <w:rPr>
                <w:rFonts w:eastAsia="Times New Roman"/>
                <w:color w:val="000000"/>
                <w:sz w:val="20"/>
                <w:szCs w:val="20"/>
              </w:rPr>
              <w:t>1,073 </w:t>
            </w:r>
          </w:p>
        </w:tc>
        <w:tc>
          <w:tcPr>
            <w:tcW w:w="0" w:type="auto"/>
            <w:shd w:val="clear" w:color="auto" w:fill="FFFFFF"/>
            <w:tcMar>
              <w:top w:w="30" w:type="dxa"/>
              <w:left w:w="0" w:type="dxa"/>
              <w:bottom w:w="30" w:type="dxa"/>
              <w:right w:w="20" w:type="dxa"/>
            </w:tcMar>
            <w:vAlign w:val="bottom"/>
            <w:hideMark/>
          </w:tcPr>
          <w:p w14:paraId="56C90BF1" w14:textId="77777777" w:rsidR="00000000" w:rsidRDefault="001A570A">
            <w:pPr>
              <w:jc w:val="right"/>
              <w:rPr>
                <w:rFonts w:eastAsia="Times New Roman"/>
              </w:rPr>
            </w:pPr>
          </w:p>
        </w:tc>
      </w:tr>
      <w:tr w:rsidR="00000000" w14:paraId="3AF39AAD"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08C71223" w14:textId="77777777" w:rsidR="00000000" w:rsidRDefault="001A570A">
            <w:pPr>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14:paraId="580F8FAC" w14:textId="77777777" w:rsidR="00000000" w:rsidRDefault="001A570A">
            <w:pPr>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14:paraId="680793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FC7E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56547" w14:textId="77777777" w:rsidR="00000000" w:rsidRDefault="001A570A">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31EB25A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FDE0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C62130" w14:textId="77777777" w:rsidR="00000000" w:rsidRDefault="001A570A">
            <w:pPr>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14:paraId="07F41C70" w14:textId="77777777" w:rsidR="00000000" w:rsidRDefault="001A570A">
            <w:pPr>
              <w:jc w:val="right"/>
              <w:rPr>
                <w:rFonts w:eastAsia="Times New Roman"/>
              </w:rPr>
            </w:pPr>
          </w:p>
        </w:tc>
      </w:tr>
      <w:tr w:rsidR="00000000" w14:paraId="2554DD2A"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2E81BC36" w14:textId="77777777" w:rsidR="00000000" w:rsidRDefault="001A570A">
            <w:pPr>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14:paraId="421E2388" w14:textId="77777777" w:rsidR="00000000" w:rsidRDefault="001A570A">
            <w:pPr>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14:paraId="1945EFE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2109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1270B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7B788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C58C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6431B" w14:textId="77777777" w:rsidR="00000000" w:rsidRDefault="001A570A">
            <w:pPr>
              <w:jc w:val="right"/>
              <w:rPr>
                <w:rFonts w:eastAsia="Times New Roman"/>
              </w:rPr>
            </w:pPr>
            <w:r>
              <w:rPr>
                <w:rFonts w:eastAsia="Times New Roman"/>
                <w:color w:val="000000"/>
                <w:sz w:val="20"/>
                <w:szCs w:val="20"/>
              </w:rPr>
              <w:t>1,411 </w:t>
            </w:r>
          </w:p>
        </w:tc>
        <w:tc>
          <w:tcPr>
            <w:tcW w:w="0" w:type="auto"/>
            <w:shd w:val="clear" w:color="auto" w:fill="FFFFFF"/>
            <w:tcMar>
              <w:top w:w="30" w:type="dxa"/>
              <w:left w:w="0" w:type="dxa"/>
              <w:bottom w:w="30" w:type="dxa"/>
              <w:right w:w="20" w:type="dxa"/>
            </w:tcMar>
            <w:vAlign w:val="bottom"/>
            <w:hideMark/>
          </w:tcPr>
          <w:p w14:paraId="0DF90581" w14:textId="77777777" w:rsidR="00000000" w:rsidRDefault="001A570A">
            <w:pPr>
              <w:jc w:val="right"/>
              <w:rPr>
                <w:rFonts w:eastAsia="Times New Roman"/>
              </w:rPr>
            </w:pPr>
          </w:p>
        </w:tc>
      </w:tr>
      <w:tr w:rsidR="00000000" w14:paraId="036DB739"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43B560AF" w14:textId="77777777" w:rsidR="00000000" w:rsidRDefault="001A570A">
            <w:pPr>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14:paraId="204AFDE8" w14:textId="77777777" w:rsidR="00000000" w:rsidRDefault="001A570A">
            <w:pPr>
              <w:jc w:val="right"/>
              <w:rPr>
                <w:rFonts w:eastAsia="Times New Roman"/>
              </w:rPr>
            </w:pPr>
            <w:r>
              <w:rPr>
                <w:rFonts w:eastAsia="Times New Roman"/>
                <w:color w:val="000000"/>
                <w:sz w:val="20"/>
                <w:szCs w:val="20"/>
              </w:rPr>
              <w:t>3,548 </w:t>
            </w:r>
          </w:p>
        </w:tc>
        <w:tc>
          <w:tcPr>
            <w:tcW w:w="0" w:type="auto"/>
            <w:shd w:val="clear" w:color="auto" w:fill="CCEEFF"/>
            <w:tcMar>
              <w:top w:w="30" w:type="dxa"/>
              <w:left w:w="0" w:type="dxa"/>
              <w:bottom w:w="30" w:type="dxa"/>
              <w:right w:w="20" w:type="dxa"/>
            </w:tcMar>
            <w:vAlign w:val="bottom"/>
            <w:hideMark/>
          </w:tcPr>
          <w:p w14:paraId="77FB691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AD5C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E8A92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AD55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03E0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7AB97" w14:textId="77777777" w:rsidR="00000000" w:rsidRDefault="001A570A">
            <w:pPr>
              <w:jc w:val="right"/>
              <w:rPr>
                <w:rFonts w:eastAsia="Times New Roman"/>
              </w:rPr>
            </w:pPr>
            <w:r>
              <w:rPr>
                <w:rFonts w:eastAsia="Times New Roman"/>
                <w:color w:val="000000"/>
                <w:sz w:val="20"/>
                <w:szCs w:val="20"/>
              </w:rPr>
              <w:t>3,548 </w:t>
            </w:r>
          </w:p>
        </w:tc>
        <w:tc>
          <w:tcPr>
            <w:tcW w:w="0" w:type="auto"/>
            <w:shd w:val="clear" w:color="auto" w:fill="CCEEFF"/>
            <w:tcMar>
              <w:top w:w="30" w:type="dxa"/>
              <w:left w:w="0" w:type="dxa"/>
              <w:bottom w:w="30" w:type="dxa"/>
              <w:right w:w="20" w:type="dxa"/>
            </w:tcMar>
            <w:vAlign w:val="bottom"/>
            <w:hideMark/>
          </w:tcPr>
          <w:p w14:paraId="101EAA08" w14:textId="77777777" w:rsidR="00000000" w:rsidRDefault="001A570A">
            <w:pPr>
              <w:jc w:val="right"/>
              <w:rPr>
                <w:rFonts w:eastAsia="Times New Roman"/>
              </w:rPr>
            </w:pPr>
          </w:p>
        </w:tc>
      </w:tr>
      <w:tr w:rsidR="00000000" w14:paraId="7073636F" w14:textId="77777777">
        <w:trPr>
          <w:divId w:val="1040856173"/>
        </w:trPr>
        <w:tc>
          <w:tcPr>
            <w:tcW w:w="0" w:type="auto"/>
            <w:gridSpan w:val="3"/>
            <w:shd w:val="clear" w:color="auto" w:fill="FFFFFF"/>
            <w:tcMar>
              <w:top w:w="30" w:type="dxa"/>
              <w:left w:w="245" w:type="dxa"/>
              <w:bottom w:w="30" w:type="dxa"/>
              <w:right w:w="20" w:type="dxa"/>
            </w:tcMar>
            <w:vAlign w:val="bottom"/>
            <w:hideMark/>
          </w:tcPr>
          <w:p w14:paraId="231AAFAB" w14:textId="77777777" w:rsidR="00000000" w:rsidRDefault="001A570A">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14:paraId="51D2022B" w14:textId="77777777" w:rsidR="00000000" w:rsidRDefault="001A570A">
            <w:pPr>
              <w:jc w:val="right"/>
              <w:rPr>
                <w:rFonts w:eastAsia="Times New Roman"/>
              </w:rPr>
            </w:pPr>
            <w:r>
              <w:rPr>
                <w:rFonts w:eastAsia="Times New Roman"/>
                <w:color w:val="000000"/>
                <w:sz w:val="20"/>
                <w:szCs w:val="20"/>
              </w:rPr>
              <w:t>1,661 </w:t>
            </w:r>
          </w:p>
        </w:tc>
        <w:tc>
          <w:tcPr>
            <w:tcW w:w="0" w:type="auto"/>
            <w:shd w:val="clear" w:color="auto" w:fill="FFFFFF"/>
            <w:tcMar>
              <w:top w:w="30" w:type="dxa"/>
              <w:left w:w="0" w:type="dxa"/>
              <w:bottom w:w="30" w:type="dxa"/>
              <w:right w:w="20" w:type="dxa"/>
            </w:tcMar>
            <w:vAlign w:val="bottom"/>
            <w:hideMark/>
          </w:tcPr>
          <w:p w14:paraId="00AA1DA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0C7C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3C8F35" w14:textId="77777777" w:rsidR="00000000" w:rsidRDefault="001A570A">
            <w:pPr>
              <w:jc w:val="right"/>
              <w:rPr>
                <w:rFonts w:eastAsia="Times New Roman"/>
              </w:rPr>
            </w:pPr>
            <w:r>
              <w:rPr>
                <w:rFonts w:eastAsia="Times New Roman"/>
                <w:color w:val="000000"/>
                <w:sz w:val="20"/>
                <w:szCs w:val="20"/>
              </w:rPr>
              <w:t>480 </w:t>
            </w:r>
          </w:p>
        </w:tc>
        <w:tc>
          <w:tcPr>
            <w:tcW w:w="0" w:type="auto"/>
            <w:shd w:val="clear" w:color="auto" w:fill="FFFFFF"/>
            <w:tcMar>
              <w:top w:w="30" w:type="dxa"/>
              <w:left w:w="0" w:type="dxa"/>
              <w:bottom w:w="30" w:type="dxa"/>
              <w:right w:w="20" w:type="dxa"/>
            </w:tcMar>
            <w:vAlign w:val="bottom"/>
            <w:hideMark/>
          </w:tcPr>
          <w:p w14:paraId="5F4EC3E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E366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3A042D" w14:textId="77777777" w:rsidR="00000000" w:rsidRDefault="001A570A">
            <w:pPr>
              <w:jc w:val="right"/>
              <w:rPr>
                <w:rFonts w:eastAsia="Times New Roman"/>
              </w:rPr>
            </w:pPr>
            <w:r>
              <w:rPr>
                <w:rFonts w:eastAsia="Times New Roman"/>
                <w:color w:val="000000"/>
                <w:sz w:val="20"/>
                <w:szCs w:val="20"/>
              </w:rPr>
              <w:t>2,141 </w:t>
            </w:r>
          </w:p>
        </w:tc>
        <w:tc>
          <w:tcPr>
            <w:tcW w:w="0" w:type="auto"/>
            <w:shd w:val="clear" w:color="auto" w:fill="FFFFFF"/>
            <w:tcMar>
              <w:top w:w="30" w:type="dxa"/>
              <w:left w:w="0" w:type="dxa"/>
              <w:bottom w:w="30" w:type="dxa"/>
              <w:right w:w="20" w:type="dxa"/>
            </w:tcMar>
            <w:vAlign w:val="bottom"/>
            <w:hideMark/>
          </w:tcPr>
          <w:p w14:paraId="7BBF2ECD" w14:textId="77777777" w:rsidR="00000000" w:rsidRDefault="001A570A">
            <w:pPr>
              <w:jc w:val="right"/>
              <w:rPr>
                <w:rFonts w:eastAsia="Times New Roman"/>
              </w:rPr>
            </w:pPr>
          </w:p>
        </w:tc>
      </w:tr>
      <w:tr w:rsidR="00000000" w14:paraId="609BD89E" w14:textId="77777777">
        <w:trPr>
          <w:divId w:val="1040856173"/>
        </w:trPr>
        <w:tc>
          <w:tcPr>
            <w:tcW w:w="0" w:type="auto"/>
            <w:gridSpan w:val="3"/>
            <w:shd w:val="clear" w:color="auto" w:fill="CCEEFF"/>
            <w:tcMar>
              <w:top w:w="30" w:type="dxa"/>
              <w:left w:w="20" w:type="dxa"/>
              <w:bottom w:w="30" w:type="dxa"/>
              <w:right w:w="20" w:type="dxa"/>
            </w:tcMar>
            <w:vAlign w:val="bottom"/>
            <w:hideMark/>
          </w:tcPr>
          <w:p w14:paraId="15BA87FF" w14:textId="77777777" w:rsidR="00000000" w:rsidRDefault="001A570A">
            <w:pPr>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00000E" w14:textId="77777777" w:rsidR="00000000" w:rsidRDefault="001A570A">
            <w:pPr>
              <w:jc w:val="right"/>
              <w:rPr>
                <w:rFonts w:eastAsia="Times New Roman"/>
              </w:rPr>
            </w:pPr>
            <w:r>
              <w:rPr>
                <w:rFonts w:eastAsia="Times New Roman"/>
                <w:color w:val="000000"/>
                <w:sz w:val="20"/>
                <w:szCs w:val="20"/>
              </w:rPr>
              <w:t>9,727 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0ED8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DCDA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186AC6" w14:textId="77777777" w:rsidR="00000000" w:rsidRDefault="001A570A">
            <w:pPr>
              <w:jc w:val="right"/>
              <w:rPr>
                <w:rFonts w:eastAsia="Times New Roman"/>
              </w:rPr>
            </w:pPr>
            <w:r>
              <w:rPr>
                <w:rFonts w:eastAsia="Times New Roman"/>
                <w:color w:val="000000"/>
                <w:sz w:val="20"/>
                <w:szCs w:val="20"/>
              </w:rPr>
              <w:t>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4EA3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B553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E035B4" w14:textId="77777777" w:rsidR="00000000" w:rsidRDefault="001A570A">
            <w:pPr>
              <w:jc w:val="right"/>
              <w:rPr>
                <w:rFonts w:eastAsia="Times New Roman"/>
              </w:rPr>
            </w:pPr>
            <w:r>
              <w:rPr>
                <w:rFonts w:eastAsia="Times New Roman"/>
                <w:color w:val="000000"/>
                <w:sz w:val="20"/>
                <w:szCs w:val="20"/>
              </w:rPr>
              <w:t>10,544 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7932BA" w14:textId="77777777" w:rsidR="00000000" w:rsidRDefault="001A570A">
            <w:pPr>
              <w:jc w:val="right"/>
              <w:rPr>
                <w:rFonts w:eastAsia="Times New Roman"/>
              </w:rPr>
            </w:pPr>
          </w:p>
        </w:tc>
      </w:tr>
      <w:tr w:rsidR="00000000" w14:paraId="0B27D9C3" w14:textId="77777777">
        <w:trPr>
          <w:divId w:val="1040856173"/>
        </w:trPr>
        <w:tc>
          <w:tcPr>
            <w:tcW w:w="0" w:type="auto"/>
            <w:gridSpan w:val="3"/>
            <w:shd w:val="clear" w:color="auto" w:fill="FFFFFF"/>
            <w:tcMar>
              <w:top w:w="30" w:type="dxa"/>
              <w:left w:w="20" w:type="dxa"/>
              <w:bottom w:w="30" w:type="dxa"/>
              <w:right w:w="20" w:type="dxa"/>
            </w:tcMar>
            <w:vAlign w:val="bottom"/>
            <w:hideMark/>
          </w:tcPr>
          <w:p w14:paraId="55D21770" w14:textId="77777777" w:rsidR="00000000" w:rsidRDefault="001A570A">
            <w:pPr>
              <w:rPr>
                <w:rFonts w:eastAsia="Times New Roman"/>
              </w:rPr>
            </w:pPr>
            <w:r>
              <w:rPr>
                <w:rFonts w:eastAsia="Times New Roman"/>
                <w:color w:val="000000"/>
                <w:sz w:val="20"/>
                <w:szCs w:val="20"/>
              </w:rPr>
              <w:t>Net assets acquired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DA0F0F" w14:textId="77777777" w:rsidR="00000000" w:rsidRDefault="001A570A">
            <w:pPr>
              <w:jc w:val="right"/>
              <w:rPr>
                <w:rFonts w:eastAsia="Times New Roman"/>
              </w:rPr>
            </w:pPr>
            <w:r>
              <w:rPr>
                <w:rFonts w:eastAsia="Times New Roman"/>
                <w:color w:val="000000"/>
                <w:sz w:val="20"/>
                <w:szCs w:val="20"/>
              </w:rPr>
              <w:t>18,801 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80977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F114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86F6AF" w14:textId="77777777" w:rsidR="00000000" w:rsidRDefault="001A570A">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B2776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BB6D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C1F25B" w14:textId="77777777" w:rsidR="00000000" w:rsidRDefault="001A570A">
            <w:pPr>
              <w:jc w:val="right"/>
              <w:rPr>
                <w:rFonts w:eastAsia="Times New Roman"/>
              </w:rPr>
            </w:pPr>
            <w:r>
              <w:rPr>
                <w:rFonts w:eastAsia="Times New Roman"/>
                <w:color w:val="000000"/>
                <w:sz w:val="20"/>
                <w:szCs w:val="20"/>
              </w:rPr>
              <w:t>18,805 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7B52E3" w14:textId="77777777" w:rsidR="00000000" w:rsidRDefault="001A570A">
            <w:pPr>
              <w:jc w:val="right"/>
              <w:rPr>
                <w:rFonts w:eastAsia="Times New Roman"/>
              </w:rPr>
            </w:pPr>
          </w:p>
        </w:tc>
      </w:tr>
      <w:tr w:rsidR="00000000" w14:paraId="7936A16E" w14:textId="77777777">
        <w:trPr>
          <w:divId w:val="1040856173"/>
        </w:trPr>
        <w:tc>
          <w:tcPr>
            <w:tcW w:w="0" w:type="auto"/>
            <w:gridSpan w:val="3"/>
            <w:shd w:val="clear" w:color="auto" w:fill="CCEEFF"/>
            <w:tcMar>
              <w:top w:w="30" w:type="dxa"/>
              <w:left w:w="245" w:type="dxa"/>
              <w:bottom w:w="30" w:type="dxa"/>
              <w:right w:w="20" w:type="dxa"/>
            </w:tcMar>
            <w:vAlign w:val="bottom"/>
            <w:hideMark/>
          </w:tcPr>
          <w:p w14:paraId="12D9B4BB" w14:textId="77777777" w:rsidR="00000000" w:rsidRDefault="001A570A">
            <w:pPr>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14:paraId="44F727D3" w14:textId="77777777" w:rsidR="00000000" w:rsidRDefault="001A570A">
            <w:pPr>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14:paraId="58BFA4D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3A8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562D6"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2DDD80B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F9F3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B8CF7" w14:textId="77777777" w:rsidR="00000000" w:rsidRDefault="001A570A">
            <w:pPr>
              <w:jc w:val="right"/>
              <w:rPr>
                <w:rFonts w:eastAsia="Times New Roman"/>
              </w:rPr>
            </w:pPr>
            <w:r>
              <w:rPr>
                <w:rFonts w:eastAsia="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14:paraId="0B4BE256" w14:textId="77777777" w:rsidR="00000000" w:rsidRDefault="001A570A">
            <w:pPr>
              <w:jc w:val="right"/>
              <w:rPr>
                <w:rFonts w:eastAsia="Times New Roman"/>
              </w:rPr>
            </w:pPr>
          </w:p>
        </w:tc>
      </w:tr>
      <w:tr w:rsidR="00000000" w14:paraId="285C2DAC" w14:textId="77777777">
        <w:trPr>
          <w:divId w:val="1040856173"/>
        </w:trPr>
        <w:tc>
          <w:tcPr>
            <w:tcW w:w="0" w:type="auto"/>
            <w:gridSpan w:val="3"/>
            <w:shd w:val="clear" w:color="auto" w:fill="FFFFFF"/>
            <w:tcMar>
              <w:top w:w="30" w:type="dxa"/>
              <w:left w:w="20" w:type="dxa"/>
              <w:bottom w:w="30" w:type="dxa"/>
              <w:right w:w="20" w:type="dxa"/>
            </w:tcMar>
            <w:vAlign w:val="bottom"/>
            <w:hideMark/>
          </w:tcPr>
          <w:p w14:paraId="3FDBEEE6" w14:textId="77777777" w:rsidR="00000000" w:rsidRDefault="001A570A">
            <w:pPr>
              <w:rPr>
                <w:rFonts w:eastAsia="Times New Roman"/>
              </w:rPr>
            </w:pPr>
            <w:r>
              <w:rPr>
                <w:rFonts w:eastAsia="Times New Roman"/>
                <w:color w:val="000000"/>
                <w:sz w:val="20"/>
                <w:szCs w:val="20"/>
              </w:rPr>
              <w:t>Total 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68C3C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2C4593" w14:textId="77777777" w:rsidR="00000000" w:rsidRDefault="001A570A">
            <w:pPr>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75D19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5BE9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9D2D3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DCCE68" w14:textId="77777777" w:rsidR="00000000" w:rsidRDefault="001A570A">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E7386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CCD3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08CCF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ABAC05" w14:textId="77777777" w:rsidR="00000000" w:rsidRDefault="001A570A">
            <w:pPr>
              <w:jc w:val="right"/>
              <w:rPr>
                <w:rFonts w:eastAsia="Times New Roman"/>
              </w:rPr>
            </w:pPr>
            <w:r>
              <w:rPr>
                <w:rFonts w:eastAsia="Times New Roman"/>
                <w:color w:val="000000"/>
                <w:sz w:val="20"/>
                <w:szCs w:val="20"/>
              </w:rPr>
              <w:t>18,650 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F30D91" w14:textId="77777777" w:rsidR="00000000" w:rsidRDefault="001A570A">
            <w:pPr>
              <w:jc w:val="right"/>
              <w:rPr>
                <w:rFonts w:eastAsia="Times New Roman"/>
              </w:rPr>
            </w:pPr>
          </w:p>
        </w:tc>
      </w:tr>
    </w:tbl>
    <w:p w14:paraId="7350E996" w14:textId="77777777" w:rsidR="00000000" w:rsidRDefault="001A570A">
      <w:pPr>
        <w:ind w:firstLine="450"/>
        <w:divId w:val="1650591922"/>
        <w:rPr>
          <w:rFonts w:eastAsia="Times New Roman"/>
        </w:rPr>
      </w:pPr>
      <w:r>
        <w:rPr>
          <w:rFonts w:eastAsia="Times New Roman"/>
          <w:color w:val="000000"/>
          <w:sz w:val="20"/>
          <w:szCs w:val="20"/>
        </w:rPr>
        <w:t xml:space="preserve">Additionally, we acquired certain off-market customer contracts in connection with the L3Harris Merger, and we have recorded liabilities as well as separate identifiable intangible assets for the acquisition-date fair value of the off-market components of </w:t>
      </w:r>
      <w:r>
        <w:rPr>
          <w:rFonts w:eastAsia="Times New Roman"/>
          <w:color w:val="000000"/>
          <w:sz w:val="20"/>
          <w:szCs w:val="20"/>
        </w:rPr>
        <w:t>these customer contracts. In aggregate, the acquisition-date fair value of the off-market components was a net liability of $139 million. We measured the fair value of these components as the present value of the amount by which the terms of the contract w</w:t>
      </w:r>
      <w:r>
        <w:rPr>
          <w:rFonts w:eastAsia="Times New Roman"/>
          <w:color w:val="000000"/>
          <w:sz w:val="20"/>
          <w:szCs w:val="20"/>
        </w:rPr>
        <w:t>ith the customer deviated from the terms that a market participant could have achieved at the Closing Date. The off-market components of these contracts will be recognized as an increase to, or reduction of, revenue as we incur costs to satisfy the associa</w:t>
      </w:r>
      <w:r>
        <w:rPr>
          <w:rFonts w:eastAsia="Times New Roman"/>
          <w:color w:val="000000"/>
          <w:sz w:val="20"/>
          <w:szCs w:val="20"/>
        </w:rPr>
        <w:t>ted performance obligations. We recognized $58 million of revenue in fiscal 2020 for amortization of net off-market contract liabilities (including the cumulative effect of amortization that would have been recognized in the Fiscal Transition Period). We r</w:t>
      </w:r>
      <w:r>
        <w:rPr>
          <w:rFonts w:eastAsia="Times New Roman"/>
          <w:color w:val="000000"/>
          <w:sz w:val="20"/>
          <w:szCs w:val="20"/>
        </w:rPr>
        <w:t>ecognized $13 million for amortization of net off-market contract liabilities in the Fiscal Transition Period. Future estimated revenue from the amortization of net off-market contract liabilities (based on the estimated pattern of cash flows to be incurre</w:t>
      </w:r>
      <w:r>
        <w:rPr>
          <w:rFonts w:eastAsia="Times New Roman"/>
          <w:color w:val="000000"/>
          <w:sz w:val="20"/>
          <w:szCs w:val="20"/>
        </w:rPr>
        <w:t xml:space="preserve">d to satisfy associated performance obligations) is as follows: $20 million in 2021, $15 million in 2022, $10 million in 2023 and $23 million thereafter. </w:t>
      </w:r>
    </w:p>
    <w:p w14:paraId="021E11FD" w14:textId="77777777" w:rsidR="00000000" w:rsidRDefault="001A570A">
      <w:pPr>
        <w:ind w:firstLine="450"/>
        <w:divId w:val="569996757"/>
        <w:rPr>
          <w:rFonts w:eastAsia="Times New Roman"/>
        </w:rPr>
      </w:pPr>
      <w:r>
        <w:rPr>
          <w:rFonts w:eastAsia="Times New Roman"/>
          <w:color w:val="000000"/>
          <w:sz w:val="20"/>
          <w:szCs w:val="20"/>
        </w:rPr>
        <w:t>The goodwill resulting from the L3Harris Merger was primarily associated with L3’s market presence an</w:t>
      </w:r>
      <w:r>
        <w:rPr>
          <w:rFonts w:eastAsia="Times New Roman"/>
          <w:color w:val="000000"/>
          <w:sz w:val="20"/>
          <w:szCs w:val="20"/>
        </w:rPr>
        <w:t xml:space="preserve">d leading positions, growth opportunities in the markets in which L3 businesses operate, experienced work force and established operating infrastructures. Most of the goodwill related to the L3Harris Merger is nondeductible for tax purposes. </w:t>
      </w:r>
    </w:p>
    <w:p w14:paraId="56A4B900" w14:textId="77777777" w:rsidR="00000000" w:rsidRDefault="001A570A">
      <w:pPr>
        <w:ind w:firstLine="450"/>
        <w:divId w:val="166409323"/>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10: </w:t>
      </w:r>
      <w:r>
        <w:rPr>
          <w:rFonts w:eastAsia="Times New Roman"/>
          <w:i/>
          <w:iCs/>
          <w:color w:val="000000"/>
          <w:sz w:val="20"/>
          <w:szCs w:val="20"/>
        </w:rPr>
        <w:t>Goodwill</w:t>
      </w:r>
      <w:r>
        <w:rPr>
          <w:rFonts w:eastAsia="Times New Roman"/>
          <w:color w:val="000000"/>
          <w:sz w:val="20"/>
          <w:szCs w:val="20"/>
        </w:rPr>
        <w:t xml:space="preserve"> in these Notes for more information regarding the allocation of goodwill by business segment.</w:t>
      </w:r>
    </w:p>
    <w:p w14:paraId="085A27A5" w14:textId="77777777" w:rsidR="00000000" w:rsidRDefault="001A570A">
      <w:pPr>
        <w:ind w:firstLine="450"/>
        <w:jc w:val="center"/>
        <w:divId w:val="2022660655"/>
        <w:rPr>
          <w:rFonts w:eastAsia="Times New Roman"/>
        </w:rPr>
      </w:pPr>
      <w:r>
        <w:rPr>
          <w:rFonts w:eastAsia="Times New Roman"/>
          <w:color w:val="000000"/>
          <w:sz w:val="20"/>
          <w:szCs w:val="20"/>
        </w:rPr>
        <w:t>93</w:t>
      </w:r>
    </w:p>
    <w:p w14:paraId="05AFABFA" w14:textId="77777777" w:rsidR="00000000" w:rsidRDefault="001A570A">
      <w:pPr>
        <w:rPr>
          <w:rFonts w:eastAsia="Times New Roman"/>
        </w:rPr>
      </w:pPr>
      <w:r>
        <w:rPr>
          <w:rFonts w:eastAsia="Times New Roman"/>
        </w:rPr>
        <w:pict w14:anchorId="56C1B9F7">
          <v:rect id="_x0000_i1121" style="width:0;height:1.5pt" o:hralign="center" o:hrstd="t" o:hr="t" fillcolor="#a0a0a0" stroked="f"/>
        </w:pict>
      </w:r>
    </w:p>
    <w:p w14:paraId="3F6550CA" w14:textId="77777777" w:rsidR="00000000" w:rsidRDefault="001A570A">
      <w:pPr>
        <w:ind w:firstLine="450"/>
        <w:divId w:val="941491313"/>
        <w:rPr>
          <w:rFonts w:eastAsia="Times New Roman"/>
        </w:rPr>
      </w:pPr>
    </w:p>
    <w:p w14:paraId="2CD92D5A" w14:textId="77777777" w:rsidR="00000000" w:rsidRDefault="001A570A">
      <w:pPr>
        <w:ind w:firstLine="450"/>
        <w:divId w:val="696782978"/>
        <w:rPr>
          <w:rFonts w:eastAsia="Times New Roman"/>
        </w:rPr>
      </w:pPr>
      <w:r>
        <w:rPr>
          <w:rFonts w:eastAsia="Times New Roman"/>
          <w:color w:val="000000"/>
          <w:sz w:val="20"/>
          <w:szCs w:val="20"/>
        </w:rPr>
        <w:t>The following table provides further detail of the fair value and weighted-average amortization period of identi</w:t>
      </w:r>
      <w:r>
        <w:rPr>
          <w:rFonts w:eastAsia="Times New Roman"/>
          <w:color w:val="000000"/>
          <w:sz w:val="20"/>
          <w:szCs w:val="20"/>
        </w:rPr>
        <w:t>fied intangible assets acquired by major intangible asset class:</w:t>
      </w:r>
    </w:p>
    <w:tbl>
      <w:tblPr>
        <w:tblW w:w="4762" w:type="pct"/>
        <w:tblCellMar>
          <w:top w:w="15" w:type="dxa"/>
          <w:left w:w="15" w:type="dxa"/>
          <w:bottom w:w="15" w:type="dxa"/>
          <w:right w:w="15" w:type="dxa"/>
        </w:tblCellMar>
        <w:tblLook w:val="04A0" w:firstRow="1" w:lastRow="0" w:firstColumn="1" w:lastColumn="0" w:noHBand="0" w:noVBand="1"/>
      </w:tblPr>
      <w:tblGrid>
        <w:gridCol w:w="49"/>
        <w:gridCol w:w="5455"/>
        <w:gridCol w:w="37"/>
        <w:gridCol w:w="64"/>
        <w:gridCol w:w="1061"/>
        <w:gridCol w:w="36"/>
        <w:gridCol w:w="36"/>
        <w:gridCol w:w="36"/>
        <w:gridCol w:w="36"/>
        <w:gridCol w:w="120"/>
        <w:gridCol w:w="945"/>
        <w:gridCol w:w="36"/>
      </w:tblGrid>
      <w:tr w:rsidR="00000000" w14:paraId="7020915D" w14:textId="77777777">
        <w:trPr>
          <w:divId w:val="420368866"/>
        </w:trPr>
        <w:tc>
          <w:tcPr>
            <w:tcW w:w="50" w:type="pct"/>
            <w:vAlign w:val="center"/>
            <w:hideMark/>
          </w:tcPr>
          <w:p w14:paraId="22AD929D" w14:textId="77777777" w:rsidR="00000000" w:rsidRDefault="001A570A">
            <w:pPr>
              <w:ind w:firstLine="450"/>
              <w:rPr>
                <w:rFonts w:eastAsia="Times New Roman"/>
              </w:rPr>
            </w:pPr>
          </w:p>
        </w:tc>
        <w:tc>
          <w:tcPr>
            <w:tcW w:w="3466" w:type="pct"/>
            <w:vAlign w:val="center"/>
            <w:hideMark/>
          </w:tcPr>
          <w:p w14:paraId="77DE5E5C" w14:textId="77777777" w:rsidR="00000000" w:rsidRDefault="001A570A">
            <w:pPr>
              <w:rPr>
                <w:rFonts w:eastAsia="Times New Roman"/>
                <w:sz w:val="20"/>
                <w:szCs w:val="20"/>
              </w:rPr>
            </w:pPr>
          </w:p>
        </w:tc>
        <w:tc>
          <w:tcPr>
            <w:tcW w:w="5" w:type="pct"/>
            <w:vAlign w:val="center"/>
            <w:hideMark/>
          </w:tcPr>
          <w:p w14:paraId="28D6DAA5" w14:textId="77777777" w:rsidR="00000000" w:rsidRDefault="001A570A">
            <w:pPr>
              <w:rPr>
                <w:rFonts w:eastAsia="Times New Roman"/>
                <w:sz w:val="20"/>
                <w:szCs w:val="20"/>
              </w:rPr>
            </w:pPr>
          </w:p>
        </w:tc>
        <w:tc>
          <w:tcPr>
            <w:tcW w:w="50" w:type="pct"/>
            <w:vAlign w:val="center"/>
            <w:hideMark/>
          </w:tcPr>
          <w:p w14:paraId="558EC315" w14:textId="77777777" w:rsidR="00000000" w:rsidRDefault="001A570A">
            <w:pPr>
              <w:rPr>
                <w:rFonts w:eastAsia="Times New Roman"/>
                <w:sz w:val="20"/>
                <w:szCs w:val="20"/>
              </w:rPr>
            </w:pPr>
          </w:p>
        </w:tc>
        <w:tc>
          <w:tcPr>
            <w:tcW w:w="699" w:type="pct"/>
            <w:vAlign w:val="center"/>
            <w:hideMark/>
          </w:tcPr>
          <w:p w14:paraId="60DEDFFB" w14:textId="77777777" w:rsidR="00000000" w:rsidRDefault="001A570A">
            <w:pPr>
              <w:rPr>
                <w:rFonts w:eastAsia="Times New Roman"/>
                <w:sz w:val="20"/>
                <w:szCs w:val="20"/>
              </w:rPr>
            </w:pPr>
          </w:p>
        </w:tc>
        <w:tc>
          <w:tcPr>
            <w:tcW w:w="5" w:type="pct"/>
            <w:vAlign w:val="center"/>
            <w:hideMark/>
          </w:tcPr>
          <w:p w14:paraId="61439AD7" w14:textId="77777777" w:rsidR="00000000" w:rsidRDefault="001A570A">
            <w:pPr>
              <w:rPr>
                <w:rFonts w:eastAsia="Times New Roman"/>
                <w:sz w:val="20"/>
                <w:szCs w:val="20"/>
              </w:rPr>
            </w:pPr>
          </w:p>
        </w:tc>
        <w:tc>
          <w:tcPr>
            <w:tcW w:w="5" w:type="pct"/>
            <w:vAlign w:val="center"/>
            <w:hideMark/>
          </w:tcPr>
          <w:p w14:paraId="79981134" w14:textId="77777777" w:rsidR="00000000" w:rsidRDefault="001A570A">
            <w:pPr>
              <w:rPr>
                <w:rFonts w:eastAsia="Times New Roman"/>
                <w:sz w:val="20"/>
                <w:szCs w:val="20"/>
              </w:rPr>
            </w:pPr>
          </w:p>
        </w:tc>
        <w:tc>
          <w:tcPr>
            <w:tcW w:w="27" w:type="pct"/>
            <w:vAlign w:val="center"/>
            <w:hideMark/>
          </w:tcPr>
          <w:p w14:paraId="59D8F5B2" w14:textId="77777777" w:rsidR="00000000" w:rsidRDefault="001A570A">
            <w:pPr>
              <w:rPr>
                <w:rFonts w:eastAsia="Times New Roman"/>
                <w:sz w:val="20"/>
                <w:szCs w:val="20"/>
              </w:rPr>
            </w:pPr>
          </w:p>
        </w:tc>
        <w:tc>
          <w:tcPr>
            <w:tcW w:w="5" w:type="pct"/>
            <w:vAlign w:val="center"/>
            <w:hideMark/>
          </w:tcPr>
          <w:p w14:paraId="7356869A" w14:textId="77777777" w:rsidR="00000000" w:rsidRDefault="001A570A">
            <w:pPr>
              <w:rPr>
                <w:rFonts w:eastAsia="Times New Roman"/>
                <w:sz w:val="20"/>
                <w:szCs w:val="20"/>
              </w:rPr>
            </w:pPr>
          </w:p>
        </w:tc>
        <w:tc>
          <w:tcPr>
            <w:tcW w:w="50" w:type="pct"/>
            <w:vAlign w:val="center"/>
            <w:hideMark/>
          </w:tcPr>
          <w:p w14:paraId="5976B316" w14:textId="77777777" w:rsidR="00000000" w:rsidRDefault="001A570A">
            <w:pPr>
              <w:rPr>
                <w:rFonts w:eastAsia="Times New Roman"/>
                <w:sz w:val="20"/>
                <w:szCs w:val="20"/>
              </w:rPr>
            </w:pPr>
          </w:p>
        </w:tc>
        <w:tc>
          <w:tcPr>
            <w:tcW w:w="631" w:type="pct"/>
            <w:vAlign w:val="center"/>
            <w:hideMark/>
          </w:tcPr>
          <w:p w14:paraId="39C1379F" w14:textId="77777777" w:rsidR="00000000" w:rsidRDefault="001A570A">
            <w:pPr>
              <w:rPr>
                <w:rFonts w:eastAsia="Times New Roman"/>
                <w:sz w:val="20"/>
                <w:szCs w:val="20"/>
              </w:rPr>
            </w:pPr>
          </w:p>
        </w:tc>
        <w:tc>
          <w:tcPr>
            <w:tcW w:w="5" w:type="pct"/>
            <w:vAlign w:val="center"/>
            <w:hideMark/>
          </w:tcPr>
          <w:p w14:paraId="447FA66E" w14:textId="77777777" w:rsidR="00000000" w:rsidRDefault="001A570A">
            <w:pPr>
              <w:rPr>
                <w:rFonts w:eastAsia="Times New Roman"/>
                <w:sz w:val="20"/>
                <w:szCs w:val="20"/>
              </w:rPr>
            </w:pPr>
          </w:p>
        </w:tc>
      </w:tr>
      <w:tr w:rsidR="00000000" w14:paraId="73EFDAE1" w14:textId="77777777">
        <w:trPr>
          <w:divId w:val="420368866"/>
        </w:trPr>
        <w:tc>
          <w:tcPr>
            <w:tcW w:w="0" w:type="auto"/>
            <w:gridSpan w:val="3"/>
            <w:tcMar>
              <w:top w:w="0" w:type="dxa"/>
              <w:left w:w="20" w:type="dxa"/>
              <w:bottom w:w="0" w:type="dxa"/>
              <w:right w:w="20" w:type="dxa"/>
            </w:tcMar>
            <w:vAlign w:val="center"/>
            <w:hideMark/>
          </w:tcPr>
          <w:p w14:paraId="2C75A0F6"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37ACC0BB" w14:textId="77777777" w:rsidR="00000000" w:rsidRDefault="001A570A">
            <w:pPr>
              <w:jc w:val="center"/>
              <w:rPr>
                <w:rFonts w:eastAsia="Times New Roman"/>
              </w:rPr>
            </w:pPr>
            <w:r>
              <w:rPr>
                <w:rFonts w:eastAsia="Times New Roman"/>
                <w:b/>
                <w:bCs/>
                <w:color w:val="000000"/>
                <w:sz w:val="16"/>
                <w:szCs w:val="16"/>
              </w:rPr>
              <w:t>Weighted Average Amortization Period</w:t>
            </w:r>
          </w:p>
        </w:tc>
        <w:tc>
          <w:tcPr>
            <w:tcW w:w="0" w:type="auto"/>
            <w:gridSpan w:val="3"/>
            <w:tcMar>
              <w:top w:w="0" w:type="dxa"/>
              <w:left w:w="20" w:type="dxa"/>
              <w:bottom w:w="0" w:type="dxa"/>
              <w:right w:w="20" w:type="dxa"/>
            </w:tcMar>
            <w:vAlign w:val="center"/>
            <w:hideMark/>
          </w:tcPr>
          <w:p w14:paraId="796A84B8"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6728F4B" w14:textId="77777777" w:rsidR="00000000" w:rsidRDefault="001A570A">
            <w:pPr>
              <w:jc w:val="center"/>
              <w:rPr>
                <w:rFonts w:eastAsia="Times New Roman"/>
              </w:rPr>
            </w:pPr>
            <w:r>
              <w:rPr>
                <w:rFonts w:eastAsia="Times New Roman"/>
                <w:b/>
                <w:bCs/>
                <w:color w:val="000000"/>
                <w:sz w:val="16"/>
                <w:szCs w:val="16"/>
              </w:rPr>
              <w:t>Total</w:t>
            </w:r>
          </w:p>
        </w:tc>
      </w:tr>
      <w:tr w:rsidR="00000000" w14:paraId="3F48CC51" w14:textId="77777777">
        <w:trPr>
          <w:divId w:val="420368866"/>
          <w:trHeight w:val="60"/>
        </w:trPr>
        <w:tc>
          <w:tcPr>
            <w:tcW w:w="0" w:type="auto"/>
            <w:gridSpan w:val="3"/>
            <w:tcMar>
              <w:top w:w="0" w:type="dxa"/>
              <w:left w:w="20" w:type="dxa"/>
              <w:bottom w:w="0" w:type="dxa"/>
              <w:right w:w="20" w:type="dxa"/>
            </w:tcMar>
            <w:vAlign w:val="center"/>
            <w:hideMark/>
          </w:tcPr>
          <w:p w14:paraId="53ACD12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7E01F0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C133E4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496230" w14:textId="77777777" w:rsidR="00000000" w:rsidRDefault="001A570A">
            <w:pPr>
              <w:rPr>
                <w:rFonts w:eastAsia="Times New Roman"/>
                <w:sz w:val="20"/>
                <w:szCs w:val="20"/>
              </w:rPr>
            </w:pPr>
          </w:p>
        </w:tc>
      </w:tr>
      <w:tr w:rsidR="00000000" w14:paraId="025D45FF" w14:textId="77777777">
        <w:trPr>
          <w:divId w:val="420368866"/>
        </w:trPr>
        <w:tc>
          <w:tcPr>
            <w:tcW w:w="0" w:type="auto"/>
            <w:gridSpan w:val="3"/>
            <w:tcMar>
              <w:top w:w="0" w:type="dxa"/>
              <w:left w:w="20" w:type="dxa"/>
              <w:bottom w:w="0" w:type="dxa"/>
              <w:right w:w="20" w:type="dxa"/>
            </w:tcMar>
            <w:vAlign w:val="center"/>
            <w:hideMark/>
          </w:tcPr>
          <w:p w14:paraId="66D30316"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hideMark/>
          </w:tcPr>
          <w:p w14:paraId="482A3DA8" w14:textId="77777777" w:rsidR="00000000" w:rsidRDefault="001A570A">
            <w:pPr>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14:paraId="178C27A2" w14:textId="77777777" w:rsidR="00000000" w:rsidRDefault="001A570A">
            <w:pPr>
              <w:jc w:val="center"/>
              <w:rPr>
                <w:rFonts w:eastAsia="Times New Roman"/>
              </w:rPr>
            </w:pPr>
          </w:p>
        </w:tc>
        <w:tc>
          <w:tcPr>
            <w:tcW w:w="0" w:type="auto"/>
            <w:gridSpan w:val="3"/>
            <w:tcMar>
              <w:top w:w="30" w:type="dxa"/>
              <w:left w:w="20" w:type="dxa"/>
              <w:bottom w:w="30" w:type="dxa"/>
              <w:right w:w="20" w:type="dxa"/>
            </w:tcMar>
            <w:hideMark/>
          </w:tcPr>
          <w:p w14:paraId="76D91DE8" w14:textId="77777777" w:rsidR="00000000" w:rsidRDefault="001A570A">
            <w:pPr>
              <w:jc w:val="center"/>
              <w:rPr>
                <w:rFonts w:eastAsia="Times New Roman"/>
              </w:rPr>
            </w:pPr>
            <w:r>
              <w:rPr>
                <w:rFonts w:eastAsia="Times New Roman"/>
                <w:b/>
                <w:bCs/>
                <w:color w:val="000000"/>
                <w:sz w:val="16"/>
                <w:szCs w:val="16"/>
              </w:rPr>
              <w:t>(In millions)</w:t>
            </w:r>
          </w:p>
        </w:tc>
      </w:tr>
      <w:tr w:rsidR="00000000" w14:paraId="360B71F6" w14:textId="77777777">
        <w:trPr>
          <w:divId w:val="420368866"/>
        </w:trPr>
        <w:tc>
          <w:tcPr>
            <w:tcW w:w="0" w:type="auto"/>
            <w:gridSpan w:val="3"/>
            <w:shd w:val="clear" w:color="auto" w:fill="CCEEFF"/>
            <w:tcMar>
              <w:top w:w="30" w:type="dxa"/>
              <w:left w:w="20" w:type="dxa"/>
              <w:bottom w:w="30" w:type="dxa"/>
              <w:right w:w="20" w:type="dxa"/>
            </w:tcMar>
            <w:vAlign w:val="bottom"/>
            <w:hideMark/>
          </w:tcPr>
          <w:p w14:paraId="4F52ECBA" w14:textId="77777777" w:rsidR="00000000" w:rsidRDefault="001A570A">
            <w:pPr>
              <w:rPr>
                <w:rFonts w:eastAsia="Times New Roman"/>
              </w:rPr>
            </w:pPr>
            <w:r>
              <w:rPr>
                <w:rFonts w:eastAsia="Times New Roman"/>
                <w:color w:val="000000"/>
                <w:sz w:val="20"/>
                <w:szCs w:val="20"/>
              </w:rPr>
              <w:t>Identifiable intangible assets acquired:</w:t>
            </w:r>
          </w:p>
        </w:tc>
        <w:tc>
          <w:tcPr>
            <w:tcW w:w="0" w:type="auto"/>
            <w:gridSpan w:val="3"/>
            <w:shd w:val="clear" w:color="auto" w:fill="CCEEFF"/>
            <w:tcMar>
              <w:top w:w="0" w:type="dxa"/>
              <w:left w:w="20" w:type="dxa"/>
              <w:bottom w:w="0" w:type="dxa"/>
              <w:right w:w="20" w:type="dxa"/>
            </w:tcMar>
            <w:vAlign w:val="center"/>
            <w:hideMark/>
          </w:tcPr>
          <w:p w14:paraId="3B50720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3CBA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181C89" w14:textId="77777777" w:rsidR="00000000" w:rsidRDefault="001A570A">
            <w:pPr>
              <w:rPr>
                <w:rFonts w:eastAsia="Times New Roman"/>
                <w:sz w:val="20"/>
                <w:szCs w:val="20"/>
              </w:rPr>
            </w:pPr>
          </w:p>
        </w:tc>
      </w:tr>
      <w:tr w:rsidR="00000000" w14:paraId="72008E72" w14:textId="77777777">
        <w:trPr>
          <w:divId w:val="420368866"/>
        </w:trPr>
        <w:tc>
          <w:tcPr>
            <w:tcW w:w="0" w:type="auto"/>
            <w:gridSpan w:val="3"/>
            <w:shd w:val="clear" w:color="auto" w:fill="FFFFFF"/>
            <w:tcMar>
              <w:top w:w="30" w:type="dxa"/>
              <w:left w:w="245" w:type="dxa"/>
              <w:bottom w:w="30" w:type="dxa"/>
              <w:right w:w="20" w:type="dxa"/>
            </w:tcMar>
            <w:vAlign w:val="bottom"/>
            <w:hideMark/>
          </w:tcPr>
          <w:p w14:paraId="701FBB10" w14:textId="77777777" w:rsidR="00000000" w:rsidRDefault="001A570A">
            <w:pPr>
              <w:rPr>
                <w:rFonts w:eastAsia="Times New Roman"/>
              </w:rPr>
            </w:pPr>
            <w:r>
              <w:rPr>
                <w:rFonts w:eastAsia="Times New Roman"/>
                <w:color w:val="000000"/>
                <w:sz w:val="20"/>
                <w:szCs w:val="20"/>
              </w:rPr>
              <w:t>Customer relationships — government</w:t>
            </w:r>
          </w:p>
        </w:tc>
        <w:tc>
          <w:tcPr>
            <w:tcW w:w="0" w:type="auto"/>
            <w:gridSpan w:val="3"/>
            <w:shd w:val="clear" w:color="auto" w:fill="FFFFFF"/>
            <w:tcMar>
              <w:top w:w="30" w:type="dxa"/>
              <w:left w:w="20" w:type="dxa"/>
              <w:bottom w:w="30" w:type="dxa"/>
              <w:right w:w="20" w:type="dxa"/>
            </w:tcMar>
            <w:vAlign w:val="bottom"/>
            <w:hideMark/>
          </w:tcPr>
          <w:p w14:paraId="0C5846B5" w14:textId="77777777" w:rsidR="00000000" w:rsidRDefault="001A570A">
            <w:pPr>
              <w:jc w:val="center"/>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319D44D4" w14:textId="77777777" w:rsidR="00000000" w:rsidRDefault="001A570A">
            <w:pPr>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79663FE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AE2DF3" w14:textId="77777777" w:rsidR="00000000" w:rsidRDefault="001A570A">
            <w:pPr>
              <w:jc w:val="right"/>
              <w:rPr>
                <w:rFonts w:eastAsia="Times New Roman"/>
              </w:rPr>
            </w:pPr>
            <w:r>
              <w:rPr>
                <w:rFonts w:eastAsia="Times New Roman"/>
                <w:color w:val="000000"/>
                <w:sz w:val="20"/>
                <w:szCs w:val="20"/>
              </w:rPr>
              <w:t>5,082 </w:t>
            </w:r>
          </w:p>
        </w:tc>
        <w:tc>
          <w:tcPr>
            <w:tcW w:w="0" w:type="auto"/>
            <w:shd w:val="clear" w:color="auto" w:fill="FFFFFF"/>
            <w:tcMar>
              <w:top w:w="30" w:type="dxa"/>
              <w:left w:w="0" w:type="dxa"/>
              <w:bottom w:w="30" w:type="dxa"/>
              <w:right w:w="20" w:type="dxa"/>
            </w:tcMar>
            <w:vAlign w:val="bottom"/>
            <w:hideMark/>
          </w:tcPr>
          <w:p w14:paraId="4F25A38F" w14:textId="77777777" w:rsidR="00000000" w:rsidRDefault="001A570A">
            <w:pPr>
              <w:jc w:val="right"/>
              <w:rPr>
                <w:rFonts w:eastAsia="Times New Roman"/>
              </w:rPr>
            </w:pPr>
          </w:p>
        </w:tc>
      </w:tr>
      <w:tr w:rsidR="00000000" w14:paraId="0E6741A0" w14:textId="77777777">
        <w:trPr>
          <w:divId w:val="420368866"/>
        </w:trPr>
        <w:tc>
          <w:tcPr>
            <w:tcW w:w="0" w:type="auto"/>
            <w:gridSpan w:val="3"/>
            <w:shd w:val="clear" w:color="auto" w:fill="CCEEFF"/>
            <w:tcMar>
              <w:top w:w="30" w:type="dxa"/>
              <w:left w:w="245" w:type="dxa"/>
              <w:bottom w:w="30" w:type="dxa"/>
              <w:right w:w="20" w:type="dxa"/>
            </w:tcMar>
            <w:vAlign w:val="bottom"/>
            <w:hideMark/>
          </w:tcPr>
          <w:p w14:paraId="1A65A207" w14:textId="77777777" w:rsidR="00000000" w:rsidRDefault="001A570A">
            <w:pPr>
              <w:rPr>
                <w:rFonts w:eastAsia="Times New Roman"/>
              </w:rPr>
            </w:pPr>
            <w:r>
              <w:rPr>
                <w:rFonts w:eastAsia="Times New Roman"/>
                <w:color w:val="000000"/>
                <w:sz w:val="20"/>
                <w:szCs w:val="20"/>
              </w:rPr>
              <w:t>Customer relationships — commercial</w:t>
            </w:r>
          </w:p>
        </w:tc>
        <w:tc>
          <w:tcPr>
            <w:tcW w:w="0" w:type="auto"/>
            <w:gridSpan w:val="3"/>
            <w:shd w:val="clear" w:color="auto" w:fill="CCEEFF"/>
            <w:tcMar>
              <w:top w:w="30" w:type="dxa"/>
              <w:left w:w="20" w:type="dxa"/>
              <w:bottom w:w="30" w:type="dxa"/>
              <w:right w:w="20" w:type="dxa"/>
            </w:tcMar>
            <w:vAlign w:val="bottom"/>
            <w:hideMark/>
          </w:tcPr>
          <w:p w14:paraId="4805AEB3" w14:textId="77777777" w:rsidR="00000000" w:rsidRDefault="001A570A">
            <w:pPr>
              <w:jc w:val="center"/>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14:paraId="1D0BDFCC"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95559F" w14:textId="77777777" w:rsidR="00000000" w:rsidRDefault="001A570A">
            <w:pPr>
              <w:jc w:val="right"/>
              <w:rPr>
                <w:rFonts w:eastAsia="Times New Roman"/>
              </w:rPr>
            </w:pPr>
            <w:r>
              <w:rPr>
                <w:rFonts w:eastAsia="Times New Roman"/>
                <w:color w:val="000000"/>
                <w:sz w:val="20"/>
                <w:szCs w:val="20"/>
              </w:rPr>
              <w:t>860 </w:t>
            </w:r>
          </w:p>
        </w:tc>
        <w:tc>
          <w:tcPr>
            <w:tcW w:w="0" w:type="auto"/>
            <w:shd w:val="clear" w:color="auto" w:fill="CCEEFF"/>
            <w:tcMar>
              <w:top w:w="30" w:type="dxa"/>
              <w:left w:w="0" w:type="dxa"/>
              <w:bottom w:w="30" w:type="dxa"/>
              <w:right w:w="20" w:type="dxa"/>
            </w:tcMar>
            <w:vAlign w:val="bottom"/>
            <w:hideMark/>
          </w:tcPr>
          <w:p w14:paraId="5B029DA9" w14:textId="77777777" w:rsidR="00000000" w:rsidRDefault="001A570A">
            <w:pPr>
              <w:jc w:val="right"/>
              <w:rPr>
                <w:rFonts w:eastAsia="Times New Roman"/>
              </w:rPr>
            </w:pPr>
          </w:p>
        </w:tc>
      </w:tr>
      <w:tr w:rsidR="00000000" w14:paraId="01762B96" w14:textId="77777777">
        <w:trPr>
          <w:divId w:val="420368866"/>
        </w:trPr>
        <w:tc>
          <w:tcPr>
            <w:tcW w:w="0" w:type="auto"/>
            <w:gridSpan w:val="3"/>
            <w:shd w:val="clear" w:color="auto" w:fill="FFFFFF"/>
            <w:tcMar>
              <w:top w:w="30" w:type="dxa"/>
              <w:left w:w="245" w:type="dxa"/>
              <w:bottom w:w="30" w:type="dxa"/>
              <w:right w:w="20" w:type="dxa"/>
            </w:tcMar>
            <w:vAlign w:val="bottom"/>
            <w:hideMark/>
          </w:tcPr>
          <w:p w14:paraId="2A4D59D0" w14:textId="77777777" w:rsidR="00000000" w:rsidRDefault="001A570A">
            <w:pPr>
              <w:rPr>
                <w:rFonts w:eastAsia="Times New Roman"/>
              </w:rPr>
            </w:pPr>
            <w:r>
              <w:rPr>
                <w:rFonts w:eastAsia="Times New Roman"/>
                <w:color w:val="000000"/>
                <w:sz w:val="20"/>
                <w:szCs w:val="20"/>
              </w:rPr>
              <w:t>Contract backlog</w:t>
            </w:r>
          </w:p>
        </w:tc>
        <w:tc>
          <w:tcPr>
            <w:tcW w:w="0" w:type="auto"/>
            <w:gridSpan w:val="3"/>
            <w:shd w:val="clear" w:color="auto" w:fill="FFFFFF"/>
            <w:tcMar>
              <w:top w:w="30" w:type="dxa"/>
              <w:left w:w="20" w:type="dxa"/>
              <w:bottom w:w="30" w:type="dxa"/>
              <w:right w:w="20" w:type="dxa"/>
            </w:tcMar>
            <w:vAlign w:val="bottom"/>
            <w:hideMark/>
          </w:tcPr>
          <w:p w14:paraId="747B4D5C" w14:textId="77777777" w:rsidR="00000000" w:rsidRDefault="001A570A">
            <w:pPr>
              <w:jc w:val="center"/>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3953C998"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6999C5"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143CF455" w14:textId="77777777" w:rsidR="00000000" w:rsidRDefault="001A570A">
            <w:pPr>
              <w:jc w:val="right"/>
              <w:rPr>
                <w:rFonts w:eastAsia="Times New Roman"/>
              </w:rPr>
            </w:pPr>
          </w:p>
        </w:tc>
      </w:tr>
      <w:tr w:rsidR="00000000" w14:paraId="1D8EBC24" w14:textId="77777777">
        <w:trPr>
          <w:divId w:val="420368866"/>
        </w:trPr>
        <w:tc>
          <w:tcPr>
            <w:tcW w:w="0" w:type="auto"/>
            <w:gridSpan w:val="3"/>
            <w:shd w:val="clear" w:color="auto" w:fill="CCEEFF"/>
            <w:tcMar>
              <w:top w:w="30" w:type="dxa"/>
              <w:left w:w="20" w:type="dxa"/>
              <w:bottom w:w="30" w:type="dxa"/>
              <w:right w:w="20" w:type="dxa"/>
            </w:tcMar>
            <w:vAlign w:val="bottom"/>
            <w:hideMark/>
          </w:tcPr>
          <w:p w14:paraId="2D72D0A4" w14:textId="77777777" w:rsidR="00000000" w:rsidRDefault="001A570A">
            <w:pPr>
              <w:divId w:val="1756630264"/>
              <w:rPr>
                <w:rFonts w:eastAsia="Times New Roman"/>
              </w:rPr>
            </w:pPr>
            <w:r>
              <w:rPr>
                <w:rFonts w:eastAsia="Times New Roman"/>
                <w:color w:val="000000"/>
                <w:sz w:val="20"/>
                <w:szCs w:val="20"/>
              </w:rPr>
              <w:t xml:space="preserve">Trade names </w:t>
            </w:r>
            <w:r>
              <w:rPr>
                <w:rFonts w:eastAsia="Times New Roman"/>
                <w:b/>
                <w:bCs/>
                <w:i/>
                <w:iCs/>
                <w:color w:val="000000"/>
                <w:sz w:val="20"/>
                <w:szCs w:val="20"/>
              </w:rPr>
              <w:t>—</w:t>
            </w:r>
            <w:r>
              <w:rPr>
                <w:rFonts w:eastAsia="Times New Roman"/>
                <w:color w:val="000000"/>
                <w:sz w:val="20"/>
                <w:szCs w:val="20"/>
              </w:rPr>
              <w:t xml:space="preserve"> divisions</w:t>
            </w:r>
          </w:p>
        </w:tc>
        <w:tc>
          <w:tcPr>
            <w:tcW w:w="0" w:type="auto"/>
            <w:gridSpan w:val="3"/>
            <w:shd w:val="clear" w:color="auto" w:fill="CCEEFF"/>
            <w:tcMar>
              <w:top w:w="30" w:type="dxa"/>
              <w:left w:w="20" w:type="dxa"/>
              <w:bottom w:w="30" w:type="dxa"/>
              <w:right w:w="20" w:type="dxa"/>
            </w:tcMar>
            <w:vAlign w:val="bottom"/>
            <w:hideMark/>
          </w:tcPr>
          <w:p w14:paraId="28BAF16E" w14:textId="77777777" w:rsidR="00000000" w:rsidRDefault="001A570A">
            <w:pPr>
              <w:jc w:val="center"/>
              <w:rPr>
                <w:rFonts w:eastAsia="Times New Roman"/>
              </w:rPr>
            </w:pPr>
            <w:r>
              <w:rPr>
                <w:rFonts w:eastAsia="Times New Roman"/>
                <w:color w:val="000000"/>
                <w:sz w:val="20"/>
                <w:szCs w:val="20"/>
              </w:rPr>
              <w:t>9</w:t>
            </w:r>
          </w:p>
        </w:tc>
        <w:tc>
          <w:tcPr>
            <w:tcW w:w="0" w:type="auto"/>
            <w:gridSpan w:val="3"/>
            <w:shd w:val="clear" w:color="auto" w:fill="CCEEFF"/>
            <w:tcMar>
              <w:top w:w="0" w:type="dxa"/>
              <w:left w:w="20" w:type="dxa"/>
              <w:bottom w:w="0" w:type="dxa"/>
              <w:right w:w="20" w:type="dxa"/>
            </w:tcMar>
            <w:vAlign w:val="center"/>
            <w:hideMark/>
          </w:tcPr>
          <w:p w14:paraId="26CCE3BD"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499288" w14:textId="77777777" w:rsidR="00000000" w:rsidRDefault="001A570A">
            <w:pPr>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2A872477" w14:textId="77777777" w:rsidR="00000000" w:rsidRDefault="001A570A">
            <w:pPr>
              <w:jc w:val="right"/>
              <w:rPr>
                <w:rFonts w:eastAsia="Times New Roman"/>
              </w:rPr>
            </w:pPr>
          </w:p>
        </w:tc>
      </w:tr>
      <w:tr w:rsidR="00000000" w14:paraId="7BC07BA8" w14:textId="77777777">
        <w:trPr>
          <w:divId w:val="420368866"/>
        </w:trPr>
        <w:tc>
          <w:tcPr>
            <w:tcW w:w="0" w:type="auto"/>
            <w:gridSpan w:val="3"/>
            <w:shd w:val="clear" w:color="auto" w:fill="FFFFFF"/>
            <w:tcMar>
              <w:top w:w="30" w:type="dxa"/>
              <w:left w:w="245" w:type="dxa"/>
              <w:bottom w:w="30" w:type="dxa"/>
              <w:right w:w="20" w:type="dxa"/>
            </w:tcMar>
            <w:vAlign w:val="bottom"/>
            <w:hideMark/>
          </w:tcPr>
          <w:p w14:paraId="07D4772D" w14:textId="77777777" w:rsidR="00000000" w:rsidRDefault="001A570A">
            <w:pPr>
              <w:rPr>
                <w:rFonts w:eastAsia="Times New Roman"/>
              </w:rPr>
            </w:pPr>
            <w:r>
              <w:rPr>
                <w:rFonts w:eastAsia="Times New Roman"/>
                <w:color w:val="000000"/>
                <w:sz w:val="20"/>
                <w:szCs w:val="20"/>
              </w:rPr>
              <w:t>Developed technologies</w:t>
            </w:r>
          </w:p>
        </w:tc>
        <w:tc>
          <w:tcPr>
            <w:tcW w:w="0" w:type="auto"/>
            <w:gridSpan w:val="3"/>
            <w:shd w:val="clear" w:color="auto" w:fill="FFFFFF"/>
            <w:tcMar>
              <w:top w:w="30" w:type="dxa"/>
              <w:left w:w="20" w:type="dxa"/>
              <w:bottom w:w="30" w:type="dxa"/>
              <w:right w:w="20" w:type="dxa"/>
            </w:tcMar>
            <w:vAlign w:val="bottom"/>
            <w:hideMark/>
          </w:tcPr>
          <w:p w14:paraId="7CECBD1E" w14:textId="77777777" w:rsidR="00000000" w:rsidRDefault="001A570A">
            <w:pPr>
              <w:jc w:val="center"/>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21202033"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7FFCCC" w14:textId="77777777" w:rsidR="00000000" w:rsidRDefault="001A570A">
            <w:pPr>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bottom"/>
            <w:hideMark/>
          </w:tcPr>
          <w:p w14:paraId="111207C3" w14:textId="77777777" w:rsidR="00000000" w:rsidRDefault="001A570A">
            <w:pPr>
              <w:jc w:val="right"/>
              <w:rPr>
                <w:rFonts w:eastAsia="Times New Roman"/>
              </w:rPr>
            </w:pPr>
          </w:p>
        </w:tc>
      </w:tr>
      <w:tr w:rsidR="00000000" w14:paraId="0E591395" w14:textId="77777777">
        <w:trPr>
          <w:divId w:val="420368866"/>
        </w:trPr>
        <w:tc>
          <w:tcPr>
            <w:tcW w:w="0" w:type="auto"/>
            <w:gridSpan w:val="3"/>
            <w:shd w:val="clear" w:color="auto" w:fill="CCEEFF"/>
            <w:tcMar>
              <w:top w:w="30" w:type="dxa"/>
              <w:left w:w="50" w:type="dxa"/>
              <w:bottom w:w="30" w:type="dxa"/>
              <w:right w:w="20" w:type="dxa"/>
            </w:tcMar>
            <w:vAlign w:val="bottom"/>
            <w:hideMark/>
          </w:tcPr>
          <w:p w14:paraId="2254E899" w14:textId="77777777" w:rsidR="00000000" w:rsidRDefault="001A570A">
            <w:pPr>
              <w:rPr>
                <w:rFonts w:eastAsia="Times New Roman"/>
              </w:rPr>
            </w:pPr>
            <w:r>
              <w:rPr>
                <w:rFonts w:eastAsia="Times New Roman"/>
                <w:color w:val="000000"/>
                <w:sz w:val="20"/>
                <w:szCs w:val="20"/>
              </w:rPr>
              <w:t>Total identifiable intangible assets subject to amortization</w:t>
            </w:r>
          </w:p>
        </w:tc>
        <w:tc>
          <w:tcPr>
            <w:tcW w:w="0" w:type="auto"/>
            <w:gridSpan w:val="3"/>
            <w:shd w:val="clear" w:color="auto" w:fill="CCEEFF"/>
            <w:tcMar>
              <w:top w:w="30" w:type="dxa"/>
              <w:left w:w="20" w:type="dxa"/>
              <w:bottom w:w="30" w:type="dxa"/>
              <w:right w:w="20" w:type="dxa"/>
            </w:tcMar>
            <w:vAlign w:val="bottom"/>
            <w:hideMark/>
          </w:tcPr>
          <w:p w14:paraId="2E6C0622" w14:textId="77777777" w:rsidR="00000000" w:rsidRDefault="001A570A">
            <w:pPr>
              <w:jc w:val="center"/>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14:paraId="013403F2" w14:textId="77777777" w:rsidR="00000000" w:rsidRDefault="001A570A">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881A3B" w14:textId="77777777" w:rsidR="00000000" w:rsidRDefault="001A570A">
            <w:pPr>
              <w:jc w:val="right"/>
              <w:rPr>
                <w:rFonts w:eastAsia="Times New Roman"/>
              </w:rPr>
            </w:pPr>
            <w:r>
              <w:rPr>
                <w:rFonts w:eastAsia="Times New Roman"/>
                <w:color w:val="000000"/>
                <w:sz w:val="20"/>
                <w:szCs w:val="20"/>
              </w:rPr>
              <w:t>6,634 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630F91" w14:textId="77777777" w:rsidR="00000000" w:rsidRDefault="001A570A">
            <w:pPr>
              <w:jc w:val="right"/>
              <w:rPr>
                <w:rFonts w:eastAsia="Times New Roman"/>
              </w:rPr>
            </w:pPr>
          </w:p>
        </w:tc>
      </w:tr>
      <w:tr w:rsidR="00000000" w14:paraId="6840DD00" w14:textId="77777777">
        <w:trPr>
          <w:divId w:val="420368866"/>
        </w:trPr>
        <w:tc>
          <w:tcPr>
            <w:tcW w:w="0" w:type="auto"/>
            <w:gridSpan w:val="3"/>
            <w:shd w:val="clear" w:color="auto" w:fill="FFFFFF"/>
            <w:tcMar>
              <w:top w:w="30" w:type="dxa"/>
              <w:left w:w="20" w:type="dxa"/>
              <w:bottom w:w="30" w:type="dxa"/>
              <w:right w:w="20" w:type="dxa"/>
            </w:tcMar>
            <w:vAlign w:val="bottom"/>
            <w:hideMark/>
          </w:tcPr>
          <w:p w14:paraId="0A50EFCF" w14:textId="77777777" w:rsidR="00000000" w:rsidRDefault="001A570A">
            <w:pPr>
              <w:divId w:val="611742456"/>
              <w:rPr>
                <w:rFonts w:eastAsia="Times New Roman"/>
              </w:rPr>
            </w:pPr>
            <w:r>
              <w:rPr>
                <w:rFonts w:eastAsia="Times New Roman"/>
                <w:color w:val="000000"/>
                <w:sz w:val="20"/>
                <w:szCs w:val="20"/>
              </w:rPr>
              <w:t xml:space="preserve">Trade names </w:t>
            </w:r>
            <w:r>
              <w:rPr>
                <w:rFonts w:eastAsia="Times New Roman"/>
                <w:b/>
                <w:bCs/>
                <w:i/>
                <w:iCs/>
                <w:color w:val="000000"/>
                <w:sz w:val="20"/>
                <w:szCs w:val="20"/>
              </w:rPr>
              <w:t>—</w:t>
            </w:r>
            <w:r>
              <w:rPr>
                <w:rFonts w:eastAsia="Times New Roman"/>
                <w:color w:val="000000"/>
                <w:sz w:val="20"/>
                <w:szCs w:val="20"/>
              </w:rPr>
              <w:t xml:space="preserve"> corporate</w:t>
            </w:r>
          </w:p>
        </w:tc>
        <w:tc>
          <w:tcPr>
            <w:tcW w:w="0" w:type="auto"/>
            <w:gridSpan w:val="3"/>
            <w:shd w:val="clear" w:color="auto" w:fill="FFFFFF"/>
            <w:tcMar>
              <w:top w:w="30" w:type="dxa"/>
              <w:left w:w="20" w:type="dxa"/>
              <w:bottom w:w="30" w:type="dxa"/>
              <w:right w:w="20" w:type="dxa"/>
            </w:tcMar>
            <w:vAlign w:val="bottom"/>
            <w:hideMark/>
          </w:tcPr>
          <w:p w14:paraId="5E0C7FE9" w14:textId="77777777" w:rsidR="00000000" w:rsidRDefault="001A570A">
            <w:pPr>
              <w:jc w:val="center"/>
              <w:rPr>
                <w:rFonts w:eastAsia="Times New Roman"/>
              </w:rPr>
            </w:pPr>
            <w:r>
              <w:rPr>
                <w:rFonts w:eastAsia="Times New Roman"/>
                <w:color w:val="000000"/>
                <w:sz w:val="20"/>
                <w:szCs w:val="20"/>
              </w:rPr>
              <w:t>indefinite</w:t>
            </w:r>
          </w:p>
        </w:tc>
        <w:tc>
          <w:tcPr>
            <w:tcW w:w="0" w:type="auto"/>
            <w:gridSpan w:val="3"/>
            <w:shd w:val="clear" w:color="auto" w:fill="FFFFFF"/>
            <w:tcMar>
              <w:top w:w="0" w:type="dxa"/>
              <w:left w:w="20" w:type="dxa"/>
              <w:bottom w:w="0" w:type="dxa"/>
              <w:right w:w="20" w:type="dxa"/>
            </w:tcMar>
            <w:vAlign w:val="center"/>
            <w:hideMark/>
          </w:tcPr>
          <w:p w14:paraId="2093F1D3" w14:textId="77777777" w:rsidR="00000000" w:rsidRDefault="001A570A">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B0FFDF" w14:textId="77777777" w:rsidR="00000000" w:rsidRDefault="001A570A">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2F54EE25" w14:textId="77777777" w:rsidR="00000000" w:rsidRDefault="001A570A">
            <w:pPr>
              <w:jc w:val="right"/>
              <w:rPr>
                <w:rFonts w:eastAsia="Times New Roman"/>
              </w:rPr>
            </w:pPr>
          </w:p>
        </w:tc>
      </w:tr>
      <w:tr w:rsidR="00000000" w14:paraId="55E17F97" w14:textId="77777777">
        <w:trPr>
          <w:divId w:val="420368866"/>
        </w:trPr>
        <w:tc>
          <w:tcPr>
            <w:tcW w:w="0" w:type="auto"/>
            <w:gridSpan w:val="3"/>
            <w:shd w:val="clear" w:color="auto" w:fill="CCEEFF"/>
            <w:tcMar>
              <w:top w:w="30" w:type="dxa"/>
              <w:left w:w="20" w:type="dxa"/>
              <w:bottom w:w="30" w:type="dxa"/>
              <w:right w:w="20" w:type="dxa"/>
            </w:tcMar>
            <w:vAlign w:val="bottom"/>
            <w:hideMark/>
          </w:tcPr>
          <w:p w14:paraId="1B6B47DB" w14:textId="77777777" w:rsidR="00000000" w:rsidRDefault="001A570A">
            <w:pPr>
              <w:rPr>
                <w:rFonts w:eastAsia="Times New Roman"/>
              </w:rPr>
            </w:pPr>
            <w:r>
              <w:rPr>
                <w:rFonts w:eastAsia="Times New Roman"/>
                <w:color w:val="000000"/>
                <w:sz w:val="20"/>
                <w:szCs w:val="20"/>
              </w:rPr>
              <w:t>In-process research and development</w:t>
            </w:r>
          </w:p>
        </w:tc>
        <w:tc>
          <w:tcPr>
            <w:tcW w:w="0" w:type="auto"/>
            <w:gridSpan w:val="3"/>
            <w:shd w:val="clear" w:color="auto" w:fill="CCEEFF"/>
            <w:tcMar>
              <w:top w:w="30" w:type="dxa"/>
              <w:left w:w="20" w:type="dxa"/>
              <w:bottom w:w="30" w:type="dxa"/>
              <w:right w:w="20" w:type="dxa"/>
            </w:tcMar>
            <w:vAlign w:val="bottom"/>
            <w:hideMark/>
          </w:tcPr>
          <w:p w14:paraId="7DB063E3" w14:textId="77777777" w:rsidR="00000000" w:rsidRDefault="001A570A">
            <w:pPr>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72F4F8AB" w14:textId="77777777" w:rsidR="00000000" w:rsidRDefault="001A570A">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F4A60B"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5692B974" w14:textId="77777777" w:rsidR="00000000" w:rsidRDefault="001A570A">
            <w:pPr>
              <w:jc w:val="right"/>
              <w:rPr>
                <w:rFonts w:eastAsia="Times New Roman"/>
              </w:rPr>
            </w:pPr>
          </w:p>
        </w:tc>
      </w:tr>
      <w:tr w:rsidR="00000000" w14:paraId="54BC9F00" w14:textId="77777777">
        <w:trPr>
          <w:divId w:val="420368866"/>
        </w:trPr>
        <w:tc>
          <w:tcPr>
            <w:tcW w:w="0" w:type="auto"/>
            <w:gridSpan w:val="3"/>
            <w:shd w:val="clear" w:color="auto" w:fill="FFFFFF"/>
            <w:tcMar>
              <w:top w:w="30" w:type="dxa"/>
              <w:left w:w="20" w:type="dxa"/>
              <w:bottom w:w="30" w:type="dxa"/>
              <w:right w:w="20" w:type="dxa"/>
            </w:tcMar>
            <w:vAlign w:val="bottom"/>
            <w:hideMark/>
          </w:tcPr>
          <w:p w14:paraId="46E8A5A3" w14:textId="77777777" w:rsidR="00000000" w:rsidRDefault="001A570A">
            <w:pPr>
              <w:rPr>
                <w:rFonts w:eastAsia="Times New Roman"/>
              </w:rPr>
            </w:pPr>
            <w:r>
              <w:rPr>
                <w:rFonts w:eastAsia="Times New Roman"/>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14:paraId="662739A0"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AA00C"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3A959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88D822" w14:textId="77777777" w:rsidR="00000000" w:rsidRDefault="001A570A">
            <w:pPr>
              <w:jc w:val="right"/>
              <w:rPr>
                <w:rFonts w:eastAsia="Times New Roman"/>
              </w:rPr>
            </w:pPr>
            <w:r>
              <w:rPr>
                <w:rFonts w:eastAsia="Times New Roman"/>
                <w:color w:val="000000"/>
                <w:sz w:val="20"/>
                <w:szCs w:val="20"/>
              </w:rPr>
              <w:t>8,458 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D85EE1" w14:textId="77777777" w:rsidR="00000000" w:rsidRDefault="001A570A">
            <w:pPr>
              <w:jc w:val="right"/>
              <w:rPr>
                <w:rFonts w:eastAsia="Times New Roman"/>
              </w:rPr>
            </w:pPr>
          </w:p>
        </w:tc>
      </w:tr>
    </w:tbl>
    <w:p w14:paraId="632CA4DB" w14:textId="77777777" w:rsidR="00000000" w:rsidRDefault="001A570A">
      <w:pPr>
        <w:ind w:firstLine="450"/>
        <w:divId w:val="1805389578"/>
        <w:rPr>
          <w:rFonts w:eastAsia="Times New Roman"/>
        </w:rPr>
      </w:pPr>
      <w:r>
        <w:rPr>
          <w:rFonts w:eastAsia="Times New Roman"/>
          <w:color w:val="000000"/>
          <w:sz w:val="20"/>
          <w:szCs w:val="20"/>
        </w:rPr>
        <w:t>L3Harris Merger-related charges were as follows:</w:t>
      </w:r>
    </w:p>
    <w:tbl>
      <w:tblPr>
        <w:tblW w:w="4791" w:type="pct"/>
        <w:tblCellMar>
          <w:top w:w="15" w:type="dxa"/>
          <w:left w:w="15" w:type="dxa"/>
          <w:bottom w:w="15" w:type="dxa"/>
          <w:right w:w="15" w:type="dxa"/>
        </w:tblCellMar>
        <w:tblLook w:val="04A0" w:firstRow="1" w:lastRow="0" w:firstColumn="1" w:lastColumn="0" w:noHBand="0" w:noVBand="1"/>
      </w:tblPr>
      <w:tblGrid>
        <w:gridCol w:w="39"/>
        <w:gridCol w:w="4664"/>
        <w:gridCol w:w="37"/>
        <w:gridCol w:w="121"/>
        <w:gridCol w:w="911"/>
        <w:gridCol w:w="37"/>
        <w:gridCol w:w="36"/>
        <w:gridCol w:w="36"/>
        <w:gridCol w:w="36"/>
        <w:gridCol w:w="121"/>
        <w:gridCol w:w="810"/>
        <w:gridCol w:w="36"/>
        <w:gridCol w:w="36"/>
        <w:gridCol w:w="36"/>
        <w:gridCol w:w="36"/>
        <w:gridCol w:w="121"/>
        <w:gridCol w:w="810"/>
        <w:gridCol w:w="36"/>
      </w:tblGrid>
      <w:tr w:rsidR="00000000" w14:paraId="565BA2C8" w14:textId="77777777">
        <w:trPr>
          <w:divId w:val="1667441709"/>
        </w:trPr>
        <w:tc>
          <w:tcPr>
            <w:tcW w:w="50" w:type="pct"/>
            <w:vAlign w:val="center"/>
            <w:hideMark/>
          </w:tcPr>
          <w:p w14:paraId="42BD47F1" w14:textId="77777777" w:rsidR="00000000" w:rsidRDefault="001A570A">
            <w:pPr>
              <w:ind w:firstLine="450"/>
              <w:rPr>
                <w:rFonts w:eastAsia="Times New Roman"/>
              </w:rPr>
            </w:pPr>
          </w:p>
        </w:tc>
        <w:tc>
          <w:tcPr>
            <w:tcW w:w="2965" w:type="pct"/>
            <w:vAlign w:val="center"/>
            <w:hideMark/>
          </w:tcPr>
          <w:p w14:paraId="727DAEFB" w14:textId="77777777" w:rsidR="00000000" w:rsidRDefault="001A570A">
            <w:pPr>
              <w:rPr>
                <w:rFonts w:eastAsia="Times New Roman"/>
                <w:sz w:val="20"/>
                <w:szCs w:val="20"/>
              </w:rPr>
            </w:pPr>
          </w:p>
        </w:tc>
        <w:tc>
          <w:tcPr>
            <w:tcW w:w="5" w:type="pct"/>
            <w:vAlign w:val="center"/>
            <w:hideMark/>
          </w:tcPr>
          <w:p w14:paraId="5AAEC97E" w14:textId="77777777" w:rsidR="00000000" w:rsidRDefault="001A570A">
            <w:pPr>
              <w:rPr>
                <w:rFonts w:eastAsia="Times New Roman"/>
                <w:sz w:val="20"/>
                <w:szCs w:val="20"/>
              </w:rPr>
            </w:pPr>
          </w:p>
        </w:tc>
        <w:tc>
          <w:tcPr>
            <w:tcW w:w="50" w:type="pct"/>
            <w:vAlign w:val="center"/>
            <w:hideMark/>
          </w:tcPr>
          <w:p w14:paraId="7E74DFC7" w14:textId="77777777" w:rsidR="00000000" w:rsidRDefault="001A570A">
            <w:pPr>
              <w:rPr>
                <w:rFonts w:eastAsia="Times New Roman"/>
                <w:sz w:val="20"/>
                <w:szCs w:val="20"/>
              </w:rPr>
            </w:pPr>
          </w:p>
        </w:tc>
        <w:tc>
          <w:tcPr>
            <w:tcW w:w="604" w:type="pct"/>
            <w:vAlign w:val="center"/>
            <w:hideMark/>
          </w:tcPr>
          <w:p w14:paraId="64B9E2E8" w14:textId="77777777" w:rsidR="00000000" w:rsidRDefault="001A570A">
            <w:pPr>
              <w:rPr>
                <w:rFonts w:eastAsia="Times New Roman"/>
                <w:sz w:val="20"/>
                <w:szCs w:val="20"/>
              </w:rPr>
            </w:pPr>
          </w:p>
        </w:tc>
        <w:tc>
          <w:tcPr>
            <w:tcW w:w="5" w:type="pct"/>
            <w:vAlign w:val="center"/>
            <w:hideMark/>
          </w:tcPr>
          <w:p w14:paraId="4A42C3CF" w14:textId="77777777" w:rsidR="00000000" w:rsidRDefault="001A570A">
            <w:pPr>
              <w:rPr>
                <w:rFonts w:eastAsia="Times New Roman"/>
                <w:sz w:val="20"/>
                <w:szCs w:val="20"/>
              </w:rPr>
            </w:pPr>
          </w:p>
        </w:tc>
        <w:tc>
          <w:tcPr>
            <w:tcW w:w="5" w:type="pct"/>
            <w:vAlign w:val="center"/>
            <w:hideMark/>
          </w:tcPr>
          <w:p w14:paraId="7E5EBAC1" w14:textId="77777777" w:rsidR="00000000" w:rsidRDefault="001A570A">
            <w:pPr>
              <w:rPr>
                <w:rFonts w:eastAsia="Times New Roman"/>
                <w:sz w:val="20"/>
                <w:szCs w:val="20"/>
              </w:rPr>
            </w:pPr>
          </w:p>
        </w:tc>
        <w:tc>
          <w:tcPr>
            <w:tcW w:w="27" w:type="pct"/>
            <w:vAlign w:val="center"/>
            <w:hideMark/>
          </w:tcPr>
          <w:p w14:paraId="132F8729" w14:textId="77777777" w:rsidR="00000000" w:rsidRDefault="001A570A">
            <w:pPr>
              <w:rPr>
                <w:rFonts w:eastAsia="Times New Roman"/>
                <w:sz w:val="20"/>
                <w:szCs w:val="20"/>
              </w:rPr>
            </w:pPr>
          </w:p>
        </w:tc>
        <w:tc>
          <w:tcPr>
            <w:tcW w:w="5" w:type="pct"/>
            <w:vAlign w:val="center"/>
            <w:hideMark/>
          </w:tcPr>
          <w:p w14:paraId="2160EBEA" w14:textId="77777777" w:rsidR="00000000" w:rsidRDefault="001A570A">
            <w:pPr>
              <w:rPr>
                <w:rFonts w:eastAsia="Times New Roman"/>
                <w:sz w:val="20"/>
                <w:szCs w:val="20"/>
              </w:rPr>
            </w:pPr>
          </w:p>
        </w:tc>
        <w:tc>
          <w:tcPr>
            <w:tcW w:w="50" w:type="pct"/>
            <w:vAlign w:val="center"/>
            <w:hideMark/>
          </w:tcPr>
          <w:p w14:paraId="1E473671" w14:textId="77777777" w:rsidR="00000000" w:rsidRDefault="001A570A">
            <w:pPr>
              <w:rPr>
                <w:rFonts w:eastAsia="Times New Roman"/>
                <w:sz w:val="20"/>
                <w:szCs w:val="20"/>
              </w:rPr>
            </w:pPr>
          </w:p>
        </w:tc>
        <w:tc>
          <w:tcPr>
            <w:tcW w:w="567" w:type="pct"/>
            <w:vAlign w:val="center"/>
            <w:hideMark/>
          </w:tcPr>
          <w:p w14:paraId="2D005D00" w14:textId="77777777" w:rsidR="00000000" w:rsidRDefault="001A570A">
            <w:pPr>
              <w:rPr>
                <w:rFonts w:eastAsia="Times New Roman"/>
                <w:sz w:val="20"/>
                <w:szCs w:val="20"/>
              </w:rPr>
            </w:pPr>
          </w:p>
        </w:tc>
        <w:tc>
          <w:tcPr>
            <w:tcW w:w="5" w:type="pct"/>
            <w:vAlign w:val="center"/>
            <w:hideMark/>
          </w:tcPr>
          <w:p w14:paraId="01FC9B93" w14:textId="77777777" w:rsidR="00000000" w:rsidRDefault="001A570A">
            <w:pPr>
              <w:rPr>
                <w:rFonts w:eastAsia="Times New Roman"/>
                <w:sz w:val="20"/>
                <w:szCs w:val="20"/>
              </w:rPr>
            </w:pPr>
          </w:p>
        </w:tc>
        <w:tc>
          <w:tcPr>
            <w:tcW w:w="5" w:type="pct"/>
            <w:vAlign w:val="center"/>
            <w:hideMark/>
          </w:tcPr>
          <w:p w14:paraId="52E91052" w14:textId="77777777" w:rsidR="00000000" w:rsidRDefault="001A570A">
            <w:pPr>
              <w:rPr>
                <w:rFonts w:eastAsia="Times New Roman"/>
                <w:sz w:val="20"/>
                <w:szCs w:val="20"/>
              </w:rPr>
            </w:pPr>
          </w:p>
        </w:tc>
        <w:tc>
          <w:tcPr>
            <w:tcW w:w="27" w:type="pct"/>
            <w:vAlign w:val="center"/>
            <w:hideMark/>
          </w:tcPr>
          <w:p w14:paraId="5224034A" w14:textId="77777777" w:rsidR="00000000" w:rsidRDefault="001A570A">
            <w:pPr>
              <w:rPr>
                <w:rFonts w:eastAsia="Times New Roman"/>
                <w:sz w:val="20"/>
                <w:szCs w:val="20"/>
              </w:rPr>
            </w:pPr>
          </w:p>
        </w:tc>
        <w:tc>
          <w:tcPr>
            <w:tcW w:w="5" w:type="pct"/>
            <w:vAlign w:val="center"/>
            <w:hideMark/>
          </w:tcPr>
          <w:p w14:paraId="4A9F1522" w14:textId="77777777" w:rsidR="00000000" w:rsidRDefault="001A570A">
            <w:pPr>
              <w:rPr>
                <w:rFonts w:eastAsia="Times New Roman"/>
                <w:sz w:val="20"/>
                <w:szCs w:val="20"/>
              </w:rPr>
            </w:pPr>
          </w:p>
        </w:tc>
        <w:tc>
          <w:tcPr>
            <w:tcW w:w="50" w:type="pct"/>
            <w:vAlign w:val="center"/>
            <w:hideMark/>
          </w:tcPr>
          <w:p w14:paraId="53FA9EBB" w14:textId="77777777" w:rsidR="00000000" w:rsidRDefault="001A570A">
            <w:pPr>
              <w:rPr>
                <w:rFonts w:eastAsia="Times New Roman"/>
                <w:sz w:val="20"/>
                <w:szCs w:val="20"/>
              </w:rPr>
            </w:pPr>
          </w:p>
        </w:tc>
        <w:tc>
          <w:tcPr>
            <w:tcW w:w="567" w:type="pct"/>
            <w:vAlign w:val="center"/>
            <w:hideMark/>
          </w:tcPr>
          <w:p w14:paraId="50A83C8E" w14:textId="77777777" w:rsidR="00000000" w:rsidRDefault="001A570A">
            <w:pPr>
              <w:rPr>
                <w:rFonts w:eastAsia="Times New Roman"/>
                <w:sz w:val="20"/>
                <w:szCs w:val="20"/>
              </w:rPr>
            </w:pPr>
          </w:p>
        </w:tc>
        <w:tc>
          <w:tcPr>
            <w:tcW w:w="5" w:type="pct"/>
            <w:vAlign w:val="center"/>
            <w:hideMark/>
          </w:tcPr>
          <w:p w14:paraId="6127FE82" w14:textId="77777777" w:rsidR="00000000" w:rsidRDefault="001A570A">
            <w:pPr>
              <w:rPr>
                <w:rFonts w:eastAsia="Times New Roman"/>
                <w:sz w:val="20"/>
                <w:szCs w:val="20"/>
              </w:rPr>
            </w:pPr>
          </w:p>
        </w:tc>
      </w:tr>
      <w:tr w:rsidR="00000000" w14:paraId="291CB7E2" w14:textId="77777777">
        <w:trPr>
          <w:divId w:val="1667441709"/>
        </w:trPr>
        <w:tc>
          <w:tcPr>
            <w:tcW w:w="0" w:type="auto"/>
            <w:gridSpan w:val="3"/>
            <w:tcMar>
              <w:top w:w="0" w:type="dxa"/>
              <w:left w:w="20" w:type="dxa"/>
              <w:bottom w:w="0" w:type="dxa"/>
              <w:right w:w="20" w:type="dxa"/>
            </w:tcMar>
            <w:vAlign w:val="center"/>
            <w:hideMark/>
          </w:tcPr>
          <w:p w14:paraId="1480BF88"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2A4074F6"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05D3CFD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9D86596"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6DBDEB1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9F14CD1" w14:textId="77777777" w:rsidR="00000000" w:rsidRDefault="001A570A">
            <w:pPr>
              <w:jc w:val="center"/>
              <w:rPr>
                <w:rFonts w:eastAsia="Times New Roman"/>
              </w:rPr>
            </w:pPr>
            <w:r>
              <w:rPr>
                <w:rFonts w:eastAsia="Times New Roman"/>
                <w:b/>
                <w:bCs/>
                <w:color w:val="000000"/>
                <w:sz w:val="16"/>
                <w:szCs w:val="16"/>
              </w:rPr>
              <w:t>Fiscal Year Ended</w:t>
            </w:r>
          </w:p>
        </w:tc>
      </w:tr>
      <w:tr w:rsidR="00000000" w14:paraId="37F6EFCA" w14:textId="77777777">
        <w:trPr>
          <w:divId w:val="1667441709"/>
        </w:trPr>
        <w:tc>
          <w:tcPr>
            <w:tcW w:w="0" w:type="auto"/>
            <w:gridSpan w:val="3"/>
            <w:tcMar>
              <w:top w:w="30" w:type="dxa"/>
              <w:left w:w="20" w:type="dxa"/>
              <w:bottom w:w="30" w:type="dxa"/>
              <w:right w:w="20" w:type="dxa"/>
            </w:tcMar>
            <w:vAlign w:val="bottom"/>
            <w:hideMark/>
          </w:tcPr>
          <w:p w14:paraId="4DC7174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9D568F1"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3B27D77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80E77E"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263D6D4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96A9A5" w14:textId="77777777" w:rsidR="00000000" w:rsidRDefault="001A570A">
            <w:pPr>
              <w:jc w:val="center"/>
              <w:rPr>
                <w:rFonts w:eastAsia="Times New Roman"/>
              </w:rPr>
            </w:pPr>
            <w:r>
              <w:rPr>
                <w:rFonts w:eastAsia="Times New Roman"/>
                <w:b/>
                <w:bCs/>
                <w:color w:val="000000"/>
                <w:sz w:val="16"/>
                <w:szCs w:val="16"/>
              </w:rPr>
              <w:t>June 28, 2019</w:t>
            </w:r>
          </w:p>
        </w:tc>
      </w:tr>
      <w:tr w:rsidR="00000000" w14:paraId="649F3F1D" w14:textId="77777777">
        <w:trPr>
          <w:divId w:val="1667441709"/>
          <w:trHeight w:val="60"/>
        </w:trPr>
        <w:tc>
          <w:tcPr>
            <w:tcW w:w="0" w:type="auto"/>
            <w:gridSpan w:val="3"/>
            <w:tcMar>
              <w:top w:w="0" w:type="dxa"/>
              <w:left w:w="20" w:type="dxa"/>
              <w:bottom w:w="0" w:type="dxa"/>
              <w:right w:w="20" w:type="dxa"/>
            </w:tcMar>
            <w:vAlign w:val="center"/>
            <w:hideMark/>
          </w:tcPr>
          <w:p w14:paraId="1759F1DA"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09FE70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16EBF2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A8EDB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BB3C96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41C13E" w14:textId="77777777" w:rsidR="00000000" w:rsidRDefault="001A570A">
            <w:pPr>
              <w:rPr>
                <w:rFonts w:eastAsia="Times New Roman"/>
                <w:sz w:val="20"/>
                <w:szCs w:val="20"/>
              </w:rPr>
            </w:pPr>
          </w:p>
        </w:tc>
      </w:tr>
      <w:tr w:rsidR="00000000" w14:paraId="298B7665" w14:textId="77777777">
        <w:trPr>
          <w:divId w:val="1667441709"/>
        </w:trPr>
        <w:tc>
          <w:tcPr>
            <w:tcW w:w="0" w:type="auto"/>
            <w:gridSpan w:val="3"/>
            <w:shd w:val="clear" w:color="auto" w:fill="CCEEFF"/>
            <w:tcMar>
              <w:top w:w="30" w:type="dxa"/>
              <w:left w:w="20" w:type="dxa"/>
              <w:bottom w:w="30" w:type="dxa"/>
              <w:right w:w="20" w:type="dxa"/>
            </w:tcMar>
            <w:vAlign w:val="bottom"/>
            <w:hideMark/>
          </w:tcPr>
          <w:p w14:paraId="4C452256" w14:textId="77777777" w:rsidR="00000000" w:rsidRDefault="001A570A">
            <w:pPr>
              <w:rPr>
                <w:rFonts w:eastAsia="Times New Roman"/>
              </w:rPr>
            </w:pPr>
            <w:r>
              <w:rPr>
                <w:rFonts w:eastAsia="Times New Roman"/>
                <w:color w:val="000000"/>
                <w:sz w:val="20"/>
                <w:szCs w:val="20"/>
              </w:rPr>
              <w:t>Equity award acceleration charges, recognized upon change in control</w:t>
            </w:r>
          </w:p>
        </w:tc>
        <w:tc>
          <w:tcPr>
            <w:tcW w:w="0" w:type="auto"/>
            <w:shd w:val="clear" w:color="auto" w:fill="CCEEFF"/>
            <w:tcMar>
              <w:top w:w="30" w:type="dxa"/>
              <w:left w:w="20" w:type="dxa"/>
              <w:bottom w:w="30" w:type="dxa"/>
              <w:right w:w="0" w:type="dxa"/>
            </w:tcMar>
            <w:vAlign w:val="bottom"/>
            <w:hideMark/>
          </w:tcPr>
          <w:p w14:paraId="13431F2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0FC45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EBD98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5ECEA"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5E75B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D5F958" w14:textId="77777777" w:rsidR="00000000" w:rsidRDefault="001A570A">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36CB69F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D80D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33F2C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F6554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323E44" w14:textId="77777777" w:rsidR="00000000" w:rsidRDefault="001A570A">
            <w:pPr>
              <w:jc w:val="right"/>
              <w:rPr>
                <w:rFonts w:eastAsia="Times New Roman"/>
              </w:rPr>
            </w:pPr>
          </w:p>
        </w:tc>
      </w:tr>
      <w:tr w:rsidR="00000000" w14:paraId="1F9D2DB5" w14:textId="77777777">
        <w:trPr>
          <w:divId w:val="1667441709"/>
        </w:trPr>
        <w:tc>
          <w:tcPr>
            <w:tcW w:w="0" w:type="auto"/>
            <w:gridSpan w:val="3"/>
            <w:shd w:val="clear" w:color="auto" w:fill="FFFFFF"/>
            <w:tcMar>
              <w:top w:w="30" w:type="dxa"/>
              <w:left w:w="20" w:type="dxa"/>
              <w:bottom w:w="30" w:type="dxa"/>
              <w:right w:w="20" w:type="dxa"/>
            </w:tcMar>
            <w:vAlign w:val="bottom"/>
            <w:hideMark/>
          </w:tcPr>
          <w:p w14:paraId="6649C34D" w14:textId="77777777" w:rsidR="00000000" w:rsidRDefault="001A570A">
            <w:pPr>
              <w:rPr>
                <w:rFonts w:eastAsia="Times New Roman"/>
              </w:rPr>
            </w:pPr>
            <w:r>
              <w:rPr>
                <w:rFonts w:eastAsia="Times New Roman"/>
                <w:color w:val="000000"/>
                <w:sz w:val="20"/>
                <w:szCs w:val="20"/>
              </w:rPr>
              <w:t>Transaction costs, recognized as incurred</w:t>
            </w:r>
          </w:p>
        </w:tc>
        <w:tc>
          <w:tcPr>
            <w:tcW w:w="0" w:type="auto"/>
            <w:gridSpan w:val="2"/>
            <w:shd w:val="clear" w:color="auto" w:fill="FFFFFF"/>
            <w:tcMar>
              <w:top w:w="30" w:type="dxa"/>
              <w:left w:w="20" w:type="dxa"/>
              <w:bottom w:w="30" w:type="dxa"/>
              <w:right w:w="0" w:type="dxa"/>
            </w:tcMar>
            <w:vAlign w:val="bottom"/>
            <w:hideMark/>
          </w:tcPr>
          <w:p w14:paraId="36D64D2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5B4F8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7A16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7A358"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30D21FE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F2FA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73AC67"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03A9AEA2" w14:textId="77777777" w:rsidR="00000000" w:rsidRDefault="001A570A">
            <w:pPr>
              <w:jc w:val="right"/>
              <w:rPr>
                <w:rFonts w:eastAsia="Times New Roman"/>
              </w:rPr>
            </w:pPr>
          </w:p>
        </w:tc>
      </w:tr>
      <w:tr w:rsidR="00000000" w14:paraId="00F607ED" w14:textId="77777777">
        <w:trPr>
          <w:divId w:val="1667441709"/>
        </w:trPr>
        <w:tc>
          <w:tcPr>
            <w:tcW w:w="0" w:type="auto"/>
            <w:gridSpan w:val="3"/>
            <w:shd w:val="clear" w:color="auto" w:fill="CCEEFF"/>
            <w:tcMar>
              <w:top w:w="30" w:type="dxa"/>
              <w:left w:w="20" w:type="dxa"/>
              <w:bottom w:w="30" w:type="dxa"/>
              <w:right w:w="20" w:type="dxa"/>
            </w:tcMar>
            <w:vAlign w:val="bottom"/>
            <w:hideMark/>
          </w:tcPr>
          <w:p w14:paraId="6BEF3CB6" w14:textId="77777777" w:rsidR="00000000" w:rsidRDefault="001A570A">
            <w:pPr>
              <w:rPr>
                <w:rFonts w:eastAsia="Times New Roman"/>
              </w:rPr>
            </w:pPr>
            <w:r>
              <w:rPr>
                <w:rFonts w:eastAsia="Times New Roman"/>
                <w:color w:val="000000"/>
                <w:sz w:val="20"/>
                <w:szCs w:val="20"/>
              </w:rPr>
              <w:t>Additional cost of sales related to the fair value step-up in inventory sold</w:t>
            </w:r>
          </w:p>
        </w:tc>
        <w:tc>
          <w:tcPr>
            <w:tcW w:w="0" w:type="auto"/>
            <w:gridSpan w:val="2"/>
            <w:shd w:val="clear" w:color="auto" w:fill="CCEEFF"/>
            <w:tcMar>
              <w:top w:w="30" w:type="dxa"/>
              <w:left w:w="20" w:type="dxa"/>
              <w:bottom w:w="30" w:type="dxa"/>
              <w:right w:w="0" w:type="dxa"/>
            </w:tcMar>
            <w:vAlign w:val="bottom"/>
            <w:hideMark/>
          </w:tcPr>
          <w:p w14:paraId="53F908A7"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13CDD64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2DD1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910D4" w14:textId="77777777" w:rsidR="00000000" w:rsidRDefault="001A570A">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14:paraId="37D75B7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C1AB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A242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49595D" w14:textId="77777777" w:rsidR="00000000" w:rsidRDefault="001A570A">
            <w:pPr>
              <w:jc w:val="right"/>
              <w:rPr>
                <w:rFonts w:eastAsia="Times New Roman"/>
              </w:rPr>
            </w:pPr>
          </w:p>
        </w:tc>
      </w:tr>
      <w:tr w:rsidR="00000000" w14:paraId="30625777" w14:textId="77777777">
        <w:trPr>
          <w:divId w:val="1667441709"/>
        </w:trPr>
        <w:tc>
          <w:tcPr>
            <w:tcW w:w="0" w:type="auto"/>
            <w:gridSpan w:val="3"/>
            <w:shd w:val="clear" w:color="auto" w:fill="FFFFFF"/>
            <w:tcMar>
              <w:top w:w="30" w:type="dxa"/>
              <w:left w:w="20" w:type="dxa"/>
              <w:bottom w:w="30" w:type="dxa"/>
              <w:right w:w="20" w:type="dxa"/>
            </w:tcMar>
            <w:vAlign w:val="bottom"/>
            <w:hideMark/>
          </w:tcPr>
          <w:p w14:paraId="799AB8FB" w14:textId="77777777" w:rsidR="00000000" w:rsidRDefault="001A570A">
            <w:pPr>
              <w:rPr>
                <w:rFonts w:eastAsia="Times New Roman"/>
              </w:rPr>
            </w:pPr>
            <w:r>
              <w:rPr>
                <w:rFonts w:eastAsia="Times New Roman"/>
                <w:color w:val="000000"/>
                <w:sz w:val="20"/>
                <w:szCs w:val="20"/>
              </w:rPr>
              <w:t>Restructuring charges, recognized as incurred</w:t>
            </w:r>
          </w:p>
        </w:tc>
        <w:tc>
          <w:tcPr>
            <w:tcW w:w="0" w:type="auto"/>
            <w:gridSpan w:val="2"/>
            <w:shd w:val="clear" w:color="auto" w:fill="FFFFFF"/>
            <w:tcMar>
              <w:top w:w="30" w:type="dxa"/>
              <w:left w:w="20" w:type="dxa"/>
              <w:bottom w:w="30" w:type="dxa"/>
              <w:right w:w="0" w:type="dxa"/>
            </w:tcMar>
            <w:vAlign w:val="bottom"/>
            <w:hideMark/>
          </w:tcPr>
          <w:p w14:paraId="3FB763A1"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975F2D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F1729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651CB" w14:textId="77777777" w:rsidR="00000000" w:rsidRDefault="001A570A">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743C960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4C77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3EA6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F36B25" w14:textId="77777777" w:rsidR="00000000" w:rsidRDefault="001A570A">
            <w:pPr>
              <w:jc w:val="right"/>
              <w:rPr>
                <w:rFonts w:eastAsia="Times New Roman"/>
              </w:rPr>
            </w:pPr>
          </w:p>
        </w:tc>
      </w:tr>
      <w:tr w:rsidR="00000000" w14:paraId="27FB5D79" w14:textId="77777777">
        <w:trPr>
          <w:divId w:val="1667441709"/>
        </w:trPr>
        <w:tc>
          <w:tcPr>
            <w:tcW w:w="0" w:type="auto"/>
            <w:gridSpan w:val="3"/>
            <w:shd w:val="clear" w:color="auto" w:fill="CCEEFF"/>
            <w:tcMar>
              <w:top w:w="30" w:type="dxa"/>
              <w:left w:w="20" w:type="dxa"/>
              <w:bottom w:w="30" w:type="dxa"/>
              <w:right w:w="20" w:type="dxa"/>
            </w:tcMar>
            <w:vAlign w:val="bottom"/>
            <w:hideMark/>
          </w:tcPr>
          <w:p w14:paraId="47C22EB8" w14:textId="77777777" w:rsidR="00000000" w:rsidRDefault="001A570A">
            <w:pPr>
              <w:rPr>
                <w:rFonts w:eastAsia="Times New Roman"/>
              </w:rPr>
            </w:pPr>
            <w:r>
              <w:rPr>
                <w:rFonts w:eastAsia="Times New Roman"/>
                <w:color w:val="000000"/>
                <w:sz w:val="20"/>
                <w:szCs w:val="20"/>
              </w:rPr>
              <w:t>Facility consolidation costs</w:t>
            </w:r>
          </w:p>
        </w:tc>
        <w:tc>
          <w:tcPr>
            <w:tcW w:w="0" w:type="auto"/>
            <w:gridSpan w:val="2"/>
            <w:shd w:val="clear" w:color="auto" w:fill="CCEEFF"/>
            <w:tcMar>
              <w:top w:w="30" w:type="dxa"/>
              <w:left w:w="20" w:type="dxa"/>
              <w:bottom w:w="30" w:type="dxa"/>
              <w:right w:w="0" w:type="dxa"/>
            </w:tcMar>
            <w:vAlign w:val="bottom"/>
            <w:hideMark/>
          </w:tcPr>
          <w:p w14:paraId="7F87356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1904E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E63F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ACF3B5" w14:textId="77777777" w:rsidR="00000000" w:rsidRDefault="001A570A">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2B0E664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6B7D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78B3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24D490" w14:textId="77777777" w:rsidR="00000000" w:rsidRDefault="001A570A">
            <w:pPr>
              <w:jc w:val="right"/>
              <w:rPr>
                <w:rFonts w:eastAsia="Times New Roman"/>
              </w:rPr>
            </w:pPr>
          </w:p>
        </w:tc>
      </w:tr>
      <w:tr w:rsidR="00000000" w14:paraId="1FFBD910" w14:textId="77777777">
        <w:trPr>
          <w:divId w:val="1667441709"/>
        </w:trPr>
        <w:tc>
          <w:tcPr>
            <w:tcW w:w="0" w:type="auto"/>
            <w:gridSpan w:val="3"/>
            <w:shd w:val="clear" w:color="auto" w:fill="FFFFFF"/>
            <w:tcMar>
              <w:top w:w="30" w:type="dxa"/>
              <w:left w:w="20" w:type="dxa"/>
              <w:bottom w:w="30" w:type="dxa"/>
              <w:right w:w="20" w:type="dxa"/>
            </w:tcMar>
            <w:vAlign w:val="bottom"/>
            <w:hideMark/>
          </w:tcPr>
          <w:p w14:paraId="713DB788" w14:textId="77777777" w:rsidR="00000000" w:rsidRDefault="001A570A">
            <w:pPr>
              <w:rPr>
                <w:rFonts w:eastAsia="Times New Roman"/>
              </w:rPr>
            </w:pPr>
            <w:r>
              <w:rPr>
                <w:rFonts w:eastAsia="Times New Roman"/>
                <w:color w:val="000000"/>
                <w:sz w:val="20"/>
                <w:szCs w:val="20"/>
              </w:rPr>
              <w:t>Integration costs, recognized as incurred</w:t>
            </w:r>
          </w:p>
        </w:tc>
        <w:tc>
          <w:tcPr>
            <w:tcW w:w="0" w:type="auto"/>
            <w:gridSpan w:val="2"/>
            <w:shd w:val="clear" w:color="auto" w:fill="FFFFFF"/>
            <w:tcMar>
              <w:top w:w="30" w:type="dxa"/>
              <w:left w:w="20" w:type="dxa"/>
              <w:bottom w:w="30" w:type="dxa"/>
              <w:right w:w="0" w:type="dxa"/>
            </w:tcMar>
            <w:vAlign w:val="bottom"/>
            <w:hideMark/>
          </w:tcPr>
          <w:p w14:paraId="67B6CEAB" w14:textId="77777777" w:rsidR="00000000" w:rsidRDefault="001A570A">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6B2376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4DF9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18ED2" w14:textId="77777777" w:rsidR="00000000" w:rsidRDefault="001A570A">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135103A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4FC3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4BF9A9" w14:textId="77777777" w:rsidR="00000000" w:rsidRDefault="001A570A">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14:paraId="05B586AA" w14:textId="77777777" w:rsidR="00000000" w:rsidRDefault="001A570A">
            <w:pPr>
              <w:jc w:val="right"/>
              <w:rPr>
                <w:rFonts w:eastAsia="Times New Roman"/>
              </w:rPr>
            </w:pPr>
          </w:p>
        </w:tc>
      </w:tr>
      <w:tr w:rsidR="00000000" w14:paraId="68DD95D1" w14:textId="77777777">
        <w:trPr>
          <w:divId w:val="1667441709"/>
        </w:trPr>
        <w:tc>
          <w:tcPr>
            <w:tcW w:w="0" w:type="auto"/>
            <w:gridSpan w:val="3"/>
            <w:shd w:val="clear" w:color="auto" w:fill="CCEEFF"/>
            <w:tcMar>
              <w:top w:w="30" w:type="dxa"/>
              <w:left w:w="20" w:type="dxa"/>
              <w:bottom w:w="30" w:type="dxa"/>
              <w:right w:w="20" w:type="dxa"/>
            </w:tcMar>
            <w:vAlign w:val="bottom"/>
            <w:hideMark/>
          </w:tcPr>
          <w:p w14:paraId="1BC30239" w14:textId="77777777" w:rsidR="00000000" w:rsidRDefault="001A570A">
            <w:pPr>
              <w:rPr>
                <w:rFonts w:eastAsia="Times New Roman"/>
              </w:rPr>
            </w:pPr>
            <w:r>
              <w:rPr>
                <w:rFonts w:eastAsia="Times New Roman"/>
                <w:color w:val="000000"/>
                <w:sz w:val="20"/>
                <w:szCs w:val="20"/>
              </w:rPr>
              <w:t>Total L3Harris Merger-related charges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38FC2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2E4DE4" w14:textId="77777777" w:rsidR="00000000" w:rsidRDefault="001A570A">
            <w:pPr>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6F08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8674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5E6CB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7CF680" w14:textId="77777777" w:rsidR="00000000" w:rsidRDefault="001A570A">
            <w:pPr>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0986C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4914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C63CD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18DB40" w14:textId="77777777" w:rsidR="00000000" w:rsidRDefault="001A570A">
            <w:pPr>
              <w:jc w:val="right"/>
              <w:rPr>
                <w:rFonts w:eastAsia="Times New Roman"/>
              </w:rPr>
            </w:pPr>
            <w:r>
              <w:rPr>
                <w:rFonts w:eastAsia="Times New Roman"/>
                <w:color w:val="000000"/>
                <w:sz w:val="20"/>
                <w:szCs w:val="20"/>
              </w:rPr>
              <w:t>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9FE33E" w14:textId="77777777" w:rsidR="00000000" w:rsidRDefault="001A570A">
            <w:pPr>
              <w:jc w:val="right"/>
              <w:rPr>
                <w:rFonts w:eastAsia="Times New Roman"/>
              </w:rPr>
            </w:pPr>
          </w:p>
        </w:tc>
      </w:tr>
    </w:tbl>
    <w:p w14:paraId="17C95A08" w14:textId="77777777" w:rsidR="00000000" w:rsidRDefault="001A570A">
      <w:pPr>
        <w:ind w:firstLine="450"/>
        <w:divId w:val="1769764374"/>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4: Restructuring and Other Exit Costs </w:t>
      </w:r>
      <w:r>
        <w:rPr>
          <w:rFonts w:eastAsia="Times New Roman"/>
          <w:color w:val="000000"/>
          <w:sz w:val="20"/>
          <w:szCs w:val="20"/>
        </w:rPr>
        <w:t>in these Notes for additional information regarding severance and facility consolidation costs.</w:t>
      </w:r>
    </w:p>
    <w:p w14:paraId="228F95FD" w14:textId="77777777" w:rsidR="00000000" w:rsidRDefault="001A570A">
      <w:pPr>
        <w:ind w:firstLine="450"/>
        <w:divId w:val="1689866201"/>
        <w:rPr>
          <w:rFonts w:eastAsia="Times New Roman"/>
        </w:rPr>
      </w:pPr>
      <w:r>
        <w:rPr>
          <w:rFonts w:eastAsia="Times New Roman"/>
          <w:color w:val="000000"/>
          <w:sz w:val="20"/>
          <w:szCs w:val="20"/>
        </w:rPr>
        <w:t>Because the L3Harris Merger benefited the entire Company as opposed to any individual business segment, the above costs were not allocated to any business segme</w:t>
      </w:r>
      <w:r>
        <w:rPr>
          <w:rFonts w:eastAsia="Times New Roman"/>
          <w:color w:val="000000"/>
          <w:sz w:val="20"/>
          <w:szCs w:val="20"/>
        </w:rPr>
        <w:t>nt. Most of the costs above were recorded in the “Engineering, selling and administrative expenses” line item in our Consolidated Statement of Income, except for additional cost of sales related to the fair value step-up in inventory sold, which is include</w:t>
      </w:r>
      <w:r>
        <w:rPr>
          <w:rFonts w:eastAsia="Times New Roman"/>
          <w:color w:val="000000"/>
          <w:sz w:val="20"/>
          <w:szCs w:val="20"/>
        </w:rPr>
        <w:t xml:space="preserve">d in the “Cost of product sales and services” line item in our Consolidated Statement of Income and facility consolidation costs, the majority of which is included in the “Impairment of goodwill and other assets” line item in our Consolidated Statement of </w:t>
      </w:r>
      <w:r>
        <w:rPr>
          <w:rFonts w:eastAsia="Times New Roman"/>
          <w:color w:val="000000"/>
          <w:sz w:val="20"/>
          <w:szCs w:val="20"/>
        </w:rPr>
        <w:t>Income.</w:t>
      </w:r>
    </w:p>
    <w:p w14:paraId="7979BD69" w14:textId="77777777" w:rsidR="00000000" w:rsidRDefault="001A570A">
      <w:pPr>
        <w:divId w:val="1396930524"/>
        <w:rPr>
          <w:rFonts w:eastAsia="Times New Roman"/>
        </w:rPr>
      </w:pPr>
      <w:r>
        <w:rPr>
          <w:rFonts w:eastAsia="Times New Roman"/>
          <w:b/>
          <w:bCs/>
          <w:color w:val="000000"/>
          <w:sz w:val="20"/>
          <w:szCs w:val="20"/>
        </w:rPr>
        <w:t>Pro Forma Results</w:t>
      </w:r>
    </w:p>
    <w:p w14:paraId="4E644F51" w14:textId="77777777" w:rsidR="00000000" w:rsidRDefault="001A570A">
      <w:pPr>
        <w:ind w:firstLine="450"/>
        <w:divId w:val="1540167392"/>
        <w:rPr>
          <w:rFonts w:eastAsia="Times New Roman"/>
        </w:rPr>
      </w:pPr>
      <w:r>
        <w:rPr>
          <w:rFonts w:eastAsia="Times New Roman"/>
          <w:color w:val="000000"/>
          <w:sz w:val="20"/>
          <w:szCs w:val="20"/>
        </w:rPr>
        <w:t xml:space="preserve">The following unaudited consolidated pro forma results of operations for the four quarters ended January 3, 2020 combines reported results for the two quarters ended January 3, 2020 with the pro forma results for the two quarters </w:t>
      </w:r>
      <w:r>
        <w:rPr>
          <w:rFonts w:eastAsia="Times New Roman"/>
          <w:color w:val="000000"/>
          <w:sz w:val="20"/>
          <w:szCs w:val="20"/>
        </w:rPr>
        <w:t>ended June 28, 2019. The pro forma results for the two quarters ended June 28, 2019 were prepared on a pro forma basis, as if the L3Harris Merger had been completed on June 30, 2018, the first day of Harris’ fiscal 2019, after including any post-merger adj</w:t>
      </w:r>
      <w:r>
        <w:rPr>
          <w:rFonts w:eastAsia="Times New Roman"/>
          <w:color w:val="000000"/>
          <w:sz w:val="20"/>
          <w:szCs w:val="20"/>
        </w:rPr>
        <w:t>ustments directly attributable to the L3Harris Merger, such as the sale of the Harris Night Vision business, and after including the impact of adjustments such as amortization of identifiable intangible assets, as well as the related income tax effects. Th</w:t>
      </w:r>
      <w:r>
        <w:rPr>
          <w:rFonts w:eastAsia="Times New Roman"/>
          <w:color w:val="000000"/>
          <w:sz w:val="20"/>
          <w:szCs w:val="20"/>
        </w:rPr>
        <w:t>is pro forma presentation does not include any impact of transaction synergies. The pro forma results are not necessarily indicative of our results of operations that actually would have been obtained had the L3Harris Merger been completed on the assumed d</w:t>
      </w:r>
      <w:r>
        <w:rPr>
          <w:rFonts w:eastAsia="Times New Roman"/>
          <w:color w:val="000000"/>
          <w:sz w:val="20"/>
          <w:szCs w:val="20"/>
        </w:rPr>
        <w:t>ate or for the period presented, or which may be realized in the future.</w:t>
      </w:r>
    </w:p>
    <w:p w14:paraId="7943BF19" w14:textId="77777777" w:rsidR="00000000" w:rsidRDefault="001A570A">
      <w:pPr>
        <w:ind w:firstLine="450"/>
        <w:jc w:val="center"/>
        <w:divId w:val="781994521"/>
        <w:rPr>
          <w:rFonts w:eastAsia="Times New Roman"/>
        </w:rPr>
      </w:pPr>
      <w:r>
        <w:rPr>
          <w:rFonts w:eastAsia="Times New Roman"/>
          <w:color w:val="000000"/>
          <w:sz w:val="20"/>
          <w:szCs w:val="20"/>
        </w:rPr>
        <w:t>94</w:t>
      </w:r>
    </w:p>
    <w:p w14:paraId="370718C5" w14:textId="77777777" w:rsidR="00000000" w:rsidRDefault="001A570A">
      <w:pPr>
        <w:rPr>
          <w:rFonts w:eastAsia="Times New Roman"/>
        </w:rPr>
      </w:pPr>
      <w:r>
        <w:rPr>
          <w:rFonts w:eastAsia="Times New Roman"/>
        </w:rPr>
        <w:pict w14:anchorId="610822AD">
          <v:rect id="_x0000_i1122" style="width:0;height:1.5pt" o:hralign="center" o:hrstd="t" o:hr="t" fillcolor="#a0a0a0" stroked="f"/>
        </w:pict>
      </w:r>
    </w:p>
    <w:p w14:paraId="264E0C9E" w14:textId="77777777" w:rsidR="00000000" w:rsidRDefault="001A570A">
      <w:pPr>
        <w:ind w:firstLine="450"/>
        <w:divId w:val="1109790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560"/>
        <w:gridCol w:w="38"/>
        <w:gridCol w:w="120"/>
        <w:gridCol w:w="1141"/>
        <w:gridCol w:w="36"/>
        <w:gridCol w:w="36"/>
        <w:gridCol w:w="36"/>
        <w:gridCol w:w="36"/>
        <w:gridCol w:w="121"/>
        <w:gridCol w:w="1106"/>
        <w:gridCol w:w="36"/>
      </w:tblGrid>
      <w:tr w:rsidR="00000000" w14:paraId="33ADD5B7" w14:textId="77777777">
        <w:trPr>
          <w:divId w:val="679042385"/>
        </w:trPr>
        <w:tc>
          <w:tcPr>
            <w:tcW w:w="50" w:type="pct"/>
            <w:vAlign w:val="center"/>
            <w:hideMark/>
          </w:tcPr>
          <w:p w14:paraId="1B46D514" w14:textId="77777777" w:rsidR="00000000" w:rsidRDefault="001A570A">
            <w:pPr>
              <w:ind w:firstLine="450"/>
              <w:rPr>
                <w:rFonts w:eastAsia="Times New Roman"/>
              </w:rPr>
            </w:pPr>
          </w:p>
        </w:tc>
        <w:tc>
          <w:tcPr>
            <w:tcW w:w="3371" w:type="pct"/>
            <w:vAlign w:val="center"/>
            <w:hideMark/>
          </w:tcPr>
          <w:p w14:paraId="07692547" w14:textId="77777777" w:rsidR="00000000" w:rsidRDefault="001A570A">
            <w:pPr>
              <w:rPr>
                <w:rFonts w:eastAsia="Times New Roman"/>
                <w:sz w:val="20"/>
                <w:szCs w:val="20"/>
              </w:rPr>
            </w:pPr>
          </w:p>
        </w:tc>
        <w:tc>
          <w:tcPr>
            <w:tcW w:w="5" w:type="pct"/>
            <w:vAlign w:val="center"/>
            <w:hideMark/>
          </w:tcPr>
          <w:p w14:paraId="67C7D36E" w14:textId="77777777" w:rsidR="00000000" w:rsidRDefault="001A570A">
            <w:pPr>
              <w:rPr>
                <w:rFonts w:eastAsia="Times New Roman"/>
                <w:sz w:val="20"/>
                <w:szCs w:val="20"/>
              </w:rPr>
            </w:pPr>
          </w:p>
        </w:tc>
        <w:tc>
          <w:tcPr>
            <w:tcW w:w="50" w:type="pct"/>
            <w:vAlign w:val="center"/>
            <w:hideMark/>
          </w:tcPr>
          <w:p w14:paraId="78071D77" w14:textId="77777777" w:rsidR="00000000" w:rsidRDefault="001A570A">
            <w:pPr>
              <w:rPr>
                <w:rFonts w:eastAsia="Times New Roman"/>
                <w:sz w:val="20"/>
                <w:szCs w:val="20"/>
              </w:rPr>
            </w:pPr>
          </w:p>
        </w:tc>
        <w:tc>
          <w:tcPr>
            <w:tcW w:w="713" w:type="pct"/>
            <w:vAlign w:val="center"/>
            <w:hideMark/>
          </w:tcPr>
          <w:p w14:paraId="44025DC2" w14:textId="77777777" w:rsidR="00000000" w:rsidRDefault="001A570A">
            <w:pPr>
              <w:rPr>
                <w:rFonts w:eastAsia="Times New Roman"/>
                <w:sz w:val="20"/>
                <w:szCs w:val="20"/>
              </w:rPr>
            </w:pPr>
          </w:p>
        </w:tc>
        <w:tc>
          <w:tcPr>
            <w:tcW w:w="5" w:type="pct"/>
            <w:vAlign w:val="center"/>
            <w:hideMark/>
          </w:tcPr>
          <w:p w14:paraId="29D3BB50" w14:textId="77777777" w:rsidR="00000000" w:rsidRDefault="001A570A">
            <w:pPr>
              <w:rPr>
                <w:rFonts w:eastAsia="Times New Roman"/>
                <w:sz w:val="20"/>
                <w:szCs w:val="20"/>
              </w:rPr>
            </w:pPr>
          </w:p>
        </w:tc>
        <w:tc>
          <w:tcPr>
            <w:tcW w:w="5" w:type="pct"/>
            <w:vAlign w:val="center"/>
            <w:hideMark/>
          </w:tcPr>
          <w:p w14:paraId="3AC5ABC1" w14:textId="77777777" w:rsidR="00000000" w:rsidRDefault="001A570A">
            <w:pPr>
              <w:rPr>
                <w:rFonts w:eastAsia="Times New Roman"/>
                <w:sz w:val="20"/>
                <w:szCs w:val="20"/>
              </w:rPr>
            </w:pPr>
          </w:p>
        </w:tc>
        <w:tc>
          <w:tcPr>
            <w:tcW w:w="25" w:type="pct"/>
            <w:vAlign w:val="center"/>
            <w:hideMark/>
          </w:tcPr>
          <w:p w14:paraId="4C5ACDB9" w14:textId="77777777" w:rsidR="00000000" w:rsidRDefault="001A570A">
            <w:pPr>
              <w:rPr>
                <w:rFonts w:eastAsia="Times New Roman"/>
                <w:sz w:val="20"/>
                <w:szCs w:val="20"/>
              </w:rPr>
            </w:pPr>
          </w:p>
        </w:tc>
        <w:tc>
          <w:tcPr>
            <w:tcW w:w="5" w:type="pct"/>
            <w:vAlign w:val="center"/>
            <w:hideMark/>
          </w:tcPr>
          <w:p w14:paraId="52931E67" w14:textId="77777777" w:rsidR="00000000" w:rsidRDefault="001A570A">
            <w:pPr>
              <w:rPr>
                <w:rFonts w:eastAsia="Times New Roman"/>
                <w:sz w:val="20"/>
                <w:szCs w:val="20"/>
              </w:rPr>
            </w:pPr>
          </w:p>
        </w:tc>
        <w:tc>
          <w:tcPr>
            <w:tcW w:w="50" w:type="pct"/>
            <w:vAlign w:val="center"/>
            <w:hideMark/>
          </w:tcPr>
          <w:p w14:paraId="71023A58" w14:textId="77777777" w:rsidR="00000000" w:rsidRDefault="001A570A">
            <w:pPr>
              <w:rPr>
                <w:rFonts w:eastAsia="Times New Roman"/>
                <w:sz w:val="20"/>
                <w:szCs w:val="20"/>
              </w:rPr>
            </w:pPr>
          </w:p>
        </w:tc>
        <w:tc>
          <w:tcPr>
            <w:tcW w:w="713" w:type="pct"/>
            <w:vAlign w:val="center"/>
            <w:hideMark/>
          </w:tcPr>
          <w:p w14:paraId="7D853581" w14:textId="77777777" w:rsidR="00000000" w:rsidRDefault="001A570A">
            <w:pPr>
              <w:rPr>
                <w:rFonts w:eastAsia="Times New Roman"/>
                <w:sz w:val="20"/>
                <w:szCs w:val="20"/>
              </w:rPr>
            </w:pPr>
          </w:p>
        </w:tc>
        <w:tc>
          <w:tcPr>
            <w:tcW w:w="5" w:type="pct"/>
            <w:vAlign w:val="center"/>
            <w:hideMark/>
          </w:tcPr>
          <w:p w14:paraId="7A6299A9" w14:textId="77777777" w:rsidR="00000000" w:rsidRDefault="001A570A">
            <w:pPr>
              <w:rPr>
                <w:rFonts w:eastAsia="Times New Roman"/>
                <w:sz w:val="20"/>
                <w:szCs w:val="20"/>
              </w:rPr>
            </w:pPr>
          </w:p>
        </w:tc>
      </w:tr>
      <w:tr w:rsidR="00000000" w14:paraId="1F21A199" w14:textId="77777777">
        <w:trPr>
          <w:divId w:val="679042385"/>
        </w:trPr>
        <w:tc>
          <w:tcPr>
            <w:tcW w:w="0" w:type="auto"/>
            <w:gridSpan w:val="3"/>
            <w:tcMar>
              <w:top w:w="0" w:type="dxa"/>
              <w:left w:w="20" w:type="dxa"/>
              <w:bottom w:w="0" w:type="dxa"/>
              <w:right w:w="20" w:type="dxa"/>
            </w:tcMar>
            <w:vAlign w:val="center"/>
            <w:hideMark/>
          </w:tcPr>
          <w:p w14:paraId="2EECA7EC"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47F2C56D" w14:textId="77777777" w:rsidR="00000000" w:rsidRDefault="001A570A">
            <w:pPr>
              <w:jc w:val="center"/>
              <w:rPr>
                <w:rFonts w:eastAsia="Times New Roman"/>
              </w:rPr>
            </w:pPr>
            <w:r>
              <w:rPr>
                <w:rFonts w:eastAsia="Times New Roman"/>
                <w:b/>
                <w:bCs/>
                <w:color w:val="000000"/>
                <w:sz w:val="16"/>
                <w:szCs w:val="16"/>
              </w:rPr>
              <w:t>Four Quarters Ended</w:t>
            </w:r>
          </w:p>
        </w:tc>
        <w:tc>
          <w:tcPr>
            <w:tcW w:w="0" w:type="auto"/>
            <w:gridSpan w:val="3"/>
            <w:tcMar>
              <w:top w:w="0" w:type="dxa"/>
              <w:left w:w="20" w:type="dxa"/>
              <w:bottom w:w="0" w:type="dxa"/>
              <w:right w:w="20" w:type="dxa"/>
            </w:tcMar>
            <w:vAlign w:val="center"/>
            <w:hideMark/>
          </w:tcPr>
          <w:p w14:paraId="478CC56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E7D11D2" w14:textId="77777777" w:rsidR="00000000" w:rsidRDefault="001A570A">
            <w:pPr>
              <w:jc w:val="center"/>
              <w:rPr>
                <w:rFonts w:eastAsia="Times New Roman"/>
              </w:rPr>
            </w:pPr>
            <w:r>
              <w:rPr>
                <w:rFonts w:eastAsia="Times New Roman"/>
                <w:b/>
                <w:bCs/>
                <w:color w:val="000000"/>
                <w:sz w:val="16"/>
                <w:szCs w:val="16"/>
              </w:rPr>
              <w:t>Two Quarters Ended</w:t>
            </w:r>
          </w:p>
        </w:tc>
      </w:tr>
      <w:tr w:rsidR="00000000" w14:paraId="3089F2E3" w14:textId="77777777">
        <w:trPr>
          <w:divId w:val="679042385"/>
        </w:trPr>
        <w:tc>
          <w:tcPr>
            <w:tcW w:w="0" w:type="auto"/>
            <w:gridSpan w:val="3"/>
            <w:tcMar>
              <w:top w:w="30" w:type="dxa"/>
              <w:left w:w="20" w:type="dxa"/>
              <w:bottom w:w="30" w:type="dxa"/>
              <w:right w:w="20" w:type="dxa"/>
            </w:tcMar>
            <w:vAlign w:val="bottom"/>
            <w:hideMark/>
          </w:tcPr>
          <w:p w14:paraId="68412B3E"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724E05D"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4CC0066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C2AD94" w14:textId="77777777" w:rsidR="00000000" w:rsidRDefault="001A570A">
            <w:pPr>
              <w:jc w:val="center"/>
              <w:rPr>
                <w:rFonts w:eastAsia="Times New Roman"/>
              </w:rPr>
            </w:pPr>
            <w:r>
              <w:rPr>
                <w:rFonts w:eastAsia="Times New Roman"/>
                <w:b/>
                <w:bCs/>
                <w:color w:val="000000"/>
                <w:sz w:val="16"/>
                <w:szCs w:val="16"/>
              </w:rPr>
              <w:t>December 28, 2018</w:t>
            </w:r>
          </w:p>
        </w:tc>
      </w:tr>
      <w:tr w:rsidR="00000000" w14:paraId="1A6834FD" w14:textId="77777777">
        <w:trPr>
          <w:divId w:val="679042385"/>
          <w:trHeight w:val="60"/>
        </w:trPr>
        <w:tc>
          <w:tcPr>
            <w:tcW w:w="0" w:type="auto"/>
            <w:gridSpan w:val="3"/>
            <w:tcMar>
              <w:top w:w="0" w:type="dxa"/>
              <w:left w:w="20" w:type="dxa"/>
              <w:bottom w:w="0" w:type="dxa"/>
              <w:right w:w="20" w:type="dxa"/>
            </w:tcMar>
            <w:vAlign w:val="center"/>
            <w:hideMark/>
          </w:tcPr>
          <w:p w14:paraId="3737CC80"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2AD22C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71B91F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BCA08D" w14:textId="77777777" w:rsidR="00000000" w:rsidRDefault="001A570A">
            <w:pPr>
              <w:rPr>
                <w:rFonts w:eastAsia="Times New Roman"/>
                <w:sz w:val="20"/>
                <w:szCs w:val="20"/>
              </w:rPr>
            </w:pPr>
          </w:p>
        </w:tc>
      </w:tr>
      <w:tr w:rsidR="00000000" w14:paraId="47233117" w14:textId="77777777">
        <w:trPr>
          <w:divId w:val="679042385"/>
        </w:trPr>
        <w:tc>
          <w:tcPr>
            <w:tcW w:w="0" w:type="auto"/>
            <w:gridSpan w:val="3"/>
            <w:shd w:val="clear" w:color="auto" w:fill="CCEEFF"/>
            <w:tcMar>
              <w:top w:w="30" w:type="dxa"/>
              <w:left w:w="20" w:type="dxa"/>
              <w:bottom w:w="30" w:type="dxa"/>
              <w:right w:w="20" w:type="dxa"/>
            </w:tcMar>
            <w:vAlign w:val="bottom"/>
            <w:hideMark/>
          </w:tcPr>
          <w:p w14:paraId="2AC599D0" w14:textId="77777777" w:rsidR="00000000" w:rsidRDefault="001A570A">
            <w:pPr>
              <w:rPr>
                <w:rFonts w:eastAsia="Times New Roman"/>
              </w:rPr>
            </w:pPr>
            <w:r>
              <w:rPr>
                <w:rFonts w:eastAsia="Times New Roman"/>
                <w:color w:val="000000"/>
                <w:sz w:val="20"/>
                <w:szCs w:val="20"/>
              </w:rPr>
              <w:t>Revenue from product sales and services — as reported</w:t>
            </w:r>
          </w:p>
        </w:tc>
        <w:tc>
          <w:tcPr>
            <w:tcW w:w="0" w:type="auto"/>
            <w:shd w:val="clear" w:color="auto" w:fill="CCEEFF"/>
            <w:tcMar>
              <w:top w:w="30" w:type="dxa"/>
              <w:left w:w="20" w:type="dxa"/>
              <w:bottom w:w="30" w:type="dxa"/>
              <w:right w:w="0" w:type="dxa"/>
            </w:tcMar>
            <w:vAlign w:val="bottom"/>
            <w:hideMark/>
          </w:tcPr>
          <w:p w14:paraId="79AA9A7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F512F6" w14:textId="77777777" w:rsidR="00000000" w:rsidRDefault="001A570A">
            <w:pPr>
              <w:jc w:val="right"/>
              <w:rPr>
                <w:rFonts w:eastAsia="Times New Roman"/>
              </w:rPr>
            </w:pPr>
            <w:r>
              <w:rPr>
                <w:rFonts w:eastAsia="Times New Roman"/>
                <w:color w:val="000000"/>
                <w:sz w:val="20"/>
                <w:szCs w:val="20"/>
              </w:rPr>
              <w:t>12,856 </w:t>
            </w:r>
          </w:p>
        </w:tc>
        <w:tc>
          <w:tcPr>
            <w:tcW w:w="0" w:type="auto"/>
            <w:shd w:val="clear" w:color="auto" w:fill="CCEEFF"/>
            <w:tcMar>
              <w:top w:w="30" w:type="dxa"/>
              <w:left w:w="0" w:type="dxa"/>
              <w:bottom w:w="30" w:type="dxa"/>
              <w:right w:w="20" w:type="dxa"/>
            </w:tcMar>
            <w:vAlign w:val="bottom"/>
            <w:hideMark/>
          </w:tcPr>
          <w:p w14:paraId="74E53CB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6E7B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030F3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6ADD36" w14:textId="77777777" w:rsidR="00000000" w:rsidRDefault="001A570A">
            <w:pPr>
              <w:jc w:val="right"/>
              <w:rPr>
                <w:rFonts w:eastAsia="Times New Roman"/>
              </w:rPr>
            </w:pPr>
            <w:r>
              <w:rPr>
                <w:rFonts w:eastAsia="Times New Roman"/>
                <w:color w:val="000000"/>
                <w:sz w:val="20"/>
                <w:szCs w:val="20"/>
              </w:rPr>
              <w:t>3,208 </w:t>
            </w:r>
          </w:p>
        </w:tc>
        <w:tc>
          <w:tcPr>
            <w:tcW w:w="0" w:type="auto"/>
            <w:shd w:val="clear" w:color="auto" w:fill="CCEEFF"/>
            <w:tcMar>
              <w:top w:w="30" w:type="dxa"/>
              <w:left w:w="0" w:type="dxa"/>
              <w:bottom w:w="30" w:type="dxa"/>
              <w:right w:w="20" w:type="dxa"/>
            </w:tcMar>
            <w:vAlign w:val="bottom"/>
            <w:hideMark/>
          </w:tcPr>
          <w:p w14:paraId="54B5379C" w14:textId="77777777" w:rsidR="00000000" w:rsidRDefault="001A570A">
            <w:pPr>
              <w:jc w:val="right"/>
              <w:rPr>
                <w:rFonts w:eastAsia="Times New Roman"/>
              </w:rPr>
            </w:pPr>
          </w:p>
        </w:tc>
      </w:tr>
      <w:tr w:rsidR="00000000" w14:paraId="7D3A23AF" w14:textId="77777777">
        <w:trPr>
          <w:divId w:val="679042385"/>
        </w:trPr>
        <w:tc>
          <w:tcPr>
            <w:tcW w:w="0" w:type="auto"/>
            <w:gridSpan w:val="3"/>
            <w:shd w:val="clear" w:color="auto" w:fill="FFFFFF"/>
            <w:tcMar>
              <w:top w:w="30" w:type="dxa"/>
              <w:left w:w="20" w:type="dxa"/>
              <w:bottom w:w="30" w:type="dxa"/>
              <w:right w:w="20" w:type="dxa"/>
            </w:tcMar>
            <w:vAlign w:val="bottom"/>
            <w:hideMark/>
          </w:tcPr>
          <w:p w14:paraId="2C1F1BE5" w14:textId="77777777" w:rsidR="00000000" w:rsidRDefault="001A570A">
            <w:pPr>
              <w:rPr>
                <w:rFonts w:eastAsia="Times New Roman"/>
              </w:rPr>
            </w:pPr>
            <w:r>
              <w:rPr>
                <w:rFonts w:eastAsia="Times New Roman"/>
                <w:color w:val="000000"/>
                <w:sz w:val="20"/>
                <w:szCs w:val="20"/>
              </w:rPr>
              <w:t>Revenue from product sales and services — pro forma</w:t>
            </w:r>
          </w:p>
        </w:tc>
        <w:tc>
          <w:tcPr>
            <w:tcW w:w="0" w:type="auto"/>
            <w:gridSpan w:val="2"/>
            <w:shd w:val="clear" w:color="auto" w:fill="FFFFFF"/>
            <w:tcMar>
              <w:top w:w="30" w:type="dxa"/>
              <w:left w:w="20" w:type="dxa"/>
              <w:bottom w:w="30" w:type="dxa"/>
              <w:right w:w="0" w:type="dxa"/>
            </w:tcMar>
            <w:vAlign w:val="bottom"/>
            <w:hideMark/>
          </w:tcPr>
          <w:p w14:paraId="407DE02E" w14:textId="77777777" w:rsidR="00000000" w:rsidRDefault="001A570A">
            <w:pPr>
              <w:jc w:val="right"/>
              <w:rPr>
                <w:rFonts w:eastAsia="Times New Roman"/>
              </w:rPr>
            </w:pPr>
            <w:r>
              <w:rPr>
                <w:rFonts w:eastAsia="Times New Roman"/>
                <w:color w:val="000000"/>
                <w:sz w:val="20"/>
                <w:szCs w:val="20"/>
              </w:rPr>
              <w:t>18,097 </w:t>
            </w:r>
          </w:p>
        </w:tc>
        <w:tc>
          <w:tcPr>
            <w:tcW w:w="0" w:type="auto"/>
            <w:shd w:val="clear" w:color="auto" w:fill="FFFFFF"/>
            <w:tcMar>
              <w:top w:w="30" w:type="dxa"/>
              <w:left w:w="0" w:type="dxa"/>
              <w:bottom w:w="30" w:type="dxa"/>
              <w:right w:w="20" w:type="dxa"/>
            </w:tcMar>
            <w:vAlign w:val="bottom"/>
            <w:hideMark/>
          </w:tcPr>
          <w:p w14:paraId="380E23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910E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947CE" w14:textId="77777777" w:rsidR="00000000" w:rsidRDefault="001A570A">
            <w:pPr>
              <w:jc w:val="right"/>
              <w:rPr>
                <w:rFonts w:eastAsia="Times New Roman"/>
              </w:rPr>
            </w:pPr>
            <w:r>
              <w:rPr>
                <w:rFonts w:eastAsia="Times New Roman"/>
                <w:color w:val="000000"/>
                <w:sz w:val="20"/>
                <w:szCs w:val="20"/>
              </w:rPr>
              <w:t>8,404 </w:t>
            </w:r>
          </w:p>
        </w:tc>
        <w:tc>
          <w:tcPr>
            <w:tcW w:w="0" w:type="auto"/>
            <w:shd w:val="clear" w:color="auto" w:fill="FFFFFF"/>
            <w:tcMar>
              <w:top w:w="30" w:type="dxa"/>
              <w:left w:w="0" w:type="dxa"/>
              <w:bottom w:w="30" w:type="dxa"/>
              <w:right w:w="20" w:type="dxa"/>
            </w:tcMar>
            <w:vAlign w:val="bottom"/>
            <w:hideMark/>
          </w:tcPr>
          <w:p w14:paraId="0D0468EE" w14:textId="77777777" w:rsidR="00000000" w:rsidRDefault="001A570A">
            <w:pPr>
              <w:jc w:val="right"/>
              <w:rPr>
                <w:rFonts w:eastAsia="Times New Roman"/>
              </w:rPr>
            </w:pPr>
          </w:p>
        </w:tc>
      </w:tr>
      <w:tr w:rsidR="00000000" w14:paraId="2D941667" w14:textId="77777777">
        <w:trPr>
          <w:divId w:val="679042385"/>
        </w:trPr>
        <w:tc>
          <w:tcPr>
            <w:tcW w:w="0" w:type="auto"/>
            <w:gridSpan w:val="3"/>
            <w:shd w:val="clear" w:color="auto" w:fill="CCEEFF"/>
            <w:tcMar>
              <w:top w:w="30" w:type="dxa"/>
              <w:left w:w="20" w:type="dxa"/>
              <w:bottom w:w="30" w:type="dxa"/>
              <w:right w:w="20" w:type="dxa"/>
            </w:tcMar>
            <w:vAlign w:val="bottom"/>
            <w:hideMark/>
          </w:tcPr>
          <w:p w14:paraId="3A77FDBD" w14:textId="77777777" w:rsidR="00000000" w:rsidRDefault="001A570A">
            <w:pPr>
              <w:rPr>
                <w:rFonts w:eastAsia="Times New Roman"/>
              </w:rPr>
            </w:pPr>
            <w:r>
              <w:rPr>
                <w:rFonts w:eastAsia="Times New Roman"/>
                <w:color w:val="000000"/>
                <w:sz w:val="20"/>
                <w:szCs w:val="20"/>
              </w:rPr>
              <w:t>Income from continuing operations — as reported</w:t>
            </w:r>
          </w:p>
        </w:tc>
        <w:tc>
          <w:tcPr>
            <w:tcW w:w="0" w:type="auto"/>
            <w:gridSpan w:val="2"/>
            <w:shd w:val="clear" w:color="auto" w:fill="CCEEFF"/>
            <w:tcMar>
              <w:top w:w="30" w:type="dxa"/>
              <w:left w:w="20" w:type="dxa"/>
              <w:bottom w:w="30" w:type="dxa"/>
              <w:right w:w="0" w:type="dxa"/>
            </w:tcMar>
            <w:vAlign w:val="bottom"/>
            <w:hideMark/>
          </w:tcPr>
          <w:p w14:paraId="284E1D98" w14:textId="77777777" w:rsidR="00000000" w:rsidRDefault="001A570A">
            <w:pPr>
              <w:jc w:val="right"/>
              <w:rPr>
                <w:rFonts w:eastAsia="Times New Roman"/>
              </w:rPr>
            </w:pPr>
            <w:r>
              <w:rPr>
                <w:rFonts w:eastAsia="Times New Roman"/>
                <w:color w:val="000000"/>
                <w:sz w:val="20"/>
                <w:szCs w:val="20"/>
              </w:rPr>
              <w:t>1,347 </w:t>
            </w:r>
          </w:p>
        </w:tc>
        <w:tc>
          <w:tcPr>
            <w:tcW w:w="0" w:type="auto"/>
            <w:shd w:val="clear" w:color="auto" w:fill="CCEEFF"/>
            <w:tcMar>
              <w:top w:w="30" w:type="dxa"/>
              <w:left w:w="0" w:type="dxa"/>
              <w:bottom w:w="30" w:type="dxa"/>
              <w:right w:w="20" w:type="dxa"/>
            </w:tcMar>
            <w:vAlign w:val="bottom"/>
            <w:hideMark/>
          </w:tcPr>
          <w:p w14:paraId="57D2133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79A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317D00" w14:textId="77777777" w:rsidR="00000000" w:rsidRDefault="001A570A">
            <w:pPr>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14:paraId="2E95380D" w14:textId="77777777" w:rsidR="00000000" w:rsidRDefault="001A570A">
            <w:pPr>
              <w:jc w:val="right"/>
              <w:rPr>
                <w:rFonts w:eastAsia="Times New Roman"/>
              </w:rPr>
            </w:pPr>
          </w:p>
        </w:tc>
      </w:tr>
      <w:tr w:rsidR="00000000" w14:paraId="3BCCF2C1" w14:textId="77777777">
        <w:trPr>
          <w:divId w:val="679042385"/>
        </w:trPr>
        <w:tc>
          <w:tcPr>
            <w:tcW w:w="0" w:type="auto"/>
            <w:gridSpan w:val="3"/>
            <w:shd w:val="clear" w:color="auto" w:fill="FFFFFF"/>
            <w:tcMar>
              <w:top w:w="30" w:type="dxa"/>
              <w:left w:w="20" w:type="dxa"/>
              <w:bottom w:w="30" w:type="dxa"/>
              <w:right w:w="20" w:type="dxa"/>
            </w:tcMar>
            <w:vAlign w:val="bottom"/>
            <w:hideMark/>
          </w:tcPr>
          <w:p w14:paraId="252C326E" w14:textId="77777777" w:rsidR="00000000" w:rsidRDefault="001A570A">
            <w:pPr>
              <w:rPr>
                <w:rFonts w:eastAsia="Times New Roman"/>
              </w:rPr>
            </w:pPr>
            <w:r>
              <w:rPr>
                <w:rFonts w:eastAsia="Times New Roman"/>
                <w:color w:val="000000"/>
                <w:sz w:val="20"/>
                <w:szCs w:val="20"/>
              </w:rPr>
              <w:t>Income from continuing operations — pro forma</w:t>
            </w:r>
          </w:p>
        </w:tc>
        <w:tc>
          <w:tcPr>
            <w:tcW w:w="0" w:type="auto"/>
            <w:gridSpan w:val="2"/>
            <w:shd w:val="clear" w:color="auto" w:fill="FFFFFF"/>
            <w:tcMar>
              <w:top w:w="30" w:type="dxa"/>
              <w:left w:w="20" w:type="dxa"/>
              <w:bottom w:w="30" w:type="dxa"/>
              <w:right w:w="0" w:type="dxa"/>
            </w:tcMar>
            <w:vAlign w:val="bottom"/>
            <w:hideMark/>
          </w:tcPr>
          <w:p w14:paraId="2B97649A" w14:textId="77777777" w:rsidR="00000000" w:rsidRDefault="001A570A">
            <w:pPr>
              <w:jc w:val="right"/>
              <w:rPr>
                <w:rFonts w:eastAsia="Times New Roman"/>
              </w:rPr>
            </w:pPr>
            <w:r>
              <w:rPr>
                <w:rFonts w:eastAsia="Times New Roman"/>
                <w:color w:val="000000"/>
                <w:sz w:val="20"/>
                <w:szCs w:val="20"/>
              </w:rPr>
              <w:t>1,652 </w:t>
            </w:r>
          </w:p>
        </w:tc>
        <w:tc>
          <w:tcPr>
            <w:tcW w:w="0" w:type="auto"/>
            <w:shd w:val="clear" w:color="auto" w:fill="FFFFFF"/>
            <w:tcMar>
              <w:top w:w="30" w:type="dxa"/>
              <w:left w:w="0" w:type="dxa"/>
              <w:bottom w:w="30" w:type="dxa"/>
              <w:right w:w="20" w:type="dxa"/>
            </w:tcMar>
            <w:vAlign w:val="bottom"/>
            <w:hideMark/>
          </w:tcPr>
          <w:p w14:paraId="69FB3C1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D178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BC2900" w14:textId="77777777" w:rsidR="00000000" w:rsidRDefault="001A570A">
            <w:pPr>
              <w:jc w:val="right"/>
              <w:rPr>
                <w:rFonts w:eastAsia="Times New Roman"/>
              </w:rPr>
            </w:pPr>
            <w:r>
              <w:rPr>
                <w:rFonts w:eastAsia="Times New Roman"/>
                <w:color w:val="000000"/>
                <w:sz w:val="20"/>
                <w:szCs w:val="20"/>
              </w:rPr>
              <w:t>760 </w:t>
            </w:r>
          </w:p>
        </w:tc>
        <w:tc>
          <w:tcPr>
            <w:tcW w:w="0" w:type="auto"/>
            <w:shd w:val="clear" w:color="auto" w:fill="FFFFFF"/>
            <w:tcMar>
              <w:top w:w="30" w:type="dxa"/>
              <w:left w:w="0" w:type="dxa"/>
              <w:bottom w:w="30" w:type="dxa"/>
              <w:right w:w="20" w:type="dxa"/>
            </w:tcMar>
            <w:vAlign w:val="bottom"/>
            <w:hideMark/>
          </w:tcPr>
          <w:p w14:paraId="5D7DBD1D" w14:textId="77777777" w:rsidR="00000000" w:rsidRDefault="001A570A">
            <w:pPr>
              <w:jc w:val="right"/>
              <w:rPr>
                <w:rFonts w:eastAsia="Times New Roman"/>
              </w:rPr>
            </w:pPr>
          </w:p>
        </w:tc>
      </w:tr>
    </w:tbl>
    <w:p w14:paraId="40899B33" w14:textId="77777777" w:rsidR="00000000" w:rsidRDefault="001A570A">
      <w:pPr>
        <w:divId w:val="439762341"/>
        <w:rPr>
          <w:rFonts w:eastAsia="Times New Roman"/>
        </w:rPr>
      </w:pPr>
      <w:r>
        <w:rPr>
          <w:rFonts w:eastAsia="Times New Roman"/>
          <w:b/>
          <w:bCs/>
          <w:color w:val="000000"/>
          <w:sz w:val="20"/>
          <w:szCs w:val="20"/>
        </w:rPr>
        <w:t>NOTE 6: RECEIVABLES</w:t>
      </w:r>
      <w:r>
        <w:rPr>
          <w:rFonts w:eastAsia="Times New Roman"/>
          <w:b/>
          <w:bCs/>
          <w:i/>
          <w:iCs/>
          <w:color w:val="000000"/>
          <w:sz w:val="20"/>
          <w:szCs w:val="20"/>
        </w:rPr>
        <w:t xml:space="preserve"> </w:t>
      </w:r>
    </w:p>
    <w:p w14:paraId="7A13B922" w14:textId="77777777" w:rsidR="00000000" w:rsidRDefault="001A570A">
      <w:pPr>
        <w:ind w:firstLine="450"/>
        <w:divId w:val="2107723600"/>
        <w:rPr>
          <w:rFonts w:eastAsia="Times New Roman"/>
        </w:rPr>
      </w:pPr>
      <w:r>
        <w:rPr>
          <w:rFonts w:eastAsia="Times New Roman"/>
          <w:color w:val="000000"/>
          <w:sz w:val="20"/>
          <w:szCs w:val="20"/>
        </w:rPr>
        <w:t>Receivables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8"/>
        <w:gridCol w:w="120"/>
        <w:gridCol w:w="1049"/>
        <w:gridCol w:w="36"/>
        <w:gridCol w:w="36"/>
        <w:gridCol w:w="36"/>
        <w:gridCol w:w="36"/>
        <w:gridCol w:w="120"/>
        <w:gridCol w:w="1011"/>
        <w:gridCol w:w="36"/>
        <w:gridCol w:w="36"/>
        <w:gridCol w:w="36"/>
      </w:tblGrid>
      <w:tr w:rsidR="00000000" w14:paraId="4617F1B1" w14:textId="77777777">
        <w:trPr>
          <w:divId w:val="1174806442"/>
        </w:trPr>
        <w:tc>
          <w:tcPr>
            <w:tcW w:w="50" w:type="pct"/>
            <w:vAlign w:val="center"/>
            <w:hideMark/>
          </w:tcPr>
          <w:p w14:paraId="61B243BD" w14:textId="77777777" w:rsidR="00000000" w:rsidRDefault="001A570A">
            <w:pPr>
              <w:ind w:firstLine="450"/>
              <w:rPr>
                <w:rFonts w:eastAsia="Times New Roman"/>
              </w:rPr>
            </w:pPr>
          </w:p>
        </w:tc>
        <w:tc>
          <w:tcPr>
            <w:tcW w:w="3472" w:type="pct"/>
            <w:vAlign w:val="center"/>
            <w:hideMark/>
          </w:tcPr>
          <w:p w14:paraId="0EDD8334" w14:textId="77777777" w:rsidR="00000000" w:rsidRDefault="001A570A">
            <w:pPr>
              <w:rPr>
                <w:rFonts w:eastAsia="Times New Roman"/>
                <w:sz w:val="20"/>
                <w:szCs w:val="20"/>
              </w:rPr>
            </w:pPr>
          </w:p>
        </w:tc>
        <w:tc>
          <w:tcPr>
            <w:tcW w:w="5" w:type="pct"/>
            <w:vAlign w:val="center"/>
            <w:hideMark/>
          </w:tcPr>
          <w:p w14:paraId="62FF17B0" w14:textId="77777777" w:rsidR="00000000" w:rsidRDefault="001A570A">
            <w:pPr>
              <w:rPr>
                <w:rFonts w:eastAsia="Times New Roman"/>
                <w:sz w:val="20"/>
                <w:szCs w:val="20"/>
              </w:rPr>
            </w:pPr>
          </w:p>
        </w:tc>
        <w:tc>
          <w:tcPr>
            <w:tcW w:w="50" w:type="pct"/>
            <w:vAlign w:val="center"/>
            <w:hideMark/>
          </w:tcPr>
          <w:p w14:paraId="6F3CA4CF" w14:textId="77777777" w:rsidR="00000000" w:rsidRDefault="001A570A">
            <w:pPr>
              <w:rPr>
                <w:rFonts w:eastAsia="Times New Roman"/>
                <w:sz w:val="20"/>
                <w:szCs w:val="20"/>
              </w:rPr>
            </w:pPr>
          </w:p>
        </w:tc>
        <w:tc>
          <w:tcPr>
            <w:tcW w:w="663" w:type="pct"/>
            <w:vAlign w:val="center"/>
            <w:hideMark/>
          </w:tcPr>
          <w:p w14:paraId="048B8C4B" w14:textId="77777777" w:rsidR="00000000" w:rsidRDefault="001A570A">
            <w:pPr>
              <w:rPr>
                <w:rFonts w:eastAsia="Times New Roman"/>
                <w:sz w:val="20"/>
                <w:szCs w:val="20"/>
              </w:rPr>
            </w:pPr>
          </w:p>
        </w:tc>
        <w:tc>
          <w:tcPr>
            <w:tcW w:w="5" w:type="pct"/>
            <w:vAlign w:val="center"/>
            <w:hideMark/>
          </w:tcPr>
          <w:p w14:paraId="7891CCB8" w14:textId="77777777" w:rsidR="00000000" w:rsidRDefault="001A570A">
            <w:pPr>
              <w:rPr>
                <w:rFonts w:eastAsia="Times New Roman"/>
                <w:sz w:val="20"/>
                <w:szCs w:val="20"/>
              </w:rPr>
            </w:pPr>
          </w:p>
        </w:tc>
        <w:tc>
          <w:tcPr>
            <w:tcW w:w="5" w:type="pct"/>
            <w:vAlign w:val="center"/>
            <w:hideMark/>
          </w:tcPr>
          <w:p w14:paraId="0C67A6E2" w14:textId="77777777" w:rsidR="00000000" w:rsidRDefault="001A570A">
            <w:pPr>
              <w:rPr>
                <w:rFonts w:eastAsia="Times New Roman"/>
                <w:sz w:val="20"/>
                <w:szCs w:val="20"/>
              </w:rPr>
            </w:pPr>
          </w:p>
        </w:tc>
        <w:tc>
          <w:tcPr>
            <w:tcW w:w="25" w:type="pct"/>
            <w:vAlign w:val="center"/>
            <w:hideMark/>
          </w:tcPr>
          <w:p w14:paraId="7F79DF46" w14:textId="77777777" w:rsidR="00000000" w:rsidRDefault="001A570A">
            <w:pPr>
              <w:rPr>
                <w:rFonts w:eastAsia="Times New Roman"/>
                <w:sz w:val="20"/>
                <w:szCs w:val="20"/>
              </w:rPr>
            </w:pPr>
          </w:p>
        </w:tc>
        <w:tc>
          <w:tcPr>
            <w:tcW w:w="5" w:type="pct"/>
            <w:vAlign w:val="center"/>
            <w:hideMark/>
          </w:tcPr>
          <w:p w14:paraId="017782F5" w14:textId="77777777" w:rsidR="00000000" w:rsidRDefault="001A570A">
            <w:pPr>
              <w:rPr>
                <w:rFonts w:eastAsia="Times New Roman"/>
                <w:sz w:val="20"/>
                <w:szCs w:val="20"/>
              </w:rPr>
            </w:pPr>
          </w:p>
        </w:tc>
        <w:tc>
          <w:tcPr>
            <w:tcW w:w="50" w:type="pct"/>
            <w:vAlign w:val="center"/>
            <w:hideMark/>
          </w:tcPr>
          <w:p w14:paraId="60E7B4AA" w14:textId="77777777" w:rsidR="00000000" w:rsidRDefault="001A570A">
            <w:pPr>
              <w:rPr>
                <w:rFonts w:eastAsia="Times New Roman"/>
                <w:sz w:val="20"/>
                <w:szCs w:val="20"/>
              </w:rPr>
            </w:pPr>
          </w:p>
        </w:tc>
        <w:tc>
          <w:tcPr>
            <w:tcW w:w="663" w:type="pct"/>
            <w:vAlign w:val="center"/>
            <w:hideMark/>
          </w:tcPr>
          <w:p w14:paraId="340AB86C" w14:textId="77777777" w:rsidR="00000000" w:rsidRDefault="001A570A">
            <w:pPr>
              <w:rPr>
                <w:rFonts w:eastAsia="Times New Roman"/>
                <w:sz w:val="20"/>
                <w:szCs w:val="20"/>
              </w:rPr>
            </w:pPr>
          </w:p>
        </w:tc>
        <w:tc>
          <w:tcPr>
            <w:tcW w:w="5" w:type="pct"/>
            <w:vAlign w:val="center"/>
            <w:hideMark/>
          </w:tcPr>
          <w:p w14:paraId="1A51E44C" w14:textId="77777777" w:rsidR="00000000" w:rsidRDefault="001A570A">
            <w:pPr>
              <w:rPr>
                <w:rFonts w:eastAsia="Times New Roman"/>
                <w:sz w:val="20"/>
                <w:szCs w:val="20"/>
              </w:rPr>
            </w:pPr>
          </w:p>
        </w:tc>
        <w:tc>
          <w:tcPr>
            <w:tcW w:w="0" w:type="auto"/>
            <w:vAlign w:val="center"/>
            <w:hideMark/>
          </w:tcPr>
          <w:p w14:paraId="52B00203" w14:textId="77777777" w:rsidR="00000000" w:rsidRDefault="001A570A">
            <w:pPr>
              <w:rPr>
                <w:rFonts w:eastAsia="Times New Roman"/>
                <w:sz w:val="20"/>
                <w:szCs w:val="20"/>
              </w:rPr>
            </w:pPr>
          </w:p>
        </w:tc>
        <w:tc>
          <w:tcPr>
            <w:tcW w:w="0" w:type="auto"/>
            <w:vAlign w:val="center"/>
            <w:hideMark/>
          </w:tcPr>
          <w:p w14:paraId="454A1517" w14:textId="77777777" w:rsidR="00000000" w:rsidRDefault="001A570A">
            <w:pPr>
              <w:rPr>
                <w:rFonts w:eastAsia="Times New Roman"/>
                <w:sz w:val="20"/>
                <w:szCs w:val="20"/>
              </w:rPr>
            </w:pPr>
          </w:p>
        </w:tc>
      </w:tr>
      <w:tr w:rsidR="00000000" w14:paraId="2ECB57A3" w14:textId="77777777">
        <w:trPr>
          <w:divId w:val="1174806442"/>
        </w:trPr>
        <w:tc>
          <w:tcPr>
            <w:tcW w:w="0" w:type="auto"/>
            <w:gridSpan w:val="3"/>
            <w:tcMar>
              <w:top w:w="30" w:type="dxa"/>
              <w:left w:w="20" w:type="dxa"/>
              <w:bottom w:w="30" w:type="dxa"/>
              <w:right w:w="20" w:type="dxa"/>
            </w:tcMar>
            <w:vAlign w:val="bottom"/>
            <w:hideMark/>
          </w:tcPr>
          <w:p w14:paraId="1F9FE114"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538A8492"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040CB9B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73E8CA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35A6F2AE" w14:textId="77777777" w:rsidR="00000000" w:rsidRDefault="001A570A">
            <w:pPr>
              <w:jc w:val="center"/>
              <w:rPr>
                <w:rFonts w:eastAsia="Times New Roman"/>
              </w:rPr>
            </w:pPr>
          </w:p>
        </w:tc>
        <w:tc>
          <w:tcPr>
            <w:tcW w:w="0" w:type="auto"/>
            <w:vAlign w:val="center"/>
            <w:hideMark/>
          </w:tcPr>
          <w:p w14:paraId="60B8DB8B" w14:textId="77777777" w:rsidR="00000000" w:rsidRDefault="001A570A">
            <w:pPr>
              <w:rPr>
                <w:rFonts w:eastAsia="Times New Roman"/>
                <w:sz w:val="20"/>
                <w:szCs w:val="20"/>
              </w:rPr>
            </w:pPr>
          </w:p>
        </w:tc>
      </w:tr>
      <w:tr w:rsidR="00000000" w14:paraId="4407D778" w14:textId="77777777">
        <w:trPr>
          <w:divId w:val="1174806442"/>
          <w:trHeight w:val="60"/>
        </w:trPr>
        <w:tc>
          <w:tcPr>
            <w:tcW w:w="0" w:type="auto"/>
            <w:gridSpan w:val="3"/>
            <w:tcMar>
              <w:top w:w="0" w:type="dxa"/>
              <w:left w:w="20" w:type="dxa"/>
              <w:bottom w:w="0" w:type="dxa"/>
              <w:right w:w="20" w:type="dxa"/>
            </w:tcMar>
            <w:vAlign w:val="center"/>
            <w:hideMark/>
          </w:tcPr>
          <w:p w14:paraId="49EDD08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65630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394957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36466E" w14:textId="77777777" w:rsidR="00000000" w:rsidRDefault="001A570A">
            <w:pPr>
              <w:rPr>
                <w:rFonts w:eastAsia="Times New Roman"/>
                <w:sz w:val="20"/>
                <w:szCs w:val="20"/>
              </w:rPr>
            </w:pPr>
          </w:p>
        </w:tc>
        <w:tc>
          <w:tcPr>
            <w:tcW w:w="0" w:type="auto"/>
            <w:vAlign w:val="center"/>
            <w:hideMark/>
          </w:tcPr>
          <w:p w14:paraId="3B38A1C8" w14:textId="77777777" w:rsidR="00000000" w:rsidRDefault="001A570A">
            <w:pPr>
              <w:rPr>
                <w:rFonts w:eastAsia="Times New Roman"/>
                <w:sz w:val="20"/>
                <w:szCs w:val="20"/>
              </w:rPr>
            </w:pPr>
          </w:p>
        </w:tc>
        <w:tc>
          <w:tcPr>
            <w:tcW w:w="0" w:type="auto"/>
            <w:vAlign w:val="center"/>
            <w:hideMark/>
          </w:tcPr>
          <w:p w14:paraId="06A35BDD" w14:textId="77777777" w:rsidR="00000000" w:rsidRDefault="001A570A">
            <w:pPr>
              <w:rPr>
                <w:rFonts w:eastAsia="Times New Roman"/>
                <w:sz w:val="20"/>
                <w:szCs w:val="20"/>
              </w:rPr>
            </w:pPr>
          </w:p>
        </w:tc>
      </w:tr>
      <w:tr w:rsidR="00000000" w14:paraId="02E11AFF" w14:textId="77777777">
        <w:trPr>
          <w:divId w:val="1174806442"/>
        </w:trPr>
        <w:tc>
          <w:tcPr>
            <w:tcW w:w="0" w:type="auto"/>
            <w:gridSpan w:val="3"/>
            <w:shd w:val="clear" w:color="auto" w:fill="CCEEFF"/>
            <w:tcMar>
              <w:top w:w="30" w:type="dxa"/>
              <w:left w:w="20" w:type="dxa"/>
              <w:bottom w:w="30" w:type="dxa"/>
              <w:right w:w="20" w:type="dxa"/>
            </w:tcMar>
            <w:hideMark/>
          </w:tcPr>
          <w:p w14:paraId="7BE1FA8B" w14:textId="77777777" w:rsidR="00000000" w:rsidRDefault="001A570A">
            <w:pPr>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14:paraId="2755B28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AF1E58" w14:textId="77777777" w:rsidR="00000000" w:rsidRDefault="001A570A">
            <w:pPr>
              <w:jc w:val="right"/>
              <w:rPr>
                <w:rFonts w:eastAsia="Times New Roman"/>
              </w:rPr>
            </w:pPr>
            <w:r>
              <w:rPr>
                <w:rFonts w:eastAsia="Times New Roman"/>
                <w:color w:val="000000"/>
                <w:sz w:val="20"/>
                <w:szCs w:val="20"/>
              </w:rPr>
              <w:t>1,369 </w:t>
            </w:r>
          </w:p>
        </w:tc>
        <w:tc>
          <w:tcPr>
            <w:tcW w:w="0" w:type="auto"/>
            <w:shd w:val="clear" w:color="auto" w:fill="CCEEFF"/>
            <w:tcMar>
              <w:top w:w="30" w:type="dxa"/>
              <w:left w:w="0" w:type="dxa"/>
              <w:bottom w:w="30" w:type="dxa"/>
              <w:right w:w="20" w:type="dxa"/>
            </w:tcMar>
            <w:vAlign w:val="bottom"/>
            <w:hideMark/>
          </w:tcPr>
          <w:p w14:paraId="622BD10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E3F0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C4A85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7ADF4F" w14:textId="77777777" w:rsidR="00000000" w:rsidRDefault="001A570A">
            <w:pPr>
              <w:jc w:val="right"/>
              <w:rPr>
                <w:rFonts w:eastAsia="Times New Roman"/>
              </w:rPr>
            </w:pPr>
            <w:r>
              <w:rPr>
                <w:rFonts w:eastAsia="Times New Roman"/>
                <w:color w:val="000000"/>
                <w:sz w:val="20"/>
                <w:szCs w:val="20"/>
              </w:rPr>
              <w:t>1,228 </w:t>
            </w:r>
          </w:p>
        </w:tc>
        <w:tc>
          <w:tcPr>
            <w:tcW w:w="0" w:type="auto"/>
            <w:shd w:val="clear" w:color="auto" w:fill="CCEEFF"/>
            <w:tcMar>
              <w:top w:w="30" w:type="dxa"/>
              <w:left w:w="0" w:type="dxa"/>
              <w:bottom w:w="30" w:type="dxa"/>
              <w:right w:w="20" w:type="dxa"/>
            </w:tcMar>
            <w:vAlign w:val="bottom"/>
            <w:hideMark/>
          </w:tcPr>
          <w:p w14:paraId="18D59B0A" w14:textId="77777777" w:rsidR="00000000" w:rsidRDefault="001A570A">
            <w:pPr>
              <w:jc w:val="right"/>
              <w:rPr>
                <w:rFonts w:eastAsia="Times New Roman"/>
              </w:rPr>
            </w:pPr>
          </w:p>
        </w:tc>
        <w:tc>
          <w:tcPr>
            <w:tcW w:w="0" w:type="auto"/>
            <w:vAlign w:val="center"/>
            <w:hideMark/>
          </w:tcPr>
          <w:p w14:paraId="55A99118" w14:textId="77777777" w:rsidR="00000000" w:rsidRDefault="001A570A">
            <w:pPr>
              <w:jc w:val="right"/>
              <w:rPr>
                <w:rFonts w:eastAsia="Times New Roman"/>
                <w:sz w:val="20"/>
                <w:szCs w:val="20"/>
              </w:rPr>
            </w:pPr>
          </w:p>
        </w:tc>
        <w:tc>
          <w:tcPr>
            <w:tcW w:w="0" w:type="auto"/>
            <w:vAlign w:val="center"/>
            <w:hideMark/>
          </w:tcPr>
          <w:p w14:paraId="653023FA" w14:textId="77777777" w:rsidR="00000000" w:rsidRDefault="001A570A">
            <w:pPr>
              <w:rPr>
                <w:rFonts w:eastAsia="Times New Roman"/>
                <w:sz w:val="20"/>
                <w:szCs w:val="20"/>
              </w:rPr>
            </w:pPr>
          </w:p>
        </w:tc>
      </w:tr>
      <w:tr w:rsidR="00000000" w14:paraId="23F7CC24" w14:textId="77777777">
        <w:trPr>
          <w:divId w:val="1174806442"/>
        </w:trPr>
        <w:tc>
          <w:tcPr>
            <w:tcW w:w="0" w:type="auto"/>
            <w:gridSpan w:val="3"/>
            <w:shd w:val="clear" w:color="auto" w:fill="FFFFFF"/>
            <w:tcMar>
              <w:top w:w="30" w:type="dxa"/>
              <w:left w:w="20" w:type="dxa"/>
              <w:bottom w:w="30" w:type="dxa"/>
              <w:right w:w="20" w:type="dxa"/>
            </w:tcMar>
            <w:hideMark/>
          </w:tcPr>
          <w:p w14:paraId="10D54EB4" w14:textId="77777777" w:rsidR="00000000" w:rsidRDefault="001A570A">
            <w:pPr>
              <w:rPr>
                <w:rFonts w:eastAsia="Times New Roman"/>
              </w:rPr>
            </w:pPr>
            <w:r>
              <w:rPr>
                <w:rFonts w:eastAsia="Times New Roman"/>
                <w:color w:val="000000"/>
                <w:sz w:val="20"/>
                <w:szCs w:val="20"/>
              </w:rPr>
              <w:t>Less allowances for collection losses</w:t>
            </w:r>
          </w:p>
        </w:tc>
        <w:tc>
          <w:tcPr>
            <w:tcW w:w="0" w:type="auto"/>
            <w:gridSpan w:val="2"/>
            <w:shd w:val="clear" w:color="auto" w:fill="FFFFFF"/>
            <w:tcMar>
              <w:top w:w="30" w:type="dxa"/>
              <w:left w:w="20" w:type="dxa"/>
              <w:bottom w:w="30" w:type="dxa"/>
              <w:right w:w="0" w:type="dxa"/>
            </w:tcMar>
            <w:vAlign w:val="bottom"/>
            <w:hideMark/>
          </w:tcPr>
          <w:p w14:paraId="62390D5B" w14:textId="77777777" w:rsidR="00000000" w:rsidRDefault="001A570A">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41C2553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C142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E92C2"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7040EDD9" w14:textId="77777777" w:rsidR="00000000" w:rsidRDefault="001A570A">
            <w:pPr>
              <w:jc w:val="right"/>
              <w:rPr>
                <w:rFonts w:eastAsia="Times New Roman"/>
              </w:rPr>
            </w:pPr>
          </w:p>
        </w:tc>
        <w:tc>
          <w:tcPr>
            <w:tcW w:w="0" w:type="auto"/>
            <w:vAlign w:val="center"/>
            <w:hideMark/>
          </w:tcPr>
          <w:p w14:paraId="05F181B7" w14:textId="77777777" w:rsidR="00000000" w:rsidRDefault="001A570A">
            <w:pPr>
              <w:jc w:val="right"/>
              <w:rPr>
                <w:rFonts w:eastAsia="Times New Roman"/>
                <w:sz w:val="20"/>
                <w:szCs w:val="20"/>
              </w:rPr>
            </w:pPr>
          </w:p>
        </w:tc>
        <w:tc>
          <w:tcPr>
            <w:tcW w:w="0" w:type="auto"/>
            <w:vAlign w:val="center"/>
            <w:hideMark/>
          </w:tcPr>
          <w:p w14:paraId="1D0A01E7" w14:textId="77777777" w:rsidR="00000000" w:rsidRDefault="001A570A">
            <w:pPr>
              <w:rPr>
                <w:rFonts w:eastAsia="Times New Roman"/>
                <w:sz w:val="20"/>
                <w:szCs w:val="20"/>
              </w:rPr>
            </w:pPr>
          </w:p>
        </w:tc>
      </w:tr>
      <w:tr w:rsidR="00000000" w14:paraId="4DE05D80" w14:textId="77777777">
        <w:trPr>
          <w:divId w:val="1174806442"/>
        </w:trPr>
        <w:tc>
          <w:tcPr>
            <w:tcW w:w="0" w:type="auto"/>
            <w:gridSpan w:val="3"/>
            <w:shd w:val="clear" w:color="auto" w:fill="CCEEFF"/>
            <w:tcMar>
              <w:top w:w="0" w:type="dxa"/>
              <w:left w:w="20" w:type="dxa"/>
              <w:bottom w:w="0" w:type="dxa"/>
              <w:right w:w="20" w:type="dxa"/>
            </w:tcMar>
            <w:vAlign w:val="center"/>
            <w:hideMark/>
          </w:tcPr>
          <w:p w14:paraId="745F5705"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9A41C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D9EC39" w14:textId="77777777" w:rsidR="00000000" w:rsidRDefault="001A570A">
            <w:pPr>
              <w:jc w:val="right"/>
              <w:rPr>
                <w:rFonts w:eastAsia="Times New Roman"/>
              </w:rPr>
            </w:pPr>
            <w:r>
              <w:rPr>
                <w:rFonts w:eastAsia="Times New Roman"/>
                <w:color w:val="000000"/>
                <w:sz w:val="20"/>
                <w:szCs w:val="20"/>
              </w:rPr>
              <w:t>1,344 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480F6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32A2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F4BDD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237FE7" w14:textId="77777777" w:rsidR="00000000" w:rsidRDefault="001A570A">
            <w:pPr>
              <w:jc w:val="right"/>
              <w:rPr>
                <w:rFonts w:eastAsia="Times New Roman"/>
              </w:rPr>
            </w:pPr>
            <w:r>
              <w:rPr>
                <w:rFonts w:eastAsia="Times New Roman"/>
                <w:color w:val="000000"/>
                <w:sz w:val="20"/>
                <w:szCs w:val="20"/>
              </w:rPr>
              <w:t>1,216 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EE8D7F" w14:textId="77777777" w:rsidR="00000000" w:rsidRDefault="001A570A">
            <w:pPr>
              <w:jc w:val="right"/>
              <w:rPr>
                <w:rFonts w:eastAsia="Times New Roman"/>
              </w:rPr>
            </w:pPr>
          </w:p>
        </w:tc>
        <w:tc>
          <w:tcPr>
            <w:tcW w:w="0" w:type="auto"/>
            <w:vAlign w:val="center"/>
            <w:hideMark/>
          </w:tcPr>
          <w:p w14:paraId="26B70D0A" w14:textId="77777777" w:rsidR="00000000" w:rsidRDefault="001A570A">
            <w:pPr>
              <w:jc w:val="right"/>
              <w:rPr>
                <w:rFonts w:eastAsia="Times New Roman"/>
                <w:sz w:val="20"/>
                <w:szCs w:val="20"/>
              </w:rPr>
            </w:pPr>
          </w:p>
        </w:tc>
        <w:tc>
          <w:tcPr>
            <w:tcW w:w="0" w:type="auto"/>
            <w:vAlign w:val="center"/>
            <w:hideMark/>
          </w:tcPr>
          <w:p w14:paraId="577C128C" w14:textId="77777777" w:rsidR="00000000" w:rsidRDefault="001A570A">
            <w:pPr>
              <w:rPr>
                <w:rFonts w:eastAsia="Times New Roman"/>
                <w:sz w:val="20"/>
                <w:szCs w:val="20"/>
              </w:rPr>
            </w:pPr>
          </w:p>
        </w:tc>
      </w:tr>
    </w:tbl>
    <w:p w14:paraId="336FCCC5" w14:textId="77777777" w:rsidR="00000000" w:rsidRDefault="001A570A">
      <w:pPr>
        <w:ind w:firstLine="450"/>
        <w:divId w:val="1535078101"/>
        <w:rPr>
          <w:rFonts w:eastAsia="Times New Roman"/>
        </w:rPr>
      </w:pPr>
      <w:r>
        <w:rPr>
          <w:rFonts w:eastAsia="Times New Roman"/>
          <w:color w:val="000000"/>
          <w:sz w:val="20"/>
          <w:szCs w:val="20"/>
        </w:rPr>
        <w:t>We have a receivables sale agreement (“RSA”</w:t>
      </w:r>
      <w:r>
        <w:rPr>
          <w:rFonts w:eastAsia="Times New Roman"/>
          <w:color w:val="000000"/>
          <w:sz w:val="20"/>
          <w:szCs w:val="20"/>
        </w:rPr>
        <w:t>) with a third-party financial institution that permits us to sell, on a nonrecourse basis, up to $100 million of outstanding receivables at any given time. From time to time, we have sold certain customer receivables under the RSA, which we continue to se</w:t>
      </w:r>
      <w:r>
        <w:rPr>
          <w:rFonts w:eastAsia="Times New Roman"/>
          <w:color w:val="000000"/>
          <w:sz w:val="20"/>
          <w:szCs w:val="20"/>
        </w:rPr>
        <w:t xml:space="preserve">rvice and collect on behalf of the third-party financial institution. Receivables sold pursuant to the RSA meet the requirements for sales accounting under Accounting Standards Codification 860, </w:t>
      </w:r>
      <w:r>
        <w:rPr>
          <w:rFonts w:eastAsia="Times New Roman"/>
          <w:i/>
          <w:iCs/>
          <w:color w:val="000000"/>
          <w:sz w:val="20"/>
          <w:szCs w:val="20"/>
        </w:rPr>
        <w:t>Transfers and Servicing</w:t>
      </w:r>
      <w:r>
        <w:rPr>
          <w:rFonts w:eastAsia="Times New Roman"/>
          <w:color w:val="000000"/>
          <w:sz w:val="20"/>
          <w:szCs w:val="20"/>
        </w:rPr>
        <w:t>, and accordingly, are derecognized fr</w:t>
      </w:r>
      <w:r>
        <w:rPr>
          <w:rFonts w:eastAsia="Times New Roman"/>
          <w:color w:val="000000"/>
          <w:sz w:val="20"/>
          <w:szCs w:val="20"/>
        </w:rPr>
        <w:t>om our Consolidated Balance Sheet at the time of sale. We had no outstanding accounts receivable sold pursuant to the RSA at January 1, 2021 or January 3, 2020.</w:t>
      </w:r>
    </w:p>
    <w:p w14:paraId="630F702A" w14:textId="77777777" w:rsidR="00000000" w:rsidRDefault="001A570A">
      <w:pPr>
        <w:divId w:val="2035956168"/>
        <w:rPr>
          <w:rFonts w:eastAsia="Times New Roman"/>
        </w:rPr>
      </w:pPr>
      <w:r>
        <w:rPr>
          <w:rFonts w:eastAsia="Times New Roman"/>
          <w:b/>
          <w:bCs/>
          <w:color w:val="000000"/>
          <w:sz w:val="20"/>
          <w:szCs w:val="20"/>
        </w:rPr>
        <w:t>NOTE 7: CONTRACT ASSETS AND CONTRACT LIABILITIES</w:t>
      </w:r>
      <w:r>
        <w:rPr>
          <w:rFonts w:eastAsia="Times New Roman"/>
          <w:b/>
          <w:bCs/>
          <w:i/>
          <w:iCs/>
          <w:color w:val="000000"/>
          <w:sz w:val="20"/>
          <w:szCs w:val="20"/>
        </w:rPr>
        <w:t xml:space="preserve"> </w:t>
      </w:r>
    </w:p>
    <w:p w14:paraId="624EE9DA" w14:textId="77777777" w:rsidR="00000000" w:rsidRDefault="001A570A">
      <w:pPr>
        <w:ind w:firstLine="450"/>
        <w:divId w:val="1088888309"/>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POC cost-to-cost revenue recognition method. We bill cu</w:t>
      </w:r>
      <w:r>
        <w:rPr>
          <w:rFonts w:eastAsia="Times New Roman"/>
          <w:color w:val="000000"/>
          <w:sz w:val="20"/>
          <w:szCs w:val="20"/>
        </w:rPr>
        <w:t>stomers as work progresses in accordance with agreed-upon contractual terms, either at periodic intervals, upon achievement of contractual milestones or upon deliveries and, in certain arrangements, the customer may withhold payment of a small portion of t</w:t>
      </w:r>
      <w:r>
        <w:rPr>
          <w:rFonts w:eastAsia="Times New Roman"/>
          <w:color w:val="000000"/>
          <w:sz w:val="20"/>
          <w:szCs w:val="20"/>
        </w:rPr>
        <w:t>he contract price until contract completion. Contract liabilities include advance payments and billings in excess of revenue recognized, including deferred revenue associated with extended product warranties. Contract assets and liabilities are reported on</w:t>
      </w:r>
      <w:r>
        <w:rPr>
          <w:rFonts w:eastAsia="Times New Roman"/>
          <w:color w:val="000000"/>
          <w:sz w:val="20"/>
          <w:szCs w:val="20"/>
        </w:rPr>
        <w:t xml:space="preserve"> a contract-by-contract basis at the end of each reporting period. </w:t>
      </w:r>
    </w:p>
    <w:p w14:paraId="086E2DEF" w14:textId="77777777" w:rsidR="00000000" w:rsidRDefault="001A570A">
      <w:pPr>
        <w:ind w:firstLine="450"/>
        <w:divId w:val="1519467003"/>
        <w:rPr>
          <w:rFonts w:eastAsia="Times New Roman"/>
        </w:rPr>
      </w:pPr>
      <w:r>
        <w:rPr>
          <w:rFonts w:eastAsia="Times New Roman"/>
          <w:color w:val="000000"/>
          <w:sz w:val="20"/>
          <w:szCs w:val="20"/>
        </w:rPr>
        <w:t>Contract assets and liabilities in fiscal 2020 were impacted primarily by divestitures, reclassifications to assets and liabilities of disposal group held for sale, accelerated progress pa</w:t>
      </w:r>
      <w:r>
        <w:rPr>
          <w:rFonts w:eastAsia="Times New Roman"/>
          <w:color w:val="000000"/>
          <w:sz w:val="20"/>
          <w:szCs w:val="20"/>
        </w:rPr>
        <w:t xml:space="preserve">yments due to the U.S. Government's increase in the progress payment rate from 80 percent to 90 percent and the timing of contractual billing milestones. See </w:t>
      </w:r>
      <w:r>
        <w:rPr>
          <w:rFonts w:eastAsia="Times New Roman"/>
          <w:i/>
          <w:iCs/>
          <w:color w:val="000000"/>
          <w:sz w:val="20"/>
          <w:szCs w:val="20"/>
        </w:rPr>
        <w:t>Note 3: Business Divestitures and Asset Sales</w:t>
      </w:r>
      <w:r>
        <w:rPr>
          <w:rFonts w:eastAsia="Times New Roman"/>
          <w:color w:val="000000"/>
          <w:sz w:val="20"/>
          <w:szCs w:val="20"/>
        </w:rPr>
        <w:t xml:space="preserve"> in these Notes for additional information regarding </w:t>
      </w:r>
      <w:r>
        <w:rPr>
          <w:rFonts w:eastAsia="Times New Roman"/>
          <w:color w:val="000000"/>
          <w:sz w:val="20"/>
          <w:szCs w:val="20"/>
        </w:rPr>
        <w:t xml:space="preserve">assets and liabilities held for sale. </w:t>
      </w:r>
    </w:p>
    <w:p w14:paraId="05E4E638" w14:textId="77777777" w:rsidR="00000000" w:rsidRDefault="001A570A">
      <w:pPr>
        <w:ind w:firstLine="450"/>
        <w:jc w:val="both"/>
        <w:divId w:val="2058629458"/>
        <w:rPr>
          <w:rFonts w:eastAsia="Times New Roman"/>
        </w:rPr>
      </w:pPr>
      <w:r>
        <w:rPr>
          <w:rFonts w:eastAsia="Times New Roman"/>
          <w:color w:val="00000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75"/>
        <w:gridCol w:w="39"/>
        <w:gridCol w:w="120"/>
        <w:gridCol w:w="1049"/>
        <w:gridCol w:w="36"/>
        <w:gridCol w:w="36"/>
        <w:gridCol w:w="36"/>
        <w:gridCol w:w="36"/>
        <w:gridCol w:w="120"/>
        <w:gridCol w:w="1011"/>
        <w:gridCol w:w="36"/>
        <w:gridCol w:w="36"/>
        <w:gridCol w:w="36"/>
      </w:tblGrid>
      <w:tr w:rsidR="00000000" w14:paraId="3F1F70A3" w14:textId="77777777">
        <w:trPr>
          <w:divId w:val="1652979527"/>
        </w:trPr>
        <w:tc>
          <w:tcPr>
            <w:tcW w:w="50" w:type="pct"/>
            <w:vAlign w:val="center"/>
            <w:hideMark/>
          </w:tcPr>
          <w:p w14:paraId="3960B541" w14:textId="77777777" w:rsidR="00000000" w:rsidRDefault="001A570A">
            <w:pPr>
              <w:ind w:firstLine="450"/>
              <w:jc w:val="both"/>
              <w:rPr>
                <w:rFonts w:eastAsia="Times New Roman"/>
              </w:rPr>
            </w:pPr>
          </w:p>
        </w:tc>
        <w:tc>
          <w:tcPr>
            <w:tcW w:w="3472" w:type="pct"/>
            <w:vAlign w:val="center"/>
            <w:hideMark/>
          </w:tcPr>
          <w:p w14:paraId="4E166052" w14:textId="77777777" w:rsidR="00000000" w:rsidRDefault="001A570A">
            <w:pPr>
              <w:rPr>
                <w:rFonts w:eastAsia="Times New Roman"/>
                <w:sz w:val="20"/>
                <w:szCs w:val="20"/>
              </w:rPr>
            </w:pPr>
          </w:p>
        </w:tc>
        <w:tc>
          <w:tcPr>
            <w:tcW w:w="5" w:type="pct"/>
            <w:vAlign w:val="center"/>
            <w:hideMark/>
          </w:tcPr>
          <w:p w14:paraId="4B79FE3C" w14:textId="77777777" w:rsidR="00000000" w:rsidRDefault="001A570A">
            <w:pPr>
              <w:rPr>
                <w:rFonts w:eastAsia="Times New Roman"/>
                <w:sz w:val="20"/>
                <w:szCs w:val="20"/>
              </w:rPr>
            </w:pPr>
          </w:p>
        </w:tc>
        <w:tc>
          <w:tcPr>
            <w:tcW w:w="50" w:type="pct"/>
            <w:vAlign w:val="center"/>
            <w:hideMark/>
          </w:tcPr>
          <w:p w14:paraId="221B1279" w14:textId="77777777" w:rsidR="00000000" w:rsidRDefault="001A570A">
            <w:pPr>
              <w:rPr>
                <w:rFonts w:eastAsia="Times New Roman"/>
                <w:sz w:val="20"/>
                <w:szCs w:val="20"/>
              </w:rPr>
            </w:pPr>
          </w:p>
        </w:tc>
        <w:tc>
          <w:tcPr>
            <w:tcW w:w="663" w:type="pct"/>
            <w:vAlign w:val="center"/>
            <w:hideMark/>
          </w:tcPr>
          <w:p w14:paraId="03A07B29" w14:textId="77777777" w:rsidR="00000000" w:rsidRDefault="001A570A">
            <w:pPr>
              <w:rPr>
                <w:rFonts w:eastAsia="Times New Roman"/>
                <w:sz w:val="20"/>
                <w:szCs w:val="20"/>
              </w:rPr>
            </w:pPr>
          </w:p>
        </w:tc>
        <w:tc>
          <w:tcPr>
            <w:tcW w:w="5" w:type="pct"/>
            <w:vAlign w:val="center"/>
            <w:hideMark/>
          </w:tcPr>
          <w:p w14:paraId="3EA18725" w14:textId="77777777" w:rsidR="00000000" w:rsidRDefault="001A570A">
            <w:pPr>
              <w:rPr>
                <w:rFonts w:eastAsia="Times New Roman"/>
                <w:sz w:val="20"/>
                <w:szCs w:val="20"/>
              </w:rPr>
            </w:pPr>
          </w:p>
        </w:tc>
        <w:tc>
          <w:tcPr>
            <w:tcW w:w="5" w:type="pct"/>
            <w:vAlign w:val="center"/>
            <w:hideMark/>
          </w:tcPr>
          <w:p w14:paraId="55CA7992" w14:textId="77777777" w:rsidR="00000000" w:rsidRDefault="001A570A">
            <w:pPr>
              <w:rPr>
                <w:rFonts w:eastAsia="Times New Roman"/>
                <w:sz w:val="20"/>
                <w:szCs w:val="20"/>
              </w:rPr>
            </w:pPr>
          </w:p>
        </w:tc>
        <w:tc>
          <w:tcPr>
            <w:tcW w:w="25" w:type="pct"/>
            <w:vAlign w:val="center"/>
            <w:hideMark/>
          </w:tcPr>
          <w:p w14:paraId="53A6BBCA" w14:textId="77777777" w:rsidR="00000000" w:rsidRDefault="001A570A">
            <w:pPr>
              <w:rPr>
                <w:rFonts w:eastAsia="Times New Roman"/>
                <w:sz w:val="20"/>
                <w:szCs w:val="20"/>
              </w:rPr>
            </w:pPr>
          </w:p>
        </w:tc>
        <w:tc>
          <w:tcPr>
            <w:tcW w:w="5" w:type="pct"/>
            <w:vAlign w:val="center"/>
            <w:hideMark/>
          </w:tcPr>
          <w:p w14:paraId="3E7F27D9" w14:textId="77777777" w:rsidR="00000000" w:rsidRDefault="001A570A">
            <w:pPr>
              <w:rPr>
                <w:rFonts w:eastAsia="Times New Roman"/>
                <w:sz w:val="20"/>
                <w:szCs w:val="20"/>
              </w:rPr>
            </w:pPr>
          </w:p>
        </w:tc>
        <w:tc>
          <w:tcPr>
            <w:tcW w:w="50" w:type="pct"/>
            <w:vAlign w:val="center"/>
            <w:hideMark/>
          </w:tcPr>
          <w:p w14:paraId="2F288627" w14:textId="77777777" w:rsidR="00000000" w:rsidRDefault="001A570A">
            <w:pPr>
              <w:rPr>
                <w:rFonts w:eastAsia="Times New Roman"/>
                <w:sz w:val="20"/>
                <w:szCs w:val="20"/>
              </w:rPr>
            </w:pPr>
          </w:p>
        </w:tc>
        <w:tc>
          <w:tcPr>
            <w:tcW w:w="663" w:type="pct"/>
            <w:vAlign w:val="center"/>
            <w:hideMark/>
          </w:tcPr>
          <w:p w14:paraId="40AF433C" w14:textId="77777777" w:rsidR="00000000" w:rsidRDefault="001A570A">
            <w:pPr>
              <w:rPr>
                <w:rFonts w:eastAsia="Times New Roman"/>
                <w:sz w:val="20"/>
                <w:szCs w:val="20"/>
              </w:rPr>
            </w:pPr>
          </w:p>
        </w:tc>
        <w:tc>
          <w:tcPr>
            <w:tcW w:w="5" w:type="pct"/>
            <w:vAlign w:val="center"/>
            <w:hideMark/>
          </w:tcPr>
          <w:p w14:paraId="1EB33010" w14:textId="77777777" w:rsidR="00000000" w:rsidRDefault="001A570A">
            <w:pPr>
              <w:rPr>
                <w:rFonts w:eastAsia="Times New Roman"/>
                <w:sz w:val="20"/>
                <w:szCs w:val="20"/>
              </w:rPr>
            </w:pPr>
          </w:p>
        </w:tc>
        <w:tc>
          <w:tcPr>
            <w:tcW w:w="0" w:type="auto"/>
            <w:vAlign w:val="center"/>
            <w:hideMark/>
          </w:tcPr>
          <w:p w14:paraId="5B47926E" w14:textId="77777777" w:rsidR="00000000" w:rsidRDefault="001A570A">
            <w:pPr>
              <w:rPr>
                <w:rFonts w:eastAsia="Times New Roman"/>
                <w:sz w:val="20"/>
                <w:szCs w:val="20"/>
              </w:rPr>
            </w:pPr>
          </w:p>
        </w:tc>
        <w:tc>
          <w:tcPr>
            <w:tcW w:w="0" w:type="auto"/>
            <w:vAlign w:val="center"/>
            <w:hideMark/>
          </w:tcPr>
          <w:p w14:paraId="63C95DC6" w14:textId="77777777" w:rsidR="00000000" w:rsidRDefault="001A570A">
            <w:pPr>
              <w:rPr>
                <w:rFonts w:eastAsia="Times New Roman"/>
                <w:sz w:val="20"/>
                <w:szCs w:val="20"/>
              </w:rPr>
            </w:pPr>
          </w:p>
        </w:tc>
      </w:tr>
      <w:tr w:rsidR="00000000" w14:paraId="2B70381B" w14:textId="77777777">
        <w:trPr>
          <w:divId w:val="1652979527"/>
        </w:trPr>
        <w:tc>
          <w:tcPr>
            <w:tcW w:w="0" w:type="auto"/>
            <w:gridSpan w:val="3"/>
            <w:tcMar>
              <w:top w:w="30" w:type="dxa"/>
              <w:left w:w="20" w:type="dxa"/>
              <w:bottom w:w="30" w:type="dxa"/>
              <w:right w:w="20" w:type="dxa"/>
            </w:tcMar>
            <w:vAlign w:val="bottom"/>
            <w:hideMark/>
          </w:tcPr>
          <w:p w14:paraId="3430F2C9"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54DECD21"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0270491A"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8B12351"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2EA4AF19" w14:textId="77777777" w:rsidR="00000000" w:rsidRDefault="001A570A">
            <w:pPr>
              <w:jc w:val="center"/>
              <w:rPr>
                <w:rFonts w:eastAsia="Times New Roman"/>
              </w:rPr>
            </w:pPr>
          </w:p>
        </w:tc>
        <w:tc>
          <w:tcPr>
            <w:tcW w:w="0" w:type="auto"/>
            <w:vAlign w:val="center"/>
            <w:hideMark/>
          </w:tcPr>
          <w:p w14:paraId="7EDE264C" w14:textId="77777777" w:rsidR="00000000" w:rsidRDefault="001A570A">
            <w:pPr>
              <w:rPr>
                <w:rFonts w:eastAsia="Times New Roman"/>
                <w:sz w:val="20"/>
                <w:szCs w:val="20"/>
              </w:rPr>
            </w:pPr>
          </w:p>
        </w:tc>
      </w:tr>
      <w:tr w:rsidR="00000000" w14:paraId="5DBCF150" w14:textId="77777777">
        <w:trPr>
          <w:divId w:val="1652979527"/>
          <w:trHeight w:val="60"/>
        </w:trPr>
        <w:tc>
          <w:tcPr>
            <w:tcW w:w="0" w:type="auto"/>
            <w:gridSpan w:val="3"/>
            <w:tcMar>
              <w:top w:w="0" w:type="dxa"/>
              <w:left w:w="20" w:type="dxa"/>
              <w:bottom w:w="0" w:type="dxa"/>
              <w:right w:w="20" w:type="dxa"/>
            </w:tcMar>
            <w:vAlign w:val="center"/>
            <w:hideMark/>
          </w:tcPr>
          <w:p w14:paraId="0B253F7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FFD7E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8096F9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0AA4B6" w14:textId="77777777" w:rsidR="00000000" w:rsidRDefault="001A570A">
            <w:pPr>
              <w:rPr>
                <w:rFonts w:eastAsia="Times New Roman"/>
                <w:sz w:val="20"/>
                <w:szCs w:val="20"/>
              </w:rPr>
            </w:pPr>
          </w:p>
        </w:tc>
        <w:tc>
          <w:tcPr>
            <w:tcW w:w="0" w:type="auto"/>
            <w:vAlign w:val="center"/>
            <w:hideMark/>
          </w:tcPr>
          <w:p w14:paraId="6C5D9E13" w14:textId="77777777" w:rsidR="00000000" w:rsidRDefault="001A570A">
            <w:pPr>
              <w:rPr>
                <w:rFonts w:eastAsia="Times New Roman"/>
                <w:sz w:val="20"/>
                <w:szCs w:val="20"/>
              </w:rPr>
            </w:pPr>
          </w:p>
        </w:tc>
        <w:tc>
          <w:tcPr>
            <w:tcW w:w="0" w:type="auto"/>
            <w:vAlign w:val="center"/>
            <w:hideMark/>
          </w:tcPr>
          <w:p w14:paraId="5E863570" w14:textId="77777777" w:rsidR="00000000" w:rsidRDefault="001A570A">
            <w:pPr>
              <w:rPr>
                <w:rFonts w:eastAsia="Times New Roman"/>
                <w:sz w:val="20"/>
                <w:szCs w:val="20"/>
              </w:rPr>
            </w:pPr>
          </w:p>
        </w:tc>
      </w:tr>
      <w:tr w:rsidR="00000000" w14:paraId="7AA57D64" w14:textId="77777777">
        <w:trPr>
          <w:divId w:val="1652979527"/>
        </w:trPr>
        <w:tc>
          <w:tcPr>
            <w:tcW w:w="0" w:type="auto"/>
            <w:gridSpan w:val="3"/>
            <w:shd w:val="clear" w:color="auto" w:fill="CCEEFF"/>
            <w:tcMar>
              <w:top w:w="30" w:type="dxa"/>
              <w:left w:w="20" w:type="dxa"/>
              <w:bottom w:w="30" w:type="dxa"/>
              <w:right w:w="20" w:type="dxa"/>
            </w:tcMar>
            <w:hideMark/>
          </w:tcPr>
          <w:p w14:paraId="34826BEB" w14:textId="77777777" w:rsidR="00000000" w:rsidRDefault="001A570A">
            <w:pPr>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14:paraId="0A72F8C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BDCA8B" w14:textId="77777777" w:rsidR="00000000" w:rsidRDefault="001A570A">
            <w:pPr>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14:paraId="47102CC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3D3D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32ECB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B03439" w14:textId="77777777" w:rsidR="00000000" w:rsidRDefault="001A570A">
            <w:pPr>
              <w:jc w:val="right"/>
              <w:rPr>
                <w:rFonts w:eastAsia="Times New Roman"/>
              </w:rPr>
            </w:pPr>
            <w:r>
              <w:rPr>
                <w:rFonts w:eastAsia="Times New Roman"/>
                <w:color w:val="000000"/>
                <w:sz w:val="20"/>
                <w:szCs w:val="20"/>
              </w:rPr>
              <w:t>2,459 </w:t>
            </w:r>
          </w:p>
        </w:tc>
        <w:tc>
          <w:tcPr>
            <w:tcW w:w="0" w:type="auto"/>
            <w:shd w:val="clear" w:color="auto" w:fill="CCEEFF"/>
            <w:tcMar>
              <w:top w:w="30" w:type="dxa"/>
              <w:left w:w="0" w:type="dxa"/>
              <w:bottom w:w="30" w:type="dxa"/>
              <w:right w:w="20" w:type="dxa"/>
            </w:tcMar>
            <w:vAlign w:val="bottom"/>
            <w:hideMark/>
          </w:tcPr>
          <w:p w14:paraId="3AD03F55" w14:textId="77777777" w:rsidR="00000000" w:rsidRDefault="001A570A">
            <w:pPr>
              <w:jc w:val="right"/>
              <w:rPr>
                <w:rFonts w:eastAsia="Times New Roman"/>
              </w:rPr>
            </w:pPr>
          </w:p>
        </w:tc>
        <w:tc>
          <w:tcPr>
            <w:tcW w:w="0" w:type="auto"/>
            <w:vAlign w:val="center"/>
            <w:hideMark/>
          </w:tcPr>
          <w:p w14:paraId="621A6470" w14:textId="77777777" w:rsidR="00000000" w:rsidRDefault="001A570A">
            <w:pPr>
              <w:jc w:val="right"/>
              <w:rPr>
                <w:rFonts w:eastAsia="Times New Roman"/>
                <w:sz w:val="20"/>
                <w:szCs w:val="20"/>
              </w:rPr>
            </w:pPr>
          </w:p>
        </w:tc>
        <w:tc>
          <w:tcPr>
            <w:tcW w:w="0" w:type="auto"/>
            <w:vAlign w:val="center"/>
            <w:hideMark/>
          </w:tcPr>
          <w:p w14:paraId="298BFE3F" w14:textId="77777777" w:rsidR="00000000" w:rsidRDefault="001A570A">
            <w:pPr>
              <w:rPr>
                <w:rFonts w:eastAsia="Times New Roman"/>
                <w:sz w:val="20"/>
                <w:szCs w:val="20"/>
              </w:rPr>
            </w:pPr>
          </w:p>
        </w:tc>
      </w:tr>
      <w:tr w:rsidR="00000000" w14:paraId="68DE5CD7" w14:textId="77777777">
        <w:trPr>
          <w:divId w:val="1652979527"/>
        </w:trPr>
        <w:tc>
          <w:tcPr>
            <w:tcW w:w="0" w:type="auto"/>
            <w:gridSpan w:val="3"/>
            <w:shd w:val="clear" w:color="auto" w:fill="FFFFFF"/>
            <w:tcMar>
              <w:top w:w="30" w:type="dxa"/>
              <w:left w:w="20" w:type="dxa"/>
              <w:bottom w:w="30" w:type="dxa"/>
              <w:right w:w="20" w:type="dxa"/>
            </w:tcMar>
            <w:hideMark/>
          </w:tcPr>
          <w:p w14:paraId="39C8629C" w14:textId="77777777" w:rsidR="00000000" w:rsidRDefault="001A570A">
            <w:pPr>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14:paraId="577BC91F" w14:textId="77777777" w:rsidR="00000000" w:rsidRDefault="001A570A">
            <w:pPr>
              <w:jc w:val="right"/>
              <w:rPr>
                <w:rFonts w:eastAsia="Times New Roman"/>
              </w:rPr>
            </w:pPr>
            <w:r>
              <w:rPr>
                <w:rFonts w:eastAsia="Times New Roman"/>
                <w:color w:val="000000"/>
                <w:sz w:val="20"/>
                <w:szCs w:val="20"/>
              </w:rPr>
              <w:t>(1,198)</w:t>
            </w:r>
          </w:p>
        </w:tc>
        <w:tc>
          <w:tcPr>
            <w:tcW w:w="0" w:type="auto"/>
            <w:shd w:val="clear" w:color="auto" w:fill="FFFFFF"/>
            <w:tcMar>
              <w:top w:w="30" w:type="dxa"/>
              <w:left w:w="0" w:type="dxa"/>
              <w:bottom w:w="30" w:type="dxa"/>
              <w:right w:w="20" w:type="dxa"/>
            </w:tcMar>
            <w:vAlign w:val="bottom"/>
            <w:hideMark/>
          </w:tcPr>
          <w:p w14:paraId="42DF8AE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13F5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481B57" w14:textId="77777777" w:rsidR="00000000" w:rsidRDefault="001A570A">
            <w:pPr>
              <w:jc w:val="right"/>
              <w:rPr>
                <w:rFonts w:eastAsia="Times New Roman"/>
              </w:rPr>
            </w:pPr>
            <w:r>
              <w:rPr>
                <w:rFonts w:eastAsia="Times New Roman"/>
                <w:color w:val="000000"/>
                <w:sz w:val="20"/>
                <w:szCs w:val="20"/>
              </w:rPr>
              <w:t>(1,214)</w:t>
            </w:r>
          </w:p>
        </w:tc>
        <w:tc>
          <w:tcPr>
            <w:tcW w:w="0" w:type="auto"/>
            <w:shd w:val="clear" w:color="auto" w:fill="FFFFFF"/>
            <w:tcMar>
              <w:top w:w="30" w:type="dxa"/>
              <w:left w:w="0" w:type="dxa"/>
              <w:bottom w:w="30" w:type="dxa"/>
              <w:right w:w="20" w:type="dxa"/>
            </w:tcMar>
            <w:vAlign w:val="bottom"/>
            <w:hideMark/>
          </w:tcPr>
          <w:p w14:paraId="094DA290" w14:textId="77777777" w:rsidR="00000000" w:rsidRDefault="001A570A">
            <w:pPr>
              <w:jc w:val="right"/>
              <w:rPr>
                <w:rFonts w:eastAsia="Times New Roman"/>
              </w:rPr>
            </w:pPr>
          </w:p>
        </w:tc>
        <w:tc>
          <w:tcPr>
            <w:tcW w:w="0" w:type="auto"/>
            <w:vAlign w:val="center"/>
            <w:hideMark/>
          </w:tcPr>
          <w:p w14:paraId="02622C82" w14:textId="77777777" w:rsidR="00000000" w:rsidRDefault="001A570A">
            <w:pPr>
              <w:jc w:val="right"/>
              <w:rPr>
                <w:rFonts w:eastAsia="Times New Roman"/>
                <w:sz w:val="20"/>
                <w:szCs w:val="20"/>
              </w:rPr>
            </w:pPr>
          </w:p>
        </w:tc>
        <w:tc>
          <w:tcPr>
            <w:tcW w:w="0" w:type="auto"/>
            <w:vAlign w:val="center"/>
            <w:hideMark/>
          </w:tcPr>
          <w:p w14:paraId="0B522191" w14:textId="77777777" w:rsidR="00000000" w:rsidRDefault="001A570A">
            <w:pPr>
              <w:rPr>
                <w:rFonts w:eastAsia="Times New Roman"/>
                <w:sz w:val="20"/>
                <w:szCs w:val="20"/>
              </w:rPr>
            </w:pPr>
          </w:p>
        </w:tc>
      </w:tr>
      <w:tr w:rsidR="00000000" w14:paraId="007D5648" w14:textId="77777777">
        <w:trPr>
          <w:divId w:val="1652979527"/>
        </w:trPr>
        <w:tc>
          <w:tcPr>
            <w:tcW w:w="0" w:type="auto"/>
            <w:gridSpan w:val="3"/>
            <w:shd w:val="clear" w:color="auto" w:fill="CCEEFF"/>
            <w:tcMar>
              <w:top w:w="30" w:type="dxa"/>
              <w:left w:w="20" w:type="dxa"/>
              <w:bottom w:w="30" w:type="dxa"/>
              <w:right w:w="20" w:type="dxa"/>
            </w:tcMar>
            <w:hideMark/>
          </w:tcPr>
          <w:p w14:paraId="359C9889" w14:textId="77777777" w:rsidR="00000000" w:rsidRDefault="001A570A">
            <w:pPr>
              <w:divId w:val="843975914"/>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39494AA"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14:paraId="06180F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6079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D6E44" w14:textId="77777777" w:rsidR="00000000" w:rsidRDefault="001A570A">
            <w:pPr>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14:paraId="127BF4B5" w14:textId="77777777" w:rsidR="00000000" w:rsidRDefault="001A570A">
            <w:pPr>
              <w:jc w:val="right"/>
              <w:rPr>
                <w:rFonts w:eastAsia="Times New Roman"/>
              </w:rPr>
            </w:pPr>
          </w:p>
        </w:tc>
        <w:tc>
          <w:tcPr>
            <w:tcW w:w="0" w:type="auto"/>
            <w:vAlign w:val="center"/>
            <w:hideMark/>
          </w:tcPr>
          <w:p w14:paraId="38677A9A" w14:textId="77777777" w:rsidR="00000000" w:rsidRDefault="001A570A">
            <w:pPr>
              <w:jc w:val="right"/>
              <w:rPr>
                <w:rFonts w:eastAsia="Times New Roman"/>
                <w:sz w:val="20"/>
                <w:szCs w:val="20"/>
              </w:rPr>
            </w:pPr>
          </w:p>
        </w:tc>
        <w:tc>
          <w:tcPr>
            <w:tcW w:w="0" w:type="auto"/>
            <w:vAlign w:val="center"/>
            <w:hideMark/>
          </w:tcPr>
          <w:p w14:paraId="74D73E48" w14:textId="77777777" w:rsidR="00000000" w:rsidRDefault="001A570A">
            <w:pPr>
              <w:rPr>
                <w:rFonts w:eastAsia="Times New Roman"/>
                <w:sz w:val="20"/>
                <w:szCs w:val="20"/>
              </w:rPr>
            </w:pPr>
          </w:p>
        </w:tc>
      </w:tr>
      <w:tr w:rsidR="00000000" w14:paraId="17CC65CB" w14:textId="77777777">
        <w:trPr>
          <w:divId w:val="1652979527"/>
        </w:trPr>
        <w:tc>
          <w:tcPr>
            <w:tcW w:w="0" w:type="auto"/>
            <w:gridSpan w:val="3"/>
            <w:shd w:val="clear" w:color="auto" w:fill="FFFFFF"/>
            <w:tcMar>
              <w:top w:w="30" w:type="dxa"/>
              <w:left w:w="20" w:type="dxa"/>
              <w:bottom w:w="30" w:type="dxa"/>
              <w:right w:w="20" w:type="dxa"/>
            </w:tcMar>
            <w:hideMark/>
          </w:tcPr>
          <w:p w14:paraId="6363C106" w14:textId="77777777" w:rsidR="00000000" w:rsidRDefault="001A570A">
            <w:pPr>
              <w:rPr>
                <w:rFonts w:eastAsia="Times New Roman"/>
              </w:rPr>
            </w:pPr>
            <w:r>
              <w:rPr>
                <w:rFonts w:eastAsia="Times New Roman"/>
                <w:color w:val="000000"/>
                <w:sz w:val="20"/>
                <w:szCs w:val="20"/>
              </w:rPr>
              <w:t xml:space="preserve">Net contract assets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F0FE3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554CAA" w14:textId="77777777" w:rsidR="00000000" w:rsidRDefault="001A570A">
            <w:pPr>
              <w:jc w:val="right"/>
              <w:rPr>
                <w:rFonts w:eastAsia="Times New Roman"/>
              </w:rPr>
            </w:pPr>
            <w:r>
              <w:rPr>
                <w:rFonts w:eastAsia="Times New Roman"/>
                <w:color w:val="000000"/>
                <w:sz w:val="20"/>
                <w:szCs w:val="20"/>
              </w:rPr>
              <w:t>1,166 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6AD0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087C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F6624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24BDA5" w14:textId="77777777" w:rsidR="00000000" w:rsidRDefault="001A570A">
            <w:pPr>
              <w:jc w:val="right"/>
              <w:rPr>
                <w:rFonts w:eastAsia="Times New Roman"/>
              </w:rPr>
            </w:pPr>
            <w:r>
              <w:rPr>
                <w:rFonts w:eastAsia="Times New Roman"/>
                <w:color w:val="000000"/>
                <w:sz w:val="20"/>
                <w:szCs w:val="20"/>
              </w:rPr>
              <w:t>1,158 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8C2ED7" w14:textId="77777777" w:rsidR="00000000" w:rsidRDefault="001A570A">
            <w:pPr>
              <w:jc w:val="right"/>
              <w:rPr>
                <w:rFonts w:eastAsia="Times New Roman"/>
              </w:rPr>
            </w:pPr>
          </w:p>
        </w:tc>
        <w:tc>
          <w:tcPr>
            <w:tcW w:w="0" w:type="auto"/>
            <w:vAlign w:val="center"/>
            <w:hideMark/>
          </w:tcPr>
          <w:p w14:paraId="58EDEE62" w14:textId="77777777" w:rsidR="00000000" w:rsidRDefault="001A570A">
            <w:pPr>
              <w:jc w:val="right"/>
              <w:rPr>
                <w:rFonts w:eastAsia="Times New Roman"/>
                <w:sz w:val="20"/>
                <w:szCs w:val="20"/>
              </w:rPr>
            </w:pPr>
          </w:p>
        </w:tc>
        <w:tc>
          <w:tcPr>
            <w:tcW w:w="0" w:type="auto"/>
            <w:vAlign w:val="center"/>
            <w:hideMark/>
          </w:tcPr>
          <w:p w14:paraId="3ADEFE3E" w14:textId="77777777" w:rsidR="00000000" w:rsidRDefault="001A570A">
            <w:pPr>
              <w:rPr>
                <w:rFonts w:eastAsia="Times New Roman"/>
                <w:sz w:val="20"/>
                <w:szCs w:val="20"/>
              </w:rPr>
            </w:pPr>
          </w:p>
        </w:tc>
      </w:tr>
    </w:tbl>
    <w:p w14:paraId="1769EB59" w14:textId="77777777" w:rsidR="00000000" w:rsidRDefault="001A570A">
      <w:pPr>
        <w:divId w:val="28654200"/>
        <w:rPr>
          <w:rFonts w:eastAsia="Times New Roman"/>
        </w:rPr>
      </w:pPr>
      <w:r>
        <w:rPr>
          <w:rFonts w:eastAsia="Times New Roman"/>
          <w:color w:val="000000"/>
          <w:sz w:val="16"/>
          <w:szCs w:val="16"/>
        </w:rPr>
        <w:t>_______________</w:t>
      </w:r>
    </w:p>
    <w:p w14:paraId="55767D90" w14:textId="77777777" w:rsidR="00000000" w:rsidRDefault="001A570A">
      <w:pPr>
        <w:ind w:hanging="360"/>
        <w:divId w:val="681706011"/>
        <w:rPr>
          <w:rFonts w:eastAsia="Times New Roman"/>
        </w:rPr>
      </w:pPr>
      <w:r>
        <w:rPr>
          <w:rFonts w:eastAsia="Times New Roman"/>
          <w:color w:val="000000"/>
          <w:sz w:val="16"/>
          <w:szCs w:val="16"/>
        </w:rPr>
        <w:t>(1)</w:t>
      </w:r>
      <w:r>
        <w:rPr>
          <w:rFonts w:eastAsia="Times New Roman"/>
          <w:color w:val="000000"/>
          <w:sz w:val="16"/>
          <w:szCs w:val="16"/>
        </w:rPr>
        <w:t>The non-current portion of contract liabilities is included as a component of the “Other long-term liabilities” line item in our Consolidated Balance Sheet.</w:t>
      </w:r>
    </w:p>
    <w:p w14:paraId="3DBBDB0C" w14:textId="77777777" w:rsidR="00000000" w:rsidRDefault="001A570A">
      <w:pPr>
        <w:ind w:firstLine="450"/>
        <w:jc w:val="both"/>
        <w:divId w:val="1571426855"/>
        <w:rPr>
          <w:rFonts w:eastAsia="Times New Roman"/>
        </w:rPr>
      </w:pPr>
      <w:r>
        <w:rPr>
          <w:rFonts w:eastAsia="Times New Roman"/>
          <w:color w:val="00000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6"/>
        <w:gridCol w:w="120"/>
        <w:gridCol w:w="1049"/>
        <w:gridCol w:w="36"/>
        <w:gridCol w:w="36"/>
        <w:gridCol w:w="36"/>
        <w:gridCol w:w="36"/>
        <w:gridCol w:w="120"/>
        <w:gridCol w:w="1013"/>
        <w:gridCol w:w="36"/>
        <w:gridCol w:w="36"/>
        <w:gridCol w:w="36"/>
      </w:tblGrid>
      <w:tr w:rsidR="00000000" w14:paraId="4B55E8C9" w14:textId="77777777">
        <w:trPr>
          <w:divId w:val="700936158"/>
        </w:trPr>
        <w:tc>
          <w:tcPr>
            <w:tcW w:w="50" w:type="pct"/>
            <w:vAlign w:val="center"/>
            <w:hideMark/>
          </w:tcPr>
          <w:p w14:paraId="6ACF3E1D" w14:textId="77777777" w:rsidR="00000000" w:rsidRDefault="001A570A">
            <w:pPr>
              <w:ind w:firstLine="450"/>
              <w:jc w:val="both"/>
              <w:rPr>
                <w:rFonts w:eastAsia="Times New Roman"/>
              </w:rPr>
            </w:pPr>
          </w:p>
        </w:tc>
        <w:tc>
          <w:tcPr>
            <w:tcW w:w="3472" w:type="pct"/>
            <w:vAlign w:val="center"/>
            <w:hideMark/>
          </w:tcPr>
          <w:p w14:paraId="2B8EC7D0" w14:textId="77777777" w:rsidR="00000000" w:rsidRDefault="001A570A">
            <w:pPr>
              <w:rPr>
                <w:rFonts w:eastAsia="Times New Roman"/>
                <w:sz w:val="20"/>
                <w:szCs w:val="20"/>
              </w:rPr>
            </w:pPr>
          </w:p>
        </w:tc>
        <w:tc>
          <w:tcPr>
            <w:tcW w:w="5" w:type="pct"/>
            <w:vAlign w:val="center"/>
            <w:hideMark/>
          </w:tcPr>
          <w:p w14:paraId="1F9431FC" w14:textId="77777777" w:rsidR="00000000" w:rsidRDefault="001A570A">
            <w:pPr>
              <w:rPr>
                <w:rFonts w:eastAsia="Times New Roman"/>
                <w:sz w:val="20"/>
                <w:szCs w:val="20"/>
              </w:rPr>
            </w:pPr>
          </w:p>
        </w:tc>
        <w:tc>
          <w:tcPr>
            <w:tcW w:w="50" w:type="pct"/>
            <w:vAlign w:val="center"/>
            <w:hideMark/>
          </w:tcPr>
          <w:p w14:paraId="134E4599" w14:textId="77777777" w:rsidR="00000000" w:rsidRDefault="001A570A">
            <w:pPr>
              <w:rPr>
                <w:rFonts w:eastAsia="Times New Roman"/>
                <w:sz w:val="20"/>
                <w:szCs w:val="20"/>
              </w:rPr>
            </w:pPr>
          </w:p>
        </w:tc>
        <w:tc>
          <w:tcPr>
            <w:tcW w:w="663" w:type="pct"/>
            <w:vAlign w:val="center"/>
            <w:hideMark/>
          </w:tcPr>
          <w:p w14:paraId="3CD0C923" w14:textId="77777777" w:rsidR="00000000" w:rsidRDefault="001A570A">
            <w:pPr>
              <w:rPr>
                <w:rFonts w:eastAsia="Times New Roman"/>
                <w:sz w:val="20"/>
                <w:szCs w:val="20"/>
              </w:rPr>
            </w:pPr>
          </w:p>
        </w:tc>
        <w:tc>
          <w:tcPr>
            <w:tcW w:w="5" w:type="pct"/>
            <w:vAlign w:val="center"/>
            <w:hideMark/>
          </w:tcPr>
          <w:p w14:paraId="30C1134A" w14:textId="77777777" w:rsidR="00000000" w:rsidRDefault="001A570A">
            <w:pPr>
              <w:rPr>
                <w:rFonts w:eastAsia="Times New Roman"/>
                <w:sz w:val="20"/>
                <w:szCs w:val="20"/>
              </w:rPr>
            </w:pPr>
          </w:p>
        </w:tc>
        <w:tc>
          <w:tcPr>
            <w:tcW w:w="5" w:type="pct"/>
            <w:vAlign w:val="center"/>
            <w:hideMark/>
          </w:tcPr>
          <w:p w14:paraId="7A0DD3F9" w14:textId="77777777" w:rsidR="00000000" w:rsidRDefault="001A570A">
            <w:pPr>
              <w:rPr>
                <w:rFonts w:eastAsia="Times New Roman"/>
                <w:sz w:val="20"/>
                <w:szCs w:val="20"/>
              </w:rPr>
            </w:pPr>
          </w:p>
        </w:tc>
        <w:tc>
          <w:tcPr>
            <w:tcW w:w="25" w:type="pct"/>
            <w:vAlign w:val="center"/>
            <w:hideMark/>
          </w:tcPr>
          <w:p w14:paraId="7F89EC57" w14:textId="77777777" w:rsidR="00000000" w:rsidRDefault="001A570A">
            <w:pPr>
              <w:rPr>
                <w:rFonts w:eastAsia="Times New Roman"/>
                <w:sz w:val="20"/>
                <w:szCs w:val="20"/>
              </w:rPr>
            </w:pPr>
          </w:p>
        </w:tc>
        <w:tc>
          <w:tcPr>
            <w:tcW w:w="5" w:type="pct"/>
            <w:vAlign w:val="center"/>
            <w:hideMark/>
          </w:tcPr>
          <w:p w14:paraId="693CD398" w14:textId="77777777" w:rsidR="00000000" w:rsidRDefault="001A570A">
            <w:pPr>
              <w:rPr>
                <w:rFonts w:eastAsia="Times New Roman"/>
                <w:sz w:val="20"/>
                <w:szCs w:val="20"/>
              </w:rPr>
            </w:pPr>
          </w:p>
        </w:tc>
        <w:tc>
          <w:tcPr>
            <w:tcW w:w="50" w:type="pct"/>
            <w:vAlign w:val="center"/>
            <w:hideMark/>
          </w:tcPr>
          <w:p w14:paraId="5D8E5026" w14:textId="77777777" w:rsidR="00000000" w:rsidRDefault="001A570A">
            <w:pPr>
              <w:rPr>
                <w:rFonts w:eastAsia="Times New Roman"/>
                <w:sz w:val="20"/>
                <w:szCs w:val="20"/>
              </w:rPr>
            </w:pPr>
          </w:p>
        </w:tc>
        <w:tc>
          <w:tcPr>
            <w:tcW w:w="663" w:type="pct"/>
            <w:vAlign w:val="center"/>
            <w:hideMark/>
          </w:tcPr>
          <w:p w14:paraId="37A5AB28" w14:textId="77777777" w:rsidR="00000000" w:rsidRDefault="001A570A">
            <w:pPr>
              <w:rPr>
                <w:rFonts w:eastAsia="Times New Roman"/>
                <w:sz w:val="20"/>
                <w:szCs w:val="20"/>
              </w:rPr>
            </w:pPr>
          </w:p>
        </w:tc>
        <w:tc>
          <w:tcPr>
            <w:tcW w:w="5" w:type="pct"/>
            <w:vAlign w:val="center"/>
            <w:hideMark/>
          </w:tcPr>
          <w:p w14:paraId="69A3DFD7" w14:textId="77777777" w:rsidR="00000000" w:rsidRDefault="001A570A">
            <w:pPr>
              <w:rPr>
                <w:rFonts w:eastAsia="Times New Roman"/>
                <w:sz w:val="20"/>
                <w:szCs w:val="20"/>
              </w:rPr>
            </w:pPr>
          </w:p>
        </w:tc>
        <w:tc>
          <w:tcPr>
            <w:tcW w:w="0" w:type="auto"/>
            <w:vAlign w:val="center"/>
            <w:hideMark/>
          </w:tcPr>
          <w:p w14:paraId="4ECF31CB" w14:textId="77777777" w:rsidR="00000000" w:rsidRDefault="001A570A">
            <w:pPr>
              <w:rPr>
                <w:rFonts w:eastAsia="Times New Roman"/>
                <w:sz w:val="20"/>
                <w:szCs w:val="20"/>
              </w:rPr>
            </w:pPr>
          </w:p>
        </w:tc>
        <w:tc>
          <w:tcPr>
            <w:tcW w:w="0" w:type="auto"/>
            <w:vAlign w:val="center"/>
            <w:hideMark/>
          </w:tcPr>
          <w:p w14:paraId="7DB607CB" w14:textId="77777777" w:rsidR="00000000" w:rsidRDefault="001A570A">
            <w:pPr>
              <w:rPr>
                <w:rFonts w:eastAsia="Times New Roman"/>
                <w:sz w:val="20"/>
                <w:szCs w:val="20"/>
              </w:rPr>
            </w:pPr>
          </w:p>
        </w:tc>
      </w:tr>
      <w:tr w:rsidR="00000000" w14:paraId="7F4C220D" w14:textId="77777777">
        <w:trPr>
          <w:divId w:val="700936158"/>
        </w:trPr>
        <w:tc>
          <w:tcPr>
            <w:tcW w:w="0" w:type="auto"/>
            <w:gridSpan w:val="3"/>
            <w:tcMar>
              <w:top w:w="30" w:type="dxa"/>
              <w:left w:w="20" w:type="dxa"/>
              <w:bottom w:w="30" w:type="dxa"/>
              <w:right w:w="20" w:type="dxa"/>
            </w:tcMar>
            <w:vAlign w:val="bottom"/>
            <w:hideMark/>
          </w:tcPr>
          <w:p w14:paraId="39D0528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07FB6B14"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34783C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9984FBF"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63385163" w14:textId="77777777" w:rsidR="00000000" w:rsidRDefault="001A570A">
            <w:pPr>
              <w:jc w:val="center"/>
              <w:rPr>
                <w:rFonts w:eastAsia="Times New Roman"/>
              </w:rPr>
            </w:pPr>
          </w:p>
        </w:tc>
        <w:tc>
          <w:tcPr>
            <w:tcW w:w="0" w:type="auto"/>
            <w:vAlign w:val="center"/>
            <w:hideMark/>
          </w:tcPr>
          <w:p w14:paraId="02973EAD" w14:textId="77777777" w:rsidR="00000000" w:rsidRDefault="001A570A">
            <w:pPr>
              <w:rPr>
                <w:rFonts w:eastAsia="Times New Roman"/>
                <w:sz w:val="20"/>
                <w:szCs w:val="20"/>
              </w:rPr>
            </w:pPr>
          </w:p>
        </w:tc>
      </w:tr>
      <w:tr w:rsidR="00000000" w14:paraId="5BA7AAE0" w14:textId="77777777">
        <w:trPr>
          <w:divId w:val="700936158"/>
          <w:trHeight w:val="60"/>
        </w:trPr>
        <w:tc>
          <w:tcPr>
            <w:tcW w:w="0" w:type="auto"/>
            <w:gridSpan w:val="3"/>
            <w:tcMar>
              <w:top w:w="0" w:type="dxa"/>
              <w:left w:w="20" w:type="dxa"/>
              <w:bottom w:w="0" w:type="dxa"/>
              <w:right w:w="20" w:type="dxa"/>
            </w:tcMar>
            <w:vAlign w:val="center"/>
            <w:hideMark/>
          </w:tcPr>
          <w:p w14:paraId="26C3373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296E4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2786FF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6C05DD" w14:textId="77777777" w:rsidR="00000000" w:rsidRDefault="001A570A">
            <w:pPr>
              <w:rPr>
                <w:rFonts w:eastAsia="Times New Roman"/>
                <w:sz w:val="20"/>
                <w:szCs w:val="20"/>
              </w:rPr>
            </w:pPr>
          </w:p>
        </w:tc>
        <w:tc>
          <w:tcPr>
            <w:tcW w:w="0" w:type="auto"/>
            <w:vAlign w:val="center"/>
            <w:hideMark/>
          </w:tcPr>
          <w:p w14:paraId="1829AC6E" w14:textId="77777777" w:rsidR="00000000" w:rsidRDefault="001A570A">
            <w:pPr>
              <w:rPr>
                <w:rFonts w:eastAsia="Times New Roman"/>
                <w:sz w:val="20"/>
                <w:szCs w:val="20"/>
              </w:rPr>
            </w:pPr>
          </w:p>
        </w:tc>
        <w:tc>
          <w:tcPr>
            <w:tcW w:w="0" w:type="auto"/>
            <w:vAlign w:val="center"/>
            <w:hideMark/>
          </w:tcPr>
          <w:p w14:paraId="11C8B3D5" w14:textId="77777777" w:rsidR="00000000" w:rsidRDefault="001A570A">
            <w:pPr>
              <w:rPr>
                <w:rFonts w:eastAsia="Times New Roman"/>
                <w:sz w:val="20"/>
                <w:szCs w:val="20"/>
              </w:rPr>
            </w:pPr>
          </w:p>
        </w:tc>
      </w:tr>
      <w:tr w:rsidR="00000000" w14:paraId="5E0ED27C" w14:textId="77777777">
        <w:trPr>
          <w:divId w:val="700936158"/>
        </w:trPr>
        <w:tc>
          <w:tcPr>
            <w:tcW w:w="0" w:type="auto"/>
            <w:gridSpan w:val="3"/>
            <w:shd w:val="clear" w:color="auto" w:fill="CCEEFF"/>
            <w:tcMar>
              <w:top w:w="30" w:type="dxa"/>
              <w:left w:w="20" w:type="dxa"/>
              <w:bottom w:w="30" w:type="dxa"/>
              <w:right w:w="20" w:type="dxa"/>
            </w:tcMar>
            <w:hideMark/>
          </w:tcPr>
          <w:p w14:paraId="4A532B91" w14:textId="77777777" w:rsidR="00000000" w:rsidRDefault="001A570A">
            <w:pPr>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14:paraId="73BB2B7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808E76" w14:textId="77777777" w:rsidR="00000000" w:rsidRDefault="001A570A">
            <w:pPr>
              <w:jc w:val="right"/>
              <w:rPr>
                <w:rFonts w:eastAsia="Times New Roman"/>
              </w:rPr>
            </w:pPr>
            <w:r>
              <w:rPr>
                <w:rFonts w:eastAsia="Times New Roman"/>
                <w:color w:val="000000"/>
                <w:sz w:val="20"/>
                <w:szCs w:val="20"/>
              </w:rPr>
              <w:t>4,192 </w:t>
            </w:r>
          </w:p>
        </w:tc>
        <w:tc>
          <w:tcPr>
            <w:tcW w:w="0" w:type="auto"/>
            <w:shd w:val="clear" w:color="auto" w:fill="CCEEFF"/>
            <w:tcMar>
              <w:top w:w="30" w:type="dxa"/>
              <w:left w:w="0" w:type="dxa"/>
              <w:bottom w:w="30" w:type="dxa"/>
              <w:right w:w="20" w:type="dxa"/>
            </w:tcMar>
            <w:vAlign w:val="bottom"/>
            <w:hideMark/>
          </w:tcPr>
          <w:p w14:paraId="54E631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DB76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72BEB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0C5950" w14:textId="77777777" w:rsidR="00000000" w:rsidRDefault="001A570A">
            <w:pPr>
              <w:jc w:val="right"/>
              <w:rPr>
                <w:rFonts w:eastAsia="Times New Roman"/>
              </w:rPr>
            </w:pPr>
            <w:r>
              <w:rPr>
                <w:rFonts w:eastAsia="Times New Roman"/>
                <w:color w:val="000000"/>
                <w:sz w:val="20"/>
                <w:szCs w:val="20"/>
              </w:rPr>
              <w:t>3,690 </w:t>
            </w:r>
          </w:p>
        </w:tc>
        <w:tc>
          <w:tcPr>
            <w:tcW w:w="0" w:type="auto"/>
            <w:shd w:val="clear" w:color="auto" w:fill="CCEEFF"/>
            <w:tcMar>
              <w:top w:w="30" w:type="dxa"/>
              <w:left w:w="0" w:type="dxa"/>
              <w:bottom w:w="30" w:type="dxa"/>
              <w:right w:w="20" w:type="dxa"/>
            </w:tcMar>
            <w:vAlign w:val="bottom"/>
            <w:hideMark/>
          </w:tcPr>
          <w:p w14:paraId="1ECB272F" w14:textId="77777777" w:rsidR="00000000" w:rsidRDefault="001A570A">
            <w:pPr>
              <w:jc w:val="right"/>
              <w:rPr>
                <w:rFonts w:eastAsia="Times New Roman"/>
              </w:rPr>
            </w:pPr>
          </w:p>
        </w:tc>
        <w:tc>
          <w:tcPr>
            <w:tcW w:w="0" w:type="auto"/>
            <w:vAlign w:val="center"/>
            <w:hideMark/>
          </w:tcPr>
          <w:p w14:paraId="72AAF6BC" w14:textId="77777777" w:rsidR="00000000" w:rsidRDefault="001A570A">
            <w:pPr>
              <w:jc w:val="right"/>
              <w:rPr>
                <w:rFonts w:eastAsia="Times New Roman"/>
                <w:sz w:val="20"/>
                <w:szCs w:val="20"/>
              </w:rPr>
            </w:pPr>
          </w:p>
        </w:tc>
        <w:tc>
          <w:tcPr>
            <w:tcW w:w="0" w:type="auto"/>
            <w:vAlign w:val="center"/>
            <w:hideMark/>
          </w:tcPr>
          <w:p w14:paraId="23C88123" w14:textId="77777777" w:rsidR="00000000" w:rsidRDefault="001A570A">
            <w:pPr>
              <w:rPr>
                <w:rFonts w:eastAsia="Times New Roman"/>
                <w:sz w:val="20"/>
                <w:szCs w:val="20"/>
              </w:rPr>
            </w:pPr>
          </w:p>
        </w:tc>
      </w:tr>
      <w:tr w:rsidR="00000000" w14:paraId="1CA25076" w14:textId="77777777">
        <w:trPr>
          <w:divId w:val="700936158"/>
        </w:trPr>
        <w:tc>
          <w:tcPr>
            <w:tcW w:w="0" w:type="auto"/>
            <w:gridSpan w:val="3"/>
            <w:shd w:val="clear" w:color="auto" w:fill="FFFFFF"/>
            <w:tcMar>
              <w:top w:w="30" w:type="dxa"/>
              <w:left w:w="20" w:type="dxa"/>
              <w:bottom w:w="30" w:type="dxa"/>
              <w:right w:w="20" w:type="dxa"/>
            </w:tcMar>
            <w:hideMark/>
          </w:tcPr>
          <w:p w14:paraId="79ADD6C7" w14:textId="77777777" w:rsidR="00000000" w:rsidRDefault="001A570A">
            <w:pPr>
              <w:rPr>
                <w:rFonts w:eastAsia="Times New Roman"/>
              </w:rPr>
            </w:pPr>
            <w:r>
              <w:rPr>
                <w:rFonts w:eastAsia="Times New Roman"/>
                <w:color w:val="000000"/>
                <w:sz w:val="20"/>
                <w:szCs w:val="20"/>
              </w:rPr>
              <w:t>Progress payments</w:t>
            </w:r>
          </w:p>
        </w:tc>
        <w:tc>
          <w:tcPr>
            <w:tcW w:w="0" w:type="auto"/>
            <w:gridSpan w:val="2"/>
            <w:shd w:val="clear" w:color="auto" w:fill="FFFFFF"/>
            <w:tcMar>
              <w:top w:w="30" w:type="dxa"/>
              <w:left w:w="20" w:type="dxa"/>
              <w:bottom w:w="30" w:type="dxa"/>
              <w:right w:w="0" w:type="dxa"/>
            </w:tcMar>
            <w:vAlign w:val="bottom"/>
            <w:hideMark/>
          </w:tcPr>
          <w:p w14:paraId="1D159A8A" w14:textId="77777777" w:rsidR="00000000" w:rsidRDefault="001A570A">
            <w:pPr>
              <w:jc w:val="right"/>
              <w:rPr>
                <w:rFonts w:eastAsia="Times New Roman"/>
              </w:rPr>
            </w:pPr>
            <w:r>
              <w:rPr>
                <w:rFonts w:eastAsia="Times New Roman"/>
                <w:color w:val="000000"/>
                <w:sz w:val="20"/>
                <w:szCs w:val="20"/>
              </w:rPr>
              <w:t>(1,755)</w:t>
            </w:r>
          </w:p>
        </w:tc>
        <w:tc>
          <w:tcPr>
            <w:tcW w:w="0" w:type="auto"/>
            <w:shd w:val="clear" w:color="auto" w:fill="FFFFFF"/>
            <w:tcMar>
              <w:top w:w="30" w:type="dxa"/>
              <w:left w:w="0" w:type="dxa"/>
              <w:bottom w:w="30" w:type="dxa"/>
              <w:right w:w="20" w:type="dxa"/>
            </w:tcMar>
            <w:vAlign w:val="bottom"/>
            <w:hideMark/>
          </w:tcPr>
          <w:p w14:paraId="60D6588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010D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61AB24" w14:textId="77777777" w:rsidR="00000000" w:rsidRDefault="001A570A">
            <w:pPr>
              <w:jc w:val="right"/>
              <w:rPr>
                <w:rFonts w:eastAsia="Times New Roman"/>
              </w:rPr>
            </w:pPr>
            <w:r>
              <w:rPr>
                <w:rFonts w:eastAsia="Times New Roman"/>
                <w:color w:val="000000"/>
                <w:sz w:val="20"/>
                <w:szCs w:val="20"/>
              </w:rPr>
              <w:t>(1,231)</w:t>
            </w:r>
          </w:p>
        </w:tc>
        <w:tc>
          <w:tcPr>
            <w:tcW w:w="0" w:type="auto"/>
            <w:shd w:val="clear" w:color="auto" w:fill="FFFFFF"/>
            <w:tcMar>
              <w:top w:w="30" w:type="dxa"/>
              <w:left w:w="0" w:type="dxa"/>
              <w:bottom w:w="30" w:type="dxa"/>
              <w:right w:w="20" w:type="dxa"/>
            </w:tcMar>
            <w:vAlign w:val="bottom"/>
            <w:hideMark/>
          </w:tcPr>
          <w:p w14:paraId="3EEF6B08" w14:textId="77777777" w:rsidR="00000000" w:rsidRDefault="001A570A">
            <w:pPr>
              <w:jc w:val="right"/>
              <w:rPr>
                <w:rFonts w:eastAsia="Times New Roman"/>
              </w:rPr>
            </w:pPr>
          </w:p>
        </w:tc>
        <w:tc>
          <w:tcPr>
            <w:tcW w:w="0" w:type="auto"/>
            <w:vAlign w:val="center"/>
            <w:hideMark/>
          </w:tcPr>
          <w:p w14:paraId="01E9DB91" w14:textId="77777777" w:rsidR="00000000" w:rsidRDefault="001A570A">
            <w:pPr>
              <w:jc w:val="right"/>
              <w:rPr>
                <w:rFonts w:eastAsia="Times New Roman"/>
                <w:sz w:val="20"/>
                <w:szCs w:val="20"/>
              </w:rPr>
            </w:pPr>
          </w:p>
        </w:tc>
        <w:tc>
          <w:tcPr>
            <w:tcW w:w="0" w:type="auto"/>
            <w:vAlign w:val="center"/>
            <w:hideMark/>
          </w:tcPr>
          <w:p w14:paraId="0398EBFF" w14:textId="77777777" w:rsidR="00000000" w:rsidRDefault="001A570A">
            <w:pPr>
              <w:rPr>
                <w:rFonts w:eastAsia="Times New Roman"/>
                <w:sz w:val="20"/>
                <w:szCs w:val="20"/>
              </w:rPr>
            </w:pPr>
          </w:p>
        </w:tc>
      </w:tr>
      <w:tr w:rsidR="00000000" w14:paraId="20C0482E" w14:textId="77777777">
        <w:trPr>
          <w:divId w:val="700936158"/>
        </w:trPr>
        <w:tc>
          <w:tcPr>
            <w:tcW w:w="0" w:type="auto"/>
            <w:gridSpan w:val="3"/>
            <w:shd w:val="clear" w:color="auto" w:fill="CCEEFF"/>
            <w:tcMar>
              <w:top w:w="0" w:type="dxa"/>
              <w:left w:w="20" w:type="dxa"/>
              <w:bottom w:w="0" w:type="dxa"/>
              <w:right w:w="20" w:type="dxa"/>
            </w:tcMar>
            <w:vAlign w:val="center"/>
            <w:hideMark/>
          </w:tcPr>
          <w:p w14:paraId="19F57988"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44033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3D9038" w14:textId="77777777" w:rsidR="00000000" w:rsidRDefault="001A570A">
            <w:pPr>
              <w:jc w:val="right"/>
              <w:rPr>
                <w:rFonts w:eastAsia="Times New Roman"/>
              </w:rPr>
            </w:pPr>
            <w:r>
              <w:rPr>
                <w:rFonts w:eastAsia="Times New Roman"/>
                <w:color w:val="000000"/>
                <w:sz w:val="20"/>
                <w:szCs w:val="20"/>
              </w:rPr>
              <w:t>2,437 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D28E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FB301"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A30EF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831A1C" w14:textId="77777777" w:rsidR="00000000" w:rsidRDefault="001A570A">
            <w:pPr>
              <w:jc w:val="right"/>
              <w:rPr>
                <w:rFonts w:eastAsia="Times New Roman"/>
              </w:rPr>
            </w:pPr>
            <w:r>
              <w:rPr>
                <w:rFonts w:eastAsia="Times New Roman"/>
                <w:color w:val="000000"/>
                <w:sz w:val="20"/>
                <w:szCs w:val="20"/>
              </w:rPr>
              <w:t>2,459 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8D9D54" w14:textId="77777777" w:rsidR="00000000" w:rsidRDefault="001A570A">
            <w:pPr>
              <w:jc w:val="right"/>
              <w:rPr>
                <w:rFonts w:eastAsia="Times New Roman"/>
              </w:rPr>
            </w:pPr>
          </w:p>
        </w:tc>
        <w:tc>
          <w:tcPr>
            <w:tcW w:w="0" w:type="auto"/>
            <w:vAlign w:val="center"/>
            <w:hideMark/>
          </w:tcPr>
          <w:p w14:paraId="5FD994C7" w14:textId="77777777" w:rsidR="00000000" w:rsidRDefault="001A570A">
            <w:pPr>
              <w:jc w:val="right"/>
              <w:rPr>
                <w:rFonts w:eastAsia="Times New Roman"/>
                <w:sz w:val="20"/>
                <w:szCs w:val="20"/>
              </w:rPr>
            </w:pPr>
          </w:p>
        </w:tc>
        <w:tc>
          <w:tcPr>
            <w:tcW w:w="0" w:type="auto"/>
            <w:vAlign w:val="center"/>
            <w:hideMark/>
          </w:tcPr>
          <w:p w14:paraId="392D7A79" w14:textId="77777777" w:rsidR="00000000" w:rsidRDefault="001A570A">
            <w:pPr>
              <w:rPr>
                <w:rFonts w:eastAsia="Times New Roman"/>
                <w:sz w:val="20"/>
                <w:szCs w:val="20"/>
              </w:rPr>
            </w:pPr>
          </w:p>
        </w:tc>
      </w:tr>
    </w:tbl>
    <w:p w14:paraId="0B9DC67C" w14:textId="77777777" w:rsidR="00000000" w:rsidRDefault="001A570A">
      <w:pPr>
        <w:ind w:firstLine="450"/>
        <w:divId w:val="780146362"/>
        <w:rPr>
          <w:rFonts w:eastAsia="Times New Roman"/>
        </w:rPr>
      </w:pPr>
      <w:r>
        <w:rPr>
          <w:rFonts w:eastAsia="Times New Roman"/>
          <w:color w:val="000000"/>
          <w:sz w:val="20"/>
          <w:szCs w:val="20"/>
        </w:rPr>
        <w:t>Impairment losses related to our contract assets were not material in fiscal 2020, the two quarters ended January 3, 2020, or fiscal 2019 or 2018. In fiscal 2020, we recognized $961 million of revenue related to contract liabilities that were outstanding a</w:t>
      </w:r>
      <w:r>
        <w:rPr>
          <w:rFonts w:eastAsia="Times New Roman"/>
          <w:color w:val="000000"/>
          <w:sz w:val="20"/>
          <w:szCs w:val="20"/>
        </w:rPr>
        <w:t xml:space="preserve">t January 3, 2020. In the two quarters ended January 3, 2020 and in fiscal 2019 and 2018, we recognized $776 million, $287 </w:t>
      </w:r>
    </w:p>
    <w:p w14:paraId="3ED4383F" w14:textId="77777777" w:rsidR="00000000" w:rsidRDefault="001A570A">
      <w:pPr>
        <w:ind w:firstLine="450"/>
        <w:jc w:val="center"/>
        <w:divId w:val="2033534124"/>
        <w:rPr>
          <w:rFonts w:eastAsia="Times New Roman"/>
        </w:rPr>
      </w:pPr>
      <w:r>
        <w:rPr>
          <w:rFonts w:eastAsia="Times New Roman"/>
          <w:color w:val="000000"/>
          <w:sz w:val="20"/>
          <w:szCs w:val="20"/>
        </w:rPr>
        <w:t>95</w:t>
      </w:r>
    </w:p>
    <w:p w14:paraId="6E7EA160" w14:textId="77777777" w:rsidR="00000000" w:rsidRDefault="001A570A">
      <w:pPr>
        <w:rPr>
          <w:rFonts w:eastAsia="Times New Roman"/>
        </w:rPr>
      </w:pPr>
      <w:r>
        <w:rPr>
          <w:rFonts w:eastAsia="Times New Roman"/>
        </w:rPr>
        <w:pict w14:anchorId="102740E9">
          <v:rect id="_x0000_i1123" style="width:0;height:1.5pt" o:hralign="center" o:hrstd="t" o:hr="t" fillcolor="#a0a0a0" stroked="f"/>
        </w:pict>
      </w:r>
    </w:p>
    <w:p w14:paraId="0B01CD93" w14:textId="77777777" w:rsidR="00000000" w:rsidRDefault="001A570A">
      <w:pPr>
        <w:ind w:firstLine="450"/>
        <w:divId w:val="757991327"/>
        <w:rPr>
          <w:rFonts w:eastAsia="Times New Roman"/>
        </w:rPr>
      </w:pPr>
    </w:p>
    <w:p w14:paraId="5F3830E1" w14:textId="77777777" w:rsidR="00000000" w:rsidRDefault="001A570A">
      <w:pPr>
        <w:divId w:val="600407362"/>
        <w:rPr>
          <w:rFonts w:eastAsia="Times New Roman"/>
        </w:rPr>
      </w:pPr>
      <w:r>
        <w:rPr>
          <w:rFonts w:eastAsia="Times New Roman"/>
          <w:color w:val="000000"/>
          <w:sz w:val="20"/>
          <w:szCs w:val="20"/>
        </w:rPr>
        <w:t>million and $204 million, respectively</w:t>
      </w:r>
      <w:r>
        <w:rPr>
          <w:rFonts w:eastAsia="Times New Roman"/>
          <w:b/>
          <w:bCs/>
          <w:color w:val="000000"/>
          <w:sz w:val="20"/>
          <w:szCs w:val="20"/>
        </w:rPr>
        <w:t xml:space="preserve">, </w:t>
      </w:r>
      <w:r>
        <w:rPr>
          <w:rFonts w:eastAsia="Times New Roman"/>
          <w:color w:val="000000"/>
          <w:sz w:val="20"/>
          <w:szCs w:val="20"/>
        </w:rPr>
        <w:t xml:space="preserve">of revenue related to contract liabilities that were outstanding at the end of the respective prior fiscal year. </w:t>
      </w:r>
    </w:p>
    <w:p w14:paraId="09B81596" w14:textId="77777777" w:rsidR="00000000" w:rsidRDefault="001A570A">
      <w:pPr>
        <w:divId w:val="1820270511"/>
        <w:rPr>
          <w:rFonts w:eastAsia="Times New Roman"/>
        </w:rPr>
      </w:pPr>
      <w:r>
        <w:rPr>
          <w:rFonts w:eastAsia="Times New Roman"/>
          <w:b/>
          <w:bCs/>
          <w:color w:val="000000"/>
          <w:sz w:val="20"/>
          <w:szCs w:val="20"/>
        </w:rPr>
        <w:t>NOTE 8: INVENTORIES</w:t>
      </w:r>
      <w:r>
        <w:rPr>
          <w:rFonts w:eastAsia="Times New Roman"/>
          <w:b/>
          <w:bCs/>
          <w:i/>
          <w:iCs/>
          <w:color w:val="000000"/>
          <w:sz w:val="20"/>
          <w:szCs w:val="20"/>
        </w:rPr>
        <w:t xml:space="preserve"> </w:t>
      </w:r>
    </w:p>
    <w:p w14:paraId="7620D9E8" w14:textId="77777777" w:rsidR="00000000" w:rsidRDefault="001A570A">
      <w:pPr>
        <w:ind w:firstLine="450"/>
        <w:divId w:val="185826631"/>
        <w:rPr>
          <w:rFonts w:eastAsia="Times New Roman"/>
        </w:rPr>
      </w:pPr>
      <w:r>
        <w:rPr>
          <w:rFonts w:eastAsia="Times New Roman"/>
          <w:color w:val="00000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1"/>
        <w:gridCol w:w="1049"/>
        <w:gridCol w:w="36"/>
        <w:gridCol w:w="36"/>
        <w:gridCol w:w="36"/>
        <w:gridCol w:w="36"/>
        <w:gridCol w:w="120"/>
        <w:gridCol w:w="1011"/>
        <w:gridCol w:w="36"/>
        <w:gridCol w:w="36"/>
        <w:gridCol w:w="36"/>
      </w:tblGrid>
      <w:tr w:rsidR="00000000" w14:paraId="11AC13CC" w14:textId="77777777">
        <w:trPr>
          <w:divId w:val="1990282560"/>
        </w:trPr>
        <w:tc>
          <w:tcPr>
            <w:tcW w:w="50" w:type="pct"/>
            <w:vAlign w:val="center"/>
            <w:hideMark/>
          </w:tcPr>
          <w:p w14:paraId="65547EE2" w14:textId="77777777" w:rsidR="00000000" w:rsidRDefault="001A570A">
            <w:pPr>
              <w:ind w:firstLine="450"/>
              <w:rPr>
                <w:rFonts w:eastAsia="Times New Roman"/>
              </w:rPr>
            </w:pPr>
          </w:p>
        </w:tc>
        <w:tc>
          <w:tcPr>
            <w:tcW w:w="3472" w:type="pct"/>
            <w:vAlign w:val="center"/>
            <w:hideMark/>
          </w:tcPr>
          <w:p w14:paraId="759489A0" w14:textId="77777777" w:rsidR="00000000" w:rsidRDefault="001A570A">
            <w:pPr>
              <w:rPr>
                <w:rFonts w:eastAsia="Times New Roman"/>
                <w:sz w:val="20"/>
                <w:szCs w:val="20"/>
              </w:rPr>
            </w:pPr>
          </w:p>
        </w:tc>
        <w:tc>
          <w:tcPr>
            <w:tcW w:w="5" w:type="pct"/>
            <w:vAlign w:val="center"/>
            <w:hideMark/>
          </w:tcPr>
          <w:p w14:paraId="5E70C40C" w14:textId="77777777" w:rsidR="00000000" w:rsidRDefault="001A570A">
            <w:pPr>
              <w:rPr>
                <w:rFonts w:eastAsia="Times New Roman"/>
                <w:sz w:val="20"/>
                <w:szCs w:val="20"/>
              </w:rPr>
            </w:pPr>
          </w:p>
        </w:tc>
        <w:tc>
          <w:tcPr>
            <w:tcW w:w="50" w:type="pct"/>
            <w:vAlign w:val="center"/>
            <w:hideMark/>
          </w:tcPr>
          <w:p w14:paraId="271DE331" w14:textId="77777777" w:rsidR="00000000" w:rsidRDefault="001A570A">
            <w:pPr>
              <w:rPr>
                <w:rFonts w:eastAsia="Times New Roman"/>
                <w:sz w:val="20"/>
                <w:szCs w:val="20"/>
              </w:rPr>
            </w:pPr>
          </w:p>
        </w:tc>
        <w:tc>
          <w:tcPr>
            <w:tcW w:w="663" w:type="pct"/>
            <w:vAlign w:val="center"/>
            <w:hideMark/>
          </w:tcPr>
          <w:p w14:paraId="40A198AE" w14:textId="77777777" w:rsidR="00000000" w:rsidRDefault="001A570A">
            <w:pPr>
              <w:rPr>
                <w:rFonts w:eastAsia="Times New Roman"/>
                <w:sz w:val="20"/>
                <w:szCs w:val="20"/>
              </w:rPr>
            </w:pPr>
          </w:p>
        </w:tc>
        <w:tc>
          <w:tcPr>
            <w:tcW w:w="5" w:type="pct"/>
            <w:vAlign w:val="center"/>
            <w:hideMark/>
          </w:tcPr>
          <w:p w14:paraId="126B28CD" w14:textId="77777777" w:rsidR="00000000" w:rsidRDefault="001A570A">
            <w:pPr>
              <w:rPr>
                <w:rFonts w:eastAsia="Times New Roman"/>
                <w:sz w:val="20"/>
                <w:szCs w:val="20"/>
              </w:rPr>
            </w:pPr>
          </w:p>
        </w:tc>
        <w:tc>
          <w:tcPr>
            <w:tcW w:w="5" w:type="pct"/>
            <w:vAlign w:val="center"/>
            <w:hideMark/>
          </w:tcPr>
          <w:p w14:paraId="3408EEEE" w14:textId="77777777" w:rsidR="00000000" w:rsidRDefault="001A570A">
            <w:pPr>
              <w:rPr>
                <w:rFonts w:eastAsia="Times New Roman"/>
                <w:sz w:val="20"/>
                <w:szCs w:val="20"/>
              </w:rPr>
            </w:pPr>
          </w:p>
        </w:tc>
        <w:tc>
          <w:tcPr>
            <w:tcW w:w="25" w:type="pct"/>
            <w:vAlign w:val="center"/>
            <w:hideMark/>
          </w:tcPr>
          <w:p w14:paraId="55C2EB9D" w14:textId="77777777" w:rsidR="00000000" w:rsidRDefault="001A570A">
            <w:pPr>
              <w:rPr>
                <w:rFonts w:eastAsia="Times New Roman"/>
                <w:sz w:val="20"/>
                <w:szCs w:val="20"/>
              </w:rPr>
            </w:pPr>
          </w:p>
        </w:tc>
        <w:tc>
          <w:tcPr>
            <w:tcW w:w="5" w:type="pct"/>
            <w:vAlign w:val="center"/>
            <w:hideMark/>
          </w:tcPr>
          <w:p w14:paraId="31D5C6FE" w14:textId="77777777" w:rsidR="00000000" w:rsidRDefault="001A570A">
            <w:pPr>
              <w:rPr>
                <w:rFonts w:eastAsia="Times New Roman"/>
                <w:sz w:val="20"/>
                <w:szCs w:val="20"/>
              </w:rPr>
            </w:pPr>
          </w:p>
        </w:tc>
        <w:tc>
          <w:tcPr>
            <w:tcW w:w="50" w:type="pct"/>
            <w:vAlign w:val="center"/>
            <w:hideMark/>
          </w:tcPr>
          <w:p w14:paraId="713FD9C2" w14:textId="77777777" w:rsidR="00000000" w:rsidRDefault="001A570A">
            <w:pPr>
              <w:rPr>
                <w:rFonts w:eastAsia="Times New Roman"/>
                <w:sz w:val="20"/>
                <w:szCs w:val="20"/>
              </w:rPr>
            </w:pPr>
          </w:p>
        </w:tc>
        <w:tc>
          <w:tcPr>
            <w:tcW w:w="663" w:type="pct"/>
            <w:vAlign w:val="center"/>
            <w:hideMark/>
          </w:tcPr>
          <w:p w14:paraId="3991DF5D" w14:textId="77777777" w:rsidR="00000000" w:rsidRDefault="001A570A">
            <w:pPr>
              <w:rPr>
                <w:rFonts w:eastAsia="Times New Roman"/>
                <w:sz w:val="20"/>
                <w:szCs w:val="20"/>
              </w:rPr>
            </w:pPr>
          </w:p>
        </w:tc>
        <w:tc>
          <w:tcPr>
            <w:tcW w:w="5" w:type="pct"/>
            <w:vAlign w:val="center"/>
            <w:hideMark/>
          </w:tcPr>
          <w:p w14:paraId="2C32BE3D" w14:textId="77777777" w:rsidR="00000000" w:rsidRDefault="001A570A">
            <w:pPr>
              <w:rPr>
                <w:rFonts w:eastAsia="Times New Roman"/>
                <w:sz w:val="20"/>
                <w:szCs w:val="20"/>
              </w:rPr>
            </w:pPr>
          </w:p>
        </w:tc>
        <w:tc>
          <w:tcPr>
            <w:tcW w:w="0" w:type="auto"/>
            <w:vAlign w:val="center"/>
            <w:hideMark/>
          </w:tcPr>
          <w:p w14:paraId="31B900A1" w14:textId="77777777" w:rsidR="00000000" w:rsidRDefault="001A570A">
            <w:pPr>
              <w:rPr>
                <w:rFonts w:eastAsia="Times New Roman"/>
                <w:sz w:val="20"/>
                <w:szCs w:val="20"/>
              </w:rPr>
            </w:pPr>
          </w:p>
        </w:tc>
        <w:tc>
          <w:tcPr>
            <w:tcW w:w="0" w:type="auto"/>
            <w:vAlign w:val="center"/>
            <w:hideMark/>
          </w:tcPr>
          <w:p w14:paraId="2159EB7E" w14:textId="77777777" w:rsidR="00000000" w:rsidRDefault="001A570A">
            <w:pPr>
              <w:rPr>
                <w:rFonts w:eastAsia="Times New Roman"/>
                <w:sz w:val="20"/>
                <w:szCs w:val="20"/>
              </w:rPr>
            </w:pPr>
          </w:p>
        </w:tc>
      </w:tr>
      <w:tr w:rsidR="00000000" w14:paraId="317EA77C" w14:textId="77777777">
        <w:trPr>
          <w:divId w:val="1990282560"/>
        </w:trPr>
        <w:tc>
          <w:tcPr>
            <w:tcW w:w="0" w:type="auto"/>
            <w:gridSpan w:val="3"/>
            <w:tcMar>
              <w:top w:w="30" w:type="dxa"/>
              <w:left w:w="20" w:type="dxa"/>
              <w:bottom w:w="30" w:type="dxa"/>
              <w:right w:w="20" w:type="dxa"/>
            </w:tcMar>
            <w:vAlign w:val="bottom"/>
            <w:hideMark/>
          </w:tcPr>
          <w:p w14:paraId="1180367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7EB6B717"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429AE637"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B7EA55F"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549AFBBC" w14:textId="77777777" w:rsidR="00000000" w:rsidRDefault="001A570A">
            <w:pPr>
              <w:jc w:val="center"/>
              <w:rPr>
                <w:rFonts w:eastAsia="Times New Roman"/>
              </w:rPr>
            </w:pPr>
          </w:p>
        </w:tc>
        <w:tc>
          <w:tcPr>
            <w:tcW w:w="0" w:type="auto"/>
            <w:vAlign w:val="center"/>
            <w:hideMark/>
          </w:tcPr>
          <w:p w14:paraId="58B84D69" w14:textId="77777777" w:rsidR="00000000" w:rsidRDefault="001A570A">
            <w:pPr>
              <w:rPr>
                <w:rFonts w:eastAsia="Times New Roman"/>
                <w:sz w:val="20"/>
                <w:szCs w:val="20"/>
              </w:rPr>
            </w:pPr>
          </w:p>
        </w:tc>
      </w:tr>
      <w:tr w:rsidR="00000000" w14:paraId="32778DEF" w14:textId="77777777">
        <w:trPr>
          <w:divId w:val="1990282560"/>
          <w:trHeight w:val="60"/>
        </w:trPr>
        <w:tc>
          <w:tcPr>
            <w:tcW w:w="0" w:type="auto"/>
            <w:gridSpan w:val="3"/>
            <w:tcMar>
              <w:top w:w="0" w:type="dxa"/>
              <w:left w:w="20" w:type="dxa"/>
              <w:bottom w:w="0" w:type="dxa"/>
              <w:right w:w="20" w:type="dxa"/>
            </w:tcMar>
            <w:vAlign w:val="center"/>
            <w:hideMark/>
          </w:tcPr>
          <w:p w14:paraId="62EC20E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B81EF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D8958D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218817" w14:textId="77777777" w:rsidR="00000000" w:rsidRDefault="001A570A">
            <w:pPr>
              <w:rPr>
                <w:rFonts w:eastAsia="Times New Roman"/>
                <w:sz w:val="20"/>
                <w:szCs w:val="20"/>
              </w:rPr>
            </w:pPr>
          </w:p>
        </w:tc>
        <w:tc>
          <w:tcPr>
            <w:tcW w:w="0" w:type="auto"/>
            <w:vAlign w:val="center"/>
            <w:hideMark/>
          </w:tcPr>
          <w:p w14:paraId="466EDAB5" w14:textId="77777777" w:rsidR="00000000" w:rsidRDefault="001A570A">
            <w:pPr>
              <w:rPr>
                <w:rFonts w:eastAsia="Times New Roman"/>
                <w:sz w:val="20"/>
                <w:szCs w:val="20"/>
              </w:rPr>
            </w:pPr>
          </w:p>
        </w:tc>
        <w:tc>
          <w:tcPr>
            <w:tcW w:w="0" w:type="auto"/>
            <w:vAlign w:val="center"/>
            <w:hideMark/>
          </w:tcPr>
          <w:p w14:paraId="25C9315D" w14:textId="77777777" w:rsidR="00000000" w:rsidRDefault="001A570A">
            <w:pPr>
              <w:rPr>
                <w:rFonts w:eastAsia="Times New Roman"/>
                <w:sz w:val="20"/>
                <w:szCs w:val="20"/>
              </w:rPr>
            </w:pPr>
          </w:p>
        </w:tc>
      </w:tr>
      <w:tr w:rsidR="00000000" w14:paraId="18619FAD" w14:textId="77777777">
        <w:trPr>
          <w:divId w:val="1990282560"/>
        </w:trPr>
        <w:tc>
          <w:tcPr>
            <w:tcW w:w="0" w:type="auto"/>
            <w:gridSpan w:val="3"/>
            <w:shd w:val="clear" w:color="auto" w:fill="CCEEFF"/>
            <w:tcMar>
              <w:top w:w="30" w:type="dxa"/>
              <w:left w:w="20" w:type="dxa"/>
              <w:bottom w:w="30" w:type="dxa"/>
              <w:right w:w="20" w:type="dxa"/>
            </w:tcMar>
            <w:hideMark/>
          </w:tcPr>
          <w:p w14:paraId="2F8CD8CD" w14:textId="77777777" w:rsidR="00000000" w:rsidRDefault="001A570A">
            <w:pPr>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14:paraId="4965F52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7BD534" w14:textId="77777777" w:rsidR="00000000" w:rsidRDefault="001A570A">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14:paraId="14AF108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995FC"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9BABF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208D73" w14:textId="77777777" w:rsidR="00000000" w:rsidRDefault="001A570A">
            <w:pPr>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14:paraId="45DF5E80" w14:textId="77777777" w:rsidR="00000000" w:rsidRDefault="001A570A">
            <w:pPr>
              <w:jc w:val="right"/>
              <w:rPr>
                <w:rFonts w:eastAsia="Times New Roman"/>
              </w:rPr>
            </w:pPr>
          </w:p>
        </w:tc>
        <w:tc>
          <w:tcPr>
            <w:tcW w:w="0" w:type="auto"/>
            <w:vAlign w:val="center"/>
            <w:hideMark/>
          </w:tcPr>
          <w:p w14:paraId="253939A8" w14:textId="77777777" w:rsidR="00000000" w:rsidRDefault="001A570A">
            <w:pPr>
              <w:jc w:val="right"/>
              <w:rPr>
                <w:rFonts w:eastAsia="Times New Roman"/>
                <w:sz w:val="20"/>
                <w:szCs w:val="20"/>
              </w:rPr>
            </w:pPr>
          </w:p>
        </w:tc>
        <w:tc>
          <w:tcPr>
            <w:tcW w:w="0" w:type="auto"/>
            <w:vAlign w:val="center"/>
            <w:hideMark/>
          </w:tcPr>
          <w:p w14:paraId="1F659DC0" w14:textId="77777777" w:rsidR="00000000" w:rsidRDefault="001A570A">
            <w:pPr>
              <w:rPr>
                <w:rFonts w:eastAsia="Times New Roman"/>
                <w:sz w:val="20"/>
                <w:szCs w:val="20"/>
              </w:rPr>
            </w:pPr>
          </w:p>
        </w:tc>
      </w:tr>
      <w:tr w:rsidR="00000000" w14:paraId="2BA1C225" w14:textId="77777777">
        <w:trPr>
          <w:divId w:val="1990282560"/>
        </w:trPr>
        <w:tc>
          <w:tcPr>
            <w:tcW w:w="0" w:type="auto"/>
            <w:gridSpan w:val="3"/>
            <w:shd w:val="clear" w:color="auto" w:fill="FFFFFF"/>
            <w:tcMar>
              <w:top w:w="30" w:type="dxa"/>
              <w:left w:w="20" w:type="dxa"/>
              <w:bottom w:w="30" w:type="dxa"/>
              <w:right w:w="20" w:type="dxa"/>
            </w:tcMar>
            <w:hideMark/>
          </w:tcPr>
          <w:p w14:paraId="743769EA" w14:textId="77777777" w:rsidR="00000000" w:rsidRDefault="001A570A">
            <w:pPr>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14:paraId="0CE72D72" w14:textId="77777777" w:rsidR="00000000" w:rsidRDefault="001A570A">
            <w:pPr>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14:paraId="1BC736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555C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39A6B6" w14:textId="77777777" w:rsidR="00000000" w:rsidRDefault="001A570A">
            <w:pPr>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14:paraId="20BD7D05" w14:textId="77777777" w:rsidR="00000000" w:rsidRDefault="001A570A">
            <w:pPr>
              <w:jc w:val="right"/>
              <w:rPr>
                <w:rFonts w:eastAsia="Times New Roman"/>
              </w:rPr>
            </w:pPr>
          </w:p>
        </w:tc>
        <w:tc>
          <w:tcPr>
            <w:tcW w:w="0" w:type="auto"/>
            <w:vAlign w:val="center"/>
            <w:hideMark/>
          </w:tcPr>
          <w:p w14:paraId="2071E7AF" w14:textId="77777777" w:rsidR="00000000" w:rsidRDefault="001A570A">
            <w:pPr>
              <w:jc w:val="right"/>
              <w:rPr>
                <w:rFonts w:eastAsia="Times New Roman"/>
                <w:sz w:val="20"/>
                <w:szCs w:val="20"/>
              </w:rPr>
            </w:pPr>
          </w:p>
        </w:tc>
        <w:tc>
          <w:tcPr>
            <w:tcW w:w="0" w:type="auto"/>
            <w:vAlign w:val="center"/>
            <w:hideMark/>
          </w:tcPr>
          <w:p w14:paraId="4CD1E743" w14:textId="77777777" w:rsidR="00000000" w:rsidRDefault="001A570A">
            <w:pPr>
              <w:rPr>
                <w:rFonts w:eastAsia="Times New Roman"/>
                <w:sz w:val="20"/>
                <w:szCs w:val="20"/>
              </w:rPr>
            </w:pPr>
          </w:p>
        </w:tc>
      </w:tr>
      <w:tr w:rsidR="00000000" w14:paraId="324D9392" w14:textId="77777777">
        <w:trPr>
          <w:divId w:val="1990282560"/>
        </w:trPr>
        <w:tc>
          <w:tcPr>
            <w:tcW w:w="0" w:type="auto"/>
            <w:gridSpan w:val="3"/>
            <w:shd w:val="clear" w:color="auto" w:fill="CCEEFF"/>
            <w:tcMar>
              <w:top w:w="30" w:type="dxa"/>
              <w:left w:w="20" w:type="dxa"/>
              <w:bottom w:w="30" w:type="dxa"/>
              <w:right w:w="20" w:type="dxa"/>
            </w:tcMar>
            <w:hideMark/>
          </w:tcPr>
          <w:p w14:paraId="77A1BFE2" w14:textId="77777777" w:rsidR="00000000" w:rsidRDefault="001A570A">
            <w:pPr>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14:paraId="134B3505" w14:textId="77777777" w:rsidR="00000000" w:rsidRDefault="001A570A">
            <w:pPr>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14:paraId="473DB44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A72E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577AC3" w14:textId="77777777" w:rsidR="00000000" w:rsidRDefault="001A570A">
            <w:pPr>
              <w:jc w:val="right"/>
              <w:rPr>
                <w:rFonts w:eastAsia="Times New Roman"/>
              </w:rPr>
            </w:pPr>
            <w:r>
              <w:rPr>
                <w:rFonts w:eastAsia="Times New Roman"/>
                <w:color w:val="000000"/>
                <w:sz w:val="20"/>
                <w:szCs w:val="20"/>
              </w:rPr>
              <w:t>617 </w:t>
            </w:r>
          </w:p>
        </w:tc>
        <w:tc>
          <w:tcPr>
            <w:tcW w:w="0" w:type="auto"/>
            <w:shd w:val="clear" w:color="auto" w:fill="CCEEFF"/>
            <w:tcMar>
              <w:top w:w="30" w:type="dxa"/>
              <w:left w:w="0" w:type="dxa"/>
              <w:bottom w:w="30" w:type="dxa"/>
              <w:right w:w="20" w:type="dxa"/>
            </w:tcMar>
            <w:vAlign w:val="bottom"/>
            <w:hideMark/>
          </w:tcPr>
          <w:p w14:paraId="0D0D5912" w14:textId="77777777" w:rsidR="00000000" w:rsidRDefault="001A570A">
            <w:pPr>
              <w:jc w:val="right"/>
              <w:rPr>
                <w:rFonts w:eastAsia="Times New Roman"/>
              </w:rPr>
            </w:pPr>
          </w:p>
        </w:tc>
        <w:tc>
          <w:tcPr>
            <w:tcW w:w="0" w:type="auto"/>
            <w:vAlign w:val="center"/>
            <w:hideMark/>
          </w:tcPr>
          <w:p w14:paraId="541EACED" w14:textId="77777777" w:rsidR="00000000" w:rsidRDefault="001A570A">
            <w:pPr>
              <w:jc w:val="right"/>
              <w:rPr>
                <w:rFonts w:eastAsia="Times New Roman"/>
                <w:sz w:val="20"/>
                <w:szCs w:val="20"/>
              </w:rPr>
            </w:pPr>
          </w:p>
        </w:tc>
        <w:tc>
          <w:tcPr>
            <w:tcW w:w="0" w:type="auto"/>
            <w:vAlign w:val="center"/>
            <w:hideMark/>
          </w:tcPr>
          <w:p w14:paraId="37DCF270" w14:textId="77777777" w:rsidR="00000000" w:rsidRDefault="001A570A">
            <w:pPr>
              <w:rPr>
                <w:rFonts w:eastAsia="Times New Roman"/>
                <w:sz w:val="20"/>
                <w:szCs w:val="20"/>
              </w:rPr>
            </w:pPr>
          </w:p>
        </w:tc>
      </w:tr>
      <w:tr w:rsidR="00000000" w14:paraId="468F13C3" w14:textId="77777777">
        <w:trPr>
          <w:divId w:val="1990282560"/>
        </w:trPr>
        <w:tc>
          <w:tcPr>
            <w:tcW w:w="0" w:type="auto"/>
            <w:gridSpan w:val="3"/>
            <w:shd w:val="clear" w:color="auto" w:fill="FFFFFF"/>
            <w:tcMar>
              <w:top w:w="0" w:type="dxa"/>
              <w:left w:w="20" w:type="dxa"/>
              <w:bottom w:w="0" w:type="dxa"/>
              <w:right w:w="20" w:type="dxa"/>
            </w:tcMar>
            <w:vAlign w:val="center"/>
            <w:hideMark/>
          </w:tcPr>
          <w:p w14:paraId="65231C8E"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0B6F9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C4E54C" w14:textId="77777777" w:rsidR="00000000" w:rsidRDefault="001A570A">
            <w:pPr>
              <w:jc w:val="right"/>
              <w:rPr>
                <w:rFonts w:eastAsia="Times New Roman"/>
              </w:rPr>
            </w:pPr>
            <w:r>
              <w:rPr>
                <w:rFonts w:eastAsia="Times New Roman"/>
                <w:color w:val="000000"/>
                <w:sz w:val="20"/>
                <w:szCs w:val="20"/>
              </w:rPr>
              <w:t>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9D6E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8C331"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54FFF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EBDC40" w14:textId="77777777" w:rsidR="00000000" w:rsidRDefault="001A570A">
            <w:pPr>
              <w:jc w:val="right"/>
              <w:rPr>
                <w:rFonts w:eastAsia="Times New Roman"/>
              </w:rPr>
            </w:pPr>
            <w:r>
              <w:rPr>
                <w:rFonts w:eastAsia="Times New Roman"/>
                <w:color w:val="000000"/>
                <w:sz w:val="20"/>
                <w:szCs w:val="20"/>
              </w:rPr>
              <w:t>1,219 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6D6E53" w14:textId="77777777" w:rsidR="00000000" w:rsidRDefault="001A570A">
            <w:pPr>
              <w:jc w:val="right"/>
              <w:rPr>
                <w:rFonts w:eastAsia="Times New Roman"/>
              </w:rPr>
            </w:pPr>
          </w:p>
        </w:tc>
        <w:tc>
          <w:tcPr>
            <w:tcW w:w="0" w:type="auto"/>
            <w:vAlign w:val="center"/>
            <w:hideMark/>
          </w:tcPr>
          <w:p w14:paraId="722E2F48" w14:textId="77777777" w:rsidR="00000000" w:rsidRDefault="001A570A">
            <w:pPr>
              <w:jc w:val="right"/>
              <w:rPr>
                <w:rFonts w:eastAsia="Times New Roman"/>
                <w:sz w:val="20"/>
                <w:szCs w:val="20"/>
              </w:rPr>
            </w:pPr>
          </w:p>
        </w:tc>
        <w:tc>
          <w:tcPr>
            <w:tcW w:w="0" w:type="auto"/>
            <w:vAlign w:val="center"/>
            <w:hideMark/>
          </w:tcPr>
          <w:p w14:paraId="70D8C1C8" w14:textId="77777777" w:rsidR="00000000" w:rsidRDefault="001A570A">
            <w:pPr>
              <w:rPr>
                <w:rFonts w:eastAsia="Times New Roman"/>
                <w:sz w:val="20"/>
                <w:szCs w:val="20"/>
              </w:rPr>
            </w:pPr>
          </w:p>
        </w:tc>
      </w:tr>
    </w:tbl>
    <w:p w14:paraId="79F5EE49" w14:textId="77777777" w:rsidR="00000000" w:rsidRDefault="001A570A">
      <w:pPr>
        <w:divId w:val="656609591"/>
        <w:rPr>
          <w:rFonts w:eastAsia="Times New Roman"/>
        </w:rPr>
      </w:pPr>
      <w:r>
        <w:rPr>
          <w:rFonts w:eastAsia="Times New Roman"/>
          <w:b/>
          <w:bCs/>
          <w:color w:val="000000"/>
          <w:sz w:val="20"/>
          <w:szCs w:val="20"/>
        </w:rPr>
        <w:t>NOTE 9: PROPERTY, PLANT AND EQUIPMENT</w:t>
      </w:r>
      <w:r>
        <w:rPr>
          <w:rFonts w:eastAsia="Times New Roman"/>
          <w:b/>
          <w:bCs/>
          <w:i/>
          <w:iCs/>
          <w:color w:val="000000"/>
          <w:sz w:val="20"/>
          <w:szCs w:val="20"/>
        </w:rPr>
        <w:t xml:space="preserve"> </w:t>
      </w:r>
    </w:p>
    <w:p w14:paraId="6AC36D8A" w14:textId="77777777" w:rsidR="00000000" w:rsidRDefault="001A570A">
      <w:pPr>
        <w:ind w:firstLine="450"/>
        <w:divId w:val="2064406773"/>
        <w:rPr>
          <w:rFonts w:eastAsia="Times New Roman"/>
        </w:rPr>
      </w:pPr>
      <w:r>
        <w:rPr>
          <w:rFonts w:eastAsia="Times New Roman"/>
          <w:color w:val="000000"/>
          <w:sz w:val="20"/>
          <w:szCs w:val="20"/>
        </w:rPr>
        <w:t>Property, plant and equipment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7"/>
        <w:gridCol w:w="120"/>
        <w:gridCol w:w="1049"/>
        <w:gridCol w:w="36"/>
        <w:gridCol w:w="36"/>
        <w:gridCol w:w="36"/>
        <w:gridCol w:w="36"/>
        <w:gridCol w:w="120"/>
        <w:gridCol w:w="1012"/>
        <w:gridCol w:w="36"/>
        <w:gridCol w:w="36"/>
        <w:gridCol w:w="36"/>
      </w:tblGrid>
      <w:tr w:rsidR="00000000" w14:paraId="16E29C37" w14:textId="77777777">
        <w:trPr>
          <w:divId w:val="269431302"/>
        </w:trPr>
        <w:tc>
          <w:tcPr>
            <w:tcW w:w="50" w:type="pct"/>
            <w:vAlign w:val="center"/>
            <w:hideMark/>
          </w:tcPr>
          <w:p w14:paraId="664E2D42" w14:textId="77777777" w:rsidR="00000000" w:rsidRDefault="001A570A">
            <w:pPr>
              <w:ind w:firstLine="450"/>
              <w:rPr>
                <w:rFonts w:eastAsia="Times New Roman"/>
              </w:rPr>
            </w:pPr>
          </w:p>
        </w:tc>
        <w:tc>
          <w:tcPr>
            <w:tcW w:w="3472" w:type="pct"/>
            <w:vAlign w:val="center"/>
            <w:hideMark/>
          </w:tcPr>
          <w:p w14:paraId="602B2CEB" w14:textId="77777777" w:rsidR="00000000" w:rsidRDefault="001A570A">
            <w:pPr>
              <w:rPr>
                <w:rFonts w:eastAsia="Times New Roman"/>
                <w:sz w:val="20"/>
                <w:szCs w:val="20"/>
              </w:rPr>
            </w:pPr>
          </w:p>
        </w:tc>
        <w:tc>
          <w:tcPr>
            <w:tcW w:w="5" w:type="pct"/>
            <w:vAlign w:val="center"/>
            <w:hideMark/>
          </w:tcPr>
          <w:p w14:paraId="73671B72" w14:textId="77777777" w:rsidR="00000000" w:rsidRDefault="001A570A">
            <w:pPr>
              <w:rPr>
                <w:rFonts w:eastAsia="Times New Roman"/>
                <w:sz w:val="20"/>
                <w:szCs w:val="20"/>
              </w:rPr>
            </w:pPr>
          </w:p>
        </w:tc>
        <w:tc>
          <w:tcPr>
            <w:tcW w:w="50" w:type="pct"/>
            <w:vAlign w:val="center"/>
            <w:hideMark/>
          </w:tcPr>
          <w:p w14:paraId="5594C9B7" w14:textId="77777777" w:rsidR="00000000" w:rsidRDefault="001A570A">
            <w:pPr>
              <w:rPr>
                <w:rFonts w:eastAsia="Times New Roman"/>
                <w:sz w:val="20"/>
                <w:szCs w:val="20"/>
              </w:rPr>
            </w:pPr>
          </w:p>
        </w:tc>
        <w:tc>
          <w:tcPr>
            <w:tcW w:w="663" w:type="pct"/>
            <w:vAlign w:val="center"/>
            <w:hideMark/>
          </w:tcPr>
          <w:p w14:paraId="480B6180" w14:textId="77777777" w:rsidR="00000000" w:rsidRDefault="001A570A">
            <w:pPr>
              <w:rPr>
                <w:rFonts w:eastAsia="Times New Roman"/>
                <w:sz w:val="20"/>
                <w:szCs w:val="20"/>
              </w:rPr>
            </w:pPr>
          </w:p>
        </w:tc>
        <w:tc>
          <w:tcPr>
            <w:tcW w:w="5" w:type="pct"/>
            <w:vAlign w:val="center"/>
            <w:hideMark/>
          </w:tcPr>
          <w:p w14:paraId="77A8342D" w14:textId="77777777" w:rsidR="00000000" w:rsidRDefault="001A570A">
            <w:pPr>
              <w:rPr>
                <w:rFonts w:eastAsia="Times New Roman"/>
                <w:sz w:val="20"/>
                <w:szCs w:val="20"/>
              </w:rPr>
            </w:pPr>
          </w:p>
        </w:tc>
        <w:tc>
          <w:tcPr>
            <w:tcW w:w="5" w:type="pct"/>
            <w:vAlign w:val="center"/>
            <w:hideMark/>
          </w:tcPr>
          <w:p w14:paraId="0AE6A9E6" w14:textId="77777777" w:rsidR="00000000" w:rsidRDefault="001A570A">
            <w:pPr>
              <w:rPr>
                <w:rFonts w:eastAsia="Times New Roman"/>
                <w:sz w:val="20"/>
                <w:szCs w:val="20"/>
              </w:rPr>
            </w:pPr>
          </w:p>
        </w:tc>
        <w:tc>
          <w:tcPr>
            <w:tcW w:w="25" w:type="pct"/>
            <w:vAlign w:val="center"/>
            <w:hideMark/>
          </w:tcPr>
          <w:p w14:paraId="4E10804C" w14:textId="77777777" w:rsidR="00000000" w:rsidRDefault="001A570A">
            <w:pPr>
              <w:rPr>
                <w:rFonts w:eastAsia="Times New Roman"/>
                <w:sz w:val="20"/>
                <w:szCs w:val="20"/>
              </w:rPr>
            </w:pPr>
          </w:p>
        </w:tc>
        <w:tc>
          <w:tcPr>
            <w:tcW w:w="5" w:type="pct"/>
            <w:vAlign w:val="center"/>
            <w:hideMark/>
          </w:tcPr>
          <w:p w14:paraId="6A16AFBC" w14:textId="77777777" w:rsidR="00000000" w:rsidRDefault="001A570A">
            <w:pPr>
              <w:rPr>
                <w:rFonts w:eastAsia="Times New Roman"/>
                <w:sz w:val="20"/>
                <w:szCs w:val="20"/>
              </w:rPr>
            </w:pPr>
          </w:p>
        </w:tc>
        <w:tc>
          <w:tcPr>
            <w:tcW w:w="50" w:type="pct"/>
            <w:vAlign w:val="center"/>
            <w:hideMark/>
          </w:tcPr>
          <w:p w14:paraId="0360AE1F" w14:textId="77777777" w:rsidR="00000000" w:rsidRDefault="001A570A">
            <w:pPr>
              <w:rPr>
                <w:rFonts w:eastAsia="Times New Roman"/>
                <w:sz w:val="20"/>
                <w:szCs w:val="20"/>
              </w:rPr>
            </w:pPr>
          </w:p>
        </w:tc>
        <w:tc>
          <w:tcPr>
            <w:tcW w:w="663" w:type="pct"/>
            <w:vAlign w:val="center"/>
            <w:hideMark/>
          </w:tcPr>
          <w:p w14:paraId="2F04812D" w14:textId="77777777" w:rsidR="00000000" w:rsidRDefault="001A570A">
            <w:pPr>
              <w:rPr>
                <w:rFonts w:eastAsia="Times New Roman"/>
                <w:sz w:val="20"/>
                <w:szCs w:val="20"/>
              </w:rPr>
            </w:pPr>
          </w:p>
        </w:tc>
        <w:tc>
          <w:tcPr>
            <w:tcW w:w="5" w:type="pct"/>
            <w:vAlign w:val="center"/>
            <w:hideMark/>
          </w:tcPr>
          <w:p w14:paraId="5ADC71BD" w14:textId="77777777" w:rsidR="00000000" w:rsidRDefault="001A570A">
            <w:pPr>
              <w:rPr>
                <w:rFonts w:eastAsia="Times New Roman"/>
                <w:sz w:val="20"/>
                <w:szCs w:val="20"/>
              </w:rPr>
            </w:pPr>
          </w:p>
        </w:tc>
        <w:tc>
          <w:tcPr>
            <w:tcW w:w="0" w:type="auto"/>
            <w:vAlign w:val="center"/>
            <w:hideMark/>
          </w:tcPr>
          <w:p w14:paraId="56044A0F" w14:textId="77777777" w:rsidR="00000000" w:rsidRDefault="001A570A">
            <w:pPr>
              <w:rPr>
                <w:rFonts w:eastAsia="Times New Roman"/>
                <w:sz w:val="20"/>
                <w:szCs w:val="20"/>
              </w:rPr>
            </w:pPr>
          </w:p>
        </w:tc>
        <w:tc>
          <w:tcPr>
            <w:tcW w:w="0" w:type="auto"/>
            <w:vAlign w:val="center"/>
            <w:hideMark/>
          </w:tcPr>
          <w:p w14:paraId="7D99F896" w14:textId="77777777" w:rsidR="00000000" w:rsidRDefault="001A570A">
            <w:pPr>
              <w:rPr>
                <w:rFonts w:eastAsia="Times New Roman"/>
                <w:sz w:val="20"/>
                <w:szCs w:val="20"/>
              </w:rPr>
            </w:pPr>
          </w:p>
        </w:tc>
      </w:tr>
      <w:tr w:rsidR="00000000" w14:paraId="33BB6D8D" w14:textId="77777777">
        <w:trPr>
          <w:divId w:val="269431302"/>
        </w:trPr>
        <w:tc>
          <w:tcPr>
            <w:tcW w:w="0" w:type="auto"/>
            <w:gridSpan w:val="3"/>
            <w:tcMar>
              <w:top w:w="30" w:type="dxa"/>
              <w:left w:w="20" w:type="dxa"/>
              <w:bottom w:w="30" w:type="dxa"/>
              <w:right w:w="20" w:type="dxa"/>
            </w:tcMar>
            <w:vAlign w:val="bottom"/>
            <w:hideMark/>
          </w:tcPr>
          <w:p w14:paraId="0E8F9811"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5C96C7D"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0B53C69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7F7284A"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4FD15BA6" w14:textId="77777777" w:rsidR="00000000" w:rsidRDefault="001A570A">
            <w:pPr>
              <w:jc w:val="center"/>
              <w:rPr>
                <w:rFonts w:eastAsia="Times New Roman"/>
              </w:rPr>
            </w:pPr>
          </w:p>
        </w:tc>
        <w:tc>
          <w:tcPr>
            <w:tcW w:w="0" w:type="auto"/>
            <w:vAlign w:val="center"/>
            <w:hideMark/>
          </w:tcPr>
          <w:p w14:paraId="2DB5D50F" w14:textId="77777777" w:rsidR="00000000" w:rsidRDefault="001A570A">
            <w:pPr>
              <w:rPr>
                <w:rFonts w:eastAsia="Times New Roman"/>
                <w:sz w:val="20"/>
                <w:szCs w:val="20"/>
              </w:rPr>
            </w:pPr>
          </w:p>
        </w:tc>
      </w:tr>
      <w:tr w:rsidR="00000000" w14:paraId="19A5368D" w14:textId="77777777">
        <w:trPr>
          <w:divId w:val="269431302"/>
          <w:trHeight w:val="60"/>
        </w:trPr>
        <w:tc>
          <w:tcPr>
            <w:tcW w:w="0" w:type="auto"/>
            <w:gridSpan w:val="3"/>
            <w:tcMar>
              <w:top w:w="0" w:type="dxa"/>
              <w:left w:w="20" w:type="dxa"/>
              <w:bottom w:w="0" w:type="dxa"/>
              <w:right w:w="20" w:type="dxa"/>
            </w:tcMar>
            <w:vAlign w:val="center"/>
            <w:hideMark/>
          </w:tcPr>
          <w:p w14:paraId="3866908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C3E19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2B12C9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07E662" w14:textId="77777777" w:rsidR="00000000" w:rsidRDefault="001A570A">
            <w:pPr>
              <w:rPr>
                <w:rFonts w:eastAsia="Times New Roman"/>
                <w:sz w:val="20"/>
                <w:szCs w:val="20"/>
              </w:rPr>
            </w:pPr>
          </w:p>
        </w:tc>
        <w:tc>
          <w:tcPr>
            <w:tcW w:w="0" w:type="auto"/>
            <w:vAlign w:val="center"/>
            <w:hideMark/>
          </w:tcPr>
          <w:p w14:paraId="441E156B" w14:textId="77777777" w:rsidR="00000000" w:rsidRDefault="001A570A">
            <w:pPr>
              <w:rPr>
                <w:rFonts w:eastAsia="Times New Roman"/>
                <w:sz w:val="20"/>
                <w:szCs w:val="20"/>
              </w:rPr>
            </w:pPr>
          </w:p>
        </w:tc>
        <w:tc>
          <w:tcPr>
            <w:tcW w:w="0" w:type="auto"/>
            <w:vAlign w:val="center"/>
            <w:hideMark/>
          </w:tcPr>
          <w:p w14:paraId="51287F37" w14:textId="77777777" w:rsidR="00000000" w:rsidRDefault="001A570A">
            <w:pPr>
              <w:rPr>
                <w:rFonts w:eastAsia="Times New Roman"/>
                <w:sz w:val="20"/>
                <w:szCs w:val="20"/>
              </w:rPr>
            </w:pPr>
          </w:p>
        </w:tc>
      </w:tr>
      <w:tr w:rsidR="00000000" w14:paraId="0C0D7E91" w14:textId="77777777">
        <w:trPr>
          <w:divId w:val="269431302"/>
        </w:trPr>
        <w:tc>
          <w:tcPr>
            <w:tcW w:w="0" w:type="auto"/>
            <w:gridSpan w:val="3"/>
            <w:shd w:val="clear" w:color="auto" w:fill="CCEEFF"/>
            <w:tcMar>
              <w:top w:w="30" w:type="dxa"/>
              <w:left w:w="20" w:type="dxa"/>
              <w:bottom w:w="30" w:type="dxa"/>
              <w:right w:w="20" w:type="dxa"/>
            </w:tcMar>
            <w:hideMark/>
          </w:tcPr>
          <w:p w14:paraId="722A8354" w14:textId="77777777" w:rsidR="00000000" w:rsidRDefault="001A570A">
            <w:pPr>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14:paraId="63FD31F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739626" w14:textId="77777777" w:rsidR="00000000" w:rsidRDefault="001A570A">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0453DE1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CBBC1"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3B9DF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274E04" w14:textId="77777777" w:rsidR="00000000" w:rsidRDefault="001A570A">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6CE8C817" w14:textId="77777777" w:rsidR="00000000" w:rsidRDefault="001A570A">
            <w:pPr>
              <w:jc w:val="right"/>
              <w:rPr>
                <w:rFonts w:eastAsia="Times New Roman"/>
              </w:rPr>
            </w:pPr>
          </w:p>
        </w:tc>
        <w:tc>
          <w:tcPr>
            <w:tcW w:w="0" w:type="auto"/>
            <w:vAlign w:val="center"/>
            <w:hideMark/>
          </w:tcPr>
          <w:p w14:paraId="395115FD" w14:textId="77777777" w:rsidR="00000000" w:rsidRDefault="001A570A">
            <w:pPr>
              <w:jc w:val="right"/>
              <w:rPr>
                <w:rFonts w:eastAsia="Times New Roman"/>
                <w:sz w:val="20"/>
                <w:szCs w:val="20"/>
              </w:rPr>
            </w:pPr>
          </w:p>
        </w:tc>
        <w:tc>
          <w:tcPr>
            <w:tcW w:w="0" w:type="auto"/>
            <w:vAlign w:val="center"/>
            <w:hideMark/>
          </w:tcPr>
          <w:p w14:paraId="76C559A8" w14:textId="77777777" w:rsidR="00000000" w:rsidRDefault="001A570A">
            <w:pPr>
              <w:rPr>
                <w:rFonts w:eastAsia="Times New Roman"/>
                <w:sz w:val="20"/>
                <w:szCs w:val="20"/>
              </w:rPr>
            </w:pPr>
          </w:p>
        </w:tc>
      </w:tr>
      <w:tr w:rsidR="00000000" w14:paraId="3D7FDE7F" w14:textId="77777777">
        <w:trPr>
          <w:divId w:val="269431302"/>
        </w:trPr>
        <w:tc>
          <w:tcPr>
            <w:tcW w:w="0" w:type="auto"/>
            <w:gridSpan w:val="3"/>
            <w:shd w:val="clear" w:color="auto" w:fill="FFFFFF"/>
            <w:tcMar>
              <w:top w:w="30" w:type="dxa"/>
              <w:left w:w="20" w:type="dxa"/>
              <w:bottom w:w="30" w:type="dxa"/>
              <w:right w:w="20" w:type="dxa"/>
            </w:tcMar>
            <w:hideMark/>
          </w:tcPr>
          <w:p w14:paraId="7CBD2FF4" w14:textId="77777777" w:rsidR="00000000" w:rsidRDefault="001A570A">
            <w:pPr>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14:paraId="00E59516" w14:textId="77777777" w:rsidR="00000000" w:rsidRDefault="001A570A">
            <w:pPr>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14:paraId="029520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6ECC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55628" w14:textId="77777777" w:rsidR="00000000" w:rsidRDefault="001A570A">
            <w:pPr>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14:paraId="564703E6" w14:textId="77777777" w:rsidR="00000000" w:rsidRDefault="001A570A">
            <w:pPr>
              <w:jc w:val="right"/>
              <w:rPr>
                <w:rFonts w:eastAsia="Times New Roman"/>
              </w:rPr>
            </w:pPr>
          </w:p>
        </w:tc>
        <w:tc>
          <w:tcPr>
            <w:tcW w:w="0" w:type="auto"/>
            <w:vAlign w:val="center"/>
            <w:hideMark/>
          </w:tcPr>
          <w:p w14:paraId="7D6D7C19" w14:textId="77777777" w:rsidR="00000000" w:rsidRDefault="001A570A">
            <w:pPr>
              <w:jc w:val="right"/>
              <w:rPr>
                <w:rFonts w:eastAsia="Times New Roman"/>
                <w:sz w:val="20"/>
                <w:szCs w:val="20"/>
              </w:rPr>
            </w:pPr>
          </w:p>
        </w:tc>
        <w:tc>
          <w:tcPr>
            <w:tcW w:w="0" w:type="auto"/>
            <w:vAlign w:val="center"/>
            <w:hideMark/>
          </w:tcPr>
          <w:p w14:paraId="6C3EBA59" w14:textId="77777777" w:rsidR="00000000" w:rsidRDefault="001A570A">
            <w:pPr>
              <w:rPr>
                <w:rFonts w:eastAsia="Times New Roman"/>
                <w:sz w:val="20"/>
                <w:szCs w:val="20"/>
              </w:rPr>
            </w:pPr>
          </w:p>
        </w:tc>
      </w:tr>
      <w:tr w:rsidR="00000000" w14:paraId="593B7C74" w14:textId="77777777">
        <w:trPr>
          <w:divId w:val="269431302"/>
        </w:trPr>
        <w:tc>
          <w:tcPr>
            <w:tcW w:w="0" w:type="auto"/>
            <w:gridSpan w:val="3"/>
            <w:shd w:val="clear" w:color="auto" w:fill="CCEEFF"/>
            <w:tcMar>
              <w:top w:w="30" w:type="dxa"/>
              <w:left w:w="20" w:type="dxa"/>
              <w:bottom w:w="30" w:type="dxa"/>
              <w:right w:w="20" w:type="dxa"/>
            </w:tcMar>
            <w:hideMark/>
          </w:tcPr>
          <w:p w14:paraId="6D8772D8" w14:textId="77777777" w:rsidR="00000000" w:rsidRDefault="001A570A">
            <w:pPr>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14:paraId="004DB7F7" w14:textId="77777777" w:rsidR="00000000" w:rsidRDefault="001A570A">
            <w:pPr>
              <w:jc w:val="right"/>
              <w:rPr>
                <w:rFonts w:eastAsia="Times New Roman"/>
              </w:rPr>
            </w:pPr>
            <w:r>
              <w:rPr>
                <w:rFonts w:eastAsia="Times New Roman"/>
                <w:color w:val="000000"/>
                <w:sz w:val="20"/>
                <w:szCs w:val="20"/>
              </w:rPr>
              <w:t>1,097 </w:t>
            </w:r>
          </w:p>
        </w:tc>
        <w:tc>
          <w:tcPr>
            <w:tcW w:w="0" w:type="auto"/>
            <w:shd w:val="clear" w:color="auto" w:fill="CCEEFF"/>
            <w:tcMar>
              <w:top w:w="30" w:type="dxa"/>
              <w:left w:w="0" w:type="dxa"/>
              <w:bottom w:w="30" w:type="dxa"/>
              <w:right w:w="20" w:type="dxa"/>
            </w:tcMar>
            <w:vAlign w:val="bottom"/>
            <w:hideMark/>
          </w:tcPr>
          <w:p w14:paraId="40973CF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BDA4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2B821" w14:textId="77777777" w:rsidR="00000000" w:rsidRDefault="001A570A">
            <w:pPr>
              <w:jc w:val="right"/>
              <w:rPr>
                <w:rFonts w:eastAsia="Times New Roman"/>
              </w:rPr>
            </w:pPr>
            <w:r>
              <w:rPr>
                <w:rFonts w:eastAsia="Times New Roman"/>
                <w:color w:val="000000"/>
                <w:sz w:val="20"/>
                <w:szCs w:val="20"/>
              </w:rPr>
              <w:t>1,073 </w:t>
            </w:r>
          </w:p>
        </w:tc>
        <w:tc>
          <w:tcPr>
            <w:tcW w:w="0" w:type="auto"/>
            <w:shd w:val="clear" w:color="auto" w:fill="CCEEFF"/>
            <w:tcMar>
              <w:top w:w="30" w:type="dxa"/>
              <w:left w:w="0" w:type="dxa"/>
              <w:bottom w:w="30" w:type="dxa"/>
              <w:right w:w="20" w:type="dxa"/>
            </w:tcMar>
            <w:vAlign w:val="bottom"/>
            <w:hideMark/>
          </w:tcPr>
          <w:p w14:paraId="731EA300" w14:textId="77777777" w:rsidR="00000000" w:rsidRDefault="001A570A">
            <w:pPr>
              <w:jc w:val="right"/>
              <w:rPr>
                <w:rFonts w:eastAsia="Times New Roman"/>
              </w:rPr>
            </w:pPr>
          </w:p>
        </w:tc>
        <w:tc>
          <w:tcPr>
            <w:tcW w:w="0" w:type="auto"/>
            <w:vAlign w:val="center"/>
            <w:hideMark/>
          </w:tcPr>
          <w:p w14:paraId="79602F1B" w14:textId="77777777" w:rsidR="00000000" w:rsidRDefault="001A570A">
            <w:pPr>
              <w:jc w:val="right"/>
              <w:rPr>
                <w:rFonts w:eastAsia="Times New Roman"/>
                <w:sz w:val="20"/>
                <w:szCs w:val="20"/>
              </w:rPr>
            </w:pPr>
          </w:p>
        </w:tc>
        <w:tc>
          <w:tcPr>
            <w:tcW w:w="0" w:type="auto"/>
            <w:vAlign w:val="center"/>
            <w:hideMark/>
          </w:tcPr>
          <w:p w14:paraId="79FC259A" w14:textId="77777777" w:rsidR="00000000" w:rsidRDefault="001A570A">
            <w:pPr>
              <w:rPr>
                <w:rFonts w:eastAsia="Times New Roman"/>
                <w:sz w:val="20"/>
                <w:szCs w:val="20"/>
              </w:rPr>
            </w:pPr>
          </w:p>
        </w:tc>
      </w:tr>
      <w:tr w:rsidR="00000000" w14:paraId="438969CA" w14:textId="77777777">
        <w:trPr>
          <w:divId w:val="269431302"/>
        </w:trPr>
        <w:tc>
          <w:tcPr>
            <w:tcW w:w="0" w:type="auto"/>
            <w:gridSpan w:val="3"/>
            <w:shd w:val="clear" w:color="auto" w:fill="FFFFFF"/>
            <w:tcMar>
              <w:top w:w="30" w:type="dxa"/>
              <w:left w:w="20" w:type="dxa"/>
              <w:bottom w:w="30" w:type="dxa"/>
              <w:right w:w="20" w:type="dxa"/>
            </w:tcMar>
            <w:hideMark/>
          </w:tcPr>
          <w:p w14:paraId="5A22638D" w14:textId="77777777" w:rsidR="00000000" w:rsidRDefault="001A570A">
            <w:pPr>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14:paraId="74520A43" w14:textId="77777777" w:rsidR="00000000" w:rsidRDefault="001A570A">
            <w:pPr>
              <w:jc w:val="right"/>
              <w:rPr>
                <w:rFonts w:eastAsia="Times New Roman"/>
              </w:rPr>
            </w:pPr>
            <w:r>
              <w:rPr>
                <w:rFonts w:eastAsia="Times New Roman"/>
                <w:color w:val="000000"/>
                <w:sz w:val="20"/>
                <w:szCs w:val="20"/>
              </w:rPr>
              <w:t>2,265 </w:t>
            </w:r>
          </w:p>
        </w:tc>
        <w:tc>
          <w:tcPr>
            <w:tcW w:w="0" w:type="auto"/>
            <w:shd w:val="clear" w:color="auto" w:fill="FFFFFF"/>
            <w:tcMar>
              <w:top w:w="30" w:type="dxa"/>
              <w:left w:w="0" w:type="dxa"/>
              <w:bottom w:w="30" w:type="dxa"/>
              <w:right w:w="20" w:type="dxa"/>
            </w:tcMar>
            <w:vAlign w:val="bottom"/>
            <w:hideMark/>
          </w:tcPr>
          <w:p w14:paraId="0A6097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9063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F8748" w14:textId="77777777" w:rsidR="00000000" w:rsidRDefault="001A570A">
            <w:pPr>
              <w:jc w:val="right"/>
              <w:rPr>
                <w:rFonts w:eastAsia="Times New Roman"/>
              </w:rPr>
            </w:pPr>
            <w:r>
              <w:rPr>
                <w:rFonts w:eastAsia="Times New Roman"/>
                <w:color w:val="000000"/>
                <w:sz w:val="20"/>
                <w:szCs w:val="20"/>
              </w:rPr>
              <w:t>2,194 </w:t>
            </w:r>
          </w:p>
        </w:tc>
        <w:tc>
          <w:tcPr>
            <w:tcW w:w="0" w:type="auto"/>
            <w:shd w:val="clear" w:color="auto" w:fill="FFFFFF"/>
            <w:tcMar>
              <w:top w:w="30" w:type="dxa"/>
              <w:left w:w="0" w:type="dxa"/>
              <w:bottom w:w="30" w:type="dxa"/>
              <w:right w:w="20" w:type="dxa"/>
            </w:tcMar>
            <w:vAlign w:val="bottom"/>
            <w:hideMark/>
          </w:tcPr>
          <w:p w14:paraId="24D583D7" w14:textId="77777777" w:rsidR="00000000" w:rsidRDefault="001A570A">
            <w:pPr>
              <w:jc w:val="right"/>
              <w:rPr>
                <w:rFonts w:eastAsia="Times New Roman"/>
              </w:rPr>
            </w:pPr>
          </w:p>
        </w:tc>
        <w:tc>
          <w:tcPr>
            <w:tcW w:w="0" w:type="auto"/>
            <w:vAlign w:val="center"/>
            <w:hideMark/>
          </w:tcPr>
          <w:p w14:paraId="2E2F88CD" w14:textId="77777777" w:rsidR="00000000" w:rsidRDefault="001A570A">
            <w:pPr>
              <w:jc w:val="right"/>
              <w:rPr>
                <w:rFonts w:eastAsia="Times New Roman"/>
                <w:sz w:val="20"/>
                <w:szCs w:val="20"/>
              </w:rPr>
            </w:pPr>
          </w:p>
        </w:tc>
        <w:tc>
          <w:tcPr>
            <w:tcW w:w="0" w:type="auto"/>
            <w:vAlign w:val="center"/>
            <w:hideMark/>
          </w:tcPr>
          <w:p w14:paraId="709FF510" w14:textId="77777777" w:rsidR="00000000" w:rsidRDefault="001A570A">
            <w:pPr>
              <w:rPr>
                <w:rFonts w:eastAsia="Times New Roman"/>
                <w:sz w:val="20"/>
                <w:szCs w:val="20"/>
              </w:rPr>
            </w:pPr>
          </w:p>
        </w:tc>
      </w:tr>
      <w:tr w:rsidR="00000000" w14:paraId="00508F39" w14:textId="77777777">
        <w:trPr>
          <w:divId w:val="269431302"/>
        </w:trPr>
        <w:tc>
          <w:tcPr>
            <w:tcW w:w="0" w:type="auto"/>
            <w:gridSpan w:val="3"/>
            <w:shd w:val="clear" w:color="auto" w:fill="CCEEFF"/>
            <w:tcMar>
              <w:top w:w="0" w:type="dxa"/>
              <w:left w:w="20" w:type="dxa"/>
              <w:bottom w:w="0" w:type="dxa"/>
              <w:right w:w="20" w:type="dxa"/>
            </w:tcMar>
            <w:vAlign w:val="center"/>
            <w:hideMark/>
          </w:tcPr>
          <w:p w14:paraId="09AC3158"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EDB0F8" w14:textId="77777777" w:rsidR="00000000" w:rsidRDefault="001A570A">
            <w:pPr>
              <w:jc w:val="right"/>
              <w:rPr>
                <w:rFonts w:eastAsia="Times New Roman"/>
              </w:rPr>
            </w:pPr>
            <w:r>
              <w:rPr>
                <w:rFonts w:eastAsia="Times New Roman"/>
                <w:color w:val="000000"/>
                <w:sz w:val="20"/>
                <w:szCs w:val="20"/>
              </w:rPr>
              <w:t>3,869 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AF62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3259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B6EF3F" w14:textId="77777777" w:rsidR="00000000" w:rsidRDefault="001A570A">
            <w:pPr>
              <w:jc w:val="right"/>
              <w:rPr>
                <w:rFonts w:eastAsia="Times New Roman"/>
              </w:rPr>
            </w:pPr>
            <w:r>
              <w:rPr>
                <w:rFonts w:eastAsia="Times New Roman"/>
                <w:color w:val="000000"/>
                <w:sz w:val="20"/>
                <w:szCs w:val="20"/>
              </w:rPr>
              <w:t>3,644 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051D59" w14:textId="77777777" w:rsidR="00000000" w:rsidRDefault="001A570A">
            <w:pPr>
              <w:jc w:val="right"/>
              <w:rPr>
                <w:rFonts w:eastAsia="Times New Roman"/>
              </w:rPr>
            </w:pPr>
          </w:p>
        </w:tc>
        <w:tc>
          <w:tcPr>
            <w:tcW w:w="0" w:type="auto"/>
            <w:vAlign w:val="center"/>
            <w:hideMark/>
          </w:tcPr>
          <w:p w14:paraId="4A43DAE3" w14:textId="77777777" w:rsidR="00000000" w:rsidRDefault="001A570A">
            <w:pPr>
              <w:jc w:val="right"/>
              <w:rPr>
                <w:rFonts w:eastAsia="Times New Roman"/>
                <w:sz w:val="20"/>
                <w:szCs w:val="20"/>
              </w:rPr>
            </w:pPr>
          </w:p>
        </w:tc>
        <w:tc>
          <w:tcPr>
            <w:tcW w:w="0" w:type="auto"/>
            <w:vAlign w:val="center"/>
            <w:hideMark/>
          </w:tcPr>
          <w:p w14:paraId="28312476" w14:textId="77777777" w:rsidR="00000000" w:rsidRDefault="001A570A">
            <w:pPr>
              <w:rPr>
                <w:rFonts w:eastAsia="Times New Roman"/>
                <w:sz w:val="20"/>
                <w:szCs w:val="20"/>
              </w:rPr>
            </w:pPr>
          </w:p>
        </w:tc>
      </w:tr>
      <w:tr w:rsidR="00000000" w14:paraId="5C11A923" w14:textId="77777777">
        <w:trPr>
          <w:divId w:val="269431302"/>
        </w:trPr>
        <w:tc>
          <w:tcPr>
            <w:tcW w:w="0" w:type="auto"/>
            <w:gridSpan w:val="3"/>
            <w:shd w:val="clear" w:color="auto" w:fill="FFFFFF"/>
            <w:tcMar>
              <w:top w:w="30" w:type="dxa"/>
              <w:left w:w="20" w:type="dxa"/>
              <w:bottom w:w="30" w:type="dxa"/>
              <w:right w:w="20" w:type="dxa"/>
            </w:tcMar>
            <w:hideMark/>
          </w:tcPr>
          <w:p w14:paraId="2D9334B5" w14:textId="77777777" w:rsidR="00000000" w:rsidRDefault="001A570A">
            <w:pPr>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14:paraId="0359C3AC" w14:textId="77777777" w:rsidR="00000000" w:rsidRDefault="001A570A">
            <w:pPr>
              <w:jc w:val="right"/>
              <w:rPr>
                <w:rFonts w:eastAsia="Times New Roman"/>
              </w:rPr>
            </w:pPr>
            <w:r>
              <w:rPr>
                <w:rFonts w:eastAsia="Times New Roman"/>
                <w:color w:val="000000"/>
                <w:sz w:val="20"/>
                <w:szCs w:val="20"/>
              </w:rPr>
              <w:t>(1,767)</w:t>
            </w:r>
          </w:p>
        </w:tc>
        <w:tc>
          <w:tcPr>
            <w:tcW w:w="0" w:type="auto"/>
            <w:shd w:val="clear" w:color="auto" w:fill="FFFFFF"/>
            <w:tcMar>
              <w:top w:w="30" w:type="dxa"/>
              <w:left w:w="0" w:type="dxa"/>
              <w:bottom w:w="30" w:type="dxa"/>
              <w:right w:w="20" w:type="dxa"/>
            </w:tcMar>
            <w:vAlign w:val="bottom"/>
            <w:hideMark/>
          </w:tcPr>
          <w:p w14:paraId="25B45D0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18A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00546C" w14:textId="77777777" w:rsidR="00000000" w:rsidRDefault="001A570A">
            <w:pPr>
              <w:jc w:val="right"/>
              <w:rPr>
                <w:rFonts w:eastAsia="Times New Roman"/>
              </w:rPr>
            </w:pPr>
            <w:r>
              <w:rPr>
                <w:rFonts w:eastAsia="Times New Roman"/>
                <w:color w:val="000000"/>
                <w:sz w:val="20"/>
                <w:szCs w:val="20"/>
              </w:rPr>
              <w:t>(1,527)</w:t>
            </w:r>
          </w:p>
        </w:tc>
        <w:tc>
          <w:tcPr>
            <w:tcW w:w="0" w:type="auto"/>
            <w:shd w:val="clear" w:color="auto" w:fill="FFFFFF"/>
            <w:tcMar>
              <w:top w:w="30" w:type="dxa"/>
              <w:left w:w="0" w:type="dxa"/>
              <w:bottom w:w="30" w:type="dxa"/>
              <w:right w:w="20" w:type="dxa"/>
            </w:tcMar>
            <w:vAlign w:val="bottom"/>
            <w:hideMark/>
          </w:tcPr>
          <w:p w14:paraId="47B3710D" w14:textId="77777777" w:rsidR="00000000" w:rsidRDefault="001A570A">
            <w:pPr>
              <w:jc w:val="right"/>
              <w:rPr>
                <w:rFonts w:eastAsia="Times New Roman"/>
              </w:rPr>
            </w:pPr>
          </w:p>
        </w:tc>
        <w:tc>
          <w:tcPr>
            <w:tcW w:w="0" w:type="auto"/>
            <w:vAlign w:val="center"/>
            <w:hideMark/>
          </w:tcPr>
          <w:p w14:paraId="4A04D3F1" w14:textId="77777777" w:rsidR="00000000" w:rsidRDefault="001A570A">
            <w:pPr>
              <w:jc w:val="right"/>
              <w:rPr>
                <w:rFonts w:eastAsia="Times New Roman"/>
                <w:sz w:val="20"/>
                <w:szCs w:val="20"/>
              </w:rPr>
            </w:pPr>
          </w:p>
        </w:tc>
        <w:tc>
          <w:tcPr>
            <w:tcW w:w="0" w:type="auto"/>
            <w:vAlign w:val="center"/>
            <w:hideMark/>
          </w:tcPr>
          <w:p w14:paraId="3643A4AF" w14:textId="77777777" w:rsidR="00000000" w:rsidRDefault="001A570A">
            <w:pPr>
              <w:rPr>
                <w:rFonts w:eastAsia="Times New Roman"/>
                <w:sz w:val="20"/>
                <w:szCs w:val="20"/>
              </w:rPr>
            </w:pPr>
          </w:p>
        </w:tc>
      </w:tr>
      <w:tr w:rsidR="00000000" w14:paraId="3D0B4E67" w14:textId="77777777">
        <w:trPr>
          <w:divId w:val="269431302"/>
        </w:trPr>
        <w:tc>
          <w:tcPr>
            <w:tcW w:w="0" w:type="auto"/>
            <w:gridSpan w:val="3"/>
            <w:shd w:val="clear" w:color="auto" w:fill="CCEEFF"/>
            <w:tcMar>
              <w:top w:w="0" w:type="dxa"/>
              <w:left w:w="20" w:type="dxa"/>
              <w:bottom w:w="0" w:type="dxa"/>
              <w:right w:w="20" w:type="dxa"/>
            </w:tcMar>
            <w:vAlign w:val="center"/>
            <w:hideMark/>
          </w:tcPr>
          <w:p w14:paraId="2C927C35"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B3C49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898556" w14:textId="77777777" w:rsidR="00000000" w:rsidRDefault="001A570A">
            <w:pPr>
              <w:jc w:val="right"/>
              <w:rPr>
                <w:rFonts w:eastAsia="Times New Roman"/>
              </w:rPr>
            </w:pPr>
            <w:r>
              <w:rPr>
                <w:rFonts w:eastAsia="Times New Roman"/>
                <w:color w:val="000000"/>
                <w:sz w:val="20"/>
                <w:szCs w:val="20"/>
              </w:rPr>
              <w:t>2,102 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CCFB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1CCF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81C52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752855" w14:textId="77777777" w:rsidR="00000000" w:rsidRDefault="001A570A">
            <w:pPr>
              <w:jc w:val="right"/>
              <w:rPr>
                <w:rFonts w:eastAsia="Times New Roman"/>
              </w:rPr>
            </w:pPr>
            <w:r>
              <w:rPr>
                <w:rFonts w:eastAsia="Times New Roman"/>
                <w:color w:val="000000"/>
                <w:sz w:val="20"/>
                <w:szCs w:val="20"/>
              </w:rPr>
              <w:t>2,117 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992370" w14:textId="77777777" w:rsidR="00000000" w:rsidRDefault="001A570A">
            <w:pPr>
              <w:jc w:val="right"/>
              <w:rPr>
                <w:rFonts w:eastAsia="Times New Roman"/>
              </w:rPr>
            </w:pPr>
          </w:p>
        </w:tc>
        <w:tc>
          <w:tcPr>
            <w:tcW w:w="0" w:type="auto"/>
            <w:vAlign w:val="center"/>
            <w:hideMark/>
          </w:tcPr>
          <w:p w14:paraId="31F1795F" w14:textId="77777777" w:rsidR="00000000" w:rsidRDefault="001A570A">
            <w:pPr>
              <w:jc w:val="right"/>
              <w:rPr>
                <w:rFonts w:eastAsia="Times New Roman"/>
                <w:sz w:val="20"/>
                <w:szCs w:val="20"/>
              </w:rPr>
            </w:pPr>
          </w:p>
        </w:tc>
        <w:tc>
          <w:tcPr>
            <w:tcW w:w="0" w:type="auto"/>
            <w:vAlign w:val="center"/>
            <w:hideMark/>
          </w:tcPr>
          <w:p w14:paraId="17CA0AC1" w14:textId="77777777" w:rsidR="00000000" w:rsidRDefault="001A570A">
            <w:pPr>
              <w:rPr>
                <w:rFonts w:eastAsia="Times New Roman"/>
                <w:sz w:val="20"/>
                <w:szCs w:val="20"/>
              </w:rPr>
            </w:pPr>
          </w:p>
        </w:tc>
      </w:tr>
    </w:tbl>
    <w:p w14:paraId="75CB9969" w14:textId="77777777" w:rsidR="00000000" w:rsidRDefault="001A570A">
      <w:pPr>
        <w:ind w:firstLine="450"/>
        <w:divId w:val="375667973"/>
        <w:rPr>
          <w:rFonts w:eastAsia="Times New Roman"/>
        </w:rPr>
      </w:pPr>
      <w:r>
        <w:rPr>
          <w:rFonts w:eastAsia="Times New Roman"/>
          <w:color w:val="000000"/>
          <w:sz w:val="20"/>
          <w:szCs w:val="20"/>
        </w:rPr>
        <w:t>Depreciation and amortization expense related to property, plant and equipment was $318 million, $157 million, $138 million and $143 million in fiscal 2020, the two quarters ended January 3, 2020, and fiscal 2019 and 2018, respectively.</w:t>
      </w:r>
    </w:p>
    <w:p w14:paraId="1EC942BD" w14:textId="77777777" w:rsidR="00000000" w:rsidRDefault="001A570A">
      <w:pPr>
        <w:ind w:firstLine="450"/>
        <w:divId w:val="315426160"/>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11: Intangible Assets</w:t>
      </w:r>
      <w:r>
        <w:rPr>
          <w:rFonts w:eastAsia="Times New Roman"/>
          <w:color w:val="000000"/>
          <w:sz w:val="20"/>
          <w:szCs w:val="20"/>
        </w:rPr>
        <w:t xml:space="preserve"> in these Notes, in conjunction with, and in advance of, the tests of goodwill related to our Commercial Aviation Solutions reporting unit, we recorded a $257 million non-cash impairment charge for l</w:t>
      </w:r>
      <w:r>
        <w:rPr>
          <w:rFonts w:eastAsia="Times New Roman"/>
          <w:color w:val="000000"/>
          <w:sz w:val="20"/>
          <w:szCs w:val="20"/>
        </w:rPr>
        <w:t>ong-lived assets, including a $103 million impairment charge for property, plant and equipment, which is included in the “Impairment of goodwill and other assets” line item in our Consolidated Statement of Income for fiscal 2020.</w:t>
      </w:r>
    </w:p>
    <w:p w14:paraId="2A120E39" w14:textId="77777777" w:rsidR="00000000" w:rsidRDefault="001A570A">
      <w:pPr>
        <w:divId w:val="538588776"/>
        <w:rPr>
          <w:rFonts w:eastAsia="Times New Roman"/>
        </w:rPr>
      </w:pPr>
      <w:r>
        <w:rPr>
          <w:rFonts w:eastAsia="Times New Roman"/>
          <w:b/>
          <w:bCs/>
          <w:color w:val="000000"/>
          <w:sz w:val="20"/>
          <w:szCs w:val="20"/>
        </w:rPr>
        <w:t>NOTE 10: GOODWILL</w:t>
      </w:r>
      <w:r>
        <w:rPr>
          <w:rFonts w:eastAsia="Times New Roman"/>
          <w:b/>
          <w:bCs/>
          <w:i/>
          <w:iCs/>
          <w:color w:val="000000"/>
          <w:sz w:val="20"/>
          <w:szCs w:val="20"/>
        </w:rPr>
        <w:t xml:space="preserve"> </w:t>
      </w:r>
    </w:p>
    <w:p w14:paraId="11B87814" w14:textId="77777777" w:rsidR="00000000" w:rsidRDefault="001A570A">
      <w:pPr>
        <w:ind w:firstLine="450"/>
        <w:divId w:val="1280985959"/>
        <w:rPr>
          <w:rFonts w:eastAsia="Times New Roman"/>
        </w:rPr>
      </w:pPr>
      <w:r>
        <w:rPr>
          <w:rFonts w:eastAsia="Times New Roman"/>
          <w:color w:val="000000"/>
          <w:sz w:val="20"/>
          <w:szCs w:val="20"/>
        </w:rPr>
        <w:t>As disc</w:t>
      </w:r>
      <w:r>
        <w:rPr>
          <w:rFonts w:eastAsia="Times New Roman"/>
          <w:color w:val="000000"/>
          <w:sz w:val="20"/>
          <w:szCs w:val="20"/>
        </w:rPr>
        <w:t xml:space="preserve">ussed in </w:t>
      </w:r>
      <w:r>
        <w:rPr>
          <w:rFonts w:eastAsia="Times New Roman"/>
          <w:i/>
          <w:iCs/>
          <w:color w:val="000000"/>
          <w:sz w:val="20"/>
          <w:szCs w:val="20"/>
        </w:rPr>
        <w:t>Note 25: Business Segments</w:t>
      </w:r>
      <w:r>
        <w:rPr>
          <w:rFonts w:eastAsia="Times New Roman"/>
          <w:color w:val="000000"/>
          <w:sz w:val="20"/>
          <w:szCs w:val="20"/>
        </w:rPr>
        <w:t xml:space="preserve"> in these Notes, after the completion of the L3Harris Merger, we adjusted our segment reporting to reflect our new organizational structure effective June 29, 2019. Immediately before and after our goodwill assignments, w</w:t>
      </w:r>
      <w:r>
        <w:rPr>
          <w:rFonts w:eastAsia="Times New Roman"/>
          <w:color w:val="000000"/>
          <w:sz w:val="20"/>
          <w:szCs w:val="20"/>
        </w:rPr>
        <w:t>e completed an assessment of any potential goodwill impairment under our former and new segment reporting structure and determined that no impairment existed.</w:t>
      </w:r>
    </w:p>
    <w:p w14:paraId="6CE342CC" w14:textId="77777777" w:rsidR="00000000" w:rsidRDefault="001A570A">
      <w:pPr>
        <w:ind w:firstLine="450"/>
        <w:divId w:val="1348754942"/>
        <w:rPr>
          <w:rFonts w:eastAsia="Times New Roman"/>
        </w:rPr>
      </w:pPr>
      <w:r>
        <w:rPr>
          <w:rFonts w:eastAsia="Times New Roman"/>
          <w:color w:val="000000"/>
          <w:sz w:val="20"/>
          <w:szCs w:val="20"/>
        </w:rPr>
        <w:t>The assignment of goodwill by business segment, and changes in the carrying amount of goodwill, b</w:t>
      </w:r>
      <w:r>
        <w:rPr>
          <w:rFonts w:eastAsia="Times New Roman"/>
          <w:color w:val="000000"/>
          <w:sz w:val="20"/>
          <w:szCs w:val="20"/>
        </w:rPr>
        <w:t xml:space="preserve">y business segment, for fiscal 2020 and the two quarters ended January 3, 2020 were as follows: </w:t>
      </w:r>
    </w:p>
    <w:tbl>
      <w:tblPr>
        <w:tblW w:w="4978" w:type="pct"/>
        <w:tblCellMar>
          <w:top w:w="15" w:type="dxa"/>
          <w:left w:w="15" w:type="dxa"/>
          <w:bottom w:w="15" w:type="dxa"/>
          <w:right w:w="15" w:type="dxa"/>
        </w:tblCellMar>
        <w:tblLook w:val="04A0" w:firstRow="1" w:lastRow="0" w:firstColumn="1" w:lastColumn="0" w:noHBand="0" w:noVBand="1"/>
      </w:tblPr>
      <w:tblGrid>
        <w:gridCol w:w="39"/>
        <w:gridCol w:w="3496"/>
        <w:gridCol w:w="38"/>
        <w:gridCol w:w="121"/>
        <w:gridCol w:w="674"/>
        <w:gridCol w:w="36"/>
        <w:gridCol w:w="36"/>
        <w:gridCol w:w="36"/>
        <w:gridCol w:w="36"/>
        <w:gridCol w:w="121"/>
        <w:gridCol w:w="597"/>
        <w:gridCol w:w="36"/>
        <w:gridCol w:w="36"/>
        <w:gridCol w:w="36"/>
        <w:gridCol w:w="36"/>
        <w:gridCol w:w="121"/>
        <w:gridCol w:w="1038"/>
        <w:gridCol w:w="36"/>
        <w:gridCol w:w="36"/>
        <w:gridCol w:w="36"/>
        <w:gridCol w:w="36"/>
        <w:gridCol w:w="120"/>
        <w:gridCol w:w="500"/>
        <w:gridCol w:w="36"/>
        <w:gridCol w:w="36"/>
        <w:gridCol w:w="36"/>
        <w:gridCol w:w="36"/>
        <w:gridCol w:w="36"/>
        <w:gridCol w:w="36"/>
        <w:gridCol w:w="120"/>
        <w:gridCol w:w="600"/>
        <w:gridCol w:w="36"/>
      </w:tblGrid>
      <w:tr w:rsidR="00000000" w14:paraId="63249F80" w14:textId="77777777">
        <w:trPr>
          <w:divId w:val="1772970091"/>
        </w:trPr>
        <w:tc>
          <w:tcPr>
            <w:tcW w:w="50" w:type="pct"/>
            <w:vAlign w:val="center"/>
            <w:hideMark/>
          </w:tcPr>
          <w:p w14:paraId="65867A67" w14:textId="77777777" w:rsidR="00000000" w:rsidRDefault="001A570A">
            <w:pPr>
              <w:ind w:firstLine="450"/>
              <w:rPr>
                <w:rFonts w:eastAsia="Times New Roman"/>
              </w:rPr>
            </w:pPr>
          </w:p>
        </w:tc>
        <w:tc>
          <w:tcPr>
            <w:tcW w:w="2246" w:type="pct"/>
            <w:vAlign w:val="center"/>
            <w:hideMark/>
          </w:tcPr>
          <w:p w14:paraId="7312A9A4" w14:textId="77777777" w:rsidR="00000000" w:rsidRDefault="001A570A">
            <w:pPr>
              <w:rPr>
                <w:rFonts w:eastAsia="Times New Roman"/>
                <w:sz w:val="20"/>
                <w:szCs w:val="20"/>
              </w:rPr>
            </w:pPr>
          </w:p>
        </w:tc>
        <w:tc>
          <w:tcPr>
            <w:tcW w:w="5" w:type="pct"/>
            <w:vAlign w:val="center"/>
            <w:hideMark/>
          </w:tcPr>
          <w:p w14:paraId="2E02EBD2" w14:textId="77777777" w:rsidR="00000000" w:rsidRDefault="001A570A">
            <w:pPr>
              <w:rPr>
                <w:rFonts w:eastAsia="Times New Roman"/>
                <w:sz w:val="20"/>
                <w:szCs w:val="20"/>
              </w:rPr>
            </w:pPr>
          </w:p>
        </w:tc>
        <w:tc>
          <w:tcPr>
            <w:tcW w:w="50" w:type="pct"/>
            <w:vAlign w:val="center"/>
            <w:hideMark/>
          </w:tcPr>
          <w:p w14:paraId="411D98DA" w14:textId="77777777" w:rsidR="00000000" w:rsidRDefault="001A570A">
            <w:pPr>
              <w:rPr>
                <w:rFonts w:eastAsia="Times New Roman"/>
                <w:sz w:val="20"/>
                <w:szCs w:val="20"/>
              </w:rPr>
            </w:pPr>
          </w:p>
        </w:tc>
        <w:tc>
          <w:tcPr>
            <w:tcW w:w="428" w:type="pct"/>
            <w:vAlign w:val="center"/>
            <w:hideMark/>
          </w:tcPr>
          <w:p w14:paraId="277DBA90" w14:textId="77777777" w:rsidR="00000000" w:rsidRDefault="001A570A">
            <w:pPr>
              <w:rPr>
                <w:rFonts w:eastAsia="Times New Roman"/>
                <w:sz w:val="20"/>
                <w:szCs w:val="20"/>
              </w:rPr>
            </w:pPr>
          </w:p>
        </w:tc>
        <w:tc>
          <w:tcPr>
            <w:tcW w:w="5" w:type="pct"/>
            <w:vAlign w:val="center"/>
            <w:hideMark/>
          </w:tcPr>
          <w:p w14:paraId="1D6AF836" w14:textId="77777777" w:rsidR="00000000" w:rsidRDefault="001A570A">
            <w:pPr>
              <w:rPr>
                <w:rFonts w:eastAsia="Times New Roman"/>
                <w:sz w:val="20"/>
                <w:szCs w:val="20"/>
              </w:rPr>
            </w:pPr>
          </w:p>
        </w:tc>
        <w:tc>
          <w:tcPr>
            <w:tcW w:w="5" w:type="pct"/>
            <w:vAlign w:val="center"/>
            <w:hideMark/>
          </w:tcPr>
          <w:p w14:paraId="2BC0F78D" w14:textId="77777777" w:rsidR="00000000" w:rsidRDefault="001A570A">
            <w:pPr>
              <w:rPr>
                <w:rFonts w:eastAsia="Times New Roman"/>
                <w:sz w:val="20"/>
                <w:szCs w:val="20"/>
              </w:rPr>
            </w:pPr>
          </w:p>
        </w:tc>
        <w:tc>
          <w:tcPr>
            <w:tcW w:w="26" w:type="pct"/>
            <w:vAlign w:val="center"/>
            <w:hideMark/>
          </w:tcPr>
          <w:p w14:paraId="24E59E16" w14:textId="77777777" w:rsidR="00000000" w:rsidRDefault="001A570A">
            <w:pPr>
              <w:rPr>
                <w:rFonts w:eastAsia="Times New Roman"/>
                <w:sz w:val="20"/>
                <w:szCs w:val="20"/>
              </w:rPr>
            </w:pPr>
          </w:p>
        </w:tc>
        <w:tc>
          <w:tcPr>
            <w:tcW w:w="5" w:type="pct"/>
            <w:vAlign w:val="center"/>
            <w:hideMark/>
          </w:tcPr>
          <w:p w14:paraId="17EE7EDF" w14:textId="77777777" w:rsidR="00000000" w:rsidRDefault="001A570A">
            <w:pPr>
              <w:rPr>
                <w:rFonts w:eastAsia="Times New Roman"/>
                <w:sz w:val="20"/>
                <w:szCs w:val="20"/>
              </w:rPr>
            </w:pPr>
          </w:p>
        </w:tc>
        <w:tc>
          <w:tcPr>
            <w:tcW w:w="50" w:type="pct"/>
            <w:vAlign w:val="center"/>
            <w:hideMark/>
          </w:tcPr>
          <w:p w14:paraId="3385F26D" w14:textId="77777777" w:rsidR="00000000" w:rsidRDefault="001A570A">
            <w:pPr>
              <w:rPr>
                <w:rFonts w:eastAsia="Times New Roman"/>
                <w:sz w:val="20"/>
                <w:szCs w:val="20"/>
              </w:rPr>
            </w:pPr>
          </w:p>
        </w:tc>
        <w:tc>
          <w:tcPr>
            <w:tcW w:w="435" w:type="pct"/>
            <w:vAlign w:val="center"/>
            <w:hideMark/>
          </w:tcPr>
          <w:p w14:paraId="34B20907" w14:textId="77777777" w:rsidR="00000000" w:rsidRDefault="001A570A">
            <w:pPr>
              <w:rPr>
                <w:rFonts w:eastAsia="Times New Roman"/>
                <w:sz w:val="20"/>
                <w:szCs w:val="20"/>
              </w:rPr>
            </w:pPr>
          </w:p>
        </w:tc>
        <w:tc>
          <w:tcPr>
            <w:tcW w:w="5" w:type="pct"/>
            <w:vAlign w:val="center"/>
            <w:hideMark/>
          </w:tcPr>
          <w:p w14:paraId="2D112BAF" w14:textId="77777777" w:rsidR="00000000" w:rsidRDefault="001A570A">
            <w:pPr>
              <w:rPr>
                <w:rFonts w:eastAsia="Times New Roman"/>
                <w:sz w:val="20"/>
                <w:szCs w:val="20"/>
              </w:rPr>
            </w:pPr>
          </w:p>
        </w:tc>
        <w:tc>
          <w:tcPr>
            <w:tcW w:w="5" w:type="pct"/>
            <w:vAlign w:val="center"/>
            <w:hideMark/>
          </w:tcPr>
          <w:p w14:paraId="06C59FC3" w14:textId="77777777" w:rsidR="00000000" w:rsidRDefault="001A570A">
            <w:pPr>
              <w:rPr>
                <w:rFonts w:eastAsia="Times New Roman"/>
                <w:sz w:val="20"/>
                <w:szCs w:val="20"/>
              </w:rPr>
            </w:pPr>
          </w:p>
        </w:tc>
        <w:tc>
          <w:tcPr>
            <w:tcW w:w="26" w:type="pct"/>
            <w:vAlign w:val="center"/>
            <w:hideMark/>
          </w:tcPr>
          <w:p w14:paraId="668E9E61" w14:textId="77777777" w:rsidR="00000000" w:rsidRDefault="001A570A">
            <w:pPr>
              <w:rPr>
                <w:rFonts w:eastAsia="Times New Roman"/>
                <w:sz w:val="20"/>
                <w:szCs w:val="20"/>
              </w:rPr>
            </w:pPr>
          </w:p>
        </w:tc>
        <w:tc>
          <w:tcPr>
            <w:tcW w:w="5" w:type="pct"/>
            <w:vAlign w:val="center"/>
            <w:hideMark/>
          </w:tcPr>
          <w:p w14:paraId="085EE554" w14:textId="77777777" w:rsidR="00000000" w:rsidRDefault="001A570A">
            <w:pPr>
              <w:rPr>
                <w:rFonts w:eastAsia="Times New Roman"/>
                <w:sz w:val="20"/>
                <w:szCs w:val="20"/>
              </w:rPr>
            </w:pPr>
          </w:p>
        </w:tc>
        <w:tc>
          <w:tcPr>
            <w:tcW w:w="50" w:type="pct"/>
            <w:vAlign w:val="center"/>
            <w:hideMark/>
          </w:tcPr>
          <w:p w14:paraId="3B90852F" w14:textId="77777777" w:rsidR="00000000" w:rsidRDefault="001A570A">
            <w:pPr>
              <w:rPr>
                <w:rFonts w:eastAsia="Times New Roman"/>
                <w:sz w:val="20"/>
                <w:szCs w:val="20"/>
              </w:rPr>
            </w:pPr>
          </w:p>
        </w:tc>
        <w:tc>
          <w:tcPr>
            <w:tcW w:w="543" w:type="pct"/>
            <w:vAlign w:val="center"/>
            <w:hideMark/>
          </w:tcPr>
          <w:p w14:paraId="3252225C" w14:textId="77777777" w:rsidR="00000000" w:rsidRDefault="001A570A">
            <w:pPr>
              <w:rPr>
                <w:rFonts w:eastAsia="Times New Roman"/>
                <w:sz w:val="20"/>
                <w:szCs w:val="20"/>
              </w:rPr>
            </w:pPr>
          </w:p>
        </w:tc>
        <w:tc>
          <w:tcPr>
            <w:tcW w:w="5" w:type="pct"/>
            <w:vAlign w:val="center"/>
            <w:hideMark/>
          </w:tcPr>
          <w:p w14:paraId="13FCE570" w14:textId="77777777" w:rsidR="00000000" w:rsidRDefault="001A570A">
            <w:pPr>
              <w:rPr>
                <w:rFonts w:eastAsia="Times New Roman"/>
                <w:sz w:val="20"/>
                <w:szCs w:val="20"/>
              </w:rPr>
            </w:pPr>
          </w:p>
        </w:tc>
        <w:tc>
          <w:tcPr>
            <w:tcW w:w="5" w:type="pct"/>
            <w:vAlign w:val="center"/>
            <w:hideMark/>
          </w:tcPr>
          <w:p w14:paraId="67FAAE23" w14:textId="77777777" w:rsidR="00000000" w:rsidRDefault="001A570A">
            <w:pPr>
              <w:rPr>
                <w:rFonts w:eastAsia="Times New Roman"/>
                <w:sz w:val="20"/>
                <w:szCs w:val="20"/>
              </w:rPr>
            </w:pPr>
          </w:p>
        </w:tc>
        <w:tc>
          <w:tcPr>
            <w:tcW w:w="26" w:type="pct"/>
            <w:vAlign w:val="center"/>
            <w:hideMark/>
          </w:tcPr>
          <w:p w14:paraId="16F75440" w14:textId="77777777" w:rsidR="00000000" w:rsidRDefault="001A570A">
            <w:pPr>
              <w:rPr>
                <w:rFonts w:eastAsia="Times New Roman"/>
                <w:sz w:val="20"/>
                <w:szCs w:val="20"/>
              </w:rPr>
            </w:pPr>
          </w:p>
        </w:tc>
        <w:tc>
          <w:tcPr>
            <w:tcW w:w="5" w:type="pct"/>
            <w:vAlign w:val="center"/>
            <w:hideMark/>
          </w:tcPr>
          <w:p w14:paraId="2967E56E" w14:textId="77777777" w:rsidR="00000000" w:rsidRDefault="001A570A">
            <w:pPr>
              <w:rPr>
                <w:rFonts w:eastAsia="Times New Roman"/>
                <w:sz w:val="20"/>
                <w:szCs w:val="20"/>
              </w:rPr>
            </w:pPr>
          </w:p>
        </w:tc>
        <w:tc>
          <w:tcPr>
            <w:tcW w:w="50" w:type="pct"/>
            <w:vAlign w:val="center"/>
            <w:hideMark/>
          </w:tcPr>
          <w:p w14:paraId="11D9800F" w14:textId="77777777" w:rsidR="00000000" w:rsidRDefault="001A570A">
            <w:pPr>
              <w:rPr>
                <w:rFonts w:eastAsia="Times New Roman"/>
                <w:sz w:val="20"/>
                <w:szCs w:val="20"/>
              </w:rPr>
            </w:pPr>
          </w:p>
        </w:tc>
        <w:tc>
          <w:tcPr>
            <w:tcW w:w="435" w:type="pct"/>
            <w:vAlign w:val="center"/>
            <w:hideMark/>
          </w:tcPr>
          <w:p w14:paraId="601283C8" w14:textId="77777777" w:rsidR="00000000" w:rsidRDefault="001A570A">
            <w:pPr>
              <w:rPr>
                <w:rFonts w:eastAsia="Times New Roman"/>
                <w:sz w:val="20"/>
                <w:szCs w:val="20"/>
              </w:rPr>
            </w:pPr>
          </w:p>
        </w:tc>
        <w:tc>
          <w:tcPr>
            <w:tcW w:w="5" w:type="pct"/>
            <w:vAlign w:val="center"/>
            <w:hideMark/>
          </w:tcPr>
          <w:p w14:paraId="415682AC" w14:textId="77777777" w:rsidR="00000000" w:rsidRDefault="001A570A">
            <w:pPr>
              <w:rPr>
                <w:rFonts w:eastAsia="Times New Roman"/>
                <w:sz w:val="20"/>
                <w:szCs w:val="20"/>
              </w:rPr>
            </w:pPr>
          </w:p>
        </w:tc>
        <w:tc>
          <w:tcPr>
            <w:tcW w:w="0" w:type="auto"/>
            <w:vAlign w:val="center"/>
            <w:hideMark/>
          </w:tcPr>
          <w:p w14:paraId="2EDFD35B" w14:textId="77777777" w:rsidR="00000000" w:rsidRDefault="001A570A">
            <w:pPr>
              <w:rPr>
                <w:rFonts w:eastAsia="Times New Roman"/>
                <w:sz w:val="20"/>
                <w:szCs w:val="20"/>
              </w:rPr>
            </w:pPr>
          </w:p>
        </w:tc>
        <w:tc>
          <w:tcPr>
            <w:tcW w:w="0" w:type="auto"/>
            <w:vAlign w:val="center"/>
            <w:hideMark/>
          </w:tcPr>
          <w:p w14:paraId="5BBC1FDA" w14:textId="77777777" w:rsidR="00000000" w:rsidRDefault="001A570A">
            <w:pPr>
              <w:rPr>
                <w:rFonts w:eastAsia="Times New Roman"/>
                <w:sz w:val="20"/>
                <w:szCs w:val="20"/>
              </w:rPr>
            </w:pPr>
          </w:p>
        </w:tc>
        <w:tc>
          <w:tcPr>
            <w:tcW w:w="5" w:type="pct"/>
            <w:vAlign w:val="center"/>
            <w:hideMark/>
          </w:tcPr>
          <w:p w14:paraId="5B1EC735" w14:textId="77777777" w:rsidR="00000000" w:rsidRDefault="001A570A">
            <w:pPr>
              <w:rPr>
                <w:rFonts w:eastAsia="Times New Roman"/>
                <w:sz w:val="20"/>
                <w:szCs w:val="20"/>
              </w:rPr>
            </w:pPr>
          </w:p>
        </w:tc>
        <w:tc>
          <w:tcPr>
            <w:tcW w:w="26" w:type="pct"/>
            <w:vAlign w:val="center"/>
            <w:hideMark/>
          </w:tcPr>
          <w:p w14:paraId="46CD345D" w14:textId="77777777" w:rsidR="00000000" w:rsidRDefault="001A570A">
            <w:pPr>
              <w:rPr>
                <w:rFonts w:eastAsia="Times New Roman"/>
                <w:sz w:val="20"/>
                <w:szCs w:val="20"/>
              </w:rPr>
            </w:pPr>
          </w:p>
        </w:tc>
        <w:tc>
          <w:tcPr>
            <w:tcW w:w="5" w:type="pct"/>
            <w:vAlign w:val="center"/>
            <w:hideMark/>
          </w:tcPr>
          <w:p w14:paraId="495EB425" w14:textId="77777777" w:rsidR="00000000" w:rsidRDefault="001A570A">
            <w:pPr>
              <w:rPr>
                <w:rFonts w:eastAsia="Times New Roman"/>
                <w:sz w:val="20"/>
                <w:szCs w:val="20"/>
              </w:rPr>
            </w:pPr>
          </w:p>
        </w:tc>
        <w:tc>
          <w:tcPr>
            <w:tcW w:w="50" w:type="pct"/>
            <w:vAlign w:val="center"/>
            <w:hideMark/>
          </w:tcPr>
          <w:p w14:paraId="5131B98B" w14:textId="77777777" w:rsidR="00000000" w:rsidRDefault="001A570A">
            <w:pPr>
              <w:rPr>
                <w:rFonts w:eastAsia="Times New Roman"/>
                <w:sz w:val="20"/>
                <w:szCs w:val="20"/>
              </w:rPr>
            </w:pPr>
          </w:p>
        </w:tc>
        <w:tc>
          <w:tcPr>
            <w:tcW w:w="435" w:type="pct"/>
            <w:vAlign w:val="center"/>
            <w:hideMark/>
          </w:tcPr>
          <w:p w14:paraId="7BA7FBFC" w14:textId="77777777" w:rsidR="00000000" w:rsidRDefault="001A570A">
            <w:pPr>
              <w:rPr>
                <w:rFonts w:eastAsia="Times New Roman"/>
                <w:sz w:val="20"/>
                <w:szCs w:val="20"/>
              </w:rPr>
            </w:pPr>
          </w:p>
        </w:tc>
        <w:tc>
          <w:tcPr>
            <w:tcW w:w="5" w:type="pct"/>
            <w:vAlign w:val="center"/>
            <w:hideMark/>
          </w:tcPr>
          <w:p w14:paraId="767AE15D" w14:textId="77777777" w:rsidR="00000000" w:rsidRDefault="001A570A">
            <w:pPr>
              <w:rPr>
                <w:rFonts w:eastAsia="Times New Roman"/>
                <w:sz w:val="20"/>
                <w:szCs w:val="20"/>
              </w:rPr>
            </w:pPr>
          </w:p>
        </w:tc>
      </w:tr>
      <w:tr w:rsidR="00000000" w14:paraId="0652372B" w14:textId="77777777">
        <w:trPr>
          <w:divId w:val="1772970091"/>
        </w:trPr>
        <w:tc>
          <w:tcPr>
            <w:tcW w:w="0" w:type="auto"/>
            <w:gridSpan w:val="3"/>
            <w:tcMar>
              <w:top w:w="30" w:type="dxa"/>
              <w:left w:w="20" w:type="dxa"/>
              <w:bottom w:w="30" w:type="dxa"/>
              <w:right w:w="20" w:type="dxa"/>
            </w:tcMar>
            <w:vAlign w:val="bottom"/>
            <w:hideMark/>
          </w:tcPr>
          <w:p w14:paraId="0F07CEF0"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99A9412" w14:textId="77777777" w:rsidR="00000000" w:rsidRDefault="001A570A">
            <w:pPr>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14:paraId="7A2F49E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3343609" w14:textId="77777777" w:rsidR="00000000" w:rsidRDefault="001A570A">
            <w:pPr>
              <w:jc w:val="center"/>
              <w:rPr>
                <w:rFonts w:eastAsia="Times New Roman"/>
              </w:rPr>
            </w:pPr>
            <w:r>
              <w:rPr>
                <w:rFonts w:eastAsia="Times New Roman"/>
                <w:b/>
                <w:bCs/>
                <w:color w:val="000000"/>
                <w:sz w:val="16"/>
                <w:szCs w:val="16"/>
              </w:rPr>
              <w:t>Space and Airborne Systems</w:t>
            </w:r>
          </w:p>
        </w:tc>
        <w:tc>
          <w:tcPr>
            <w:tcW w:w="0" w:type="auto"/>
            <w:gridSpan w:val="3"/>
            <w:tcMar>
              <w:top w:w="0" w:type="dxa"/>
              <w:left w:w="20" w:type="dxa"/>
              <w:bottom w:w="0" w:type="dxa"/>
              <w:right w:w="20" w:type="dxa"/>
            </w:tcMar>
            <w:vAlign w:val="center"/>
            <w:hideMark/>
          </w:tcPr>
          <w:p w14:paraId="0509B371"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035A40F" w14:textId="77777777" w:rsidR="00000000" w:rsidRDefault="001A570A">
            <w:pPr>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14:paraId="04E3B227"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E363D23" w14:textId="77777777" w:rsidR="00000000" w:rsidRDefault="001A570A">
            <w:pPr>
              <w:jc w:val="center"/>
              <w:rPr>
                <w:rFonts w:eastAsia="Times New Roman"/>
              </w:rPr>
            </w:pPr>
            <w:r>
              <w:rPr>
                <w:rFonts w:eastAsia="Times New Roman"/>
                <w:b/>
                <w:bCs/>
                <w:color w:val="000000"/>
                <w:sz w:val="16"/>
                <w:szCs w:val="16"/>
              </w:rPr>
              <w:t>Aviation Systems</w:t>
            </w:r>
          </w:p>
        </w:tc>
        <w:tc>
          <w:tcPr>
            <w:tcW w:w="0" w:type="auto"/>
            <w:vAlign w:val="center"/>
            <w:hideMark/>
          </w:tcPr>
          <w:p w14:paraId="71D43FAE" w14:textId="77777777" w:rsidR="00000000" w:rsidRDefault="001A570A">
            <w:pPr>
              <w:jc w:val="center"/>
              <w:rPr>
                <w:rFonts w:eastAsia="Times New Roman"/>
              </w:rPr>
            </w:pPr>
          </w:p>
        </w:tc>
        <w:tc>
          <w:tcPr>
            <w:tcW w:w="0" w:type="auto"/>
            <w:vAlign w:val="center"/>
            <w:hideMark/>
          </w:tcPr>
          <w:p w14:paraId="769BD97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3F3842C"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40227E40" w14:textId="77777777" w:rsidR="00000000" w:rsidRDefault="001A570A">
            <w:pPr>
              <w:jc w:val="center"/>
              <w:rPr>
                <w:rFonts w:eastAsia="Times New Roman"/>
              </w:rPr>
            </w:pPr>
            <w:r>
              <w:rPr>
                <w:rFonts w:eastAsia="Times New Roman"/>
                <w:b/>
                <w:bCs/>
                <w:color w:val="000000"/>
                <w:sz w:val="16"/>
                <w:szCs w:val="16"/>
              </w:rPr>
              <w:t>Total</w:t>
            </w:r>
          </w:p>
        </w:tc>
      </w:tr>
      <w:tr w:rsidR="00000000" w14:paraId="0150B5E3" w14:textId="77777777">
        <w:trPr>
          <w:divId w:val="1772970091"/>
          <w:trHeight w:val="60"/>
        </w:trPr>
        <w:tc>
          <w:tcPr>
            <w:tcW w:w="0" w:type="auto"/>
            <w:gridSpan w:val="3"/>
            <w:tcMar>
              <w:top w:w="0" w:type="dxa"/>
              <w:left w:w="20" w:type="dxa"/>
              <w:bottom w:w="0" w:type="dxa"/>
              <w:right w:w="20" w:type="dxa"/>
            </w:tcMar>
            <w:vAlign w:val="center"/>
            <w:hideMark/>
          </w:tcPr>
          <w:p w14:paraId="1B1B1EE7"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A7D32D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013974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9E60E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8F8FC1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EB438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68AC86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378F34" w14:textId="77777777" w:rsidR="00000000" w:rsidRDefault="001A570A">
            <w:pPr>
              <w:rPr>
                <w:rFonts w:eastAsia="Times New Roman"/>
                <w:sz w:val="20"/>
                <w:szCs w:val="20"/>
              </w:rPr>
            </w:pPr>
          </w:p>
        </w:tc>
        <w:tc>
          <w:tcPr>
            <w:tcW w:w="0" w:type="auto"/>
            <w:vAlign w:val="center"/>
            <w:hideMark/>
          </w:tcPr>
          <w:p w14:paraId="4F7DB207" w14:textId="77777777" w:rsidR="00000000" w:rsidRDefault="001A570A">
            <w:pPr>
              <w:rPr>
                <w:rFonts w:eastAsia="Times New Roman"/>
                <w:sz w:val="20"/>
                <w:szCs w:val="20"/>
              </w:rPr>
            </w:pPr>
          </w:p>
        </w:tc>
        <w:tc>
          <w:tcPr>
            <w:tcW w:w="0" w:type="auto"/>
            <w:vAlign w:val="center"/>
            <w:hideMark/>
          </w:tcPr>
          <w:p w14:paraId="2423A53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685ED5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EE416C" w14:textId="77777777" w:rsidR="00000000" w:rsidRDefault="001A570A">
            <w:pPr>
              <w:rPr>
                <w:rFonts w:eastAsia="Times New Roman"/>
                <w:sz w:val="20"/>
                <w:szCs w:val="20"/>
              </w:rPr>
            </w:pPr>
          </w:p>
        </w:tc>
      </w:tr>
      <w:tr w:rsidR="00000000" w14:paraId="6A41D26E" w14:textId="77777777">
        <w:trPr>
          <w:divId w:val="1772970091"/>
        </w:trPr>
        <w:tc>
          <w:tcPr>
            <w:tcW w:w="0" w:type="auto"/>
            <w:gridSpan w:val="3"/>
            <w:vAlign w:val="center"/>
            <w:hideMark/>
          </w:tcPr>
          <w:p w14:paraId="105E7D4A" w14:textId="77777777" w:rsidR="00000000" w:rsidRDefault="001A570A">
            <w:pPr>
              <w:rPr>
                <w:rFonts w:eastAsia="Times New Roman"/>
                <w:sz w:val="20"/>
                <w:szCs w:val="20"/>
              </w:rPr>
            </w:pPr>
          </w:p>
        </w:tc>
        <w:tc>
          <w:tcPr>
            <w:tcW w:w="0" w:type="auto"/>
            <w:gridSpan w:val="3"/>
            <w:vAlign w:val="center"/>
            <w:hideMark/>
          </w:tcPr>
          <w:p w14:paraId="13F93FBA" w14:textId="77777777" w:rsidR="00000000" w:rsidRDefault="001A570A">
            <w:pPr>
              <w:rPr>
                <w:rFonts w:eastAsia="Times New Roman"/>
                <w:sz w:val="20"/>
                <w:szCs w:val="20"/>
              </w:rPr>
            </w:pPr>
          </w:p>
        </w:tc>
        <w:tc>
          <w:tcPr>
            <w:tcW w:w="0" w:type="auto"/>
            <w:gridSpan w:val="3"/>
            <w:vAlign w:val="center"/>
            <w:hideMark/>
          </w:tcPr>
          <w:p w14:paraId="5C0E7841" w14:textId="77777777" w:rsidR="00000000" w:rsidRDefault="001A570A">
            <w:pPr>
              <w:rPr>
                <w:rFonts w:eastAsia="Times New Roman"/>
                <w:sz w:val="20"/>
                <w:szCs w:val="20"/>
              </w:rPr>
            </w:pPr>
          </w:p>
        </w:tc>
        <w:tc>
          <w:tcPr>
            <w:tcW w:w="0" w:type="auto"/>
            <w:gridSpan w:val="3"/>
            <w:vAlign w:val="center"/>
            <w:hideMark/>
          </w:tcPr>
          <w:p w14:paraId="32284838" w14:textId="77777777" w:rsidR="00000000" w:rsidRDefault="001A570A">
            <w:pPr>
              <w:rPr>
                <w:rFonts w:eastAsia="Times New Roman"/>
                <w:sz w:val="20"/>
                <w:szCs w:val="20"/>
              </w:rPr>
            </w:pPr>
          </w:p>
        </w:tc>
        <w:tc>
          <w:tcPr>
            <w:tcW w:w="0" w:type="auto"/>
            <w:gridSpan w:val="3"/>
            <w:vAlign w:val="center"/>
            <w:hideMark/>
          </w:tcPr>
          <w:p w14:paraId="4E674C08" w14:textId="77777777" w:rsidR="00000000" w:rsidRDefault="001A570A">
            <w:pPr>
              <w:rPr>
                <w:rFonts w:eastAsia="Times New Roman"/>
                <w:sz w:val="20"/>
                <w:szCs w:val="20"/>
              </w:rPr>
            </w:pPr>
          </w:p>
        </w:tc>
        <w:tc>
          <w:tcPr>
            <w:tcW w:w="0" w:type="auto"/>
            <w:gridSpan w:val="3"/>
            <w:vAlign w:val="center"/>
            <w:hideMark/>
          </w:tcPr>
          <w:p w14:paraId="6BDCB7E1" w14:textId="77777777" w:rsidR="00000000" w:rsidRDefault="001A570A">
            <w:pPr>
              <w:rPr>
                <w:rFonts w:eastAsia="Times New Roman"/>
                <w:sz w:val="20"/>
                <w:szCs w:val="20"/>
              </w:rPr>
            </w:pPr>
          </w:p>
        </w:tc>
        <w:tc>
          <w:tcPr>
            <w:tcW w:w="0" w:type="auto"/>
            <w:gridSpan w:val="3"/>
            <w:vAlign w:val="center"/>
            <w:hideMark/>
          </w:tcPr>
          <w:p w14:paraId="0D871EF0" w14:textId="77777777" w:rsidR="00000000" w:rsidRDefault="001A570A">
            <w:pPr>
              <w:rPr>
                <w:rFonts w:eastAsia="Times New Roman"/>
                <w:sz w:val="20"/>
                <w:szCs w:val="20"/>
              </w:rPr>
            </w:pPr>
          </w:p>
        </w:tc>
        <w:tc>
          <w:tcPr>
            <w:tcW w:w="0" w:type="auto"/>
            <w:gridSpan w:val="3"/>
            <w:vAlign w:val="center"/>
            <w:hideMark/>
          </w:tcPr>
          <w:p w14:paraId="13BA9BC1" w14:textId="77777777" w:rsidR="00000000" w:rsidRDefault="001A570A">
            <w:pPr>
              <w:rPr>
                <w:rFonts w:eastAsia="Times New Roman"/>
                <w:sz w:val="20"/>
                <w:szCs w:val="20"/>
              </w:rPr>
            </w:pPr>
          </w:p>
        </w:tc>
        <w:tc>
          <w:tcPr>
            <w:tcW w:w="0" w:type="auto"/>
            <w:vAlign w:val="center"/>
            <w:hideMark/>
          </w:tcPr>
          <w:p w14:paraId="78F60849" w14:textId="77777777" w:rsidR="00000000" w:rsidRDefault="001A570A">
            <w:pPr>
              <w:rPr>
                <w:rFonts w:eastAsia="Times New Roman"/>
                <w:sz w:val="20"/>
                <w:szCs w:val="20"/>
              </w:rPr>
            </w:pPr>
          </w:p>
        </w:tc>
        <w:tc>
          <w:tcPr>
            <w:tcW w:w="0" w:type="auto"/>
            <w:vAlign w:val="center"/>
            <w:hideMark/>
          </w:tcPr>
          <w:p w14:paraId="11A8DC2C" w14:textId="77777777" w:rsidR="00000000" w:rsidRDefault="001A570A">
            <w:pPr>
              <w:rPr>
                <w:rFonts w:eastAsia="Times New Roman"/>
                <w:sz w:val="20"/>
                <w:szCs w:val="20"/>
              </w:rPr>
            </w:pPr>
          </w:p>
        </w:tc>
        <w:tc>
          <w:tcPr>
            <w:tcW w:w="0" w:type="auto"/>
            <w:gridSpan w:val="3"/>
            <w:vAlign w:val="center"/>
            <w:hideMark/>
          </w:tcPr>
          <w:p w14:paraId="16133D02" w14:textId="77777777" w:rsidR="00000000" w:rsidRDefault="001A570A">
            <w:pPr>
              <w:rPr>
                <w:rFonts w:eastAsia="Times New Roman"/>
                <w:sz w:val="20"/>
                <w:szCs w:val="20"/>
              </w:rPr>
            </w:pPr>
          </w:p>
        </w:tc>
        <w:tc>
          <w:tcPr>
            <w:tcW w:w="0" w:type="auto"/>
            <w:gridSpan w:val="3"/>
            <w:vAlign w:val="center"/>
            <w:hideMark/>
          </w:tcPr>
          <w:p w14:paraId="7B1831F7" w14:textId="77777777" w:rsidR="00000000" w:rsidRDefault="001A570A">
            <w:pPr>
              <w:rPr>
                <w:rFonts w:eastAsia="Times New Roman"/>
                <w:sz w:val="20"/>
                <w:szCs w:val="20"/>
              </w:rPr>
            </w:pPr>
          </w:p>
        </w:tc>
      </w:tr>
      <w:tr w:rsidR="00000000" w14:paraId="5AE9638E" w14:textId="77777777">
        <w:trPr>
          <w:divId w:val="1772970091"/>
        </w:trPr>
        <w:tc>
          <w:tcPr>
            <w:tcW w:w="0" w:type="auto"/>
            <w:gridSpan w:val="3"/>
            <w:vAlign w:val="center"/>
            <w:hideMark/>
          </w:tcPr>
          <w:p w14:paraId="7A32AFFB" w14:textId="77777777" w:rsidR="00000000" w:rsidRDefault="001A570A">
            <w:pPr>
              <w:rPr>
                <w:rFonts w:eastAsia="Times New Roman"/>
                <w:sz w:val="20"/>
                <w:szCs w:val="20"/>
              </w:rPr>
            </w:pPr>
          </w:p>
        </w:tc>
        <w:tc>
          <w:tcPr>
            <w:tcW w:w="0" w:type="auto"/>
            <w:gridSpan w:val="3"/>
            <w:vAlign w:val="center"/>
            <w:hideMark/>
          </w:tcPr>
          <w:p w14:paraId="05963137" w14:textId="77777777" w:rsidR="00000000" w:rsidRDefault="001A570A">
            <w:pPr>
              <w:rPr>
                <w:rFonts w:eastAsia="Times New Roman"/>
                <w:sz w:val="20"/>
                <w:szCs w:val="20"/>
              </w:rPr>
            </w:pPr>
          </w:p>
        </w:tc>
        <w:tc>
          <w:tcPr>
            <w:tcW w:w="0" w:type="auto"/>
            <w:gridSpan w:val="3"/>
            <w:vAlign w:val="center"/>
            <w:hideMark/>
          </w:tcPr>
          <w:p w14:paraId="6DEAB65D" w14:textId="77777777" w:rsidR="00000000" w:rsidRDefault="001A570A">
            <w:pPr>
              <w:rPr>
                <w:rFonts w:eastAsia="Times New Roman"/>
                <w:sz w:val="20"/>
                <w:szCs w:val="20"/>
              </w:rPr>
            </w:pPr>
          </w:p>
        </w:tc>
        <w:tc>
          <w:tcPr>
            <w:tcW w:w="0" w:type="auto"/>
            <w:gridSpan w:val="3"/>
            <w:vAlign w:val="center"/>
            <w:hideMark/>
          </w:tcPr>
          <w:p w14:paraId="6062EE24" w14:textId="77777777" w:rsidR="00000000" w:rsidRDefault="001A570A">
            <w:pPr>
              <w:rPr>
                <w:rFonts w:eastAsia="Times New Roman"/>
                <w:sz w:val="20"/>
                <w:szCs w:val="20"/>
              </w:rPr>
            </w:pPr>
          </w:p>
        </w:tc>
        <w:tc>
          <w:tcPr>
            <w:tcW w:w="0" w:type="auto"/>
            <w:gridSpan w:val="3"/>
            <w:vAlign w:val="center"/>
            <w:hideMark/>
          </w:tcPr>
          <w:p w14:paraId="4E56CBB2" w14:textId="77777777" w:rsidR="00000000" w:rsidRDefault="001A570A">
            <w:pPr>
              <w:rPr>
                <w:rFonts w:eastAsia="Times New Roman"/>
                <w:sz w:val="20"/>
                <w:szCs w:val="20"/>
              </w:rPr>
            </w:pPr>
          </w:p>
        </w:tc>
        <w:tc>
          <w:tcPr>
            <w:tcW w:w="0" w:type="auto"/>
            <w:gridSpan w:val="3"/>
            <w:vAlign w:val="center"/>
            <w:hideMark/>
          </w:tcPr>
          <w:p w14:paraId="72D145BA" w14:textId="77777777" w:rsidR="00000000" w:rsidRDefault="001A570A">
            <w:pPr>
              <w:rPr>
                <w:rFonts w:eastAsia="Times New Roman"/>
                <w:sz w:val="20"/>
                <w:szCs w:val="20"/>
              </w:rPr>
            </w:pPr>
          </w:p>
        </w:tc>
        <w:tc>
          <w:tcPr>
            <w:tcW w:w="0" w:type="auto"/>
            <w:gridSpan w:val="3"/>
            <w:vAlign w:val="center"/>
            <w:hideMark/>
          </w:tcPr>
          <w:p w14:paraId="616CD725" w14:textId="77777777" w:rsidR="00000000" w:rsidRDefault="001A570A">
            <w:pPr>
              <w:rPr>
                <w:rFonts w:eastAsia="Times New Roman"/>
                <w:sz w:val="20"/>
                <w:szCs w:val="20"/>
              </w:rPr>
            </w:pPr>
          </w:p>
        </w:tc>
        <w:tc>
          <w:tcPr>
            <w:tcW w:w="0" w:type="auto"/>
            <w:gridSpan w:val="3"/>
            <w:vAlign w:val="center"/>
            <w:hideMark/>
          </w:tcPr>
          <w:p w14:paraId="278699E8" w14:textId="77777777" w:rsidR="00000000" w:rsidRDefault="001A570A">
            <w:pPr>
              <w:rPr>
                <w:rFonts w:eastAsia="Times New Roman"/>
                <w:sz w:val="20"/>
                <w:szCs w:val="20"/>
              </w:rPr>
            </w:pPr>
          </w:p>
        </w:tc>
        <w:tc>
          <w:tcPr>
            <w:tcW w:w="0" w:type="auto"/>
            <w:vAlign w:val="center"/>
            <w:hideMark/>
          </w:tcPr>
          <w:p w14:paraId="71CB2F99" w14:textId="77777777" w:rsidR="00000000" w:rsidRDefault="001A570A">
            <w:pPr>
              <w:rPr>
                <w:rFonts w:eastAsia="Times New Roman"/>
                <w:sz w:val="20"/>
                <w:szCs w:val="20"/>
              </w:rPr>
            </w:pPr>
          </w:p>
        </w:tc>
        <w:tc>
          <w:tcPr>
            <w:tcW w:w="0" w:type="auto"/>
            <w:vAlign w:val="center"/>
            <w:hideMark/>
          </w:tcPr>
          <w:p w14:paraId="1AEDE404" w14:textId="77777777" w:rsidR="00000000" w:rsidRDefault="001A570A">
            <w:pPr>
              <w:rPr>
                <w:rFonts w:eastAsia="Times New Roman"/>
                <w:sz w:val="20"/>
                <w:szCs w:val="20"/>
              </w:rPr>
            </w:pPr>
          </w:p>
        </w:tc>
        <w:tc>
          <w:tcPr>
            <w:tcW w:w="0" w:type="auto"/>
            <w:gridSpan w:val="3"/>
            <w:vAlign w:val="center"/>
            <w:hideMark/>
          </w:tcPr>
          <w:p w14:paraId="3351226E" w14:textId="77777777" w:rsidR="00000000" w:rsidRDefault="001A570A">
            <w:pPr>
              <w:rPr>
                <w:rFonts w:eastAsia="Times New Roman"/>
                <w:sz w:val="20"/>
                <w:szCs w:val="20"/>
              </w:rPr>
            </w:pPr>
          </w:p>
        </w:tc>
        <w:tc>
          <w:tcPr>
            <w:tcW w:w="0" w:type="auto"/>
            <w:gridSpan w:val="3"/>
            <w:vAlign w:val="center"/>
            <w:hideMark/>
          </w:tcPr>
          <w:p w14:paraId="4AA2998C" w14:textId="77777777" w:rsidR="00000000" w:rsidRDefault="001A570A">
            <w:pPr>
              <w:rPr>
                <w:rFonts w:eastAsia="Times New Roman"/>
                <w:sz w:val="20"/>
                <w:szCs w:val="20"/>
              </w:rPr>
            </w:pPr>
          </w:p>
        </w:tc>
      </w:tr>
      <w:tr w:rsidR="00000000" w14:paraId="1856B095" w14:textId="77777777">
        <w:trPr>
          <w:divId w:val="1772970091"/>
        </w:trPr>
        <w:tc>
          <w:tcPr>
            <w:tcW w:w="0" w:type="auto"/>
            <w:gridSpan w:val="3"/>
            <w:vAlign w:val="center"/>
            <w:hideMark/>
          </w:tcPr>
          <w:p w14:paraId="469D144E" w14:textId="77777777" w:rsidR="00000000" w:rsidRDefault="001A570A">
            <w:pPr>
              <w:rPr>
                <w:rFonts w:eastAsia="Times New Roman"/>
                <w:sz w:val="20"/>
                <w:szCs w:val="20"/>
              </w:rPr>
            </w:pPr>
          </w:p>
        </w:tc>
        <w:tc>
          <w:tcPr>
            <w:tcW w:w="0" w:type="auto"/>
            <w:gridSpan w:val="3"/>
            <w:vAlign w:val="center"/>
            <w:hideMark/>
          </w:tcPr>
          <w:p w14:paraId="1320C663" w14:textId="77777777" w:rsidR="00000000" w:rsidRDefault="001A570A">
            <w:pPr>
              <w:rPr>
                <w:rFonts w:eastAsia="Times New Roman"/>
                <w:sz w:val="20"/>
                <w:szCs w:val="20"/>
              </w:rPr>
            </w:pPr>
          </w:p>
        </w:tc>
        <w:tc>
          <w:tcPr>
            <w:tcW w:w="0" w:type="auto"/>
            <w:gridSpan w:val="3"/>
            <w:vAlign w:val="center"/>
            <w:hideMark/>
          </w:tcPr>
          <w:p w14:paraId="6B677378" w14:textId="77777777" w:rsidR="00000000" w:rsidRDefault="001A570A">
            <w:pPr>
              <w:rPr>
                <w:rFonts w:eastAsia="Times New Roman"/>
                <w:sz w:val="20"/>
                <w:szCs w:val="20"/>
              </w:rPr>
            </w:pPr>
          </w:p>
        </w:tc>
        <w:tc>
          <w:tcPr>
            <w:tcW w:w="0" w:type="auto"/>
            <w:gridSpan w:val="3"/>
            <w:vAlign w:val="center"/>
            <w:hideMark/>
          </w:tcPr>
          <w:p w14:paraId="7AC5A293" w14:textId="77777777" w:rsidR="00000000" w:rsidRDefault="001A570A">
            <w:pPr>
              <w:rPr>
                <w:rFonts w:eastAsia="Times New Roman"/>
                <w:sz w:val="20"/>
                <w:szCs w:val="20"/>
              </w:rPr>
            </w:pPr>
          </w:p>
        </w:tc>
        <w:tc>
          <w:tcPr>
            <w:tcW w:w="0" w:type="auto"/>
            <w:gridSpan w:val="3"/>
            <w:vAlign w:val="center"/>
            <w:hideMark/>
          </w:tcPr>
          <w:p w14:paraId="0AFAD578" w14:textId="77777777" w:rsidR="00000000" w:rsidRDefault="001A570A">
            <w:pPr>
              <w:rPr>
                <w:rFonts w:eastAsia="Times New Roman"/>
                <w:sz w:val="20"/>
                <w:szCs w:val="20"/>
              </w:rPr>
            </w:pPr>
          </w:p>
        </w:tc>
        <w:tc>
          <w:tcPr>
            <w:tcW w:w="0" w:type="auto"/>
            <w:gridSpan w:val="3"/>
            <w:vAlign w:val="center"/>
            <w:hideMark/>
          </w:tcPr>
          <w:p w14:paraId="53DC1E01" w14:textId="77777777" w:rsidR="00000000" w:rsidRDefault="001A570A">
            <w:pPr>
              <w:rPr>
                <w:rFonts w:eastAsia="Times New Roman"/>
                <w:sz w:val="20"/>
                <w:szCs w:val="20"/>
              </w:rPr>
            </w:pPr>
          </w:p>
        </w:tc>
        <w:tc>
          <w:tcPr>
            <w:tcW w:w="0" w:type="auto"/>
            <w:gridSpan w:val="3"/>
            <w:vAlign w:val="center"/>
            <w:hideMark/>
          </w:tcPr>
          <w:p w14:paraId="3E77FC28" w14:textId="77777777" w:rsidR="00000000" w:rsidRDefault="001A570A">
            <w:pPr>
              <w:rPr>
                <w:rFonts w:eastAsia="Times New Roman"/>
                <w:sz w:val="20"/>
                <w:szCs w:val="20"/>
              </w:rPr>
            </w:pPr>
          </w:p>
        </w:tc>
        <w:tc>
          <w:tcPr>
            <w:tcW w:w="0" w:type="auto"/>
            <w:gridSpan w:val="3"/>
            <w:vAlign w:val="center"/>
            <w:hideMark/>
          </w:tcPr>
          <w:p w14:paraId="1C1164AC" w14:textId="77777777" w:rsidR="00000000" w:rsidRDefault="001A570A">
            <w:pPr>
              <w:rPr>
                <w:rFonts w:eastAsia="Times New Roman"/>
                <w:sz w:val="20"/>
                <w:szCs w:val="20"/>
              </w:rPr>
            </w:pPr>
          </w:p>
        </w:tc>
        <w:tc>
          <w:tcPr>
            <w:tcW w:w="0" w:type="auto"/>
            <w:vAlign w:val="center"/>
            <w:hideMark/>
          </w:tcPr>
          <w:p w14:paraId="624FE1AA" w14:textId="77777777" w:rsidR="00000000" w:rsidRDefault="001A570A">
            <w:pPr>
              <w:rPr>
                <w:rFonts w:eastAsia="Times New Roman"/>
                <w:sz w:val="20"/>
                <w:szCs w:val="20"/>
              </w:rPr>
            </w:pPr>
          </w:p>
        </w:tc>
        <w:tc>
          <w:tcPr>
            <w:tcW w:w="0" w:type="auto"/>
            <w:vAlign w:val="center"/>
            <w:hideMark/>
          </w:tcPr>
          <w:p w14:paraId="2D912607" w14:textId="77777777" w:rsidR="00000000" w:rsidRDefault="001A570A">
            <w:pPr>
              <w:rPr>
                <w:rFonts w:eastAsia="Times New Roman"/>
                <w:sz w:val="20"/>
                <w:szCs w:val="20"/>
              </w:rPr>
            </w:pPr>
          </w:p>
        </w:tc>
        <w:tc>
          <w:tcPr>
            <w:tcW w:w="0" w:type="auto"/>
            <w:gridSpan w:val="3"/>
            <w:vAlign w:val="center"/>
            <w:hideMark/>
          </w:tcPr>
          <w:p w14:paraId="346CAA45" w14:textId="77777777" w:rsidR="00000000" w:rsidRDefault="001A570A">
            <w:pPr>
              <w:rPr>
                <w:rFonts w:eastAsia="Times New Roman"/>
                <w:sz w:val="20"/>
                <w:szCs w:val="20"/>
              </w:rPr>
            </w:pPr>
          </w:p>
        </w:tc>
        <w:tc>
          <w:tcPr>
            <w:tcW w:w="0" w:type="auto"/>
            <w:gridSpan w:val="3"/>
            <w:vAlign w:val="center"/>
            <w:hideMark/>
          </w:tcPr>
          <w:p w14:paraId="47CCD6BB" w14:textId="77777777" w:rsidR="00000000" w:rsidRDefault="001A570A">
            <w:pPr>
              <w:rPr>
                <w:rFonts w:eastAsia="Times New Roman"/>
                <w:sz w:val="20"/>
                <w:szCs w:val="20"/>
              </w:rPr>
            </w:pPr>
          </w:p>
        </w:tc>
      </w:tr>
      <w:tr w:rsidR="00000000" w14:paraId="1C35C15A" w14:textId="77777777">
        <w:trPr>
          <w:divId w:val="1772970091"/>
        </w:trPr>
        <w:tc>
          <w:tcPr>
            <w:tcW w:w="0" w:type="auto"/>
            <w:gridSpan w:val="3"/>
            <w:vAlign w:val="center"/>
            <w:hideMark/>
          </w:tcPr>
          <w:p w14:paraId="50C10624" w14:textId="77777777" w:rsidR="00000000" w:rsidRDefault="001A570A">
            <w:pPr>
              <w:rPr>
                <w:rFonts w:eastAsia="Times New Roman"/>
                <w:sz w:val="20"/>
                <w:szCs w:val="20"/>
              </w:rPr>
            </w:pPr>
          </w:p>
        </w:tc>
        <w:tc>
          <w:tcPr>
            <w:tcW w:w="0" w:type="auto"/>
            <w:gridSpan w:val="3"/>
            <w:vAlign w:val="center"/>
            <w:hideMark/>
          </w:tcPr>
          <w:p w14:paraId="18156DE5" w14:textId="77777777" w:rsidR="00000000" w:rsidRDefault="001A570A">
            <w:pPr>
              <w:rPr>
                <w:rFonts w:eastAsia="Times New Roman"/>
                <w:sz w:val="20"/>
                <w:szCs w:val="20"/>
              </w:rPr>
            </w:pPr>
          </w:p>
        </w:tc>
        <w:tc>
          <w:tcPr>
            <w:tcW w:w="0" w:type="auto"/>
            <w:gridSpan w:val="3"/>
            <w:vAlign w:val="center"/>
            <w:hideMark/>
          </w:tcPr>
          <w:p w14:paraId="0925A35E" w14:textId="77777777" w:rsidR="00000000" w:rsidRDefault="001A570A">
            <w:pPr>
              <w:rPr>
                <w:rFonts w:eastAsia="Times New Roman"/>
                <w:sz w:val="20"/>
                <w:szCs w:val="20"/>
              </w:rPr>
            </w:pPr>
          </w:p>
        </w:tc>
        <w:tc>
          <w:tcPr>
            <w:tcW w:w="0" w:type="auto"/>
            <w:gridSpan w:val="3"/>
            <w:vAlign w:val="center"/>
            <w:hideMark/>
          </w:tcPr>
          <w:p w14:paraId="03F8F0F8" w14:textId="77777777" w:rsidR="00000000" w:rsidRDefault="001A570A">
            <w:pPr>
              <w:rPr>
                <w:rFonts w:eastAsia="Times New Roman"/>
                <w:sz w:val="20"/>
                <w:szCs w:val="20"/>
              </w:rPr>
            </w:pPr>
          </w:p>
        </w:tc>
        <w:tc>
          <w:tcPr>
            <w:tcW w:w="0" w:type="auto"/>
            <w:gridSpan w:val="3"/>
            <w:vAlign w:val="center"/>
            <w:hideMark/>
          </w:tcPr>
          <w:p w14:paraId="004106D5" w14:textId="77777777" w:rsidR="00000000" w:rsidRDefault="001A570A">
            <w:pPr>
              <w:rPr>
                <w:rFonts w:eastAsia="Times New Roman"/>
                <w:sz w:val="20"/>
                <w:szCs w:val="20"/>
              </w:rPr>
            </w:pPr>
          </w:p>
        </w:tc>
        <w:tc>
          <w:tcPr>
            <w:tcW w:w="0" w:type="auto"/>
            <w:gridSpan w:val="3"/>
            <w:vAlign w:val="center"/>
            <w:hideMark/>
          </w:tcPr>
          <w:p w14:paraId="59AFB759" w14:textId="77777777" w:rsidR="00000000" w:rsidRDefault="001A570A">
            <w:pPr>
              <w:rPr>
                <w:rFonts w:eastAsia="Times New Roman"/>
                <w:sz w:val="20"/>
                <w:szCs w:val="20"/>
              </w:rPr>
            </w:pPr>
          </w:p>
        </w:tc>
        <w:tc>
          <w:tcPr>
            <w:tcW w:w="0" w:type="auto"/>
            <w:gridSpan w:val="3"/>
            <w:vAlign w:val="center"/>
            <w:hideMark/>
          </w:tcPr>
          <w:p w14:paraId="4519C459" w14:textId="77777777" w:rsidR="00000000" w:rsidRDefault="001A570A">
            <w:pPr>
              <w:rPr>
                <w:rFonts w:eastAsia="Times New Roman"/>
                <w:sz w:val="20"/>
                <w:szCs w:val="20"/>
              </w:rPr>
            </w:pPr>
          </w:p>
        </w:tc>
        <w:tc>
          <w:tcPr>
            <w:tcW w:w="0" w:type="auto"/>
            <w:gridSpan w:val="3"/>
            <w:vAlign w:val="center"/>
            <w:hideMark/>
          </w:tcPr>
          <w:p w14:paraId="088E6B98" w14:textId="77777777" w:rsidR="00000000" w:rsidRDefault="001A570A">
            <w:pPr>
              <w:rPr>
                <w:rFonts w:eastAsia="Times New Roman"/>
                <w:sz w:val="20"/>
                <w:szCs w:val="20"/>
              </w:rPr>
            </w:pPr>
          </w:p>
        </w:tc>
        <w:tc>
          <w:tcPr>
            <w:tcW w:w="0" w:type="auto"/>
            <w:vAlign w:val="center"/>
            <w:hideMark/>
          </w:tcPr>
          <w:p w14:paraId="5AC250DA" w14:textId="77777777" w:rsidR="00000000" w:rsidRDefault="001A570A">
            <w:pPr>
              <w:rPr>
                <w:rFonts w:eastAsia="Times New Roman"/>
                <w:sz w:val="20"/>
                <w:szCs w:val="20"/>
              </w:rPr>
            </w:pPr>
          </w:p>
        </w:tc>
        <w:tc>
          <w:tcPr>
            <w:tcW w:w="0" w:type="auto"/>
            <w:vAlign w:val="center"/>
            <w:hideMark/>
          </w:tcPr>
          <w:p w14:paraId="6BA4A298" w14:textId="77777777" w:rsidR="00000000" w:rsidRDefault="001A570A">
            <w:pPr>
              <w:rPr>
                <w:rFonts w:eastAsia="Times New Roman"/>
                <w:sz w:val="20"/>
                <w:szCs w:val="20"/>
              </w:rPr>
            </w:pPr>
          </w:p>
        </w:tc>
        <w:tc>
          <w:tcPr>
            <w:tcW w:w="0" w:type="auto"/>
            <w:gridSpan w:val="3"/>
            <w:vAlign w:val="center"/>
            <w:hideMark/>
          </w:tcPr>
          <w:p w14:paraId="25FE9489" w14:textId="77777777" w:rsidR="00000000" w:rsidRDefault="001A570A">
            <w:pPr>
              <w:rPr>
                <w:rFonts w:eastAsia="Times New Roman"/>
                <w:sz w:val="20"/>
                <w:szCs w:val="20"/>
              </w:rPr>
            </w:pPr>
          </w:p>
        </w:tc>
        <w:tc>
          <w:tcPr>
            <w:tcW w:w="0" w:type="auto"/>
            <w:gridSpan w:val="3"/>
            <w:vAlign w:val="center"/>
            <w:hideMark/>
          </w:tcPr>
          <w:p w14:paraId="3295143A" w14:textId="77777777" w:rsidR="00000000" w:rsidRDefault="001A570A">
            <w:pPr>
              <w:rPr>
                <w:rFonts w:eastAsia="Times New Roman"/>
                <w:sz w:val="20"/>
                <w:szCs w:val="20"/>
              </w:rPr>
            </w:pPr>
          </w:p>
        </w:tc>
      </w:tr>
      <w:tr w:rsidR="00000000" w14:paraId="1CA01F4B" w14:textId="77777777">
        <w:trPr>
          <w:divId w:val="1772970091"/>
        </w:trPr>
        <w:tc>
          <w:tcPr>
            <w:tcW w:w="0" w:type="auto"/>
            <w:gridSpan w:val="3"/>
            <w:vAlign w:val="center"/>
            <w:hideMark/>
          </w:tcPr>
          <w:p w14:paraId="554749B9" w14:textId="77777777" w:rsidR="00000000" w:rsidRDefault="001A570A">
            <w:pPr>
              <w:rPr>
                <w:rFonts w:eastAsia="Times New Roman"/>
                <w:sz w:val="20"/>
                <w:szCs w:val="20"/>
              </w:rPr>
            </w:pPr>
          </w:p>
        </w:tc>
        <w:tc>
          <w:tcPr>
            <w:tcW w:w="0" w:type="auto"/>
            <w:gridSpan w:val="3"/>
            <w:vAlign w:val="center"/>
            <w:hideMark/>
          </w:tcPr>
          <w:p w14:paraId="2AE4289B" w14:textId="77777777" w:rsidR="00000000" w:rsidRDefault="001A570A">
            <w:pPr>
              <w:rPr>
                <w:rFonts w:eastAsia="Times New Roman"/>
                <w:sz w:val="20"/>
                <w:szCs w:val="20"/>
              </w:rPr>
            </w:pPr>
          </w:p>
        </w:tc>
        <w:tc>
          <w:tcPr>
            <w:tcW w:w="0" w:type="auto"/>
            <w:gridSpan w:val="3"/>
            <w:vAlign w:val="center"/>
            <w:hideMark/>
          </w:tcPr>
          <w:p w14:paraId="0DF69974" w14:textId="77777777" w:rsidR="00000000" w:rsidRDefault="001A570A">
            <w:pPr>
              <w:rPr>
                <w:rFonts w:eastAsia="Times New Roman"/>
                <w:sz w:val="20"/>
                <w:szCs w:val="20"/>
              </w:rPr>
            </w:pPr>
          </w:p>
        </w:tc>
        <w:tc>
          <w:tcPr>
            <w:tcW w:w="0" w:type="auto"/>
            <w:gridSpan w:val="3"/>
            <w:vAlign w:val="center"/>
            <w:hideMark/>
          </w:tcPr>
          <w:p w14:paraId="4869B422" w14:textId="77777777" w:rsidR="00000000" w:rsidRDefault="001A570A">
            <w:pPr>
              <w:rPr>
                <w:rFonts w:eastAsia="Times New Roman"/>
                <w:sz w:val="20"/>
                <w:szCs w:val="20"/>
              </w:rPr>
            </w:pPr>
          </w:p>
        </w:tc>
        <w:tc>
          <w:tcPr>
            <w:tcW w:w="0" w:type="auto"/>
            <w:gridSpan w:val="3"/>
            <w:vAlign w:val="center"/>
            <w:hideMark/>
          </w:tcPr>
          <w:p w14:paraId="1A3050A6" w14:textId="77777777" w:rsidR="00000000" w:rsidRDefault="001A570A">
            <w:pPr>
              <w:rPr>
                <w:rFonts w:eastAsia="Times New Roman"/>
                <w:sz w:val="20"/>
                <w:szCs w:val="20"/>
              </w:rPr>
            </w:pPr>
          </w:p>
        </w:tc>
        <w:tc>
          <w:tcPr>
            <w:tcW w:w="0" w:type="auto"/>
            <w:gridSpan w:val="3"/>
            <w:vAlign w:val="center"/>
            <w:hideMark/>
          </w:tcPr>
          <w:p w14:paraId="4A92B10B" w14:textId="77777777" w:rsidR="00000000" w:rsidRDefault="001A570A">
            <w:pPr>
              <w:rPr>
                <w:rFonts w:eastAsia="Times New Roman"/>
                <w:sz w:val="20"/>
                <w:szCs w:val="20"/>
              </w:rPr>
            </w:pPr>
          </w:p>
        </w:tc>
        <w:tc>
          <w:tcPr>
            <w:tcW w:w="0" w:type="auto"/>
            <w:gridSpan w:val="3"/>
            <w:vAlign w:val="center"/>
            <w:hideMark/>
          </w:tcPr>
          <w:p w14:paraId="789ECA6F" w14:textId="77777777" w:rsidR="00000000" w:rsidRDefault="001A570A">
            <w:pPr>
              <w:rPr>
                <w:rFonts w:eastAsia="Times New Roman"/>
                <w:sz w:val="20"/>
                <w:szCs w:val="20"/>
              </w:rPr>
            </w:pPr>
          </w:p>
        </w:tc>
        <w:tc>
          <w:tcPr>
            <w:tcW w:w="0" w:type="auto"/>
            <w:gridSpan w:val="3"/>
            <w:vAlign w:val="center"/>
            <w:hideMark/>
          </w:tcPr>
          <w:p w14:paraId="7EC9038D" w14:textId="77777777" w:rsidR="00000000" w:rsidRDefault="001A570A">
            <w:pPr>
              <w:rPr>
                <w:rFonts w:eastAsia="Times New Roman"/>
                <w:sz w:val="20"/>
                <w:szCs w:val="20"/>
              </w:rPr>
            </w:pPr>
          </w:p>
        </w:tc>
        <w:tc>
          <w:tcPr>
            <w:tcW w:w="0" w:type="auto"/>
            <w:vAlign w:val="center"/>
            <w:hideMark/>
          </w:tcPr>
          <w:p w14:paraId="009A228D" w14:textId="77777777" w:rsidR="00000000" w:rsidRDefault="001A570A">
            <w:pPr>
              <w:rPr>
                <w:rFonts w:eastAsia="Times New Roman"/>
                <w:sz w:val="20"/>
                <w:szCs w:val="20"/>
              </w:rPr>
            </w:pPr>
          </w:p>
        </w:tc>
        <w:tc>
          <w:tcPr>
            <w:tcW w:w="0" w:type="auto"/>
            <w:vAlign w:val="center"/>
            <w:hideMark/>
          </w:tcPr>
          <w:p w14:paraId="342C251C" w14:textId="77777777" w:rsidR="00000000" w:rsidRDefault="001A570A">
            <w:pPr>
              <w:rPr>
                <w:rFonts w:eastAsia="Times New Roman"/>
                <w:sz w:val="20"/>
                <w:szCs w:val="20"/>
              </w:rPr>
            </w:pPr>
          </w:p>
        </w:tc>
        <w:tc>
          <w:tcPr>
            <w:tcW w:w="0" w:type="auto"/>
            <w:gridSpan w:val="3"/>
            <w:vAlign w:val="center"/>
            <w:hideMark/>
          </w:tcPr>
          <w:p w14:paraId="1C986B42" w14:textId="77777777" w:rsidR="00000000" w:rsidRDefault="001A570A">
            <w:pPr>
              <w:rPr>
                <w:rFonts w:eastAsia="Times New Roman"/>
                <w:sz w:val="20"/>
                <w:szCs w:val="20"/>
              </w:rPr>
            </w:pPr>
          </w:p>
        </w:tc>
        <w:tc>
          <w:tcPr>
            <w:tcW w:w="0" w:type="auto"/>
            <w:gridSpan w:val="3"/>
            <w:vAlign w:val="center"/>
            <w:hideMark/>
          </w:tcPr>
          <w:p w14:paraId="1E5777EA" w14:textId="77777777" w:rsidR="00000000" w:rsidRDefault="001A570A">
            <w:pPr>
              <w:rPr>
                <w:rFonts w:eastAsia="Times New Roman"/>
                <w:sz w:val="20"/>
                <w:szCs w:val="20"/>
              </w:rPr>
            </w:pPr>
          </w:p>
        </w:tc>
      </w:tr>
      <w:tr w:rsidR="00000000" w14:paraId="6D9D181C" w14:textId="77777777">
        <w:trPr>
          <w:divId w:val="1772970091"/>
        </w:trPr>
        <w:tc>
          <w:tcPr>
            <w:tcW w:w="0" w:type="auto"/>
            <w:gridSpan w:val="3"/>
            <w:vAlign w:val="center"/>
            <w:hideMark/>
          </w:tcPr>
          <w:p w14:paraId="45DD42D2" w14:textId="77777777" w:rsidR="00000000" w:rsidRDefault="001A570A">
            <w:pPr>
              <w:rPr>
                <w:rFonts w:eastAsia="Times New Roman"/>
                <w:sz w:val="20"/>
                <w:szCs w:val="20"/>
              </w:rPr>
            </w:pPr>
          </w:p>
        </w:tc>
        <w:tc>
          <w:tcPr>
            <w:tcW w:w="0" w:type="auto"/>
            <w:gridSpan w:val="3"/>
            <w:vAlign w:val="center"/>
            <w:hideMark/>
          </w:tcPr>
          <w:p w14:paraId="545947D2" w14:textId="77777777" w:rsidR="00000000" w:rsidRDefault="001A570A">
            <w:pPr>
              <w:rPr>
                <w:rFonts w:eastAsia="Times New Roman"/>
                <w:sz w:val="20"/>
                <w:szCs w:val="20"/>
              </w:rPr>
            </w:pPr>
          </w:p>
        </w:tc>
        <w:tc>
          <w:tcPr>
            <w:tcW w:w="0" w:type="auto"/>
            <w:gridSpan w:val="3"/>
            <w:vAlign w:val="center"/>
            <w:hideMark/>
          </w:tcPr>
          <w:p w14:paraId="00251710" w14:textId="77777777" w:rsidR="00000000" w:rsidRDefault="001A570A">
            <w:pPr>
              <w:rPr>
                <w:rFonts w:eastAsia="Times New Roman"/>
                <w:sz w:val="20"/>
                <w:szCs w:val="20"/>
              </w:rPr>
            </w:pPr>
          </w:p>
        </w:tc>
        <w:tc>
          <w:tcPr>
            <w:tcW w:w="0" w:type="auto"/>
            <w:gridSpan w:val="3"/>
            <w:vAlign w:val="center"/>
            <w:hideMark/>
          </w:tcPr>
          <w:p w14:paraId="29F27723" w14:textId="77777777" w:rsidR="00000000" w:rsidRDefault="001A570A">
            <w:pPr>
              <w:rPr>
                <w:rFonts w:eastAsia="Times New Roman"/>
                <w:sz w:val="20"/>
                <w:szCs w:val="20"/>
              </w:rPr>
            </w:pPr>
          </w:p>
        </w:tc>
        <w:tc>
          <w:tcPr>
            <w:tcW w:w="0" w:type="auto"/>
            <w:gridSpan w:val="3"/>
            <w:vAlign w:val="center"/>
            <w:hideMark/>
          </w:tcPr>
          <w:p w14:paraId="55D147A4" w14:textId="77777777" w:rsidR="00000000" w:rsidRDefault="001A570A">
            <w:pPr>
              <w:rPr>
                <w:rFonts w:eastAsia="Times New Roman"/>
                <w:sz w:val="20"/>
                <w:szCs w:val="20"/>
              </w:rPr>
            </w:pPr>
          </w:p>
        </w:tc>
        <w:tc>
          <w:tcPr>
            <w:tcW w:w="0" w:type="auto"/>
            <w:gridSpan w:val="3"/>
            <w:vAlign w:val="center"/>
            <w:hideMark/>
          </w:tcPr>
          <w:p w14:paraId="58B64335" w14:textId="77777777" w:rsidR="00000000" w:rsidRDefault="001A570A">
            <w:pPr>
              <w:rPr>
                <w:rFonts w:eastAsia="Times New Roman"/>
                <w:sz w:val="20"/>
                <w:szCs w:val="20"/>
              </w:rPr>
            </w:pPr>
          </w:p>
        </w:tc>
        <w:tc>
          <w:tcPr>
            <w:tcW w:w="0" w:type="auto"/>
            <w:gridSpan w:val="3"/>
            <w:vAlign w:val="center"/>
            <w:hideMark/>
          </w:tcPr>
          <w:p w14:paraId="633D1FEB" w14:textId="77777777" w:rsidR="00000000" w:rsidRDefault="001A570A">
            <w:pPr>
              <w:rPr>
                <w:rFonts w:eastAsia="Times New Roman"/>
                <w:sz w:val="20"/>
                <w:szCs w:val="20"/>
              </w:rPr>
            </w:pPr>
          </w:p>
        </w:tc>
        <w:tc>
          <w:tcPr>
            <w:tcW w:w="0" w:type="auto"/>
            <w:gridSpan w:val="3"/>
            <w:vAlign w:val="center"/>
            <w:hideMark/>
          </w:tcPr>
          <w:p w14:paraId="3AFE6824" w14:textId="77777777" w:rsidR="00000000" w:rsidRDefault="001A570A">
            <w:pPr>
              <w:rPr>
                <w:rFonts w:eastAsia="Times New Roman"/>
                <w:sz w:val="20"/>
                <w:szCs w:val="20"/>
              </w:rPr>
            </w:pPr>
          </w:p>
        </w:tc>
        <w:tc>
          <w:tcPr>
            <w:tcW w:w="0" w:type="auto"/>
            <w:vAlign w:val="center"/>
            <w:hideMark/>
          </w:tcPr>
          <w:p w14:paraId="4CEE0AE3" w14:textId="77777777" w:rsidR="00000000" w:rsidRDefault="001A570A">
            <w:pPr>
              <w:rPr>
                <w:rFonts w:eastAsia="Times New Roman"/>
                <w:sz w:val="20"/>
                <w:szCs w:val="20"/>
              </w:rPr>
            </w:pPr>
          </w:p>
        </w:tc>
        <w:tc>
          <w:tcPr>
            <w:tcW w:w="0" w:type="auto"/>
            <w:vAlign w:val="center"/>
            <w:hideMark/>
          </w:tcPr>
          <w:p w14:paraId="63249030" w14:textId="77777777" w:rsidR="00000000" w:rsidRDefault="001A570A">
            <w:pPr>
              <w:rPr>
                <w:rFonts w:eastAsia="Times New Roman"/>
                <w:sz w:val="20"/>
                <w:szCs w:val="20"/>
              </w:rPr>
            </w:pPr>
          </w:p>
        </w:tc>
        <w:tc>
          <w:tcPr>
            <w:tcW w:w="0" w:type="auto"/>
            <w:gridSpan w:val="3"/>
            <w:vAlign w:val="center"/>
            <w:hideMark/>
          </w:tcPr>
          <w:p w14:paraId="0CBC6698" w14:textId="77777777" w:rsidR="00000000" w:rsidRDefault="001A570A">
            <w:pPr>
              <w:rPr>
                <w:rFonts w:eastAsia="Times New Roman"/>
                <w:sz w:val="20"/>
                <w:szCs w:val="20"/>
              </w:rPr>
            </w:pPr>
          </w:p>
        </w:tc>
        <w:tc>
          <w:tcPr>
            <w:tcW w:w="0" w:type="auto"/>
            <w:gridSpan w:val="3"/>
            <w:vAlign w:val="center"/>
            <w:hideMark/>
          </w:tcPr>
          <w:p w14:paraId="32B890F0" w14:textId="77777777" w:rsidR="00000000" w:rsidRDefault="001A570A">
            <w:pPr>
              <w:rPr>
                <w:rFonts w:eastAsia="Times New Roman"/>
                <w:sz w:val="20"/>
                <w:szCs w:val="20"/>
              </w:rPr>
            </w:pPr>
          </w:p>
        </w:tc>
      </w:tr>
      <w:tr w:rsidR="00000000" w14:paraId="6B9D628A" w14:textId="77777777">
        <w:trPr>
          <w:divId w:val="1772970091"/>
        </w:trPr>
        <w:tc>
          <w:tcPr>
            <w:tcW w:w="0" w:type="auto"/>
            <w:gridSpan w:val="3"/>
            <w:vAlign w:val="center"/>
            <w:hideMark/>
          </w:tcPr>
          <w:p w14:paraId="3EB2CA9B" w14:textId="77777777" w:rsidR="00000000" w:rsidRDefault="001A570A">
            <w:pPr>
              <w:rPr>
                <w:rFonts w:eastAsia="Times New Roman"/>
                <w:sz w:val="20"/>
                <w:szCs w:val="20"/>
              </w:rPr>
            </w:pPr>
          </w:p>
        </w:tc>
        <w:tc>
          <w:tcPr>
            <w:tcW w:w="0" w:type="auto"/>
            <w:gridSpan w:val="3"/>
            <w:vAlign w:val="center"/>
            <w:hideMark/>
          </w:tcPr>
          <w:p w14:paraId="6C136D74" w14:textId="77777777" w:rsidR="00000000" w:rsidRDefault="001A570A">
            <w:pPr>
              <w:rPr>
                <w:rFonts w:eastAsia="Times New Roman"/>
                <w:sz w:val="20"/>
                <w:szCs w:val="20"/>
              </w:rPr>
            </w:pPr>
          </w:p>
        </w:tc>
        <w:tc>
          <w:tcPr>
            <w:tcW w:w="0" w:type="auto"/>
            <w:gridSpan w:val="3"/>
            <w:vAlign w:val="center"/>
            <w:hideMark/>
          </w:tcPr>
          <w:p w14:paraId="405AF07B" w14:textId="77777777" w:rsidR="00000000" w:rsidRDefault="001A570A">
            <w:pPr>
              <w:rPr>
                <w:rFonts w:eastAsia="Times New Roman"/>
                <w:sz w:val="20"/>
                <w:szCs w:val="20"/>
              </w:rPr>
            </w:pPr>
          </w:p>
        </w:tc>
        <w:tc>
          <w:tcPr>
            <w:tcW w:w="0" w:type="auto"/>
            <w:gridSpan w:val="3"/>
            <w:vAlign w:val="center"/>
            <w:hideMark/>
          </w:tcPr>
          <w:p w14:paraId="7BC8638A" w14:textId="77777777" w:rsidR="00000000" w:rsidRDefault="001A570A">
            <w:pPr>
              <w:rPr>
                <w:rFonts w:eastAsia="Times New Roman"/>
                <w:sz w:val="20"/>
                <w:szCs w:val="20"/>
              </w:rPr>
            </w:pPr>
          </w:p>
        </w:tc>
        <w:tc>
          <w:tcPr>
            <w:tcW w:w="0" w:type="auto"/>
            <w:gridSpan w:val="3"/>
            <w:vAlign w:val="center"/>
            <w:hideMark/>
          </w:tcPr>
          <w:p w14:paraId="519FA290" w14:textId="77777777" w:rsidR="00000000" w:rsidRDefault="001A570A">
            <w:pPr>
              <w:rPr>
                <w:rFonts w:eastAsia="Times New Roman"/>
                <w:sz w:val="20"/>
                <w:szCs w:val="20"/>
              </w:rPr>
            </w:pPr>
          </w:p>
        </w:tc>
        <w:tc>
          <w:tcPr>
            <w:tcW w:w="0" w:type="auto"/>
            <w:gridSpan w:val="3"/>
            <w:vAlign w:val="center"/>
            <w:hideMark/>
          </w:tcPr>
          <w:p w14:paraId="742C4AD9" w14:textId="77777777" w:rsidR="00000000" w:rsidRDefault="001A570A">
            <w:pPr>
              <w:rPr>
                <w:rFonts w:eastAsia="Times New Roman"/>
                <w:sz w:val="20"/>
                <w:szCs w:val="20"/>
              </w:rPr>
            </w:pPr>
          </w:p>
        </w:tc>
        <w:tc>
          <w:tcPr>
            <w:tcW w:w="0" w:type="auto"/>
            <w:gridSpan w:val="3"/>
            <w:vAlign w:val="center"/>
            <w:hideMark/>
          </w:tcPr>
          <w:p w14:paraId="62404D2F" w14:textId="77777777" w:rsidR="00000000" w:rsidRDefault="001A570A">
            <w:pPr>
              <w:rPr>
                <w:rFonts w:eastAsia="Times New Roman"/>
                <w:sz w:val="20"/>
                <w:szCs w:val="20"/>
              </w:rPr>
            </w:pPr>
          </w:p>
        </w:tc>
        <w:tc>
          <w:tcPr>
            <w:tcW w:w="0" w:type="auto"/>
            <w:gridSpan w:val="3"/>
            <w:vAlign w:val="center"/>
            <w:hideMark/>
          </w:tcPr>
          <w:p w14:paraId="57DDE2B5" w14:textId="77777777" w:rsidR="00000000" w:rsidRDefault="001A570A">
            <w:pPr>
              <w:rPr>
                <w:rFonts w:eastAsia="Times New Roman"/>
                <w:sz w:val="20"/>
                <w:szCs w:val="20"/>
              </w:rPr>
            </w:pPr>
          </w:p>
        </w:tc>
        <w:tc>
          <w:tcPr>
            <w:tcW w:w="0" w:type="auto"/>
            <w:vAlign w:val="center"/>
            <w:hideMark/>
          </w:tcPr>
          <w:p w14:paraId="764F2366" w14:textId="77777777" w:rsidR="00000000" w:rsidRDefault="001A570A">
            <w:pPr>
              <w:rPr>
                <w:rFonts w:eastAsia="Times New Roman"/>
                <w:sz w:val="20"/>
                <w:szCs w:val="20"/>
              </w:rPr>
            </w:pPr>
          </w:p>
        </w:tc>
        <w:tc>
          <w:tcPr>
            <w:tcW w:w="0" w:type="auto"/>
            <w:vAlign w:val="center"/>
            <w:hideMark/>
          </w:tcPr>
          <w:p w14:paraId="550E049A" w14:textId="77777777" w:rsidR="00000000" w:rsidRDefault="001A570A">
            <w:pPr>
              <w:rPr>
                <w:rFonts w:eastAsia="Times New Roman"/>
                <w:sz w:val="20"/>
                <w:szCs w:val="20"/>
              </w:rPr>
            </w:pPr>
          </w:p>
        </w:tc>
        <w:tc>
          <w:tcPr>
            <w:tcW w:w="0" w:type="auto"/>
            <w:gridSpan w:val="3"/>
            <w:vAlign w:val="center"/>
            <w:hideMark/>
          </w:tcPr>
          <w:p w14:paraId="15D36E3A" w14:textId="77777777" w:rsidR="00000000" w:rsidRDefault="001A570A">
            <w:pPr>
              <w:rPr>
                <w:rFonts w:eastAsia="Times New Roman"/>
                <w:sz w:val="20"/>
                <w:szCs w:val="20"/>
              </w:rPr>
            </w:pPr>
          </w:p>
        </w:tc>
        <w:tc>
          <w:tcPr>
            <w:tcW w:w="0" w:type="auto"/>
            <w:gridSpan w:val="3"/>
            <w:vAlign w:val="center"/>
            <w:hideMark/>
          </w:tcPr>
          <w:p w14:paraId="6B385839" w14:textId="77777777" w:rsidR="00000000" w:rsidRDefault="001A570A">
            <w:pPr>
              <w:rPr>
                <w:rFonts w:eastAsia="Times New Roman"/>
                <w:sz w:val="20"/>
                <w:szCs w:val="20"/>
              </w:rPr>
            </w:pPr>
          </w:p>
        </w:tc>
      </w:tr>
      <w:tr w:rsidR="00000000" w14:paraId="7D0FC70C" w14:textId="77777777">
        <w:trPr>
          <w:divId w:val="1772970091"/>
        </w:trPr>
        <w:tc>
          <w:tcPr>
            <w:tcW w:w="0" w:type="auto"/>
            <w:gridSpan w:val="3"/>
            <w:shd w:val="clear" w:color="auto" w:fill="CCEEFF"/>
            <w:tcMar>
              <w:top w:w="30" w:type="dxa"/>
              <w:left w:w="20" w:type="dxa"/>
              <w:bottom w:w="30" w:type="dxa"/>
              <w:right w:w="20" w:type="dxa"/>
            </w:tcMar>
            <w:hideMark/>
          </w:tcPr>
          <w:p w14:paraId="0FDA2E43" w14:textId="77777777" w:rsidR="00000000" w:rsidRDefault="001A570A">
            <w:pPr>
              <w:rPr>
                <w:rFonts w:eastAsia="Times New Roman"/>
              </w:rPr>
            </w:pPr>
            <w:r>
              <w:rPr>
                <w:rFonts w:eastAsia="Times New Roman"/>
                <w:color w:val="000000"/>
                <w:sz w:val="20"/>
                <w:szCs w:val="20"/>
              </w:rPr>
              <w:t>Balance at June 28, 2019</w:t>
            </w:r>
          </w:p>
        </w:tc>
        <w:tc>
          <w:tcPr>
            <w:tcW w:w="0" w:type="auto"/>
            <w:shd w:val="clear" w:color="auto" w:fill="CCEEFF"/>
            <w:tcMar>
              <w:top w:w="30" w:type="dxa"/>
              <w:left w:w="20" w:type="dxa"/>
              <w:bottom w:w="30" w:type="dxa"/>
              <w:right w:w="0" w:type="dxa"/>
            </w:tcMar>
            <w:vAlign w:val="bottom"/>
            <w:hideMark/>
          </w:tcPr>
          <w:p w14:paraId="402D89F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13C452" w14:textId="77777777" w:rsidR="00000000" w:rsidRDefault="001A570A">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14:paraId="475F389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B82B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A1F88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C905CD" w14:textId="77777777" w:rsidR="00000000" w:rsidRDefault="001A570A">
            <w:pPr>
              <w:jc w:val="right"/>
              <w:rPr>
                <w:rFonts w:eastAsia="Times New Roman"/>
              </w:rPr>
            </w:pPr>
            <w:r>
              <w:rPr>
                <w:rFonts w:eastAsia="Times New Roman"/>
                <w:color w:val="000000"/>
                <w:sz w:val="20"/>
                <w:szCs w:val="20"/>
              </w:rPr>
              <w:t>3,737 </w:t>
            </w:r>
          </w:p>
        </w:tc>
        <w:tc>
          <w:tcPr>
            <w:tcW w:w="0" w:type="auto"/>
            <w:shd w:val="clear" w:color="auto" w:fill="CCEEFF"/>
            <w:tcMar>
              <w:top w:w="30" w:type="dxa"/>
              <w:left w:w="0" w:type="dxa"/>
              <w:bottom w:w="30" w:type="dxa"/>
              <w:right w:w="20" w:type="dxa"/>
            </w:tcMar>
            <w:vAlign w:val="bottom"/>
            <w:hideMark/>
          </w:tcPr>
          <w:p w14:paraId="65F0558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DDD8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F87AC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8C06DA" w14:textId="77777777" w:rsidR="00000000" w:rsidRDefault="001A570A">
            <w:pPr>
              <w:jc w:val="right"/>
              <w:rPr>
                <w:rFonts w:eastAsia="Times New Roman"/>
              </w:rPr>
            </w:pPr>
            <w:r>
              <w:rPr>
                <w:rFonts w:eastAsia="Times New Roman"/>
                <w:color w:val="000000"/>
                <w:sz w:val="20"/>
                <w:szCs w:val="20"/>
              </w:rPr>
              <w:t>927 </w:t>
            </w:r>
          </w:p>
        </w:tc>
        <w:tc>
          <w:tcPr>
            <w:tcW w:w="0" w:type="auto"/>
            <w:shd w:val="clear" w:color="auto" w:fill="CCEEFF"/>
            <w:tcMar>
              <w:top w:w="30" w:type="dxa"/>
              <w:left w:w="0" w:type="dxa"/>
              <w:bottom w:w="30" w:type="dxa"/>
              <w:right w:w="20" w:type="dxa"/>
            </w:tcMar>
            <w:vAlign w:val="bottom"/>
            <w:hideMark/>
          </w:tcPr>
          <w:p w14:paraId="5FEFC71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68F4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A39EA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09B91D" w14:textId="77777777" w:rsidR="00000000" w:rsidRDefault="001A570A">
            <w:pPr>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14:paraId="120F8EF0" w14:textId="77777777" w:rsidR="00000000" w:rsidRDefault="001A570A">
            <w:pPr>
              <w:jc w:val="right"/>
              <w:rPr>
                <w:rFonts w:eastAsia="Times New Roman"/>
              </w:rPr>
            </w:pPr>
          </w:p>
        </w:tc>
        <w:tc>
          <w:tcPr>
            <w:tcW w:w="0" w:type="auto"/>
            <w:vAlign w:val="center"/>
            <w:hideMark/>
          </w:tcPr>
          <w:p w14:paraId="79EB5B42" w14:textId="77777777" w:rsidR="00000000" w:rsidRDefault="001A570A">
            <w:pPr>
              <w:jc w:val="right"/>
              <w:rPr>
                <w:rFonts w:eastAsia="Times New Roman"/>
                <w:sz w:val="20"/>
                <w:szCs w:val="20"/>
              </w:rPr>
            </w:pPr>
          </w:p>
        </w:tc>
        <w:tc>
          <w:tcPr>
            <w:tcW w:w="0" w:type="auto"/>
            <w:vAlign w:val="center"/>
            <w:hideMark/>
          </w:tcPr>
          <w:p w14:paraId="5518FD8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2AB9D" w14:textId="77777777" w:rsidR="00000000" w:rsidRDefault="001A570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3E66C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F9915F" w14:textId="77777777" w:rsidR="00000000" w:rsidRDefault="001A570A">
            <w:pPr>
              <w:jc w:val="right"/>
              <w:rPr>
                <w:rFonts w:eastAsia="Times New Roman"/>
              </w:rPr>
            </w:pPr>
            <w:r>
              <w:rPr>
                <w:rFonts w:eastAsia="Times New Roman"/>
                <w:color w:val="000000"/>
                <w:sz w:val="20"/>
                <w:szCs w:val="20"/>
              </w:rPr>
              <w:t>5,340 </w:t>
            </w:r>
          </w:p>
        </w:tc>
        <w:tc>
          <w:tcPr>
            <w:tcW w:w="0" w:type="auto"/>
            <w:shd w:val="clear" w:color="auto" w:fill="CCEEFF"/>
            <w:tcMar>
              <w:top w:w="30" w:type="dxa"/>
              <w:left w:w="0" w:type="dxa"/>
              <w:bottom w:w="30" w:type="dxa"/>
              <w:right w:w="20" w:type="dxa"/>
            </w:tcMar>
            <w:vAlign w:val="bottom"/>
            <w:hideMark/>
          </w:tcPr>
          <w:p w14:paraId="064AC261" w14:textId="77777777" w:rsidR="00000000" w:rsidRDefault="001A570A">
            <w:pPr>
              <w:jc w:val="right"/>
              <w:rPr>
                <w:rFonts w:eastAsia="Times New Roman"/>
              </w:rPr>
            </w:pPr>
          </w:p>
        </w:tc>
      </w:tr>
      <w:tr w:rsidR="00000000" w14:paraId="105E37BA" w14:textId="77777777">
        <w:trPr>
          <w:divId w:val="1772970091"/>
        </w:trPr>
        <w:tc>
          <w:tcPr>
            <w:tcW w:w="0" w:type="auto"/>
            <w:gridSpan w:val="3"/>
            <w:shd w:val="clear" w:color="auto" w:fill="FFFFFF"/>
            <w:tcMar>
              <w:top w:w="30" w:type="dxa"/>
              <w:left w:w="155" w:type="dxa"/>
              <w:bottom w:w="30" w:type="dxa"/>
              <w:right w:w="20" w:type="dxa"/>
            </w:tcMar>
            <w:hideMark/>
          </w:tcPr>
          <w:p w14:paraId="6153FFF5" w14:textId="77777777" w:rsidR="00000000" w:rsidRDefault="001A570A">
            <w:pPr>
              <w:rPr>
                <w:rFonts w:eastAsia="Times New Roman"/>
              </w:rPr>
            </w:pPr>
            <w:r>
              <w:rPr>
                <w:rFonts w:eastAsia="Times New Roman"/>
                <w:color w:val="000000"/>
                <w:sz w:val="20"/>
                <w:szCs w:val="20"/>
              </w:rPr>
              <w:t>Goodwill acquired</w:t>
            </w:r>
          </w:p>
        </w:tc>
        <w:tc>
          <w:tcPr>
            <w:tcW w:w="0" w:type="auto"/>
            <w:gridSpan w:val="2"/>
            <w:shd w:val="clear" w:color="auto" w:fill="FFFFFF"/>
            <w:tcMar>
              <w:top w:w="30" w:type="dxa"/>
              <w:left w:w="20" w:type="dxa"/>
              <w:bottom w:w="30" w:type="dxa"/>
              <w:right w:w="0" w:type="dxa"/>
            </w:tcMar>
            <w:vAlign w:val="bottom"/>
            <w:hideMark/>
          </w:tcPr>
          <w:p w14:paraId="6E8F49B8" w14:textId="77777777" w:rsidR="00000000" w:rsidRDefault="001A570A">
            <w:pPr>
              <w:jc w:val="right"/>
              <w:rPr>
                <w:rFonts w:eastAsia="Times New Roman"/>
              </w:rPr>
            </w:pPr>
            <w:r>
              <w:rPr>
                <w:rFonts w:eastAsia="Times New Roman"/>
                <w:color w:val="000000"/>
                <w:sz w:val="20"/>
                <w:szCs w:val="20"/>
              </w:rPr>
              <w:t>5,704 </w:t>
            </w:r>
          </w:p>
        </w:tc>
        <w:tc>
          <w:tcPr>
            <w:tcW w:w="0" w:type="auto"/>
            <w:shd w:val="clear" w:color="auto" w:fill="FFFFFF"/>
            <w:tcMar>
              <w:top w:w="30" w:type="dxa"/>
              <w:left w:w="0" w:type="dxa"/>
              <w:bottom w:w="30" w:type="dxa"/>
              <w:right w:w="20" w:type="dxa"/>
            </w:tcMar>
            <w:vAlign w:val="bottom"/>
            <w:hideMark/>
          </w:tcPr>
          <w:p w14:paraId="0A0C11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381B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339C4" w14:textId="77777777" w:rsidR="00000000" w:rsidRDefault="001A570A">
            <w:pPr>
              <w:jc w:val="right"/>
              <w:rPr>
                <w:rFonts w:eastAsia="Times New Roman"/>
              </w:rPr>
            </w:pPr>
            <w:r>
              <w:rPr>
                <w:rFonts w:eastAsia="Times New Roman"/>
                <w:color w:val="000000"/>
                <w:sz w:val="20"/>
                <w:szCs w:val="20"/>
              </w:rPr>
              <w:t>1,390 </w:t>
            </w:r>
          </w:p>
        </w:tc>
        <w:tc>
          <w:tcPr>
            <w:tcW w:w="0" w:type="auto"/>
            <w:shd w:val="clear" w:color="auto" w:fill="FFFFFF"/>
            <w:tcMar>
              <w:top w:w="30" w:type="dxa"/>
              <w:left w:w="0" w:type="dxa"/>
              <w:bottom w:w="30" w:type="dxa"/>
              <w:right w:w="20" w:type="dxa"/>
            </w:tcMar>
            <w:vAlign w:val="bottom"/>
            <w:hideMark/>
          </w:tcPr>
          <w:p w14:paraId="141C05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0E852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6540C" w14:textId="77777777" w:rsidR="00000000" w:rsidRDefault="001A570A">
            <w:pPr>
              <w:jc w:val="right"/>
              <w:rPr>
                <w:rFonts w:eastAsia="Times New Roman"/>
              </w:rPr>
            </w:pPr>
            <w:r>
              <w:rPr>
                <w:rFonts w:eastAsia="Times New Roman"/>
                <w:color w:val="000000"/>
                <w:sz w:val="20"/>
                <w:szCs w:val="20"/>
              </w:rPr>
              <w:t>3,316 </w:t>
            </w:r>
          </w:p>
        </w:tc>
        <w:tc>
          <w:tcPr>
            <w:tcW w:w="0" w:type="auto"/>
            <w:shd w:val="clear" w:color="auto" w:fill="FFFFFF"/>
            <w:tcMar>
              <w:top w:w="30" w:type="dxa"/>
              <w:left w:w="0" w:type="dxa"/>
              <w:bottom w:w="30" w:type="dxa"/>
              <w:right w:w="20" w:type="dxa"/>
            </w:tcMar>
            <w:vAlign w:val="bottom"/>
            <w:hideMark/>
          </w:tcPr>
          <w:p w14:paraId="3DA3436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C8CB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0512D" w14:textId="77777777" w:rsidR="00000000" w:rsidRDefault="001A570A">
            <w:pPr>
              <w:jc w:val="right"/>
              <w:rPr>
                <w:rFonts w:eastAsia="Times New Roman"/>
              </w:rPr>
            </w:pPr>
            <w:r>
              <w:rPr>
                <w:rFonts w:eastAsia="Times New Roman"/>
                <w:color w:val="000000"/>
                <w:sz w:val="20"/>
                <w:szCs w:val="20"/>
              </w:rPr>
              <w:t>4,239 </w:t>
            </w:r>
          </w:p>
        </w:tc>
        <w:tc>
          <w:tcPr>
            <w:tcW w:w="0" w:type="auto"/>
            <w:shd w:val="clear" w:color="auto" w:fill="FFFFFF"/>
            <w:tcMar>
              <w:top w:w="30" w:type="dxa"/>
              <w:left w:w="0" w:type="dxa"/>
              <w:bottom w:w="30" w:type="dxa"/>
              <w:right w:w="20" w:type="dxa"/>
            </w:tcMar>
            <w:vAlign w:val="bottom"/>
            <w:hideMark/>
          </w:tcPr>
          <w:p w14:paraId="03872ABB" w14:textId="77777777" w:rsidR="00000000" w:rsidRDefault="001A570A">
            <w:pPr>
              <w:jc w:val="right"/>
              <w:rPr>
                <w:rFonts w:eastAsia="Times New Roman"/>
              </w:rPr>
            </w:pPr>
          </w:p>
        </w:tc>
        <w:tc>
          <w:tcPr>
            <w:tcW w:w="0" w:type="auto"/>
            <w:vAlign w:val="center"/>
            <w:hideMark/>
          </w:tcPr>
          <w:p w14:paraId="737EF350" w14:textId="77777777" w:rsidR="00000000" w:rsidRDefault="001A570A">
            <w:pPr>
              <w:jc w:val="right"/>
              <w:rPr>
                <w:rFonts w:eastAsia="Times New Roman"/>
                <w:sz w:val="20"/>
                <w:szCs w:val="20"/>
              </w:rPr>
            </w:pPr>
          </w:p>
        </w:tc>
        <w:tc>
          <w:tcPr>
            <w:tcW w:w="0" w:type="auto"/>
            <w:vAlign w:val="center"/>
            <w:hideMark/>
          </w:tcPr>
          <w:p w14:paraId="68494AC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C6CB46"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1167F" w14:textId="77777777" w:rsidR="00000000" w:rsidRDefault="001A570A">
            <w:pPr>
              <w:jc w:val="right"/>
              <w:rPr>
                <w:rFonts w:eastAsia="Times New Roman"/>
              </w:rPr>
            </w:pPr>
            <w:r>
              <w:rPr>
                <w:rFonts w:eastAsia="Times New Roman"/>
                <w:color w:val="000000"/>
                <w:sz w:val="20"/>
                <w:szCs w:val="20"/>
              </w:rPr>
              <w:t>14,649 </w:t>
            </w:r>
          </w:p>
        </w:tc>
        <w:tc>
          <w:tcPr>
            <w:tcW w:w="0" w:type="auto"/>
            <w:shd w:val="clear" w:color="auto" w:fill="FFFFFF"/>
            <w:tcMar>
              <w:top w:w="30" w:type="dxa"/>
              <w:left w:w="0" w:type="dxa"/>
              <w:bottom w:w="30" w:type="dxa"/>
              <w:right w:w="20" w:type="dxa"/>
            </w:tcMar>
            <w:vAlign w:val="bottom"/>
            <w:hideMark/>
          </w:tcPr>
          <w:p w14:paraId="0C78C65B" w14:textId="77777777" w:rsidR="00000000" w:rsidRDefault="001A570A">
            <w:pPr>
              <w:jc w:val="right"/>
              <w:rPr>
                <w:rFonts w:eastAsia="Times New Roman"/>
              </w:rPr>
            </w:pPr>
          </w:p>
        </w:tc>
      </w:tr>
      <w:tr w:rsidR="00000000" w14:paraId="0DAA182C" w14:textId="77777777">
        <w:trPr>
          <w:divId w:val="1772970091"/>
        </w:trPr>
        <w:tc>
          <w:tcPr>
            <w:tcW w:w="0" w:type="auto"/>
            <w:gridSpan w:val="3"/>
            <w:shd w:val="clear" w:color="auto" w:fill="CCEEFF"/>
            <w:tcMar>
              <w:top w:w="30" w:type="dxa"/>
              <w:left w:w="155" w:type="dxa"/>
              <w:bottom w:w="30" w:type="dxa"/>
              <w:right w:w="20" w:type="dxa"/>
            </w:tcMar>
            <w:hideMark/>
          </w:tcPr>
          <w:p w14:paraId="098C838F" w14:textId="77777777" w:rsidR="00000000" w:rsidRDefault="001A570A">
            <w:pPr>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14:paraId="6E9FC622"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0281079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D858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832B5"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B4E301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85A4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CCAF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92FF6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E046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DC2E19"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7BE15BF5" w14:textId="77777777" w:rsidR="00000000" w:rsidRDefault="001A570A">
            <w:pPr>
              <w:jc w:val="right"/>
              <w:rPr>
                <w:rFonts w:eastAsia="Times New Roman"/>
              </w:rPr>
            </w:pPr>
          </w:p>
        </w:tc>
        <w:tc>
          <w:tcPr>
            <w:tcW w:w="0" w:type="auto"/>
            <w:vAlign w:val="center"/>
            <w:hideMark/>
          </w:tcPr>
          <w:p w14:paraId="0F91AEE8" w14:textId="77777777" w:rsidR="00000000" w:rsidRDefault="001A570A">
            <w:pPr>
              <w:jc w:val="right"/>
              <w:rPr>
                <w:rFonts w:eastAsia="Times New Roman"/>
                <w:sz w:val="20"/>
                <w:szCs w:val="20"/>
              </w:rPr>
            </w:pPr>
          </w:p>
        </w:tc>
        <w:tc>
          <w:tcPr>
            <w:tcW w:w="0" w:type="auto"/>
            <w:vAlign w:val="center"/>
            <w:hideMark/>
          </w:tcPr>
          <w:p w14:paraId="62EFB92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9EA97E"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D91393"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48D0CF36" w14:textId="77777777" w:rsidR="00000000" w:rsidRDefault="001A570A">
            <w:pPr>
              <w:jc w:val="right"/>
              <w:rPr>
                <w:rFonts w:eastAsia="Times New Roman"/>
              </w:rPr>
            </w:pPr>
          </w:p>
        </w:tc>
      </w:tr>
      <w:tr w:rsidR="00000000" w14:paraId="34A59BC4" w14:textId="77777777">
        <w:trPr>
          <w:divId w:val="1772970091"/>
        </w:trPr>
        <w:tc>
          <w:tcPr>
            <w:tcW w:w="0" w:type="auto"/>
            <w:gridSpan w:val="3"/>
            <w:shd w:val="clear" w:color="auto" w:fill="FFFFFF"/>
            <w:tcMar>
              <w:top w:w="30" w:type="dxa"/>
              <w:left w:w="20" w:type="dxa"/>
              <w:bottom w:w="30" w:type="dxa"/>
              <w:right w:w="20" w:type="dxa"/>
            </w:tcMar>
            <w:hideMark/>
          </w:tcPr>
          <w:p w14:paraId="516E0362" w14:textId="77777777" w:rsidR="00000000" w:rsidRDefault="001A570A">
            <w:pPr>
              <w:rPr>
                <w:rFonts w:eastAsia="Times New Roman"/>
              </w:rPr>
            </w:pPr>
            <w:r>
              <w:rPr>
                <w:rFonts w:eastAsia="Times New Roman"/>
                <w:color w:val="000000"/>
                <w:sz w:val="20"/>
                <w:szCs w:val="20"/>
              </w:rPr>
              <w:t>Balance at January 3,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84B7AC" w14:textId="77777777" w:rsidR="00000000" w:rsidRDefault="001A570A">
            <w:pPr>
              <w:jc w:val="right"/>
              <w:rPr>
                <w:rFonts w:eastAsia="Times New Roman"/>
              </w:rPr>
            </w:pPr>
            <w:r>
              <w:rPr>
                <w:rFonts w:eastAsia="Times New Roman"/>
                <w:color w:val="000000"/>
                <w:sz w:val="20"/>
                <w:szCs w:val="20"/>
              </w:rPr>
              <w:t>5,768 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86F8A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D2CB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A8C4BE" w14:textId="77777777" w:rsidR="00000000" w:rsidRDefault="001A570A">
            <w:pPr>
              <w:jc w:val="right"/>
              <w:rPr>
                <w:rFonts w:eastAsia="Times New Roman"/>
              </w:rPr>
            </w:pPr>
            <w:r>
              <w:rPr>
                <w:rFonts w:eastAsia="Times New Roman"/>
                <w:color w:val="000000"/>
                <w:sz w:val="20"/>
                <w:szCs w:val="20"/>
              </w:rPr>
              <w:t>5,131 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906E3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0E88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44835D" w14:textId="77777777" w:rsidR="00000000" w:rsidRDefault="001A570A">
            <w:pPr>
              <w:jc w:val="right"/>
              <w:rPr>
                <w:rFonts w:eastAsia="Times New Roman"/>
              </w:rPr>
            </w:pPr>
            <w:r>
              <w:rPr>
                <w:rFonts w:eastAsia="Times New Roman"/>
                <w:color w:val="000000"/>
                <w:sz w:val="20"/>
                <w:szCs w:val="20"/>
              </w:rPr>
              <w:t>4,243 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70733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08BB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FD1F62" w14:textId="77777777" w:rsidR="00000000" w:rsidRDefault="001A570A">
            <w:pPr>
              <w:jc w:val="right"/>
              <w:rPr>
                <w:rFonts w:eastAsia="Times New Roman"/>
              </w:rPr>
            </w:pPr>
            <w:r>
              <w:rPr>
                <w:rFonts w:eastAsia="Times New Roman"/>
                <w:color w:val="000000"/>
                <w:sz w:val="20"/>
                <w:szCs w:val="20"/>
              </w:rPr>
              <w:t>4,859 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A9D116" w14:textId="77777777" w:rsidR="00000000" w:rsidRDefault="001A570A">
            <w:pPr>
              <w:jc w:val="right"/>
              <w:rPr>
                <w:rFonts w:eastAsia="Times New Roman"/>
              </w:rPr>
            </w:pPr>
          </w:p>
        </w:tc>
        <w:tc>
          <w:tcPr>
            <w:tcW w:w="0" w:type="auto"/>
            <w:vAlign w:val="center"/>
            <w:hideMark/>
          </w:tcPr>
          <w:p w14:paraId="55C714C7" w14:textId="77777777" w:rsidR="00000000" w:rsidRDefault="001A570A">
            <w:pPr>
              <w:jc w:val="right"/>
              <w:rPr>
                <w:rFonts w:eastAsia="Times New Roman"/>
                <w:sz w:val="20"/>
                <w:szCs w:val="20"/>
              </w:rPr>
            </w:pPr>
          </w:p>
        </w:tc>
        <w:tc>
          <w:tcPr>
            <w:tcW w:w="0" w:type="auto"/>
            <w:vAlign w:val="center"/>
            <w:hideMark/>
          </w:tcPr>
          <w:p w14:paraId="517503B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B5846" w14:textId="77777777" w:rsidR="00000000" w:rsidRDefault="001A570A">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162708" w14:textId="77777777" w:rsidR="00000000" w:rsidRDefault="001A570A">
            <w:pPr>
              <w:jc w:val="right"/>
              <w:rPr>
                <w:rFonts w:eastAsia="Times New Roman"/>
              </w:rPr>
            </w:pPr>
            <w:r>
              <w:rPr>
                <w:rFonts w:eastAsia="Times New Roman"/>
                <w:color w:val="000000"/>
                <w:sz w:val="20"/>
                <w:szCs w:val="20"/>
              </w:rPr>
              <w:t>20,001 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E44130" w14:textId="77777777" w:rsidR="00000000" w:rsidRDefault="001A570A">
            <w:pPr>
              <w:jc w:val="right"/>
              <w:rPr>
                <w:rFonts w:eastAsia="Times New Roman"/>
              </w:rPr>
            </w:pPr>
          </w:p>
        </w:tc>
      </w:tr>
      <w:tr w:rsidR="00000000" w14:paraId="5D6EA75A" w14:textId="77777777">
        <w:trPr>
          <w:divId w:val="1772970091"/>
        </w:trPr>
        <w:tc>
          <w:tcPr>
            <w:tcW w:w="0" w:type="auto"/>
            <w:gridSpan w:val="3"/>
            <w:shd w:val="clear" w:color="auto" w:fill="CCEEFF"/>
            <w:tcMar>
              <w:top w:w="30" w:type="dxa"/>
              <w:left w:w="20" w:type="dxa"/>
              <w:bottom w:w="30" w:type="dxa"/>
              <w:right w:w="20" w:type="dxa"/>
            </w:tcMar>
            <w:hideMark/>
          </w:tcPr>
          <w:p w14:paraId="50557310" w14:textId="77777777" w:rsidR="00000000" w:rsidRDefault="001A570A">
            <w:pPr>
              <w:divId w:val="1994681114"/>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92C03E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9DAB2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AC3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C1D3A"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D5A37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7665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E5015"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5082F0B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AB54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9B2EC" w14:textId="77777777" w:rsidR="00000000" w:rsidRDefault="001A570A">
            <w:pPr>
              <w:jc w:val="right"/>
              <w:rPr>
                <w:rFonts w:eastAsia="Times New Roman"/>
              </w:rPr>
            </w:pPr>
            <w:r>
              <w:rPr>
                <w:rFonts w:eastAsia="Times New Roman"/>
                <w:color w:val="000000"/>
                <w:sz w:val="20"/>
                <w:szCs w:val="20"/>
              </w:rPr>
              <w:t>(530)</w:t>
            </w:r>
          </w:p>
        </w:tc>
        <w:tc>
          <w:tcPr>
            <w:tcW w:w="0" w:type="auto"/>
            <w:shd w:val="clear" w:color="auto" w:fill="CCEEFF"/>
            <w:tcMar>
              <w:top w:w="30" w:type="dxa"/>
              <w:left w:w="0" w:type="dxa"/>
              <w:bottom w:w="30" w:type="dxa"/>
              <w:right w:w="20" w:type="dxa"/>
            </w:tcMar>
            <w:vAlign w:val="bottom"/>
            <w:hideMark/>
          </w:tcPr>
          <w:p w14:paraId="6481D5CF" w14:textId="77777777" w:rsidR="00000000" w:rsidRDefault="001A570A">
            <w:pPr>
              <w:jc w:val="right"/>
              <w:rPr>
                <w:rFonts w:eastAsia="Times New Roman"/>
              </w:rPr>
            </w:pPr>
          </w:p>
        </w:tc>
        <w:tc>
          <w:tcPr>
            <w:tcW w:w="0" w:type="auto"/>
            <w:vAlign w:val="center"/>
            <w:hideMark/>
          </w:tcPr>
          <w:p w14:paraId="63F44A60" w14:textId="77777777" w:rsidR="00000000" w:rsidRDefault="001A570A">
            <w:pPr>
              <w:jc w:val="right"/>
              <w:rPr>
                <w:rFonts w:eastAsia="Times New Roman"/>
                <w:sz w:val="20"/>
                <w:szCs w:val="20"/>
              </w:rPr>
            </w:pPr>
          </w:p>
        </w:tc>
        <w:tc>
          <w:tcPr>
            <w:tcW w:w="0" w:type="auto"/>
            <w:vAlign w:val="center"/>
            <w:hideMark/>
          </w:tcPr>
          <w:p w14:paraId="2DD63F7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4D4BA4"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B87C7" w14:textId="77777777" w:rsidR="00000000" w:rsidRDefault="001A570A">
            <w:pPr>
              <w:jc w:val="right"/>
              <w:rPr>
                <w:rFonts w:eastAsia="Times New Roman"/>
              </w:rPr>
            </w:pPr>
            <w:r>
              <w:rPr>
                <w:rFonts w:eastAsia="Times New Roman"/>
                <w:color w:val="000000"/>
                <w:sz w:val="20"/>
                <w:szCs w:val="20"/>
              </w:rPr>
              <w:t>(541)</w:t>
            </w:r>
          </w:p>
        </w:tc>
        <w:tc>
          <w:tcPr>
            <w:tcW w:w="0" w:type="auto"/>
            <w:shd w:val="clear" w:color="auto" w:fill="CCEEFF"/>
            <w:tcMar>
              <w:top w:w="30" w:type="dxa"/>
              <w:left w:w="0" w:type="dxa"/>
              <w:bottom w:w="30" w:type="dxa"/>
              <w:right w:w="20" w:type="dxa"/>
            </w:tcMar>
            <w:vAlign w:val="bottom"/>
            <w:hideMark/>
          </w:tcPr>
          <w:p w14:paraId="0974B5C9" w14:textId="77777777" w:rsidR="00000000" w:rsidRDefault="001A570A">
            <w:pPr>
              <w:jc w:val="right"/>
              <w:rPr>
                <w:rFonts w:eastAsia="Times New Roman"/>
              </w:rPr>
            </w:pPr>
          </w:p>
        </w:tc>
      </w:tr>
      <w:tr w:rsidR="00000000" w14:paraId="78C1834C" w14:textId="77777777">
        <w:trPr>
          <w:divId w:val="1772970091"/>
        </w:trPr>
        <w:tc>
          <w:tcPr>
            <w:tcW w:w="0" w:type="auto"/>
            <w:gridSpan w:val="3"/>
            <w:shd w:val="clear" w:color="auto" w:fill="FFFFFF"/>
            <w:tcMar>
              <w:top w:w="30" w:type="dxa"/>
              <w:left w:w="140" w:type="dxa"/>
              <w:bottom w:w="30" w:type="dxa"/>
              <w:right w:w="20" w:type="dxa"/>
            </w:tcMar>
            <w:hideMark/>
          </w:tcPr>
          <w:p w14:paraId="7916FE89" w14:textId="77777777" w:rsidR="00000000" w:rsidRDefault="001A570A">
            <w:pPr>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14:paraId="022FBB9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3D5AF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782E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5F2A5"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6AFA81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98D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F6940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9AE98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CBC7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D75A27" w14:textId="77777777" w:rsidR="00000000" w:rsidRDefault="001A570A">
            <w:pPr>
              <w:jc w:val="right"/>
              <w:rPr>
                <w:rFonts w:eastAsia="Times New Roman"/>
              </w:rPr>
            </w:pPr>
            <w:r>
              <w:rPr>
                <w:rFonts w:eastAsia="Times New Roman"/>
                <w:color w:val="000000"/>
                <w:sz w:val="20"/>
                <w:szCs w:val="20"/>
              </w:rPr>
              <w:t>(475)</w:t>
            </w:r>
          </w:p>
        </w:tc>
        <w:tc>
          <w:tcPr>
            <w:tcW w:w="0" w:type="auto"/>
            <w:shd w:val="clear" w:color="auto" w:fill="FFFFFF"/>
            <w:tcMar>
              <w:top w:w="30" w:type="dxa"/>
              <w:left w:w="0" w:type="dxa"/>
              <w:bottom w:w="30" w:type="dxa"/>
              <w:right w:w="20" w:type="dxa"/>
            </w:tcMar>
            <w:vAlign w:val="bottom"/>
            <w:hideMark/>
          </w:tcPr>
          <w:p w14:paraId="06AA6F1A" w14:textId="77777777" w:rsidR="00000000" w:rsidRDefault="001A570A">
            <w:pPr>
              <w:jc w:val="right"/>
              <w:rPr>
                <w:rFonts w:eastAsia="Times New Roman"/>
              </w:rPr>
            </w:pPr>
          </w:p>
        </w:tc>
        <w:tc>
          <w:tcPr>
            <w:tcW w:w="0" w:type="auto"/>
            <w:vAlign w:val="center"/>
            <w:hideMark/>
          </w:tcPr>
          <w:p w14:paraId="5374DF42" w14:textId="77777777" w:rsidR="00000000" w:rsidRDefault="001A570A">
            <w:pPr>
              <w:jc w:val="right"/>
              <w:rPr>
                <w:rFonts w:eastAsia="Times New Roman"/>
                <w:sz w:val="20"/>
                <w:szCs w:val="20"/>
              </w:rPr>
            </w:pPr>
          </w:p>
        </w:tc>
        <w:tc>
          <w:tcPr>
            <w:tcW w:w="0" w:type="auto"/>
            <w:vAlign w:val="center"/>
            <w:hideMark/>
          </w:tcPr>
          <w:p w14:paraId="45A5C44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671DA7"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E944F2" w14:textId="77777777" w:rsidR="00000000" w:rsidRDefault="001A570A">
            <w:pPr>
              <w:jc w:val="right"/>
              <w:rPr>
                <w:rFonts w:eastAsia="Times New Roman"/>
              </w:rPr>
            </w:pPr>
            <w:r>
              <w:rPr>
                <w:rFonts w:eastAsia="Times New Roman"/>
                <w:color w:val="000000"/>
                <w:sz w:val="20"/>
                <w:szCs w:val="20"/>
              </w:rPr>
              <w:t>(480)</w:t>
            </w:r>
          </w:p>
        </w:tc>
        <w:tc>
          <w:tcPr>
            <w:tcW w:w="0" w:type="auto"/>
            <w:shd w:val="clear" w:color="auto" w:fill="FFFFFF"/>
            <w:tcMar>
              <w:top w:w="30" w:type="dxa"/>
              <w:left w:w="0" w:type="dxa"/>
              <w:bottom w:w="30" w:type="dxa"/>
              <w:right w:w="20" w:type="dxa"/>
            </w:tcMar>
            <w:vAlign w:val="bottom"/>
            <w:hideMark/>
          </w:tcPr>
          <w:p w14:paraId="0106B103" w14:textId="77777777" w:rsidR="00000000" w:rsidRDefault="001A570A">
            <w:pPr>
              <w:jc w:val="right"/>
              <w:rPr>
                <w:rFonts w:eastAsia="Times New Roman"/>
              </w:rPr>
            </w:pPr>
          </w:p>
        </w:tc>
      </w:tr>
      <w:tr w:rsidR="00000000" w14:paraId="0978BF0C" w14:textId="77777777">
        <w:trPr>
          <w:divId w:val="1772970091"/>
        </w:trPr>
        <w:tc>
          <w:tcPr>
            <w:tcW w:w="0" w:type="auto"/>
            <w:gridSpan w:val="3"/>
            <w:shd w:val="clear" w:color="auto" w:fill="CCEEFF"/>
            <w:tcMar>
              <w:top w:w="30" w:type="dxa"/>
              <w:left w:w="140" w:type="dxa"/>
              <w:bottom w:w="30" w:type="dxa"/>
              <w:right w:w="20" w:type="dxa"/>
            </w:tcMar>
            <w:hideMark/>
          </w:tcPr>
          <w:p w14:paraId="32D6F831" w14:textId="77777777" w:rsidR="00000000" w:rsidRDefault="001A570A">
            <w:pPr>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14:paraId="7BFC3F4C"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17153C1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F5DB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AB8FD2"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2EB950A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880D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52C3D1"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E2F065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3E4A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3847AB"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4D2232E7" w14:textId="77777777" w:rsidR="00000000" w:rsidRDefault="001A570A">
            <w:pPr>
              <w:jc w:val="right"/>
              <w:rPr>
                <w:rFonts w:eastAsia="Times New Roman"/>
              </w:rPr>
            </w:pPr>
          </w:p>
        </w:tc>
        <w:tc>
          <w:tcPr>
            <w:tcW w:w="0" w:type="auto"/>
            <w:vAlign w:val="center"/>
            <w:hideMark/>
          </w:tcPr>
          <w:p w14:paraId="3407A235" w14:textId="77777777" w:rsidR="00000000" w:rsidRDefault="001A570A">
            <w:pPr>
              <w:jc w:val="right"/>
              <w:rPr>
                <w:rFonts w:eastAsia="Times New Roman"/>
                <w:sz w:val="20"/>
                <w:szCs w:val="20"/>
              </w:rPr>
            </w:pPr>
          </w:p>
        </w:tc>
        <w:tc>
          <w:tcPr>
            <w:tcW w:w="0" w:type="auto"/>
            <w:vAlign w:val="center"/>
            <w:hideMark/>
          </w:tcPr>
          <w:p w14:paraId="23E6A06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A34389"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62D59B" w14:textId="77777777" w:rsidR="00000000" w:rsidRDefault="001A570A">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1DA9784C" w14:textId="77777777" w:rsidR="00000000" w:rsidRDefault="001A570A">
            <w:pPr>
              <w:jc w:val="right"/>
              <w:rPr>
                <w:rFonts w:eastAsia="Times New Roman"/>
              </w:rPr>
            </w:pPr>
          </w:p>
        </w:tc>
      </w:tr>
      <w:tr w:rsidR="00000000" w14:paraId="72B69588" w14:textId="77777777">
        <w:trPr>
          <w:divId w:val="1772970091"/>
        </w:trPr>
        <w:tc>
          <w:tcPr>
            <w:tcW w:w="0" w:type="auto"/>
            <w:gridSpan w:val="3"/>
            <w:shd w:val="clear" w:color="auto" w:fill="FFFFFF"/>
            <w:tcMar>
              <w:top w:w="30" w:type="dxa"/>
              <w:left w:w="20" w:type="dxa"/>
              <w:bottom w:w="30" w:type="dxa"/>
              <w:right w:w="20" w:type="dxa"/>
            </w:tcMar>
            <w:hideMark/>
          </w:tcPr>
          <w:p w14:paraId="7845F51D" w14:textId="77777777" w:rsidR="00000000" w:rsidRDefault="001A570A">
            <w:pPr>
              <w:ind w:hanging="251"/>
              <w:divId w:val="1958952507"/>
              <w:rPr>
                <w:rFonts w:eastAsia="Times New Roman"/>
              </w:rPr>
            </w:pPr>
            <w:r>
              <w:rPr>
                <w:rFonts w:eastAsia="Times New Roman"/>
                <w:color w:val="000000"/>
                <w:sz w:val="20"/>
                <w:szCs w:val="20"/>
              </w:rPr>
              <w:t>Other (including adjustments to previously estimated fair value of assets acquired and liabilities assumed</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ED95DDC" w14:textId="77777777" w:rsidR="00000000" w:rsidRDefault="001A570A">
            <w:pPr>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bottom"/>
            <w:hideMark/>
          </w:tcPr>
          <w:p w14:paraId="63F2925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60AF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40B339" w14:textId="77777777" w:rsidR="00000000" w:rsidRDefault="001A570A">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14:paraId="142882C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DC3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273C7" w14:textId="77777777" w:rsidR="00000000" w:rsidRDefault="001A570A">
            <w:pPr>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14:paraId="70103E1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A8C9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03222" w14:textId="77777777" w:rsidR="00000000" w:rsidRDefault="001A570A">
            <w:pPr>
              <w:jc w:val="right"/>
              <w:rPr>
                <w:rFonts w:eastAsia="Times New Roman"/>
              </w:rPr>
            </w:pPr>
            <w:r>
              <w:rPr>
                <w:rFonts w:eastAsia="Times New Roman"/>
                <w:color w:val="000000"/>
                <w:sz w:val="20"/>
                <w:szCs w:val="20"/>
              </w:rPr>
              <w:t>(861)</w:t>
            </w:r>
          </w:p>
        </w:tc>
        <w:tc>
          <w:tcPr>
            <w:tcW w:w="0" w:type="auto"/>
            <w:shd w:val="clear" w:color="auto" w:fill="FFFFFF"/>
            <w:tcMar>
              <w:top w:w="30" w:type="dxa"/>
              <w:left w:w="0" w:type="dxa"/>
              <w:bottom w:w="30" w:type="dxa"/>
              <w:right w:w="20" w:type="dxa"/>
            </w:tcMar>
            <w:vAlign w:val="bottom"/>
            <w:hideMark/>
          </w:tcPr>
          <w:p w14:paraId="3E6FFB73" w14:textId="77777777" w:rsidR="00000000" w:rsidRDefault="001A570A">
            <w:pPr>
              <w:jc w:val="right"/>
              <w:rPr>
                <w:rFonts w:eastAsia="Times New Roman"/>
              </w:rPr>
            </w:pPr>
          </w:p>
        </w:tc>
        <w:tc>
          <w:tcPr>
            <w:tcW w:w="0" w:type="auto"/>
            <w:vAlign w:val="center"/>
            <w:hideMark/>
          </w:tcPr>
          <w:p w14:paraId="690E2DFC" w14:textId="77777777" w:rsidR="00000000" w:rsidRDefault="001A570A">
            <w:pPr>
              <w:jc w:val="right"/>
              <w:rPr>
                <w:rFonts w:eastAsia="Times New Roman"/>
                <w:sz w:val="20"/>
                <w:szCs w:val="20"/>
              </w:rPr>
            </w:pPr>
          </w:p>
        </w:tc>
        <w:tc>
          <w:tcPr>
            <w:tcW w:w="0" w:type="auto"/>
            <w:vAlign w:val="center"/>
            <w:hideMark/>
          </w:tcPr>
          <w:p w14:paraId="60071A2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8227F4"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36574" w14:textId="77777777" w:rsidR="00000000" w:rsidRDefault="001A570A">
            <w:pPr>
              <w:jc w:val="right"/>
              <w:rPr>
                <w:rFonts w:eastAsia="Times New Roman"/>
              </w:rPr>
            </w:pPr>
            <w:r>
              <w:rPr>
                <w:rFonts w:eastAsia="Times New Roman"/>
                <w:color w:val="000000"/>
                <w:sz w:val="20"/>
                <w:szCs w:val="20"/>
              </w:rPr>
              <w:t>(90)</w:t>
            </w:r>
          </w:p>
        </w:tc>
        <w:tc>
          <w:tcPr>
            <w:tcW w:w="0" w:type="auto"/>
            <w:shd w:val="clear" w:color="auto" w:fill="FFFFFF"/>
            <w:tcMar>
              <w:top w:w="30" w:type="dxa"/>
              <w:left w:w="0" w:type="dxa"/>
              <w:bottom w:w="30" w:type="dxa"/>
              <w:right w:w="20" w:type="dxa"/>
            </w:tcMar>
            <w:vAlign w:val="bottom"/>
            <w:hideMark/>
          </w:tcPr>
          <w:p w14:paraId="0397D442" w14:textId="77777777" w:rsidR="00000000" w:rsidRDefault="001A570A">
            <w:pPr>
              <w:jc w:val="right"/>
              <w:rPr>
                <w:rFonts w:eastAsia="Times New Roman"/>
              </w:rPr>
            </w:pPr>
          </w:p>
        </w:tc>
      </w:tr>
      <w:tr w:rsidR="00000000" w14:paraId="1EB30F2B" w14:textId="77777777">
        <w:trPr>
          <w:divId w:val="1772970091"/>
        </w:trPr>
        <w:tc>
          <w:tcPr>
            <w:tcW w:w="0" w:type="auto"/>
            <w:gridSpan w:val="3"/>
            <w:shd w:val="clear" w:color="auto" w:fill="CCEEFF"/>
            <w:tcMar>
              <w:top w:w="30" w:type="dxa"/>
              <w:left w:w="20" w:type="dxa"/>
              <w:bottom w:w="30" w:type="dxa"/>
              <w:right w:w="20" w:type="dxa"/>
            </w:tcMar>
            <w:hideMark/>
          </w:tcPr>
          <w:p w14:paraId="61936D07" w14:textId="77777777" w:rsidR="00000000" w:rsidRDefault="001A570A">
            <w:pPr>
              <w:rPr>
                <w:rFonts w:eastAsia="Times New Roman"/>
              </w:rPr>
            </w:pPr>
            <w:r>
              <w:rPr>
                <w:rFonts w:eastAsia="Times New Roman"/>
                <w:color w:val="000000"/>
                <w:sz w:val="20"/>
                <w:szCs w:val="20"/>
              </w:rPr>
              <w:t>Balance at January 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CA91A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4304B8" w14:textId="77777777" w:rsidR="00000000" w:rsidRDefault="001A570A">
            <w:pPr>
              <w:jc w:val="right"/>
              <w:rPr>
                <w:rFonts w:eastAsia="Times New Roman"/>
              </w:rPr>
            </w:pPr>
            <w:r>
              <w:rPr>
                <w:rFonts w:eastAsia="Times New Roman"/>
                <w:color w:val="000000"/>
                <w:sz w:val="20"/>
                <w:szCs w:val="20"/>
              </w:rPr>
              <w:t>6,499 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18D84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E79BA"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00D58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0C4063" w14:textId="77777777" w:rsidR="00000000" w:rsidRDefault="001A570A">
            <w:pPr>
              <w:jc w:val="right"/>
              <w:rPr>
                <w:rFonts w:eastAsia="Times New Roman"/>
              </w:rPr>
            </w:pPr>
            <w:r>
              <w:rPr>
                <w:rFonts w:eastAsia="Times New Roman"/>
                <w:color w:val="000000"/>
                <w:sz w:val="20"/>
                <w:szCs w:val="20"/>
              </w:rPr>
              <w:t>5,232 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0ECD1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F9F6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F2683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95CCE5" w14:textId="77777777" w:rsidR="00000000" w:rsidRDefault="001A570A">
            <w:pPr>
              <w:jc w:val="right"/>
              <w:rPr>
                <w:rFonts w:eastAsia="Times New Roman"/>
              </w:rPr>
            </w:pPr>
            <w:r>
              <w:rPr>
                <w:rFonts w:eastAsia="Times New Roman"/>
                <w:color w:val="000000"/>
                <w:sz w:val="20"/>
                <w:szCs w:val="20"/>
              </w:rPr>
              <w:t>4,153 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E233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BF0A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7D564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646A98" w14:textId="77777777" w:rsidR="00000000" w:rsidRDefault="001A570A">
            <w:pPr>
              <w:jc w:val="right"/>
              <w:rPr>
                <w:rFonts w:eastAsia="Times New Roman"/>
              </w:rPr>
            </w:pPr>
            <w:r>
              <w:rPr>
                <w:rFonts w:eastAsia="Times New Roman"/>
                <w:color w:val="000000"/>
                <w:sz w:val="20"/>
                <w:szCs w:val="20"/>
              </w:rPr>
              <w:t>2,992 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59F98D" w14:textId="77777777" w:rsidR="00000000" w:rsidRDefault="001A570A">
            <w:pPr>
              <w:jc w:val="right"/>
              <w:rPr>
                <w:rFonts w:eastAsia="Times New Roman"/>
              </w:rPr>
            </w:pPr>
          </w:p>
        </w:tc>
        <w:tc>
          <w:tcPr>
            <w:tcW w:w="0" w:type="auto"/>
            <w:vAlign w:val="center"/>
            <w:hideMark/>
          </w:tcPr>
          <w:p w14:paraId="41C74FC5" w14:textId="77777777" w:rsidR="00000000" w:rsidRDefault="001A570A">
            <w:pPr>
              <w:jc w:val="right"/>
              <w:rPr>
                <w:rFonts w:eastAsia="Times New Roman"/>
                <w:sz w:val="20"/>
                <w:szCs w:val="20"/>
              </w:rPr>
            </w:pPr>
          </w:p>
        </w:tc>
        <w:tc>
          <w:tcPr>
            <w:tcW w:w="0" w:type="auto"/>
            <w:vAlign w:val="center"/>
            <w:hideMark/>
          </w:tcPr>
          <w:p w14:paraId="164C0D9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B2F9BA"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234F8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AECABA" w14:textId="77777777" w:rsidR="00000000" w:rsidRDefault="001A570A">
            <w:pPr>
              <w:jc w:val="right"/>
              <w:rPr>
                <w:rFonts w:eastAsia="Times New Roman"/>
              </w:rPr>
            </w:pPr>
            <w:r>
              <w:rPr>
                <w:rFonts w:eastAsia="Times New Roman"/>
                <w:color w:val="000000"/>
                <w:sz w:val="20"/>
                <w:szCs w:val="20"/>
              </w:rPr>
              <w:t>18,876 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A435DD" w14:textId="77777777" w:rsidR="00000000" w:rsidRDefault="001A570A">
            <w:pPr>
              <w:jc w:val="right"/>
              <w:rPr>
                <w:rFonts w:eastAsia="Times New Roman"/>
              </w:rPr>
            </w:pPr>
          </w:p>
        </w:tc>
      </w:tr>
    </w:tbl>
    <w:p w14:paraId="56599AB8" w14:textId="77777777" w:rsidR="00000000" w:rsidRDefault="001A570A">
      <w:pPr>
        <w:divId w:val="439422572"/>
        <w:rPr>
          <w:rFonts w:eastAsia="Times New Roman"/>
        </w:rPr>
      </w:pPr>
      <w:r>
        <w:rPr>
          <w:rFonts w:eastAsia="Times New Roman"/>
          <w:color w:val="000000"/>
          <w:sz w:val="16"/>
          <w:szCs w:val="16"/>
        </w:rPr>
        <w:t>_______________</w:t>
      </w:r>
    </w:p>
    <w:p w14:paraId="4691643A" w14:textId="77777777" w:rsidR="00000000" w:rsidRDefault="001A570A">
      <w:pPr>
        <w:ind w:firstLine="450"/>
        <w:jc w:val="center"/>
        <w:divId w:val="1353678199"/>
        <w:rPr>
          <w:rFonts w:eastAsia="Times New Roman"/>
        </w:rPr>
      </w:pPr>
      <w:r>
        <w:rPr>
          <w:rFonts w:eastAsia="Times New Roman"/>
          <w:color w:val="000000"/>
          <w:sz w:val="20"/>
          <w:szCs w:val="20"/>
        </w:rPr>
        <w:t>96</w:t>
      </w:r>
    </w:p>
    <w:p w14:paraId="52BEE7AD" w14:textId="77777777" w:rsidR="00000000" w:rsidRDefault="001A570A">
      <w:pPr>
        <w:rPr>
          <w:rFonts w:eastAsia="Times New Roman"/>
        </w:rPr>
      </w:pPr>
      <w:r>
        <w:rPr>
          <w:rFonts w:eastAsia="Times New Roman"/>
        </w:rPr>
        <w:pict w14:anchorId="4CF1DA00">
          <v:rect id="_x0000_i1124" style="width:0;height:1.5pt" o:hralign="center" o:hrstd="t" o:hr="t" fillcolor="#a0a0a0" stroked="f"/>
        </w:pict>
      </w:r>
    </w:p>
    <w:p w14:paraId="00CAB330" w14:textId="77777777" w:rsidR="00000000" w:rsidRDefault="001A570A">
      <w:pPr>
        <w:ind w:firstLine="450"/>
        <w:divId w:val="1046371816"/>
        <w:rPr>
          <w:rFonts w:eastAsia="Times New Roman"/>
        </w:rPr>
      </w:pPr>
    </w:p>
    <w:p w14:paraId="7B48FC05" w14:textId="77777777" w:rsidR="00000000" w:rsidRDefault="001A570A">
      <w:pPr>
        <w:ind w:hanging="360"/>
        <w:divId w:val="1779522344"/>
        <w:rPr>
          <w:rFonts w:eastAsia="Times New Roman"/>
        </w:rPr>
      </w:pPr>
      <w:r>
        <w:rPr>
          <w:rFonts w:eastAsia="Times New Roman"/>
          <w:color w:val="000000"/>
          <w:sz w:val="16"/>
          <w:szCs w:val="16"/>
        </w:rPr>
        <w:t>(1)</w:t>
      </w:r>
      <w:r>
        <w:rPr>
          <w:rFonts w:eastAsia="Times New Roman"/>
          <w:color w:val="000000"/>
          <w:sz w:val="16"/>
          <w:szCs w:val="16"/>
        </w:rPr>
        <w:t xml:space="preserve">During fiscal 2020, we completed the divestiture of three businesses (airport security and automation business, Applied Kilovolts and Analytical Instrumentation business and EOTech business) and derecognized $541 million of goodwill as part of determining </w:t>
      </w:r>
      <w:r>
        <w:rPr>
          <w:rFonts w:eastAsia="Times New Roman"/>
          <w:color w:val="000000"/>
          <w:sz w:val="16"/>
          <w:szCs w:val="16"/>
        </w:rPr>
        <w:t xml:space="preserve">the gain or loss on these divestitures.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additional information.</w:t>
      </w:r>
    </w:p>
    <w:p w14:paraId="39F945E0" w14:textId="77777777" w:rsidR="00000000" w:rsidRDefault="001A570A">
      <w:pPr>
        <w:ind w:hanging="360"/>
        <w:divId w:val="896479907"/>
        <w:rPr>
          <w:rFonts w:eastAsia="Times New Roman"/>
        </w:rPr>
      </w:pPr>
      <w:r>
        <w:rPr>
          <w:rFonts w:eastAsia="Times New Roman"/>
          <w:color w:val="000000"/>
          <w:sz w:val="16"/>
          <w:szCs w:val="16"/>
        </w:rPr>
        <w:t xml:space="preserve">(2)See </w:t>
      </w:r>
      <w:r>
        <w:rPr>
          <w:rFonts w:eastAsia="Times New Roman"/>
          <w:i/>
          <w:iCs/>
          <w:color w:val="000000"/>
          <w:sz w:val="16"/>
          <w:szCs w:val="16"/>
        </w:rPr>
        <w:t>Note 5: Business Combination</w:t>
      </w:r>
      <w:r>
        <w:rPr>
          <w:rFonts w:eastAsia="Times New Roman"/>
          <w:color w:val="000000"/>
          <w:sz w:val="16"/>
          <w:szCs w:val="16"/>
        </w:rPr>
        <w:t xml:space="preserve"> in these Notes for additional information regarding adjustments to previously estimated</w:t>
      </w:r>
      <w:r>
        <w:rPr>
          <w:rFonts w:eastAsia="Times New Roman"/>
          <w:color w:val="000000"/>
          <w:sz w:val="16"/>
          <w:szCs w:val="16"/>
        </w:rPr>
        <w:t xml:space="preserve"> fair values of assets acquired and liabilities assumed.</w:t>
      </w:r>
    </w:p>
    <w:p w14:paraId="2AFA83B5" w14:textId="77777777" w:rsidR="00000000" w:rsidRDefault="001A570A">
      <w:pPr>
        <w:ind w:firstLine="450"/>
        <w:divId w:val="1076241836"/>
        <w:rPr>
          <w:rFonts w:eastAsia="Times New Roman"/>
        </w:rPr>
      </w:pPr>
      <w:r>
        <w:rPr>
          <w:rFonts w:eastAsia="Times New Roman"/>
          <w:i/>
          <w:iCs/>
          <w:color w:val="000000"/>
          <w:sz w:val="20"/>
          <w:szCs w:val="20"/>
        </w:rPr>
        <w:t>Commercial Aviation Solutions Impairments.</w:t>
      </w:r>
      <w:r>
        <w:rPr>
          <w:rFonts w:eastAsia="Times New Roman"/>
          <w:color w:val="000000"/>
          <w:sz w:val="20"/>
          <w:szCs w:val="20"/>
        </w:rPr>
        <w:t xml:space="preserve"> Indications of potential impairment of goodwill related to our Commercial Aviation Solutions reporting unit (which is part of our Aviation Systems segment) </w:t>
      </w:r>
      <w:r>
        <w:rPr>
          <w:rFonts w:eastAsia="Times New Roman"/>
          <w:color w:val="000000"/>
          <w:sz w:val="20"/>
          <w:szCs w:val="20"/>
        </w:rPr>
        <w:t>were present at April 3, 2020 due to COVID and its impact on global air traffic and customer operations, resulting in a decrease in fiscal 2020 outlook for the reporting unit, which we considered to be a triggering event requiring an interim impairment tes</w:t>
      </w:r>
      <w:r>
        <w:rPr>
          <w:rFonts w:eastAsia="Times New Roman"/>
          <w:color w:val="000000"/>
          <w:sz w:val="20"/>
          <w:szCs w:val="20"/>
        </w:rPr>
        <w:t>t. Consequently, in connection with the preparation of our financial statements for the quarter ended April 3, 2020, we performed a quantitative impairment test. To test for potential impairment of goodwill related to our Commercial Aviation Solutions repo</w:t>
      </w:r>
      <w:r>
        <w:rPr>
          <w:rFonts w:eastAsia="Times New Roman"/>
          <w:color w:val="000000"/>
          <w:sz w:val="20"/>
          <w:szCs w:val="20"/>
        </w:rPr>
        <w:t>rting unit, we prepared an estimate of the fair value of the reporting unit based on a combination of market-based valuation techniques, utilizing quoted market prices and comparable publicly reported transactions, and projected discounted cash flows. Give</w:t>
      </w:r>
      <w:r>
        <w:rPr>
          <w:rFonts w:eastAsia="Times New Roman"/>
          <w:color w:val="000000"/>
          <w:sz w:val="20"/>
          <w:szCs w:val="20"/>
        </w:rPr>
        <w:t>n the level of uncertainty in the outlook for the commercial aviation industry caused by the impact of COVID on global air traffic, our methodology for determining the fair value of the reporting unit placed the greatest weight on the expected fair value t</w:t>
      </w:r>
      <w:r>
        <w:rPr>
          <w:rFonts w:eastAsia="Times New Roman"/>
          <w:color w:val="000000"/>
          <w:sz w:val="20"/>
          <w:szCs w:val="20"/>
        </w:rPr>
        <w:t>echnique, and was dependent on our best estimates of future sales, operating costs and balance sheet metrics under a range of scenarios for future economic conditions. We assigned a probability to each scenario to calculate a set of probability-weighted pr</w:t>
      </w:r>
      <w:r>
        <w:rPr>
          <w:rFonts w:eastAsia="Times New Roman"/>
          <w:color w:val="000000"/>
          <w:sz w:val="20"/>
          <w:szCs w:val="20"/>
        </w:rPr>
        <w:t>ojected cash flows, and an appropriate discount rate reflecting the risk in the projected cash flows was used to discount the expected cash flows to present value.</w:t>
      </w:r>
    </w:p>
    <w:p w14:paraId="679B8EB8" w14:textId="77777777" w:rsidR="00000000" w:rsidRDefault="001A570A">
      <w:pPr>
        <w:ind w:firstLine="450"/>
        <w:divId w:val="1181317960"/>
        <w:rPr>
          <w:rFonts w:eastAsia="Times New Roman"/>
        </w:rPr>
      </w:pPr>
      <w:r>
        <w:rPr>
          <w:rFonts w:eastAsia="Times New Roman"/>
          <w:color w:val="000000"/>
          <w:sz w:val="20"/>
          <w:szCs w:val="20"/>
        </w:rPr>
        <w:t xml:space="preserve">As adverse global economic and market conditions attributable to COVID, including projected </w:t>
      </w:r>
      <w:r>
        <w:rPr>
          <w:rFonts w:eastAsia="Times New Roman"/>
          <w:color w:val="000000"/>
          <w:sz w:val="20"/>
          <w:szCs w:val="20"/>
        </w:rPr>
        <w:t>declines and subsequent recovery in commercial air traffic and original equipment manufacturer production volumes, continued to develop during fiscal 2020, we continued to monitor for facts and circumstances that could negatively impact key valuation assum</w:t>
      </w:r>
      <w:r>
        <w:rPr>
          <w:rFonts w:eastAsia="Times New Roman"/>
          <w:color w:val="000000"/>
          <w:sz w:val="20"/>
          <w:szCs w:val="20"/>
        </w:rPr>
        <w:t xml:space="preserve">ptions in determining the fair value of our Commercial Aviation Solutions reporting unit, including recent valuations, expectations regarding the timing of a return to pre-COVID commercial flight activity and the associated level of uncertainty, long-term </w:t>
      </w:r>
      <w:r>
        <w:rPr>
          <w:rFonts w:eastAsia="Times New Roman"/>
          <w:color w:val="000000"/>
          <w:sz w:val="20"/>
          <w:szCs w:val="20"/>
        </w:rPr>
        <w:t>revenue and profitability projections, discount rates and general industry, market and macroeconomic conditions. As a result, we determined indications of further impairment of assets related to our Commercial Aviation Solutions reporting unit existed as o</w:t>
      </w:r>
      <w:r>
        <w:rPr>
          <w:rFonts w:eastAsia="Times New Roman"/>
          <w:color w:val="000000"/>
          <w:sz w:val="20"/>
          <w:szCs w:val="20"/>
        </w:rPr>
        <w:t>f July 3, 2020 and again as of early December 2020.</w:t>
      </w:r>
    </w:p>
    <w:p w14:paraId="55BF0C1F" w14:textId="77777777" w:rsidR="00000000" w:rsidRDefault="001A570A">
      <w:pPr>
        <w:ind w:firstLine="450"/>
        <w:divId w:val="849880657"/>
        <w:rPr>
          <w:rFonts w:eastAsia="Times New Roman"/>
        </w:rPr>
      </w:pPr>
      <w:r>
        <w:rPr>
          <w:rFonts w:eastAsia="Times New Roman"/>
          <w:color w:val="000000"/>
          <w:sz w:val="20"/>
          <w:szCs w:val="20"/>
        </w:rPr>
        <w:t>As a result of these impairment tests, we concluded that goodwill and other assets related to our Commercial Aviation Solutions reporting unit were impaired as of April 3, 2020, July 3, 2020 and January 1</w:t>
      </w:r>
      <w:r>
        <w:rPr>
          <w:rFonts w:eastAsia="Times New Roman"/>
          <w:color w:val="000000"/>
          <w:sz w:val="20"/>
          <w:szCs w:val="20"/>
        </w:rPr>
        <w:t>, 2021, and we recorded the following non-cash impairment charges:</w:t>
      </w:r>
    </w:p>
    <w:p w14:paraId="1D40F4F4" w14:textId="77777777" w:rsidR="00000000" w:rsidRDefault="001A570A">
      <w:pPr>
        <w:ind w:hanging="360"/>
        <w:divId w:val="212083071"/>
        <w:rPr>
          <w:rFonts w:eastAsia="Times New Roman"/>
        </w:rPr>
      </w:pPr>
      <w:r>
        <w:rPr>
          <w:rFonts w:eastAsia="Times New Roman"/>
          <w:color w:val="000000"/>
          <w:sz w:val="20"/>
          <w:szCs w:val="20"/>
        </w:rPr>
        <w:t>•$461 million (including $34 million attributable to noncontrolling interests) for impairment of goodwill during fiscal 2020, including $111 million recognized in the fourth quarter of fisc</w:t>
      </w:r>
      <w:r>
        <w:rPr>
          <w:rFonts w:eastAsia="Times New Roman"/>
          <w:color w:val="000000"/>
          <w:sz w:val="20"/>
          <w:szCs w:val="20"/>
        </w:rPr>
        <w:t xml:space="preserve">al 2020; and </w:t>
      </w:r>
    </w:p>
    <w:p w14:paraId="6001F980" w14:textId="77777777" w:rsidR="00000000" w:rsidRDefault="001A570A">
      <w:pPr>
        <w:ind w:hanging="360"/>
        <w:divId w:val="358049585"/>
        <w:rPr>
          <w:rFonts w:eastAsia="Times New Roman"/>
        </w:rPr>
      </w:pPr>
      <w:r>
        <w:rPr>
          <w:rFonts w:eastAsia="Times New Roman"/>
          <w:color w:val="000000"/>
          <w:sz w:val="20"/>
          <w:szCs w:val="20"/>
        </w:rPr>
        <w:t xml:space="preserve">•$257 million for impairment of long-lived assets recognized during the fourth quarter of fiscal 2020, including $113 million for identifiable intangibles assets, $103 million for property, plant and equipment, $31 million for ROU assets and </w:t>
      </w:r>
      <w:r>
        <w:rPr>
          <w:rFonts w:eastAsia="Times New Roman"/>
          <w:color w:val="000000"/>
          <w:sz w:val="20"/>
          <w:szCs w:val="20"/>
        </w:rPr>
        <w:t>$10 million for marketable software.</w:t>
      </w:r>
    </w:p>
    <w:p w14:paraId="46CD7A91" w14:textId="77777777" w:rsidR="00000000" w:rsidRDefault="001A570A">
      <w:pPr>
        <w:ind w:firstLine="450"/>
        <w:divId w:val="1940064098"/>
        <w:rPr>
          <w:rFonts w:eastAsia="Times New Roman"/>
        </w:rPr>
      </w:pPr>
      <w:r>
        <w:rPr>
          <w:rFonts w:eastAsia="Times New Roman"/>
          <w:color w:val="000000"/>
          <w:sz w:val="20"/>
          <w:szCs w:val="20"/>
        </w:rPr>
        <w:t>These charges are included in the “Impairment of goodwill and other assets” line item in our Consolidated Statement of Income for fiscal 2020 and are primarily not deductible for tax purposes.</w:t>
      </w:r>
    </w:p>
    <w:p w14:paraId="53E3E910" w14:textId="77777777" w:rsidR="00000000" w:rsidRDefault="001A570A">
      <w:pPr>
        <w:ind w:firstLine="450"/>
        <w:divId w:val="1010453561"/>
        <w:rPr>
          <w:rFonts w:eastAsia="Times New Roman"/>
        </w:rPr>
      </w:pPr>
      <w:r>
        <w:rPr>
          <w:rFonts w:eastAsia="Times New Roman"/>
          <w:i/>
          <w:iCs/>
          <w:color w:val="000000"/>
          <w:sz w:val="20"/>
          <w:szCs w:val="20"/>
        </w:rPr>
        <w:t>VSE Disposal Group Impairm</w:t>
      </w:r>
      <w:r>
        <w:rPr>
          <w:rFonts w:eastAsia="Times New Roman"/>
          <w:i/>
          <w:iCs/>
          <w:color w:val="000000"/>
          <w:sz w:val="20"/>
          <w:szCs w:val="20"/>
        </w:rPr>
        <w:t>ent.</w:t>
      </w:r>
      <w:r>
        <w:rPr>
          <w:rFonts w:eastAsia="Times New Roman"/>
          <w:color w:val="000000"/>
          <w:sz w:val="20"/>
          <w:szCs w:val="20"/>
        </w:rPr>
        <w:t xml:space="preserve"> During the quarter ended July 3, 2020, we determined the criteria to be classified as held for sale were met with respect to the VSE disposal group within our Aviation Systems segment and assigned $14 million of goodwill to the VSE disposal group on a</w:t>
      </w:r>
      <w:r>
        <w:rPr>
          <w:rFonts w:eastAsia="Times New Roman"/>
          <w:color w:val="000000"/>
          <w:sz w:val="20"/>
          <w:szCs w:val="20"/>
        </w:rPr>
        <w:t xml:space="preserve"> relative fair value basis. In connection with the preparation of our financial statements for the quarter ended July 3, 2020, we concluded that goodwill related to the VSE disposal group was impaired and recorded a non-cash impairment charge $14 million, </w:t>
      </w:r>
      <w:r>
        <w:rPr>
          <w:rFonts w:eastAsia="Times New Roman"/>
          <w:color w:val="000000"/>
          <w:sz w:val="20"/>
          <w:szCs w:val="20"/>
        </w:rPr>
        <w:t>which is included in the “Impairment of goodwill and other assets” line item in our Consolidated Statement of Income for fiscal 2020.</w:t>
      </w:r>
    </w:p>
    <w:p w14:paraId="6970E33A" w14:textId="77777777" w:rsidR="00000000" w:rsidRDefault="001A570A">
      <w:pPr>
        <w:ind w:firstLine="450"/>
        <w:jc w:val="center"/>
        <w:divId w:val="1439325857"/>
        <w:rPr>
          <w:rFonts w:eastAsia="Times New Roman"/>
        </w:rPr>
      </w:pPr>
      <w:r>
        <w:rPr>
          <w:rFonts w:eastAsia="Times New Roman"/>
          <w:color w:val="000000"/>
          <w:sz w:val="20"/>
          <w:szCs w:val="20"/>
        </w:rPr>
        <w:t>97</w:t>
      </w:r>
    </w:p>
    <w:p w14:paraId="2ACA0ECC" w14:textId="77777777" w:rsidR="00000000" w:rsidRDefault="001A570A">
      <w:pPr>
        <w:rPr>
          <w:rFonts w:eastAsia="Times New Roman"/>
        </w:rPr>
      </w:pPr>
      <w:r>
        <w:rPr>
          <w:rFonts w:eastAsia="Times New Roman"/>
        </w:rPr>
        <w:pict w14:anchorId="7545040B">
          <v:rect id="_x0000_i1125" style="width:0;height:1.5pt" o:hralign="center" o:hrstd="t" o:hr="t" fillcolor="#a0a0a0" stroked="f"/>
        </w:pict>
      </w:r>
    </w:p>
    <w:p w14:paraId="24A68313" w14:textId="77777777" w:rsidR="00000000" w:rsidRDefault="001A570A">
      <w:pPr>
        <w:ind w:firstLine="450"/>
        <w:divId w:val="1801418932"/>
        <w:rPr>
          <w:rFonts w:eastAsia="Times New Roman"/>
        </w:rPr>
      </w:pPr>
    </w:p>
    <w:p w14:paraId="22FF3703" w14:textId="77777777" w:rsidR="00000000" w:rsidRDefault="001A570A">
      <w:pPr>
        <w:divId w:val="2121756196"/>
        <w:rPr>
          <w:rFonts w:eastAsia="Times New Roman"/>
        </w:rPr>
      </w:pPr>
      <w:r>
        <w:rPr>
          <w:rFonts w:eastAsia="Times New Roman"/>
          <w:b/>
          <w:bCs/>
          <w:color w:val="000000"/>
          <w:sz w:val="20"/>
          <w:szCs w:val="20"/>
        </w:rPr>
        <w:t xml:space="preserve">NOTE 11: INTANGIBLE ASSETS </w:t>
      </w:r>
    </w:p>
    <w:p w14:paraId="33EE3007" w14:textId="77777777" w:rsidR="00000000" w:rsidRDefault="001A570A">
      <w:pPr>
        <w:ind w:firstLine="450"/>
        <w:divId w:val="1920678031"/>
        <w:rPr>
          <w:rFonts w:eastAsia="Times New Roman"/>
        </w:rPr>
      </w:pPr>
      <w:r>
        <w:rPr>
          <w:rFonts w:eastAsia="Times New Roman"/>
          <w:color w:val="000000"/>
          <w:sz w:val="20"/>
          <w:szCs w:val="20"/>
        </w:rPr>
        <w:t>The most significant identifiable intangible asset t</w:t>
      </w:r>
      <w:r>
        <w:rPr>
          <w:rFonts w:eastAsia="Times New Roman"/>
          <w:color w:val="000000"/>
          <w:sz w:val="20"/>
          <w:szCs w:val="20"/>
        </w:rPr>
        <w:t>hat is separately recognized for our business combinations is customer relationships. Our customer relationships are established through written customer contracts (revenue arrangements). The fair value for customer relationships is determined, as of the d</w:t>
      </w:r>
      <w:r>
        <w:rPr>
          <w:rFonts w:eastAsia="Times New Roman"/>
          <w:color w:val="000000"/>
          <w:sz w:val="20"/>
          <w:szCs w:val="20"/>
        </w:rPr>
        <w:t>ate of acquisition, based on estimates and judgments regarding expectations for the estimated future after-tax earnings and cash flows arising from the follow-on sales expected from the customer relationships over the estimated lives, including the probabi</w:t>
      </w:r>
      <w:r>
        <w:rPr>
          <w:rFonts w:eastAsia="Times New Roman"/>
          <w:color w:val="000000"/>
          <w:sz w:val="20"/>
          <w:szCs w:val="20"/>
        </w:rPr>
        <w:t>lity of expected future contract renewals and sales, less a contributory assets charge, all of which is discounted to present value. We assess the recoverability of the carrying value of our finite-lived identifiable intangible assets whenever events or ch</w:t>
      </w:r>
      <w:r>
        <w:rPr>
          <w:rFonts w:eastAsia="Times New Roman"/>
          <w:color w:val="000000"/>
          <w:sz w:val="20"/>
          <w:szCs w:val="20"/>
        </w:rPr>
        <w:t>anges in circumstances indicate the carrying amount of the assets may not be recoverable. We assess the recoverability of the carrying value of indefinite-lived identifiable intangible assets annually, or under certain circumstances more frequently, such a</w:t>
      </w:r>
      <w:r>
        <w:rPr>
          <w:rFonts w:eastAsia="Times New Roman"/>
          <w:color w:val="000000"/>
          <w:sz w:val="20"/>
          <w:szCs w:val="20"/>
        </w:rPr>
        <w:t>s when events and circumstances indicate there may be an impairment.</w:t>
      </w:r>
    </w:p>
    <w:p w14:paraId="53B55063" w14:textId="77777777" w:rsidR="00000000" w:rsidRDefault="001A570A">
      <w:pPr>
        <w:ind w:firstLine="450"/>
        <w:divId w:val="1528447492"/>
        <w:rPr>
          <w:rFonts w:eastAsia="Times New Roman"/>
        </w:rPr>
      </w:pPr>
      <w:r>
        <w:rPr>
          <w:rFonts w:eastAsia="Times New Roman"/>
          <w:color w:val="000000"/>
          <w:sz w:val="20"/>
          <w:szCs w:val="20"/>
        </w:rPr>
        <w:t xml:space="preserve">In conjunction with, and in advance of, the tests of goodwill related to our Commercial Aviation Solutions reporting unit, we also performed recoverability tests of the long-lived assets </w:t>
      </w:r>
      <w:r>
        <w:rPr>
          <w:rFonts w:eastAsia="Times New Roman"/>
          <w:color w:val="000000"/>
          <w:sz w:val="20"/>
          <w:szCs w:val="20"/>
        </w:rPr>
        <w:t>of our Commercial Aviation Solutions reporting unit, including identifiable intangible assets and property, plant and equipment. To test these long-lived assets for recoverability, we compared the estimated future cash flows (on an undiscounted basis) to b</w:t>
      </w:r>
      <w:r>
        <w:rPr>
          <w:rFonts w:eastAsia="Times New Roman"/>
          <w:color w:val="000000"/>
          <w:sz w:val="20"/>
          <w:szCs w:val="20"/>
        </w:rPr>
        <w:t>e generated from the use and hypothetical eventual disposition of the asset group to its carrying value. As a result, we concluded that the long-lived assets of our Commercial Aviation Solutions reporting unit were impaired as of January 1, 2021 and we rec</w:t>
      </w:r>
      <w:r>
        <w:rPr>
          <w:rFonts w:eastAsia="Times New Roman"/>
          <w:color w:val="000000"/>
          <w:sz w:val="20"/>
          <w:szCs w:val="20"/>
        </w:rPr>
        <w:t xml:space="preserve">orded a $257 million non-cash impairment charge, including $113 million for impairment of identifiable intangible assets in the fourth quarter of fiscal 2020, which is included in the “Impairment of goodwill and other assets” line item in our Consolidated </w:t>
      </w:r>
      <w:r>
        <w:rPr>
          <w:rFonts w:eastAsia="Times New Roman"/>
          <w:color w:val="000000"/>
          <w:sz w:val="20"/>
          <w:szCs w:val="20"/>
        </w:rPr>
        <w:t xml:space="preserve">Statement of Income for fiscal 2020. </w:t>
      </w:r>
    </w:p>
    <w:p w14:paraId="6DD9C99E" w14:textId="77777777" w:rsidR="00000000" w:rsidRDefault="001A570A">
      <w:pPr>
        <w:ind w:firstLine="450"/>
        <w:divId w:val="679116052"/>
        <w:rPr>
          <w:rFonts w:eastAsia="Times New Roman"/>
        </w:rPr>
      </w:pPr>
      <w:r>
        <w:rPr>
          <w:rFonts w:eastAsia="Times New Roman"/>
          <w:color w:val="000000"/>
          <w:sz w:val="20"/>
          <w:szCs w:val="20"/>
        </w:rPr>
        <w:t>Identifiable intangible assets are summarized below:</w:t>
      </w:r>
    </w:p>
    <w:tbl>
      <w:tblPr>
        <w:tblW w:w="4935" w:type="pct"/>
        <w:tblCellMar>
          <w:top w:w="15" w:type="dxa"/>
          <w:left w:w="15" w:type="dxa"/>
          <w:bottom w:w="15" w:type="dxa"/>
          <w:right w:w="15" w:type="dxa"/>
        </w:tblCellMar>
        <w:tblLook w:val="04A0" w:firstRow="1" w:lastRow="0" w:firstColumn="1" w:lastColumn="0" w:noHBand="0" w:noVBand="1"/>
      </w:tblPr>
      <w:tblGrid>
        <w:gridCol w:w="39"/>
        <w:gridCol w:w="2552"/>
        <w:gridCol w:w="37"/>
        <w:gridCol w:w="121"/>
        <w:gridCol w:w="597"/>
        <w:gridCol w:w="36"/>
        <w:gridCol w:w="36"/>
        <w:gridCol w:w="36"/>
        <w:gridCol w:w="36"/>
        <w:gridCol w:w="121"/>
        <w:gridCol w:w="850"/>
        <w:gridCol w:w="36"/>
        <w:gridCol w:w="36"/>
        <w:gridCol w:w="36"/>
        <w:gridCol w:w="36"/>
        <w:gridCol w:w="121"/>
        <w:gridCol w:w="597"/>
        <w:gridCol w:w="36"/>
        <w:gridCol w:w="36"/>
        <w:gridCol w:w="36"/>
        <w:gridCol w:w="36"/>
        <w:gridCol w:w="121"/>
        <w:gridCol w:w="597"/>
        <w:gridCol w:w="36"/>
        <w:gridCol w:w="36"/>
        <w:gridCol w:w="36"/>
        <w:gridCol w:w="36"/>
        <w:gridCol w:w="121"/>
        <w:gridCol w:w="850"/>
        <w:gridCol w:w="36"/>
        <w:gridCol w:w="36"/>
        <w:gridCol w:w="36"/>
        <w:gridCol w:w="36"/>
        <w:gridCol w:w="121"/>
        <w:gridCol w:w="597"/>
        <w:gridCol w:w="36"/>
      </w:tblGrid>
      <w:tr w:rsidR="00000000" w14:paraId="3A591A74" w14:textId="77777777">
        <w:trPr>
          <w:divId w:val="230316317"/>
        </w:trPr>
        <w:tc>
          <w:tcPr>
            <w:tcW w:w="50" w:type="pct"/>
            <w:vAlign w:val="center"/>
            <w:hideMark/>
          </w:tcPr>
          <w:p w14:paraId="5718A291" w14:textId="77777777" w:rsidR="00000000" w:rsidRDefault="001A570A">
            <w:pPr>
              <w:ind w:firstLine="450"/>
              <w:rPr>
                <w:rFonts w:eastAsia="Times New Roman"/>
              </w:rPr>
            </w:pPr>
          </w:p>
        </w:tc>
        <w:tc>
          <w:tcPr>
            <w:tcW w:w="1779" w:type="pct"/>
            <w:vAlign w:val="center"/>
            <w:hideMark/>
          </w:tcPr>
          <w:p w14:paraId="67216B5E" w14:textId="77777777" w:rsidR="00000000" w:rsidRDefault="001A570A">
            <w:pPr>
              <w:rPr>
                <w:rFonts w:eastAsia="Times New Roman"/>
                <w:sz w:val="20"/>
                <w:szCs w:val="20"/>
              </w:rPr>
            </w:pPr>
          </w:p>
        </w:tc>
        <w:tc>
          <w:tcPr>
            <w:tcW w:w="5" w:type="pct"/>
            <w:vAlign w:val="center"/>
            <w:hideMark/>
          </w:tcPr>
          <w:p w14:paraId="0820D50F" w14:textId="77777777" w:rsidR="00000000" w:rsidRDefault="001A570A">
            <w:pPr>
              <w:rPr>
                <w:rFonts w:eastAsia="Times New Roman"/>
                <w:sz w:val="20"/>
                <w:szCs w:val="20"/>
              </w:rPr>
            </w:pPr>
          </w:p>
        </w:tc>
        <w:tc>
          <w:tcPr>
            <w:tcW w:w="50" w:type="pct"/>
            <w:vAlign w:val="center"/>
            <w:hideMark/>
          </w:tcPr>
          <w:p w14:paraId="6E9A671B" w14:textId="77777777" w:rsidR="00000000" w:rsidRDefault="001A570A">
            <w:pPr>
              <w:rPr>
                <w:rFonts w:eastAsia="Times New Roman"/>
                <w:sz w:val="20"/>
                <w:szCs w:val="20"/>
              </w:rPr>
            </w:pPr>
          </w:p>
        </w:tc>
        <w:tc>
          <w:tcPr>
            <w:tcW w:w="432" w:type="pct"/>
            <w:vAlign w:val="center"/>
            <w:hideMark/>
          </w:tcPr>
          <w:p w14:paraId="34725BAA" w14:textId="77777777" w:rsidR="00000000" w:rsidRDefault="001A570A">
            <w:pPr>
              <w:rPr>
                <w:rFonts w:eastAsia="Times New Roman"/>
                <w:sz w:val="20"/>
                <w:szCs w:val="20"/>
              </w:rPr>
            </w:pPr>
          </w:p>
        </w:tc>
        <w:tc>
          <w:tcPr>
            <w:tcW w:w="5" w:type="pct"/>
            <w:vAlign w:val="center"/>
            <w:hideMark/>
          </w:tcPr>
          <w:p w14:paraId="22334F1E" w14:textId="77777777" w:rsidR="00000000" w:rsidRDefault="001A570A">
            <w:pPr>
              <w:rPr>
                <w:rFonts w:eastAsia="Times New Roman"/>
                <w:sz w:val="20"/>
                <w:szCs w:val="20"/>
              </w:rPr>
            </w:pPr>
          </w:p>
        </w:tc>
        <w:tc>
          <w:tcPr>
            <w:tcW w:w="5" w:type="pct"/>
            <w:vAlign w:val="center"/>
            <w:hideMark/>
          </w:tcPr>
          <w:p w14:paraId="256EFAE1" w14:textId="77777777" w:rsidR="00000000" w:rsidRDefault="001A570A">
            <w:pPr>
              <w:rPr>
                <w:rFonts w:eastAsia="Times New Roman"/>
                <w:sz w:val="20"/>
                <w:szCs w:val="20"/>
              </w:rPr>
            </w:pPr>
          </w:p>
        </w:tc>
        <w:tc>
          <w:tcPr>
            <w:tcW w:w="26" w:type="pct"/>
            <w:vAlign w:val="center"/>
            <w:hideMark/>
          </w:tcPr>
          <w:p w14:paraId="2D9B606F" w14:textId="77777777" w:rsidR="00000000" w:rsidRDefault="001A570A">
            <w:pPr>
              <w:rPr>
                <w:rFonts w:eastAsia="Times New Roman"/>
                <w:sz w:val="20"/>
                <w:szCs w:val="20"/>
              </w:rPr>
            </w:pPr>
          </w:p>
        </w:tc>
        <w:tc>
          <w:tcPr>
            <w:tcW w:w="5" w:type="pct"/>
            <w:vAlign w:val="center"/>
            <w:hideMark/>
          </w:tcPr>
          <w:p w14:paraId="3CCF3BDF" w14:textId="77777777" w:rsidR="00000000" w:rsidRDefault="001A570A">
            <w:pPr>
              <w:rPr>
                <w:rFonts w:eastAsia="Times New Roman"/>
                <w:sz w:val="20"/>
                <w:szCs w:val="20"/>
              </w:rPr>
            </w:pPr>
          </w:p>
        </w:tc>
        <w:tc>
          <w:tcPr>
            <w:tcW w:w="50" w:type="pct"/>
            <w:vAlign w:val="center"/>
            <w:hideMark/>
          </w:tcPr>
          <w:p w14:paraId="7538A0AB" w14:textId="77777777" w:rsidR="00000000" w:rsidRDefault="001A570A">
            <w:pPr>
              <w:rPr>
                <w:rFonts w:eastAsia="Times New Roman"/>
                <w:sz w:val="20"/>
                <w:szCs w:val="20"/>
              </w:rPr>
            </w:pPr>
          </w:p>
        </w:tc>
        <w:tc>
          <w:tcPr>
            <w:tcW w:w="439" w:type="pct"/>
            <w:vAlign w:val="center"/>
            <w:hideMark/>
          </w:tcPr>
          <w:p w14:paraId="1878A4FA" w14:textId="77777777" w:rsidR="00000000" w:rsidRDefault="001A570A">
            <w:pPr>
              <w:rPr>
                <w:rFonts w:eastAsia="Times New Roman"/>
                <w:sz w:val="20"/>
                <w:szCs w:val="20"/>
              </w:rPr>
            </w:pPr>
          </w:p>
        </w:tc>
        <w:tc>
          <w:tcPr>
            <w:tcW w:w="5" w:type="pct"/>
            <w:vAlign w:val="center"/>
            <w:hideMark/>
          </w:tcPr>
          <w:p w14:paraId="675DD12D" w14:textId="77777777" w:rsidR="00000000" w:rsidRDefault="001A570A">
            <w:pPr>
              <w:rPr>
                <w:rFonts w:eastAsia="Times New Roman"/>
                <w:sz w:val="20"/>
                <w:szCs w:val="20"/>
              </w:rPr>
            </w:pPr>
          </w:p>
        </w:tc>
        <w:tc>
          <w:tcPr>
            <w:tcW w:w="5" w:type="pct"/>
            <w:vAlign w:val="center"/>
            <w:hideMark/>
          </w:tcPr>
          <w:p w14:paraId="152E9AB2" w14:textId="77777777" w:rsidR="00000000" w:rsidRDefault="001A570A">
            <w:pPr>
              <w:rPr>
                <w:rFonts w:eastAsia="Times New Roman"/>
                <w:sz w:val="20"/>
                <w:szCs w:val="20"/>
              </w:rPr>
            </w:pPr>
          </w:p>
        </w:tc>
        <w:tc>
          <w:tcPr>
            <w:tcW w:w="26" w:type="pct"/>
            <w:vAlign w:val="center"/>
            <w:hideMark/>
          </w:tcPr>
          <w:p w14:paraId="37F14EFE" w14:textId="77777777" w:rsidR="00000000" w:rsidRDefault="001A570A">
            <w:pPr>
              <w:rPr>
                <w:rFonts w:eastAsia="Times New Roman"/>
                <w:sz w:val="20"/>
                <w:szCs w:val="20"/>
              </w:rPr>
            </w:pPr>
          </w:p>
        </w:tc>
        <w:tc>
          <w:tcPr>
            <w:tcW w:w="5" w:type="pct"/>
            <w:vAlign w:val="center"/>
            <w:hideMark/>
          </w:tcPr>
          <w:p w14:paraId="3F70462F" w14:textId="77777777" w:rsidR="00000000" w:rsidRDefault="001A570A">
            <w:pPr>
              <w:rPr>
                <w:rFonts w:eastAsia="Times New Roman"/>
                <w:sz w:val="20"/>
                <w:szCs w:val="20"/>
              </w:rPr>
            </w:pPr>
          </w:p>
        </w:tc>
        <w:tc>
          <w:tcPr>
            <w:tcW w:w="50" w:type="pct"/>
            <w:vAlign w:val="center"/>
            <w:hideMark/>
          </w:tcPr>
          <w:p w14:paraId="51413FBB" w14:textId="77777777" w:rsidR="00000000" w:rsidRDefault="001A570A">
            <w:pPr>
              <w:rPr>
                <w:rFonts w:eastAsia="Times New Roman"/>
                <w:sz w:val="20"/>
                <w:szCs w:val="20"/>
              </w:rPr>
            </w:pPr>
          </w:p>
        </w:tc>
        <w:tc>
          <w:tcPr>
            <w:tcW w:w="432" w:type="pct"/>
            <w:vAlign w:val="center"/>
            <w:hideMark/>
          </w:tcPr>
          <w:p w14:paraId="4F36CDC9" w14:textId="77777777" w:rsidR="00000000" w:rsidRDefault="001A570A">
            <w:pPr>
              <w:rPr>
                <w:rFonts w:eastAsia="Times New Roman"/>
                <w:sz w:val="20"/>
                <w:szCs w:val="20"/>
              </w:rPr>
            </w:pPr>
          </w:p>
        </w:tc>
        <w:tc>
          <w:tcPr>
            <w:tcW w:w="5" w:type="pct"/>
            <w:vAlign w:val="center"/>
            <w:hideMark/>
          </w:tcPr>
          <w:p w14:paraId="04818498" w14:textId="77777777" w:rsidR="00000000" w:rsidRDefault="001A570A">
            <w:pPr>
              <w:rPr>
                <w:rFonts w:eastAsia="Times New Roman"/>
                <w:sz w:val="20"/>
                <w:szCs w:val="20"/>
              </w:rPr>
            </w:pPr>
          </w:p>
        </w:tc>
        <w:tc>
          <w:tcPr>
            <w:tcW w:w="5" w:type="pct"/>
            <w:vAlign w:val="center"/>
            <w:hideMark/>
          </w:tcPr>
          <w:p w14:paraId="77C87642" w14:textId="77777777" w:rsidR="00000000" w:rsidRDefault="001A570A">
            <w:pPr>
              <w:rPr>
                <w:rFonts w:eastAsia="Times New Roman"/>
                <w:sz w:val="20"/>
                <w:szCs w:val="20"/>
              </w:rPr>
            </w:pPr>
          </w:p>
        </w:tc>
        <w:tc>
          <w:tcPr>
            <w:tcW w:w="40" w:type="pct"/>
            <w:vAlign w:val="center"/>
            <w:hideMark/>
          </w:tcPr>
          <w:p w14:paraId="606DC746" w14:textId="77777777" w:rsidR="00000000" w:rsidRDefault="001A570A">
            <w:pPr>
              <w:rPr>
                <w:rFonts w:eastAsia="Times New Roman"/>
                <w:sz w:val="20"/>
                <w:szCs w:val="20"/>
              </w:rPr>
            </w:pPr>
          </w:p>
        </w:tc>
        <w:tc>
          <w:tcPr>
            <w:tcW w:w="5" w:type="pct"/>
            <w:vAlign w:val="center"/>
            <w:hideMark/>
          </w:tcPr>
          <w:p w14:paraId="6E82A7A9" w14:textId="77777777" w:rsidR="00000000" w:rsidRDefault="001A570A">
            <w:pPr>
              <w:rPr>
                <w:rFonts w:eastAsia="Times New Roman"/>
                <w:sz w:val="20"/>
                <w:szCs w:val="20"/>
              </w:rPr>
            </w:pPr>
          </w:p>
        </w:tc>
        <w:tc>
          <w:tcPr>
            <w:tcW w:w="50" w:type="pct"/>
            <w:vAlign w:val="center"/>
            <w:hideMark/>
          </w:tcPr>
          <w:p w14:paraId="2566F96E" w14:textId="77777777" w:rsidR="00000000" w:rsidRDefault="001A570A">
            <w:pPr>
              <w:rPr>
                <w:rFonts w:eastAsia="Times New Roman"/>
                <w:sz w:val="20"/>
                <w:szCs w:val="20"/>
              </w:rPr>
            </w:pPr>
          </w:p>
        </w:tc>
        <w:tc>
          <w:tcPr>
            <w:tcW w:w="432" w:type="pct"/>
            <w:vAlign w:val="center"/>
            <w:hideMark/>
          </w:tcPr>
          <w:p w14:paraId="7A7BAE53" w14:textId="77777777" w:rsidR="00000000" w:rsidRDefault="001A570A">
            <w:pPr>
              <w:rPr>
                <w:rFonts w:eastAsia="Times New Roman"/>
                <w:sz w:val="20"/>
                <w:szCs w:val="20"/>
              </w:rPr>
            </w:pPr>
          </w:p>
        </w:tc>
        <w:tc>
          <w:tcPr>
            <w:tcW w:w="5" w:type="pct"/>
            <w:vAlign w:val="center"/>
            <w:hideMark/>
          </w:tcPr>
          <w:p w14:paraId="75DB9D49" w14:textId="77777777" w:rsidR="00000000" w:rsidRDefault="001A570A">
            <w:pPr>
              <w:rPr>
                <w:rFonts w:eastAsia="Times New Roman"/>
                <w:sz w:val="20"/>
                <w:szCs w:val="20"/>
              </w:rPr>
            </w:pPr>
          </w:p>
        </w:tc>
        <w:tc>
          <w:tcPr>
            <w:tcW w:w="5" w:type="pct"/>
            <w:vAlign w:val="center"/>
            <w:hideMark/>
          </w:tcPr>
          <w:p w14:paraId="052DF288" w14:textId="77777777" w:rsidR="00000000" w:rsidRDefault="001A570A">
            <w:pPr>
              <w:rPr>
                <w:rFonts w:eastAsia="Times New Roman"/>
                <w:sz w:val="20"/>
                <w:szCs w:val="20"/>
              </w:rPr>
            </w:pPr>
          </w:p>
        </w:tc>
        <w:tc>
          <w:tcPr>
            <w:tcW w:w="40" w:type="pct"/>
            <w:vAlign w:val="center"/>
            <w:hideMark/>
          </w:tcPr>
          <w:p w14:paraId="4EBE0C5E" w14:textId="77777777" w:rsidR="00000000" w:rsidRDefault="001A570A">
            <w:pPr>
              <w:rPr>
                <w:rFonts w:eastAsia="Times New Roman"/>
                <w:sz w:val="20"/>
                <w:szCs w:val="20"/>
              </w:rPr>
            </w:pPr>
          </w:p>
        </w:tc>
        <w:tc>
          <w:tcPr>
            <w:tcW w:w="5" w:type="pct"/>
            <w:vAlign w:val="center"/>
            <w:hideMark/>
          </w:tcPr>
          <w:p w14:paraId="6BED5E7E" w14:textId="77777777" w:rsidR="00000000" w:rsidRDefault="001A570A">
            <w:pPr>
              <w:rPr>
                <w:rFonts w:eastAsia="Times New Roman"/>
                <w:sz w:val="20"/>
                <w:szCs w:val="20"/>
              </w:rPr>
            </w:pPr>
          </w:p>
        </w:tc>
        <w:tc>
          <w:tcPr>
            <w:tcW w:w="50" w:type="pct"/>
            <w:vAlign w:val="center"/>
            <w:hideMark/>
          </w:tcPr>
          <w:p w14:paraId="0C4EFAA4" w14:textId="77777777" w:rsidR="00000000" w:rsidRDefault="001A570A">
            <w:pPr>
              <w:rPr>
                <w:rFonts w:eastAsia="Times New Roman"/>
                <w:sz w:val="20"/>
                <w:szCs w:val="20"/>
              </w:rPr>
            </w:pPr>
          </w:p>
        </w:tc>
        <w:tc>
          <w:tcPr>
            <w:tcW w:w="439" w:type="pct"/>
            <w:vAlign w:val="center"/>
            <w:hideMark/>
          </w:tcPr>
          <w:p w14:paraId="4CF22A96" w14:textId="77777777" w:rsidR="00000000" w:rsidRDefault="001A570A">
            <w:pPr>
              <w:rPr>
                <w:rFonts w:eastAsia="Times New Roman"/>
                <w:sz w:val="20"/>
                <w:szCs w:val="20"/>
              </w:rPr>
            </w:pPr>
          </w:p>
        </w:tc>
        <w:tc>
          <w:tcPr>
            <w:tcW w:w="5" w:type="pct"/>
            <w:vAlign w:val="center"/>
            <w:hideMark/>
          </w:tcPr>
          <w:p w14:paraId="0158A180" w14:textId="77777777" w:rsidR="00000000" w:rsidRDefault="001A570A">
            <w:pPr>
              <w:rPr>
                <w:rFonts w:eastAsia="Times New Roman"/>
                <w:sz w:val="20"/>
                <w:szCs w:val="20"/>
              </w:rPr>
            </w:pPr>
          </w:p>
        </w:tc>
        <w:tc>
          <w:tcPr>
            <w:tcW w:w="5" w:type="pct"/>
            <w:vAlign w:val="center"/>
            <w:hideMark/>
          </w:tcPr>
          <w:p w14:paraId="40385948" w14:textId="77777777" w:rsidR="00000000" w:rsidRDefault="001A570A">
            <w:pPr>
              <w:rPr>
                <w:rFonts w:eastAsia="Times New Roman"/>
                <w:sz w:val="20"/>
                <w:szCs w:val="20"/>
              </w:rPr>
            </w:pPr>
          </w:p>
        </w:tc>
        <w:tc>
          <w:tcPr>
            <w:tcW w:w="40" w:type="pct"/>
            <w:vAlign w:val="center"/>
            <w:hideMark/>
          </w:tcPr>
          <w:p w14:paraId="4CC5F852" w14:textId="77777777" w:rsidR="00000000" w:rsidRDefault="001A570A">
            <w:pPr>
              <w:rPr>
                <w:rFonts w:eastAsia="Times New Roman"/>
                <w:sz w:val="20"/>
                <w:szCs w:val="20"/>
              </w:rPr>
            </w:pPr>
          </w:p>
        </w:tc>
        <w:tc>
          <w:tcPr>
            <w:tcW w:w="5" w:type="pct"/>
            <w:vAlign w:val="center"/>
            <w:hideMark/>
          </w:tcPr>
          <w:p w14:paraId="61D44CEF" w14:textId="77777777" w:rsidR="00000000" w:rsidRDefault="001A570A">
            <w:pPr>
              <w:rPr>
                <w:rFonts w:eastAsia="Times New Roman"/>
                <w:sz w:val="20"/>
                <w:szCs w:val="20"/>
              </w:rPr>
            </w:pPr>
          </w:p>
        </w:tc>
        <w:tc>
          <w:tcPr>
            <w:tcW w:w="50" w:type="pct"/>
            <w:vAlign w:val="center"/>
            <w:hideMark/>
          </w:tcPr>
          <w:p w14:paraId="2898634A" w14:textId="77777777" w:rsidR="00000000" w:rsidRDefault="001A570A">
            <w:pPr>
              <w:rPr>
                <w:rFonts w:eastAsia="Times New Roman"/>
                <w:sz w:val="20"/>
                <w:szCs w:val="20"/>
              </w:rPr>
            </w:pPr>
          </w:p>
        </w:tc>
        <w:tc>
          <w:tcPr>
            <w:tcW w:w="432" w:type="pct"/>
            <w:vAlign w:val="center"/>
            <w:hideMark/>
          </w:tcPr>
          <w:p w14:paraId="7925C806" w14:textId="77777777" w:rsidR="00000000" w:rsidRDefault="001A570A">
            <w:pPr>
              <w:rPr>
                <w:rFonts w:eastAsia="Times New Roman"/>
                <w:sz w:val="20"/>
                <w:szCs w:val="20"/>
              </w:rPr>
            </w:pPr>
          </w:p>
        </w:tc>
        <w:tc>
          <w:tcPr>
            <w:tcW w:w="5" w:type="pct"/>
            <w:vAlign w:val="center"/>
            <w:hideMark/>
          </w:tcPr>
          <w:p w14:paraId="39778C96" w14:textId="77777777" w:rsidR="00000000" w:rsidRDefault="001A570A">
            <w:pPr>
              <w:rPr>
                <w:rFonts w:eastAsia="Times New Roman"/>
                <w:sz w:val="20"/>
                <w:szCs w:val="20"/>
              </w:rPr>
            </w:pPr>
          </w:p>
        </w:tc>
      </w:tr>
      <w:tr w:rsidR="00000000" w14:paraId="3B8DCF04" w14:textId="77777777">
        <w:trPr>
          <w:divId w:val="230316317"/>
        </w:trPr>
        <w:tc>
          <w:tcPr>
            <w:tcW w:w="0" w:type="auto"/>
            <w:gridSpan w:val="3"/>
            <w:tcMar>
              <w:top w:w="30" w:type="dxa"/>
              <w:left w:w="20" w:type="dxa"/>
              <w:bottom w:w="30" w:type="dxa"/>
              <w:right w:w="20" w:type="dxa"/>
            </w:tcMar>
            <w:vAlign w:val="bottom"/>
            <w:hideMark/>
          </w:tcPr>
          <w:p w14:paraId="0758A451" w14:textId="77777777" w:rsidR="00000000" w:rsidRDefault="001A570A">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6EA47889"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36B11A0E"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43414F59" w14:textId="77777777" w:rsidR="00000000" w:rsidRDefault="001A570A">
            <w:pPr>
              <w:jc w:val="center"/>
              <w:rPr>
                <w:rFonts w:eastAsia="Times New Roman"/>
              </w:rPr>
            </w:pPr>
            <w:r>
              <w:rPr>
                <w:rFonts w:eastAsia="Times New Roman"/>
                <w:b/>
                <w:bCs/>
                <w:color w:val="000000"/>
                <w:sz w:val="16"/>
                <w:szCs w:val="16"/>
              </w:rPr>
              <w:t>January 3, 2020</w:t>
            </w:r>
          </w:p>
        </w:tc>
      </w:tr>
      <w:tr w:rsidR="00000000" w14:paraId="38564D06" w14:textId="77777777">
        <w:trPr>
          <w:divId w:val="230316317"/>
        </w:trPr>
        <w:tc>
          <w:tcPr>
            <w:tcW w:w="0" w:type="auto"/>
            <w:gridSpan w:val="3"/>
            <w:tcMar>
              <w:top w:w="30" w:type="dxa"/>
              <w:left w:w="20" w:type="dxa"/>
              <w:bottom w:w="30" w:type="dxa"/>
              <w:right w:w="20" w:type="dxa"/>
            </w:tcMar>
            <w:vAlign w:val="bottom"/>
            <w:hideMark/>
          </w:tcPr>
          <w:p w14:paraId="4A4BA372"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2CA21D5" w14:textId="77777777" w:rsidR="00000000" w:rsidRDefault="001A570A">
            <w:pPr>
              <w:jc w:val="center"/>
              <w:rPr>
                <w:rFonts w:eastAsia="Times New Roman"/>
              </w:rPr>
            </w:pPr>
            <w:r>
              <w:rPr>
                <w:rFonts w:eastAsia="Times New Roman"/>
                <w:b/>
                <w:bCs/>
                <w:color w:val="000000"/>
                <w:sz w:val="16"/>
                <w:szCs w:val="16"/>
              </w:rPr>
              <w:t>Gross 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2F80C4E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0F2B5B" w14:textId="77777777" w:rsidR="00000000" w:rsidRDefault="001A570A">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32FF46E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500E12" w14:textId="77777777" w:rsidR="00000000" w:rsidRDefault="001A570A">
            <w:pPr>
              <w:jc w:val="center"/>
              <w:rPr>
                <w:rFonts w:eastAsia="Times New Roman"/>
              </w:rPr>
            </w:pPr>
            <w:r>
              <w:rPr>
                <w:rFonts w:eastAsia="Times New Roman"/>
                <w:b/>
                <w:bCs/>
                <w:color w:val="000000"/>
                <w:sz w:val="16"/>
                <w:szCs w:val="16"/>
              </w:rPr>
              <w:t>Net Carrying Amount</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8388F9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E8B55F" w14:textId="77777777" w:rsidR="00000000" w:rsidRDefault="001A570A">
            <w:pPr>
              <w:jc w:val="center"/>
              <w:rPr>
                <w:rFonts w:eastAsia="Times New Roman"/>
              </w:rPr>
            </w:pPr>
            <w:r>
              <w:rPr>
                <w:rFonts w:eastAsia="Times New Roman"/>
                <w:b/>
                <w:bCs/>
                <w:color w:val="000000"/>
                <w:sz w:val="16"/>
                <w:szCs w:val="16"/>
              </w:rPr>
              <w:t>Gross 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682D57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448C9A" w14:textId="77777777" w:rsidR="00000000" w:rsidRDefault="001A570A">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74D2BD4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B3EB4A" w14:textId="77777777" w:rsidR="00000000" w:rsidRDefault="001A570A">
            <w:pPr>
              <w:jc w:val="center"/>
              <w:rPr>
                <w:rFonts w:eastAsia="Times New Roman"/>
              </w:rPr>
            </w:pPr>
            <w:r>
              <w:rPr>
                <w:rFonts w:eastAsia="Times New Roman"/>
                <w:b/>
                <w:bCs/>
                <w:color w:val="000000"/>
                <w:sz w:val="16"/>
                <w:szCs w:val="16"/>
              </w:rPr>
              <w:t>Net Carrying Amount</w:t>
            </w:r>
          </w:p>
        </w:tc>
      </w:tr>
      <w:tr w:rsidR="00000000" w14:paraId="35FD636C" w14:textId="77777777">
        <w:trPr>
          <w:divId w:val="230316317"/>
          <w:trHeight w:val="60"/>
        </w:trPr>
        <w:tc>
          <w:tcPr>
            <w:tcW w:w="0" w:type="auto"/>
            <w:gridSpan w:val="3"/>
            <w:tcMar>
              <w:top w:w="0" w:type="dxa"/>
              <w:left w:w="20" w:type="dxa"/>
              <w:bottom w:w="0" w:type="dxa"/>
              <w:right w:w="20" w:type="dxa"/>
            </w:tcMar>
            <w:vAlign w:val="center"/>
            <w:hideMark/>
          </w:tcPr>
          <w:p w14:paraId="61D5C288"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094D61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8E50AE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E08A7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22C36A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391BC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AEA7D5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D7AF0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D6358E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56147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C5D14A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EEB75D" w14:textId="77777777" w:rsidR="00000000" w:rsidRDefault="001A570A">
            <w:pPr>
              <w:rPr>
                <w:rFonts w:eastAsia="Times New Roman"/>
                <w:sz w:val="20"/>
                <w:szCs w:val="20"/>
              </w:rPr>
            </w:pPr>
          </w:p>
        </w:tc>
      </w:tr>
      <w:tr w:rsidR="00000000" w14:paraId="539A65AF" w14:textId="77777777">
        <w:trPr>
          <w:divId w:val="230316317"/>
        </w:trPr>
        <w:tc>
          <w:tcPr>
            <w:tcW w:w="0" w:type="auto"/>
            <w:gridSpan w:val="3"/>
            <w:shd w:val="clear" w:color="auto" w:fill="CCEEFF"/>
            <w:tcMar>
              <w:top w:w="30" w:type="dxa"/>
              <w:left w:w="140" w:type="dxa"/>
              <w:bottom w:w="30" w:type="dxa"/>
              <w:right w:w="20" w:type="dxa"/>
            </w:tcMar>
            <w:hideMark/>
          </w:tcPr>
          <w:p w14:paraId="54DBEAA5" w14:textId="77777777" w:rsidR="00000000" w:rsidRDefault="001A570A">
            <w:pPr>
              <w:rPr>
                <w:rFonts w:eastAsia="Times New Roman"/>
              </w:rPr>
            </w:pPr>
            <w:r>
              <w:rPr>
                <w:rFonts w:eastAsia="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14:paraId="13C58F9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215611" w14:textId="77777777" w:rsidR="00000000" w:rsidRDefault="001A570A">
            <w:pPr>
              <w:jc w:val="right"/>
              <w:rPr>
                <w:rFonts w:eastAsia="Times New Roman"/>
              </w:rPr>
            </w:pPr>
            <w:r>
              <w:rPr>
                <w:rFonts w:eastAsia="Times New Roman"/>
                <w:color w:val="000000"/>
                <w:sz w:val="20"/>
                <w:szCs w:val="20"/>
              </w:rPr>
              <w:t>6,863 </w:t>
            </w:r>
          </w:p>
        </w:tc>
        <w:tc>
          <w:tcPr>
            <w:tcW w:w="0" w:type="auto"/>
            <w:shd w:val="clear" w:color="auto" w:fill="CCEEFF"/>
            <w:tcMar>
              <w:top w:w="30" w:type="dxa"/>
              <w:left w:w="0" w:type="dxa"/>
              <w:bottom w:w="30" w:type="dxa"/>
              <w:right w:w="20" w:type="dxa"/>
            </w:tcMar>
            <w:vAlign w:val="bottom"/>
            <w:hideMark/>
          </w:tcPr>
          <w:p w14:paraId="22EF79F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767A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C13B5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0ECDED" w14:textId="77777777" w:rsidR="00000000" w:rsidRDefault="001A570A">
            <w:pPr>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14:paraId="6CFEDC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BFE1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5EA00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2DFBD1" w14:textId="77777777" w:rsidR="00000000" w:rsidRDefault="001A570A">
            <w:pPr>
              <w:jc w:val="right"/>
              <w:rPr>
                <w:rFonts w:eastAsia="Times New Roman"/>
              </w:rPr>
            </w:pPr>
            <w:r>
              <w:rPr>
                <w:rFonts w:eastAsia="Times New Roman"/>
                <w:color w:val="000000"/>
                <w:sz w:val="20"/>
                <w:szCs w:val="20"/>
              </w:rPr>
              <w:t>5,606 </w:t>
            </w:r>
          </w:p>
        </w:tc>
        <w:tc>
          <w:tcPr>
            <w:tcW w:w="0" w:type="auto"/>
            <w:shd w:val="clear" w:color="auto" w:fill="CCEEFF"/>
            <w:tcMar>
              <w:top w:w="30" w:type="dxa"/>
              <w:left w:w="0" w:type="dxa"/>
              <w:bottom w:w="30" w:type="dxa"/>
              <w:right w:w="20" w:type="dxa"/>
            </w:tcMar>
            <w:vAlign w:val="bottom"/>
            <w:hideMark/>
          </w:tcPr>
          <w:p w14:paraId="1A2261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3973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CDBEE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2253AD" w14:textId="77777777" w:rsidR="00000000" w:rsidRDefault="001A570A">
            <w:pPr>
              <w:jc w:val="right"/>
              <w:rPr>
                <w:rFonts w:eastAsia="Times New Roman"/>
              </w:rPr>
            </w:pPr>
            <w:r>
              <w:rPr>
                <w:rFonts w:eastAsia="Times New Roman"/>
                <w:color w:val="000000"/>
                <w:sz w:val="20"/>
                <w:szCs w:val="20"/>
              </w:rPr>
              <w:t>6,518 </w:t>
            </w:r>
          </w:p>
        </w:tc>
        <w:tc>
          <w:tcPr>
            <w:tcW w:w="0" w:type="auto"/>
            <w:shd w:val="clear" w:color="auto" w:fill="CCEEFF"/>
            <w:tcMar>
              <w:top w:w="30" w:type="dxa"/>
              <w:left w:w="0" w:type="dxa"/>
              <w:bottom w:w="30" w:type="dxa"/>
              <w:right w:w="20" w:type="dxa"/>
            </w:tcMar>
            <w:vAlign w:val="bottom"/>
            <w:hideMark/>
          </w:tcPr>
          <w:p w14:paraId="37F0FBE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D720A"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0CB34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46E690" w14:textId="77777777" w:rsidR="00000000" w:rsidRDefault="001A570A">
            <w:pPr>
              <w:jc w:val="right"/>
              <w:rPr>
                <w:rFonts w:eastAsia="Times New Roman"/>
              </w:rPr>
            </w:pPr>
            <w:r>
              <w:rPr>
                <w:rFonts w:eastAsia="Times New Roman"/>
                <w:color w:val="000000"/>
                <w:sz w:val="20"/>
                <w:szCs w:val="20"/>
              </w:rPr>
              <w:t>653 </w:t>
            </w:r>
          </w:p>
        </w:tc>
        <w:tc>
          <w:tcPr>
            <w:tcW w:w="0" w:type="auto"/>
            <w:shd w:val="clear" w:color="auto" w:fill="CCEEFF"/>
            <w:tcMar>
              <w:top w:w="30" w:type="dxa"/>
              <w:left w:w="0" w:type="dxa"/>
              <w:bottom w:w="30" w:type="dxa"/>
              <w:right w:w="20" w:type="dxa"/>
            </w:tcMar>
            <w:vAlign w:val="bottom"/>
            <w:hideMark/>
          </w:tcPr>
          <w:p w14:paraId="3508037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7AE92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4FDBC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AF543D" w14:textId="77777777" w:rsidR="00000000" w:rsidRDefault="001A570A">
            <w:pPr>
              <w:jc w:val="right"/>
              <w:rPr>
                <w:rFonts w:eastAsia="Times New Roman"/>
              </w:rPr>
            </w:pPr>
            <w:r>
              <w:rPr>
                <w:rFonts w:eastAsia="Times New Roman"/>
                <w:color w:val="000000"/>
                <w:sz w:val="20"/>
                <w:szCs w:val="20"/>
              </w:rPr>
              <w:t>5,865 </w:t>
            </w:r>
          </w:p>
        </w:tc>
        <w:tc>
          <w:tcPr>
            <w:tcW w:w="0" w:type="auto"/>
            <w:shd w:val="clear" w:color="auto" w:fill="CCEEFF"/>
            <w:tcMar>
              <w:top w:w="30" w:type="dxa"/>
              <w:left w:w="0" w:type="dxa"/>
              <w:bottom w:w="30" w:type="dxa"/>
              <w:right w:w="20" w:type="dxa"/>
            </w:tcMar>
            <w:vAlign w:val="bottom"/>
            <w:hideMark/>
          </w:tcPr>
          <w:p w14:paraId="6C3F4DD9" w14:textId="77777777" w:rsidR="00000000" w:rsidRDefault="001A570A">
            <w:pPr>
              <w:jc w:val="right"/>
              <w:rPr>
                <w:rFonts w:eastAsia="Times New Roman"/>
              </w:rPr>
            </w:pPr>
          </w:p>
        </w:tc>
      </w:tr>
      <w:tr w:rsidR="00000000" w14:paraId="5863AC36" w14:textId="77777777">
        <w:trPr>
          <w:divId w:val="230316317"/>
        </w:trPr>
        <w:tc>
          <w:tcPr>
            <w:tcW w:w="0" w:type="auto"/>
            <w:gridSpan w:val="3"/>
            <w:shd w:val="clear" w:color="auto" w:fill="FFFFFF"/>
            <w:tcMar>
              <w:top w:w="30" w:type="dxa"/>
              <w:left w:w="140" w:type="dxa"/>
              <w:bottom w:w="30" w:type="dxa"/>
              <w:right w:w="20" w:type="dxa"/>
            </w:tcMar>
            <w:hideMark/>
          </w:tcPr>
          <w:p w14:paraId="653BBB1F" w14:textId="77777777" w:rsidR="00000000" w:rsidRDefault="001A570A">
            <w:pPr>
              <w:rPr>
                <w:rFonts w:eastAsia="Times New Roman"/>
              </w:rPr>
            </w:pPr>
            <w:r>
              <w:rPr>
                <w:rFonts w:eastAsia="Times New Roman"/>
                <w:color w:val="00000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14:paraId="3F867837" w14:textId="77777777" w:rsidR="00000000" w:rsidRDefault="001A570A">
            <w:pPr>
              <w:jc w:val="right"/>
              <w:rPr>
                <w:rFonts w:eastAsia="Times New Roman"/>
              </w:rPr>
            </w:pPr>
            <w:r>
              <w:rPr>
                <w:rFonts w:eastAsia="Times New Roman"/>
                <w:color w:val="000000"/>
                <w:sz w:val="20"/>
                <w:szCs w:val="20"/>
              </w:rPr>
              <w:t>653 </w:t>
            </w:r>
          </w:p>
        </w:tc>
        <w:tc>
          <w:tcPr>
            <w:tcW w:w="0" w:type="auto"/>
            <w:shd w:val="clear" w:color="auto" w:fill="FFFFFF"/>
            <w:tcMar>
              <w:top w:w="30" w:type="dxa"/>
              <w:left w:w="0" w:type="dxa"/>
              <w:bottom w:w="30" w:type="dxa"/>
              <w:right w:w="20" w:type="dxa"/>
            </w:tcMar>
            <w:vAlign w:val="bottom"/>
            <w:hideMark/>
          </w:tcPr>
          <w:p w14:paraId="24BEBBA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2088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DFD7B" w14:textId="77777777" w:rsidR="00000000" w:rsidRDefault="001A570A">
            <w:pPr>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14:paraId="52723AB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4437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C3DA2" w14:textId="77777777" w:rsidR="00000000" w:rsidRDefault="001A570A">
            <w:pPr>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14:paraId="58356C2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3387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1AD3DA" w14:textId="77777777" w:rsidR="00000000" w:rsidRDefault="001A570A">
            <w:pPr>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14:paraId="653E0DC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2DB3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BFA91D" w14:textId="77777777" w:rsidR="00000000" w:rsidRDefault="001A570A">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14:paraId="65C78DD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9FFF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DBF23" w14:textId="77777777" w:rsidR="00000000" w:rsidRDefault="001A570A">
            <w:pPr>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14:paraId="629A66B9" w14:textId="77777777" w:rsidR="00000000" w:rsidRDefault="001A570A">
            <w:pPr>
              <w:jc w:val="right"/>
              <w:rPr>
                <w:rFonts w:eastAsia="Times New Roman"/>
              </w:rPr>
            </w:pPr>
          </w:p>
        </w:tc>
      </w:tr>
      <w:tr w:rsidR="00000000" w14:paraId="382D45D7" w14:textId="77777777">
        <w:trPr>
          <w:divId w:val="230316317"/>
        </w:trPr>
        <w:tc>
          <w:tcPr>
            <w:tcW w:w="0" w:type="auto"/>
            <w:gridSpan w:val="3"/>
            <w:shd w:val="clear" w:color="auto" w:fill="CCEEFF"/>
            <w:tcMar>
              <w:top w:w="30" w:type="dxa"/>
              <w:left w:w="140" w:type="dxa"/>
              <w:bottom w:w="30" w:type="dxa"/>
              <w:right w:w="20" w:type="dxa"/>
            </w:tcMar>
            <w:hideMark/>
          </w:tcPr>
          <w:p w14:paraId="02D267C4" w14:textId="77777777" w:rsidR="00000000" w:rsidRDefault="001A570A">
            <w:pPr>
              <w:rPr>
                <w:rFonts w:eastAsia="Times New Roman"/>
              </w:rPr>
            </w:pPr>
            <w:r>
              <w:rPr>
                <w:rFonts w:eastAsia="Times New Roman"/>
                <w:color w:val="000000"/>
                <w:sz w:val="20"/>
                <w:szCs w:val="20"/>
              </w:rPr>
              <w:t>Contract backlog</w:t>
            </w:r>
          </w:p>
        </w:tc>
        <w:tc>
          <w:tcPr>
            <w:tcW w:w="0" w:type="auto"/>
            <w:gridSpan w:val="2"/>
            <w:shd w:val="clear" w:color="auto" w:fill="CCEEFF"/>
            <w:tcMar>
              <w:top w:w="30" w:type="dxa"/>
              <w:left w:w="20" w:type="dxa"/>
              <w:bottom w:w="30" w:type="dxa"/>
              <w:right w:w="0" w:type="dxa"/>
            </w:tcMar>
            <w:vAlign w:val="bottom"/>
            <w:hideMark/>
          </w:tcPr>
          <w:p w14:paraId="5CE37D01"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1E3F6F0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40E7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FC4679"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5D2855D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3022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274F6A"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11E720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9F65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3C92D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D937A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84EA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DCF0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6C3D7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0180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613F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D9B624" w14:textId="77777777" w:rsidR="00000000" w:rsidRDefault="001A570A">
            <w:pPr>
              <w:jc w:val="right"/>
              <w:rPr>
                <w:rFonts w:eastAsia="Times New Roman"/>
              </w:rPr>
            </w:pPr>
          </w:p>
        </w:tc>
      </w:tr>
      <w:tr w:rsidR="00000000" w14:paraId="2CB4F743" w14:textId="77777777">
        <w:trPr>
          <w:divId w:val="230316317"/>
        </w:trPr>
        <w:tc>
          <w:tcPr>
            <w:tcW w:w="0" w:type="auto"/>
            <w:gridSpan w:val="3"/>
            <w:shd w:val="clear" w:color="auto" w:fill="FFFFFF"/>
            <w:tcMar>
              <w:top w:w="30" w:type="dxa"/>
              <w:left w:w="140" w:type="dxa"/>
              <w:bottom w:w="30" w:type="dxa"/>
              <w:right w:w="20" w:type="dxa"/>
            </w:tcMar>
            <w:hideMark/>
          </w:tcPr>
          <w:p w14:paraId="3BDD1CE0" w14:textId="77777777" w:rsidR="00000000" w:rsidRDefault="001A570A">
            <w:pPr>
              <w:rPr>
                <w:rFonts w:eastAsia="Times New Roman"/>
              </w:rPr>
            </w:pPr>
            <w:r>
              <w:rPr>
                <w:rFonts w:eastAsia="Times New Roman"/>
                <w:color w:val="00000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14:paraId="2CA99A10" w14:textId="77777777" w:rsidR="00000000" w:rsidRDefault="001A570A">
            <w:pPr>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14:paraId="018825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C99E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90F61" w14:textId="77777777" w:rsidR="00000000" w:rsidRDefault="001A570A">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78DFE71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1119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C4BD5" w14:textId="77777777" w:rsidR="00000000" w:rsidRDefault="001A570A">
            <w:pPr>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14:paraId="60F607E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983A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D797B" w14:textId="77777777" w:rsidR="00000000" w:rsidRDefault="001A570A">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14:paraId="2A0A6AA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9819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CAB23" w14:textId="77777777" w:rsidR="00000000" w:rsidRDefault="001A570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559E232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8377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37F1A" w14:textId="77777777" w:rsidR="00000000" w:rsidRDefault="001A570A">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14:paraId="0EA00A39" w14:textId="77777777" w:rsidR="00000000" w:rsidRDefault="001A570A">
            <w:pPr>
              <w:jc w:val="right"/>
              <w:rPr>
                <w:rFonts w:eastAsia="Times New Roman"/>
              </w:rPr>
            </w:pPr>
          </w:p>
        </w:tc>
      </w:tr>
      <w:tr w:rsidR="00000000" w14:paraId="2A519174" w14:textId="77777777">
        <w:trPr>
          <w:divId w:val="230316317"/>
        </w:trPr>
        <w:tc>
          <w:tcPr>
            <w:tcW w:w="0" w:type="auto"/>
            <w:gridSpan w:val="3"/>
            <w:shd w:val="clear" w:color="auto" w:fill="CCEEFF"/>
            <w:tcMar>
              <w:top w:w="30" w:type="dxa"/>
              <w:left w:w="140" w:type="dxa"/>
              <w:bottom w:w="30" w:type="dxa"/>
              <w:right w:w="20" w:type="dxa"/>
            </w:tcMar>
            <w:hideMark/>
          </w:tcPr>
          <w:p w14:paraId="357E94EA"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5423AB19"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767D2F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55BB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C83C5"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1082C4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7889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60F3A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706CB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7107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F89FA"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1C2CE46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2CB1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65C73"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9C5B29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0E30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383A0"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7C0D6E68" w14:textId="77777777" w:rsidR="00000000" w:rsidRDefault="001A570A">
            <w:pPr>
              <w:jc w:val="right"/>
              <w:rPr>
                <w:rFonts w:eastAsia="Times New Roman"/>
              </w:rPr>
            </w:pPr>
          </w:p>
        </w:tc>
      </w:tr>
      <w:tr w:rsidR="00000000" w14:paraId="68B21CC0" w14:textId="77777777">
        <w:trPr>
          <w:divId w:val="230316317"/>
        </w:trPr>
        <w:tc>
          <w:tcPr>
            <w:tcW w:w="0" w:type="auto"/>
            <w:gridSpan w:val="3"/>
            <w:shd w:val="clear" w:color="auto" w:fill="FFFFFF"/>
            <w:tcMar>
              <w:top w:w="30" w:type="dxa"/>
              <w:left w:w="260" w:type="dxa"/>
              <w:bottom w:w="30" w:type="dxa"/>
              <w:right w:w="20" w:type="dxa"/>
            </w:tcMar>
            <w:hideMark/>
          </w:tcPr>
          <w:p w14:paraId="1645EAC8" w14:textId="77777777" w:rsidR="00000000" w:rsidRDefault="001A570A">
            <w:pPr>
              <w:ind w:hanging="251"/>
              <w:rPr>
                <w:rFonts w:eastAsia="Times New Roman"/>
              </w:rPr>
            </w:pPr>
            <w:r>
              <w:rPr>
                <w:rFonts w:eastAsia="Times New Roman"/>
                <w:color w:val="000000"/>
                <w:sz w:val="20"/>
                <w:szCs w:val="20"/>
              </w:rPr>
              <w:t>Total identifiable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4CB3C1" w14:textId="77777777" w:rsidR="00000000" w:rsidRDefault="001A570A">
            <w:pPr>
              <w:jc w:val="right"/>
              <w:rPr>
                <w:rFonts w:eastAsia="Times New Roman"/>
              </w:rPr>
            </w:pPr>
            <w:r>
              <w:rPr>
                <w:rFonts w:eastAsia="Times New Roman"/>
                <w:color w:val="000000"/>
                <w:sz w:val="20"/>
                <w:szCs w:val="20"/>
              </w:rPr>
              <w:t>7,667 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98B65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7655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18B179" w14:textId="77777777" w:rsidR="00000000" w:rsidRDefault="001A570A">
            <w:pPr>
              <w:jc w:val="right"/>
              <w:rPr>
                <w:rFonts w:eastAsia="Times New Roman"/>
              </w:rPr>
            </w:pPr>
            <w:r>
              <w:rPr>
                <w:rFonts w:eastAsia="Times New Roman"/>
                <w:color w:val="000000"/>
                <w:sz w:val="20"/>
                <w:szCs w:val="20"/>
              </w:rPr>
              <w:t>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5D4A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9486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2C1234" w14:textId="77777777" w:rsidR="00000000" w:rsidRDefault="001A570A">
            <w:pPr>
              <w:jc w:val="right"/>
              <w:rPr>
                <w:rFonts w:eastAsia="Times New Roman"/>
              </w:rPr>
            </w:pPr>
            <w:r>
              <w:rPr>
                <w:rFonts w:eastAsia="Times New Roman"/>
                <w:color w:val="000000"/>
                <w:sz w:val="20"/>
                <w:szCs w:val="20"/>
              </w:rPr>
              <w:t>6,084 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C32C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CB0D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38F56F" w14:textId="77777777" w:rsidR="00000000" w:rsidRDefault="001A570A">
            <w:pPr>
              <w:jc w:val="right"/>
              <w:rPr>
                <w:rFonts w:eastAsia="Times New Roman"/>
              </w:rPr>
            </w:pPr>
            <w:r>
              <w:rPr>
                <w:rFonts w:eastAsia="Times New Roman"/>
                <w:color w:val="000000"/>
                <w:sz w:val="20"/>
                <w:szCs w:val="20"/>
              </w:rPr>
              <w:t>7,461 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2C68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A5AA2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7D0377" w14:textId="77777777" w:rsidR="00000000" w:rsidRDefault="001A570A">
            <w:pPr>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FAC4B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9B48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6FE8FA" w14:textId="77777777" w:rsidR="00000000" w:rsidRDefault="001A570A">
            <w:pPr>
              <w:jc w:val="right"/>
              <w:rPr>
                <w:rFonts w:eastAsia="Times New Roman"/>
              </w:rPr>
            </w:pPr>
            <w:r>
              <w:rPr>
                <w:rFonts w:eastAsia="Times New Roman"/>
                <w:color w:val="000000"/>
                <w:sz w:val="20"/>
                <w:szCs w:val="20"/>
              </w:rPr>
              <w:t>6,586 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49864D" w14:textId="77777777" w:rsidR="00000000" w:rsidRDefault="001A570A">
            <w:pPr>
              <w:jc w:val="right"/>
              <w:rPr>
                <w:rFonts w:eastAsia="Times New Roman"/>
              </w:rPr>
            </w:pPr>
          </w:p>
        </w:tc>
      </w:tr>
      <w:tr w:rsidR="00000000" w14:paraId="6FE19D6F" w14:textId="77777777">
        <w:trPr>
          <w:divId w:val="230316317"/>
        </w:trPr>
        <w:tc>
          <w:tcPr>
            <w:tcW w:w="0" w:type="auto"/>
            <w:gridSpan w:val="3"/>
            <w:shd w:val="clear" w:color="auto" w:fill="CCEEFF"/>
            <w:tcMar>
              <w:top w:w="30" w:type="dxa"/>
              <w:left w:w="20" w:type="dxa"/>
              <w:bottom w:w="30" w:type="dxa"/>
              <w:right w:w="20" w:type="dxa"/>
            </w:tcMar>
            <w:hideMark/>
          </w:tcPr>
          <w:p w14:paraId="1405D75B" w14:textId="77777777" w:rsidR="00000000" w:rsidRDefault="001A570A">
            <w:pPr>
              <w:rPr>
                <w:rFonts w:eastAsia="Times New Roman"/>
              </w:rPr>
            </w:pPr>
            <w:r>
              <w:rPr>
                <w:rFonts w:eastAsia="Times New Roman"/>
                <w:color w:val="000000"/>
                <w:sz w:val="20"/>
                <w:szCs w:val="20"/>
              </w:rPr>
              <w:t>In-process research and development</w:t>
            </w:r>
          </w:p>
        </w:tc>
        <w:tc>
          <w:tcPr>
            <w:tcW w:w="0" w:type="auto"/>
            <w:gridSpan w:val="2"/>
            <w:shd w:val="clear" w:color="auto" w:fill="CCEEFF"/>
            <w:tcMar>
              <w:top w:w="30" w:type="dxa"/>
              <w:left w:w="20" w:type="dxa"/>
              <w:bottom w:w="30" w:type="dxa"/>
              <w:right w:w="0" w:type="dxa"/>
            </w:tcMar>
            <w:vAlign w:val="bottom"/>
            <w:hideMark/>
          </w:tcPr>
          <w:p w14:paraId="3F237D39"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4F87D24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A5D6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D5AE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955C1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B723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5A86B8"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6AEF24B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0ABE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B020A0" w14:textId="77777777" w:rsidR="00000000" w:rsidRDefault="001A570A">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14:paraId="25E0744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91BE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F9C5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EEB83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EB9D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CBC04C" w14:textId="77777777" w:rsidR="00000000" w:rsidRDefault="001A570A">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14:paraId="3C9D0BFC" w14:textId="77777777" w:rsidR="00000000" w:rsidRDefault="001A570A">
            <w:pPr>
              <w:jc w:val="right"/>
              <w:rPr>
                <w:rFonts w:eastAsia="Times New Roman"/>
              </w:rPr>
            </w:pPr>
          </w:p>
        </w:tc>
      </w:tr>
      <w:tr w:rsidR="00000000" w14:paraId="32E2F526" w14:textId="77777777">
        <w:trPr>
          <w:divId w:val="230316317"/>
        </w:trPr>
        <w:tc>
          <w:tcPr>
            <w:tcW w:w="0" w:type="auto"/>
            <w:gridSpan w:val="3"/>
            <w:shd w:val="clear" w:color="auto" w:fill="FFFFFF"/>
            <w:tcMar>
              <w:top w:w="30" w:type="dxa"/>
              <w:left w:w="20" w:type="dxa"/>
              <w:bottom w:w="30" w:type="dxa"/>
              <w:right w:w="20" w:type="dxa"/>
            </w:tcMar>
            <w:hideMark/>
          </w:tcPr>
          <w:p w14:paraId="3D6191D4" w14:textId="77777777" w:rsidR="00000000" w:rsidRDefault="001A570A">
            <w:pPr>
              <w:rPr>
                <w:rFonts w:eastAsia="Times New Roman"/>
              </w:rPr>
            </w:pPr>
            <w:r>
              <w:rPr>
                <w:rFonts w:eastAsia="Times New Roman"/>
                <w:color w:val="00000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14:paraId="63243812" w14:textId="77777777" w:rsidR="00000000" w:rsidRDefault="001A570A">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7F88045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C97B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F4196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801FF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66D5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D880F" w14:textId="77777777" w:rsidR="00000000" w:rsidRDefault="001A570A">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4E497F0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B896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44942" w14:textId="77777777" w:rsidR="00000000" w:rsidRDefault="001A570A">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6FAB2C0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544E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F1915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6253C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5061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373916" w14:textId="77777777" w:rsidR="00000000" w:rsidRDefault="001A570A">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14:paraId="3D95B238" w14:textId="77777777" w:rsidR="00000000" w:rsidRDefault="001A570A">
            <w:pPr>
              <w:jc w:val="right"/>
              <w:rPr>
                <w:rFonts w:eastAsia="Times New Roman"/>
              </w:rPr>
            </w:pPr>
          </w:p>
        </w:tc>
      </w:tr>
      <w:tr w:rsidR="00000000" w14:paraId="46028D45" w14:textId="77777777">
        <w:trPr>
          <w:divId w:val="230316317"/>
        </w:trPr>
        <w:tc>
          <w:tcPr>
            <w:tcW w:w="0" w:type="auto"/>
            <w:gridSpan w:val="3"/>
            <w:shd w:val="clear" w:color="auto" w:fill="CCEEFF"/>
            <w:tcMar>
              <w:top w:w="30" w:type="dxa"/>
              <w:left w:w="20" w:type="dxa"/>
              <w:bottom w:w="30" w:type="dxa"/>
              <w:right w:w="20" w:type="dxa"/>
            </w:tcMar>
            <w:hideMark/>
          </w:tcPr>
          <w:p w14:paraId="47E36E5F" w14:textId="77777777" w:rsidR="00000000" w:rsidRDefault="001A570A">
            <w:pPr>
              <w:rPr>
                <w:rFonts w:eastAsia="Times New Roman"/>
              </w:rPr>
            </w:pPr>
            <w:r>
              <w:rPr>
                <w:rFonts w:eastAsia="Times New Roman"/>
                <w:color w:val="000000"/>
                <w:sz w:val="20"/>
                <w:szCs w:val="20"/>
              </w:rPr>
              <w:t>Total identifiable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0E1BD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4FAF98" w14:textId="77777777" w:rsidR="00000000" w:rsidRDefault="001A570A">
            <w:pPr>
              <w:jc w:val="right"/>
              <w:rPr>
                <w:rFonts w:eastAsia="Times New Roman"/>
              </w:rPr>
            </w:pPr>
            <w:r>
              <w:rPr>
                <w:rFonts w:eastAsia="Times New Roman"/>
                <w:color w:val="000000"/>
                <w:sz w:val="20"/>
                <w:szCs w:val="20"/>
              </w:rPr>
              <w:t>9,491 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1050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F833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59297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97E629" w14:textId="77777777" w:rsidR="00000000" w:rsidRDefault="001A570A">
            <w:pPr>
              <w:jc w:val="right"/>
              <w:rPr>
                <w:rFonts w:eastAsia="Times New Roman"/>
              </w:rPr>
            </w:pPr>
            <w:r>
              <w:rPr>
                <w:rFonts w:eastAsia="Times New Roman"/>
                <w:color w:val="000000"/>
                <w:sz w:val="20"/>
                <w:szCs w:val="20"/>
              </w:rPr>
              <w:t>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65946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A0CC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C9095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77CFF4" w14:textId="77777777" w:rsidR="00000000" w:rsidRDefault="001A570A">
            <w:pPr>
              <w:jc w:val="right"/>
              <w:rPr>
                <w:rFonts w:eastAsia="Times New Roman"/>
              </w:rPr>
            </w:pPr>
            <w:r>
              <w:rPr>
                <w:rFonts w:eastAsia="Times New Roman"/>
                <w:color w:val="000000"/>
                <w:sz w:val="20"/>
                <w:szCs w:val="20"/>
              </w:rPr>
              <w:t>7,908 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71A7D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FF78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07165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F1A2FD" w14:textId="77777777" w:rsidR="00000000" w:rsidRDefault="001A570A">
            <w:pPr>
              <w:jc w:val="right"/>
              <w:rPr>
                <w:rFonts w:eastAsia="Times New Roman"/>
              </w:rPr>
            </w:pPr>
            <w:r>
              <w:rPr>
                <w:rFonts w:eastAsia="Times New Roman"/>
                <w:color w:val="000000"/>
                <w:sz w:val="20"/>
                <w:szCs w:val="20"/>
              </w:rPr>
              <w:t>9,333 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06760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B24F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F5EE9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CE44E3" w14:textId="77777777" w:rsidR="00000000" w:rsidRDefault="001A570A">
            <w:pPr>
              <w:jc w:val="right"/>
              <w:rPr>
                <w:rFonts w:eastAsia="Times New Roman"/>
              </w:rPr>
            </w:pPr>
            <w:r>
              <w:rPr>
                <w:rFonts w:eastAsia="Times New Roman"/>
                <w:color w:val="000000"/>
                <w:sz w:val="20"/>
                <w:szCs w:val="20"/>
              </w:rPr>
              <w:t>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3577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43B1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FB71E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4DFD51" w14:textId="77777777" w:rsidR="00000000" w:rsidRDefault="001A570A">
            <w:pPr>
              <w:jc w:val="right"/>
              <w:rPr>
                <w:rFonts w:eastAsia="Times New Roman"/>
              </w:rPr>
            </w:pPr>
            <w:r>
              <w:rPr>
                <w:rFonts w:eastAsia="Times New Roman"/>
                <w:color w:val="000000"/>
                <w:sz w:val="20"/>
                <w:szCs w:val="20"/>
              </w:rPr>
              <w:t>8,458 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FBE810" w14:textId="77777777" w:rsidR="00000000" w:rsidRDefault="001A570A">
            <w:pPr>
              <w:jc w:val="right"/>
              <w:rPr>
                <w:rFonts w:eastAsia="Times New Roman"/>
              </w:rPr>
            </w:pPr>
          </w:p>
        </w:tc>
      </w:tr>
      <w:tr w:rsidR="00000000" w14:paraId="425D138E" w14:textId="77777777">
        <w:trPr>
          <w:divId w:val="230316317"/>
        </w:trPr>
        <w:tc>
          <w:tcPr>
            <w:tcW w:w="0" w:type="auto"/>
            <w:gridSpan w:val="3"/>
            <w:vAlign w:val="center"/>
            <w:hideMark/>
          </w:tcPr>
          <w:p w14:paraId="6AF279A3" w14:textId="77777777" w:rsidR="00000000" w:rsidRDefault="001A570A">
            <w:pPr>
              <w:jc w:val="right"/>
              <w:rPr>
                <w:rFonts w:eastAsia="Times New Roman"/>
                <w:sz w:val="20"/>
                <w:szCs w:val="20"/>
              </w:rPr>
            </w:pPr>
          </w:p>
        </w:tc>
        <w:tc>
          <w:tcPr>
            <w:tcW w:w="0" w:type="auto"/>
            <w:gridSpan w:val="3"/>
            <w:vAlign w:val="center"/>
            <w:hideMark/>
          </w:tcPr>
          <w:p w14:paraId="73315FCB" w14:textId="77777777" w:rsidR="00000000" w:rsidRDefault="001A570A">
            <w:pPr>
              <w:rPr>
                <w:rFonts w:eastAsia="Times New Roman"/>
                <w:sz w:val="20"/>
                <w:szCs w:val="20"/>
              </w:rPr>
            </w:pPr>
          </w:p>
        </w:tc>
        <w:tc>
          <w:tcPr>
            <w:tcW w:w="0" w:type="auto"/>
            <w:gridSpan w:val="3"/>
            <w:vAlign w:val="center"/>
            <w:hideMark/>
          </w:tcPr>
          <w:p w14:paraId="4834D912" w14:textId="77777777" w:rsidR="00000000" w:rsidRDefault="001A570A">
            <w:pPr>
              <w:rPr>
                <w:rFonts w:eastAsia="Times New Roman"/>
                <w:sz w:val="20"/>
                <w:szCs w:val="20"/>
              </w:rPr>
            </w:pPr>
          </w:p>
        </w:tc>
        <w:tc>
          <w:tcPr>
            <w:tcW w:w="0" w:type="auto"/>
            <w:gridSpan w:val="3"/>
            <w:vAlign w:val="center"/>
            <w:hideMark/>
          </w:tcPr>
          <w:p w14:paraId="2E7857CA" w14:textId="77777777" w:rsidR="00000000" w:rsidRDefault="001A570A">
            <w:pPr>
              <w:rPr>
                <w:rFonts w:eastAsia="Times New Roman"/>
                <w:sz w:val="20"/>
                <w:szCs w:val="20"/>
              </w:rPr>
            </w:pPr>
          </w:p>
        </w:tc>
        <w:tc>
          <w:tcPr>
            <w:tcW w:w="0" w:type="auto"/>
            <w:gridSpan w:val="3"/>
            <w:vAlign w:val="center"/>
            <w:hideMark/>
          </w:tcPr>
          <w:p w14:paraId="59CCA876" w14:textId="77777777" w:rsidR="00000000" w:rsidRDefault="001A570A">
            <w:pPr>
              <w:rPr>
                <w:rFonts w:eastAsia="Times New Roman"/>
                <w:sz w:val="20"/>
                <w:szCs w:val="20"/>
              </w:rPr>
            </w:pPr>
          </w:p>
        </w:tc>
        <w:tc>
          <w:tcPr>
            <w:tcW w:w="0" w:type="auto"/>
            <w:gridSpan w:val="3"/>
            <w:vAlign w:val="center"/>
            <w:hideMark/>
          </w:tcPr>
          <w:p w14:paraId="1B67AD08" w14:textId="77777777" w:rsidR="00000000" w:rsidRDefault="001A570A">
            <w:pPr>
              <w:rPr>
                <w:rFonts w:eastAsia="Times New Roman"/>
                <w:sz w:val="20"/>
                <w:szCs w:val="20"/>
              </w:rPr>
            </w:pPr>
          </w:p>
        </w:tc>
        <w:tc>
          <w:tcPr>
            <w:tcW w:w="0" w:type="auto"/>
            <w:gridSpan w:val="3"/>
            <w:vAlign w:val="center"/>
            <w:hideMark/>
          </w:tcPr>
          <w:p w14:paraId="7365D08A" w14:textId="77777777" w:rsidR="00000000" w:rsidRDefault="001A570A">
            <w:pPr>
              <w:rPr>
                <w:rFonts w:eastAsia="Times New Roman"/>
                <w:sz w:val="20"/>
                <w:szCs w:val="20"/>
              </w:rPr>
            </w:pPr>
          </w:p>
        </w:tc>
        <w:tc>
          <w:tcPr>
            <w:tcW w:w="0" w:type="auto"/>
            <w:gridSpan w:val="3"/>
            <w:vAlign w:val="center"/>
            <w:hideMark/>
          </w:tcPr>
          <w:p w14:paraId="23FE26A9" w14:textId="77777777" w:rsidR="00000000" w:rsidRDefault="001A570A">
            <w:pPr>
              <w:rPr>
                <w:rFonts w:eastAsia="Times New Roman"/>
                <w:sz w:val="20"/>
                <w:szCs w:val="20"/>
              </w:rPr>
            </w:pPr>
          </w:p>
        </w:tc>
        <w:tc>
          <w:tcPr>
            <w:tcW w:w="0" w:type="auto"/>
            <w:gridSpan w:val="3"/>
            <w:vAlign w:val="center"/>
            <w:hideMark/>
          </w:tcPr>
          <w:p w14:paraId="681DE3DB" w14:textId="77777777" w:rsidR="00000000" w:rsidRDefault="001A570A">
            <w:pPr>
              <w:rPr>
                <w:rFonts w:eastAsia="Times New Roman"/>
                <w:sz w:val="20"/>
                <w:szCs w:val="20"/>
              </w:rPr>
            </w:pPr>
          </w:p>
        </w:tc>
        <w:tc>
          <w:tcPr>
            <w:tcW w:w="0" w:type="auto"/>
            <w:gridSpan w:val="3"/>
            <w:vAlign w:val="center"/>
            <w:hideMark/>
          </w:tcPr>
          <w:p w14:paraId="5DBB26D1" w14:textId="77777777" w:rsidR="00000000" w:rsidRDefault="001A570A">
            <w:pPr>
              <w:rPr>
                <w:rFonts w:eastAsia="Times New Roman"/>
                <w:sz w:val="20"/>
                <w:szCs w:val="20"/>
              </w:rPr>
            </w:pPr>
          </w:p>
        </w:tc>
        <w:tc>
          <w:tcPr>
            <w:tcW w:w="0" w:type="auto"/>
            <w:gridSpan w:val="3"/>
            <w:vAlign w:val="center"/>
            <w:hideMark/>
          </w:tcPr>
          <w:p w14:paraId="6FCD0D18" w14:textId="77777777" w:rsidR="00000000" w:rsidRDefault="001A570A">
            <w:pPr>
              <w:rPr>
                <w:rFonts w:eastAsia="Times New Roman"/>
                <w:sz w:val="20"/>
                <w:szCs w:val="20"/>
              </w:rPr>
            </w:pPr>
          </w:p>
        </w:tc>
        <w:tc>
          <w:tcPr>
            <w:tcW w:w="0" w:type="auto"/>
            <w:gridSpan w:val="3"/>
            <w:vAlign w:val="center"/>
            <w:hideMark/>
          </w:tcPr>
          <w:p w14:paraId="287C4483" w14:textId="77777777" w:rsidR="00000000" w:rsidRDefault="001A570A">
            <w:pPr>
              <w:rPr>
                <w:rFonts w:eastAsia="Times New Roman"/>
                <w:sz w:val="20"/>
                <w:szCs w:val="20"/>
              </w:rPr>
            </w:pPr>
          </w:p>
        </w:tc>
      </w:tr>
    </w:tbl>
    <w:p w14:paraId="07C410BF" w14:textId="77777777" w:rsidR="00000000" w:rsidRDefault="001A570A">
      <w:pPr>
        <w:divId w:val="1204253606"/>
        <w:rPr>
          <w:rFonts w:eastAsia="Times New Roman"/>
        </w:rPr>
      </w:pPr>
      <w:r>
        <w:rPr>
          <w:rFonts w:eastAsia="Times New Roman"/>
          <w:color w:val="000000"/>
          <w:sz w:val="16"/>
          <w:szCs w:val="16"/>
        </w:rPr>
        <w:t>_______________</w:t>
      </w:r>
    </w:p>
    <w:p w14:paraId="07C320EB" w14:textId="77777777" w:rsidR="00000000" w:rsidRDefault="001A570A">
      <w:pPr>
        <w:ind w:hanging="360"/>
        <w:divId w:val="1660688535"/>
        <w:rPr>
          <w:rFonts w:eastAsia="Times New Roman"/>
        </w:rPr>
      </w:pPr>
      <w:r>
        <w:rPr>
          <w:rFonts w:eastAsia="Times New Roman"/>
          <w:color w:val="000000"/>
          <w:sz w:val="16"/>
          <w:szCs w:val="16"/>
        </w:rPr>
        <w:t>(1)</w:t>
      </w:r>
      <w:r>
        <w:rPr>
          <w:rFonts w:eastAsia="Times New Roman"/>
          <w:color w:val="000000"/>
          <w:sz w:val="16"/>
          <w:szCs w:val="16"/>
        </w:rPr>
        <w:t>During fiscal 2020, we completed the divestiture of three businesses and derecognized $296 million of intangibles as part of the gain or loss on these divestitures. Additionally, in connection with a pending divestiture, we reclassified $5 million of ident</w:t>
      </w:r>
      <w:r>
        <w:rPr>
          <w:rFonts w:eastAsia="Times New Roman"/>
          <w:color w:val="000000"/>
          <w:sz w:val="16"/>
          <w:szCs w:val="16"/>
        </w:rPr>
        <w:t xml:space="preserve">ifiable intangible assets to “Assets of disposal group held for sale” in our Consolidated Balance Sheet at January 1, 2021.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additional information regarding divestitures.</w:t>
      </w:r>
    </w:p>
    <w:p w14:paraId="63D28D51" w14:textId="77777777" w:rsidR="00000000" w:rsidRDefault="001A570A">
      <w:pPr>
        <w:ind w:firstLine="450"/>
        <w:divId w:val="1500271895"/>
        <w:rPr>
          <w:rFonts w:eastAsia="Times New Roman"/>
        </w:rPr>
      </w:pPr>
      <w:r>
        <w:rPr>
          <w:rFonts w:eastAsia="Times New Roman"/>
          <w:color w:val="000000"/>
          <w:sz w:val="20"/>
          <w:szCs w:val="20"/>
        </w:rPr>
        <w:t>Amortization exp</w:t>
      </w:r>
      <w:r>
        <w:rPr>
          <w:rFonts w:eastAsia="Times New Roman"/>
          <w:color w:val="000000"/>
          <w:sz w:val="20"/>
          <w:szCs w:val="20"/>
        </w:rPr>
        <w:t>ense for identifiable intangible assets was $729 million and $290 million in fiscal 2020 and the two quarters ended January 3, 2020, respectively, and primarily related to the L3Harris Merger and our acquisition of Exelis. Amortization expense for identifi</w:t>
      </w:r>
      <w:r>
        <w:rPr>
          <w:rFonts w:eastAsia="Times New Roman"/>
          <w:color w:val="000000"/>
          <w:sz w:val="20"/>
          <w:szCs w:val="20"/>
        </w:rPr>
        <w:t>able intangible assets was $115 million and $117 million in fiscal 2019 and 2018, respectively, and primarily related to our acquisition of Exelis.</w:t>
      </w:r>
    </w:p>
    <w:p w14:paraId="1F84543D" w14:textId="77777777" w:rsidR="00000000" w:rsidRDefault="001A570A">
      <w:pPr>
        <w:ind w:firstLine="450"/>
        <w:divId w:val="68626645"/>
        <w:rPr>
          <w:rFonts w:eastAsia="Times New Roman"/>
        </w:rPr>
      </w:pPr>
      <w:r>
        <w:rPr>
          <w:rFonts w:eastAsia="Times New Roman"/>
          <w:color w:val="000000"/>
          <w:sz w:val="20"/>
          <w:szCs w:val="20"/>
        </w:rPr>
        <w:t>Future estimated amortization expense for identifiable intangible assets is as follows:</w:t>
      </w:r>
    </w:p>
    <w:tbl>
      <w:tblPr>
        <w:tblW w:w="4899" w:type="pct"/>
        <w:tblCellMar>
          <w:top w:w="15" w:type="dxa"/>
          <w:left w:w="15" w:type="dxa"/>
          <w:bottom w:w="15" w:type="dxa"/>
          <w:right w:w="15" w:type="dxa"/>
        </w:tblCellMar>
        <w:tblLook w:val="04A0" w:firstRow="1" w:lastRow="0" w:firstColumn="1" w:lastColumn="0" w:noHBand="0" w:noVBand="1"/>
      </w:tblPr>
      <w:tblGrid>
        <w:gridCol w:w="49"/>
        <w:gridCol w:w="6573"/>
        <w:gridCol w:w="36"/>
        <w:gridCol w:w="121"/>
        <w:gridCol w:w="1323"/>
        <w:gridCol w:w="36"/>
      </w:tblGrid>
      <w:tr w:rsidR="00000000" w14:paraId="0B05CE3B" w14:textId="77777777">
        <w:trPr>
          <w:divId w:val="493836297"/>
        </w:trPr>
        <w:tc>
          <w:tcPr>
            <w:tcW w:w="50" w:type="pct"/>
            <w:vAlign w:val="center"/>
            <w:hideMark/>
          </w:tcPr>
          <w:p w14:paraId="32A06CA5" w14:textId="77777777" w:rsidR="00000000" w:rsidRDefault="001A570A">
            <w:pPr>
              <w:ind w:firstLine="450"/>
              <w:rPr>
                <w:rFonts w:eastAsia="Times New Roman"/>
              </w:rPr>
            </w:pPr>
          </w:p>
        </w:tc>
        <w:tc>
          <w:tcPr>
            <w:tcW w:w="4057" w:type="pct"/>
            <w:vAlign w:val="center"/>
            <w:hideMark/>
          </w:tcPr>
          <w:p w14:paraId="4F74D087" w14:textId="77777777" w:rsidR="00000000" w:rsidRDefault="001A570A">
            <w:pPr>
              <w:rPr>
                <w:rFonts w:eastAsia="Times New Roman"/>
                <w:sz w:val="20"/>
                <w:szCs w:val="20"/>
              </w:rPr>
            </w:pPr>
          </w:p>
        </w:tc>
        <w:tc>
          <w:tcPr>
            <w:tcW w:w="5" w:type="pct"/>
            <w:vAlign w:val="center"/>
            <w:hideMark/>
          </w:tcPr>
          <w:p w14:paraId="4F70BC09" w14:textId="77777777" w:rsidR="00000000" w:rsidRDefault="001A570A">
            <w:pPr>
              <w:rPr>
                <w:rFonts w:eastAsia="Times New Roman"/>
                <w:sz w:val="20"/>
                <w:szCs w:val="20"/>
              </w:rPr>
            </w:pPr>
          </w:p>
        </w:tc>
        <w:tc>
          <w:tcPr>
            <w:tcW w:w="50" w:type="pct"/>
            <w:vAlign w:val="center"/>
            <w:hideMark/>
          </w:tcPr>
          <w:p w14:paraId="32EA7BD0" w14:textId="77777777" w:rsidR="00000000" w:rsidRDefault="001A570A">
            <w:pPr>
              <w:rPr>
                <w:rFonts w:eastAsia="Times New Roman"/>
                <w:sz w:val="20"/>
                <w:szCs w:val="20"/>
              </w:rPr>
            </w:pPr>
          </w:p>
        </w:tc>
        <w:tc>
          <w:tcPr>
            <w:tcW w:w="832" w:type="pct"/>
            <w:vAlign w:val="center"/>
            <w:hideMark/>
          </w:tcPr>
          <w:p w14:paraId="689CAC88" w14:textId="77777777" w:rsidR="00000000" w:rsidRDefault="001A570A">
            <w:pPr>
              <w:rPr>
                <w:rFonts w:eastAsia="Times New Roman"/>
                <w:sz w:val="20"/>
                <w:szCs w:val="20"/>
              </w:rPr>
            </w:pPr>
          </w:p>
        </w:tc>
        <w:tc>
          <w:tcPr>
            <w:tcW w:w="5" w:type="pct"/>
            <w:vAlign w:val="center"/>
            <w:hideMark/>
          </w:tcPr>
          <w:p w14:paraId="5D93D2AB" w14:textId="77777777" w:rsidR="00000000" w:rsidRDefault="001A570A">
            <w:pPr>
              <w:rPr>
                <w:rFonts w:eastAsia="Times New Roman"/>
                <w:sz w:val="20"/>
                <w:szCs w:val="20"/>
              </w:rPr>
            </w:pPr>
          </w:p>
        </w:tc>
      </w:tr>
      <w:tr w:rsidR="00000000" w14:paraId="5DFB2B55" w14:textId="77777777">
        <w:trPr>
          <w:divId w:val="493836297"/>
        </w:trPr>
        <w:tc>
          <w:tcPr>
            <w:tcW w:w="0" w:type="auto"/>
            <w:gridSpan w:val="3"/>
            <w:tcMar>
              <w:top w:w="30" w:type="dxa"/>
              <w:left w:w="20" w:type="dxa"/>
              <w:bottom w:w="30" w:type="dxa"/>
              <w:right w:w="20" w:type="dxa"/>
            </w:tcMar>
            <w:vAlign w:val="bottom"/>
            <w:hideMark/>
          </w:tcPr>
          <w:p w14:paraId="78C55451"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540B20B" w14:textId="77777777" w:rsidR="00000000" w:rsidRDefault="001A570A">
            <w:pPr>
              <w:jc w:val="center"/>
              <w:rPr>
                <w:rFonts w:eastAsia="Times New Roman"/>
              </w:rPr>
            </w:pPr>
            <w:r>
              <w:rPr>
                <w:rFonts w:eastAsia="Times New Roman"/>
                <w:b/>
                <w:bCs/>
                <w:color w:val="000000"/>
                <w:sz w:val="16"/>
                <w:szCs w:val="16"/>
              </w:rPr>
              <w:t>(In </w:t>
            </w:r>
            <w:r>
              <w:rPr>
                <w:rFonts w:eastAsia="Times New Roman"/>
                <w:b/>
                <w:bCs/>
                <w:color w:val="000000"/>
                <w:sz w:val="16"/>
                <w:szCs w:val="16"/>
              </w:rPr>
              <w:t>millions)</w:t>
            </w:r>
          </w:p>
        </w:tc>
      </w:tr>
      <w:tr w:rsidR="00000000" w14:paraId="2A1C80D6" w14:textId="77777777">
        <w:trPr>
          <w:divId w:val="493836297"/>
          <w:trHeight w:val="60"/>
        </w:trPr>
        <w:tc>
          <w:tcPr>
            <w:tcW w:w="0" w:type="auto"/>
            <w:gridSpan w:val="3"/>
            <w:tcMar>
              <w:top w:w="0" w:type="dxa"/>
              <w:left w:w="20" w:type="dxa"/>
              <w:bottom w:w="0" w:type="dxa"/>
              <w:right w:w="20" w:type="dxa"/>
            </w:tcMar>
            <w:vAlign w:val="center"/>
            <w:hideMark/>
          </w:tcPr>
          <w:p w14:paraId="07BA45D5"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015A9B7" w14:textId="77777777" w:rsidR="00000000" w:rsidRDefault="001A570A">
            <w:pPr>
              <w:rPr>
                <w:rFonts w:eastAsia="Times New Roman"/>
                <w:sz w:val="20"/>
                <w:szCs w:val="20"/>
              </w:rPr>
            </w:pPr>
          </w:p>
        </w:tc>
      </w:tr>
      <w:tr w:rsidR="00000000" w14:paraId="50F497F7" w14:textId="77777777">
        <w:trPr>
          <w:divId w:val="493836297"/>
        </w:trPr>
        <w:tc>
          <w:tcPr>
            <w:tcW w:w="0" w:type="auto"/>
            <w:gridSpan w:val="3"/>
            <w:shd w:val="clear" w:color="auto" w:fill="CCEEFF"/>
            <w:tcMar>
              <w:top w:w="30" w:type="dxa"/>
              <w:left w:w="20" w:type="dxa"/>
              <w:bottom w:w="30" w:type="dxa"/>
              <w:right w:w="20" w:type="dxa"/>
            </w:tcMar>
            <w:hideMark/>
          </w:tcPr>
          <w:p w14:paraId="228763CA" w14:textId="77777777" w:rsidR="00000000" w:rsidRDefault="001A570A">
            <w:pPr>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14:paraId="3F0C124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25013C" w14:textId="77777777" w:rsidR="00000000" w:rsidRDefault="001A570A">
            <w:pPr>
              <w:jc w:val="right"/>
              <w:rPr>
                <w:rFonts w:eastAsia="Times New Roman"/>
              </w:rPr>
            </w:pPr>
            <w:r>
              <w:rPr>
                <w:rFonts w:eastAsia="Times New Roman"/>
                <w:color w:val="000000"/>
                <w:sz w:val="20"/>
                <w:szCs w:val="20"/>
              </w:rPr>
              <w:t>669 </w:t>
            </w:r>
          </w:p>
        </w:tc>
        <w:tc>
          <w:tcPr>
            <w:tcW w:w="0" w:type="auto"/>
            <w:shd w:val="clear" w:color="auto" w:fill="CCEEFF"/>
            <w:tcMar>
              <w:top w:w="30" w:type="dxa"/>
              <w:left w:w="0" w:type="dxa"/>
              <w:bottom w:w="30" w:type="dxa"/>
              <w:right w:w="20" w:type="dxa"/>
            </w:tcMar>
            <w:vAlign w:val="bottom"/>
            <w:hideMark/>
          </w:tcPr>
          <w:p w14:paraId="1FAD286D" w14:textId="77777777" w:rsidR="00000000" w:rsidRDefault="001A570A">
            <w:pPr>
              <w:jc w:val="right"/>
              <w:rPr>
                <w:rFonts w:eastAsia="Times New Roman"/>
              </w:rPr>
            </w:pPr>
          </w:p>
        </w:tc>
      </w:tr>
      <w:tr w:rsidR="00000000" w14:paraId="740ACA27" w14:textId="77777777">
        <w:trPr>
          <w:divId w:val="493836297"/>
        </w:trPr>
        <w:tc>
          <w:tcPr>
            <w:tcW w:w="0" w:type="auto"/>
            <w:gridSpan w:val="3"/>
            <w:shd w:val="clear" w:color="auto" w:fill="FFFFFF"/>
            <w:tcMar>
              <w:top w:w="30" w:type="dxa"/>
              <w:left w:w="20" w:type="dxa"/>
              <w:bottom w:w="30" w:type="dxa"/>
              <w:right w:w="20" w:type="dxa"/>
            </w:tcMar>
            <w:hideMark/>
          </w:tcPr>
          <w:p w14:paraId="5276CBAD" w14:textId="77777777" w:rsidR="00000000" w:rsidRDefault="001A570A">
            <w:pPr>
              <w:rPr>
                <w:rFonts w:eastAsia="Times New Roman"/>
              </w:rPr>
            </w:pPr>
            <w:r>
              <w:rPr>
                <w:rFonts w:eastAsia="Times New Roman"/>
                <w:color w:val="000000"/>
                <w:sz w:val="20"/>
                <w:szCs w:val="20"/>
              </w:rPr>
              <w:t>2022</w:t>
            </w:r>
          </w:p>
        </w:tc>
        <w:tc>
          <w:tcPr>
            <w:tcW w:w="0" w:type="auto"/>
            <w:gridSpan w:val="2"/>
            <w:shd w:val="clear" w:color="auto" w:fill="FFFFFF"/>
            <w:tcMar>
              <w:top w:w="30" w:type="dxa"/>
              <w:left w:w="20" w:type="dxa"/>
              <w:bottom w:w="30" w:type="dxa"/>
              <w:right w:w="0" w:type="dxa"/>
            </w:tcMar>
            <w:vAlign w:val="bottom"/>
            <w:hideMark/>
          </w:tcPr>
          <w:p w14:paraId="327089BC" w14:textId="77777777" w:rsidR="00000000" w:rsidRDefault="001A570A">
            <w:pPr>
              <w:jc w:val="right"/>
              <w:rPr>
                <w:rFonts w:eastAsia="Times New Roman"/>
              </w:rPr>
            </w:pPr>
            <w:r>
              <w:rPr>
                <w:rFonts w:eastAsia="Times New Roman"/>
                <w:color w:val="000000"/>
                <w:sz w:val="20"/>
                <w:szCs w:val="20"/>
              </w:rPr>
              <w:t>673 </w:t>
            </w:r>
          </w:p>
        </w:tc>
        <w:tc>
          <w:tcPr>
            <w:tcW w:w="0" w:type="auto"/>
            <w:shd w:val="clear" w:color="auto" w:fill="FFFFFF"/>
            <w:tcMar>
              <w:top w:w="30" w:type="dxa"/>
              <w:left w:w="0" w:type="dxa"/>
              <w:bottom w:w="30" w:type="dxa"/>
              <w:right w:w="20" w:type="dxa"/>
            </w:tcMar>
            <w:vAlign w:val="bottom"/>
            <w:hideMark/>
          </w:tcPr>
          <w:p w14:paraId="2260BBA1" w14:textId="77777777" w:rsidR="00000000" w:rsidRDefault="001A570A">
            <w:pPr>
              <w:jc w:val="right"/>
              <w:rPr>
                <w:rFonts w:eastAsia="Times New Roman"/>
              </w:rPr>
            </w:pPr>
          </w:p>
        </w:tc>
      </w:tr>
      <w:tr w:rsidR="00000000" w14:paraId="0CCC728F" w14:textId="77777777">
        <w:trPr>
          <w:divId w:val="493836297"/>
        </w:trPr>
        <w:tc>
          <w:tcPr>
            <w:tcW w:w="0" w:type="auto"/>
            <w:gridSpan w:val="3"/>
            <w:shd w:val="clear" w:color="auto" w:fill="CCEEFF"/>
            <w:tcMar>
              <w:top w:w="30" w:type="dxa"/>
              <w:left w:w="20" w:type="dxa"/>
              <w:bottom w:w="30" w:type="dxa"/>
              <w:right w:w="20" w:type="dxa"/>
            </w:tcMar>
            <w:hideMark/>
          </w:tcPr>
          <w:p w14:paraId="5CFA42FC" w14:textId="77777777" w:rsidR="00000000" w:rsidRDefault="001A570A">
            <w:pPr>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14:paraId="07E8B177" w14:textId="77777777" w:rsidR="00000000" w:rsidRDefault="001A570A">
            <w:pPr>
              <w:jc w:val="right"/>
              <w:rPr>
                <w:rFonts w:eastAsia="Times New Roman"/>
              </w:rPr>
            </w:pPr>
            <w:r>
              <w:rPr>
                <w:rFonts w:eastAsia="Times New Roman"/>
                <w:color w:val="000000"/>
                <w:sz w:val="20"/>
                <w:szCs w:val="20"/>
              </w:rPr>
              <w:t>663 </w:t>
            </w:r>
          </w:p>
        </w:tc>
        <w:tc>
          <w:tcPr>
            <w:tcW w:w="0" w:type="auto"/>
            <w:shd w:val="clear" w:color="auto" w:fill="CCEEFF"/>
            <w:tcMar>
              <w:top w:w="30" w:type="dxa"/>
              <w:left w:w="0" w:type="dxa"/>
              <w:bottom w:w="30" w:type="dxa"/>
              <w:right w:w="20" w:type="dxa"/>
            </w:tcMar>
            <w:vAlign w:val="bottom"/>
            <w:hideMark/>
          </w:tcPr>
          <w:p w14:paraId="04ECD5A3" w14:textId="77777777" w:rsidR="00000000" w:rsidRDefault="001A570A">
            <w:pPr>
              <w:jc w:val="right"/>
              <w:rPr>
                <w:rFonts w:eastAsia="Times New Roman"/>
              </w:rPr>
            </w:pPr>
          </w:p>
        </w:tc>
      </w:tr>
      <w:tr w:rsidR="00000000" w14:paraId="472E76AA" w14:textId="77777777">
        <w:trPr>
          <w:divId w:val="493836297"/>
        </w:trPr>
        <w:tc>
          <w:tcPr>
            <w:tcW w:w="0" w:type="auto"/>
            <w:gridSpan w:val="3"/>
            <w:shd w:val="clear" w:color="auto" w:fill="FFFFFF"/>
            <w:tcMar>
              <w:top w:w="30" w:type="dxa"/>
              <w:left w:w="20" w:type="dxa"/>
              <w:bottom w:w="30" w:type="dxa"/>
              <w:right w:w="20" w:type="dxa"/>
            </w:tcMar>
            <w:hideMark/>
          </w:tcPr>
          <w:p w14:paraId="1A538F19" w14:textId="77777777" w:rsidR="00000000" w:rsidRDefault="001A570A">
            <w:pPr>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14:paraId="12A57FF0" w14:textId="77777777" w:rsidR="00000000" w:rsidRDefault="001A570A">
            <w:pPr>
              <w:jc w:val="right"/>
              <w:rPr>
                <w:rFonts w:eastAsia="Times New Roman"/>
              </w:rPr>
            </w:pPr>
            <w:r>
              <w:rPr>
                <w:rFonts w:eastAsia="Times New Roman"/>
                <w:color w:val="000000"/>
                <w:sz w:val="20"/>
                <w:szCs w:val="20"/>
              </w:rPr>
              <w:t>623 </w:t>
            </w:r>
          </w:p>
        </w:tc>
        <w:tc>
          <w:tcPr>
            <w:tcW w:w="0" w:type="auto"/>
            <w:shd w:val="clear" w:color="auto" w:fill="FFFFFF"/>
            <w:tcMar>
              <w:top w:w="30" w:type="dxa"/>
              <w:left w:w="0" w:type="dxa"/>
              <w:bottom w:w="30" w:type="dxa"/>
              <w:right w:w="20" w:type="dxa"/>
            </w:tcMar>
            <w:vAlign w:val="bottom"/>
            <w:hideMark/>
          </w:tcPr>
          <w:p w14:paraId="7229C318" w14:textId="77777777" w:rsidR="00000000" w:rsidRDefault="001A570A">
            <w:pPr>
              <w:jc w:val="right"/>
              <w:rPr>
                <w:rFonts w:eastAsia="Times New Roman"/>
              </w:rPr>
            </w:pPr>
          </w:p>
        </w:tc>
      </w:tr>
      <w:tr w:rsidR="00000000" w14:paraId="579DA9C8" w14:textId="77777777">
        <w:trPr>
          <w:divId w:val="493836297"/>
        </w:trPr>
        <w:tc>
          <w:tcPr>
            <w:tcW w:w="0" w:type="auto"/>
            <w:gridSpan w:val="3"/>
            <w:shd w:val="clear" w:color="auto" w:fill="CCEEFF"/>
            <w:tcMar>
              <w:top w:w="30" w:type="dxa"/>
              <w:left w:w="20" w:type="dxa"/>
              <w:bottom w:w="30" w:type="dxa"/>
              <w:right w:w="20" w:type="dxa"/>
            </w:tcMar>
            <w:hideMark/>
          </w:tcPr>
          <w:p w14:paraId="5C8B36D7" w14:textId="77777777" w:rsidR="00000000" w:rsidRDefault="001A570A">
            <w:pPr>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63C3C333" w14:textId="77777777" w:rsidR="00000000" w:rsidRDefault="001A570A">
            <w:pPr>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14:paraId="68246759" w14:textId="77777777" w:rsidR="00000000" w:rsidRDefault="001A570A">
            <w:pPr>
              <w:jc w:val="right"/>
              <w:rPr>
                <w:rFonts w:eastAsia="Times New Roman"/>
              </w:rPr>
            </w:pPr>
          </w:p>
        </w:tc>
      </w:tr>
      <w:tr w:rsidR="00000000" w14:paraId="3972BE93" w14:textId="77777777">
        <w:trPr>
          <w:divId w:val="493836297"/>
        </w:trPr>
        <w:tc>
          <w:tcPr>
            <w:tcW w:w="0" w:type="auto"/>
            <w:gridSpan w:val="3"/>
            <w:shd w:val="clear" w:color="auto" w:fill="FFFFFF"/>
            <w:tcMar>
              <w:top w:w="30" w:type="dxa"/>
              <w:left w:w="20" w:type="dxa"/>
              <w:bottom w:w="30" w:type="dxa"/>
              <w:right w:w="20" w:type="dxa"/>
            </w:tcMar>
            <w:hideMark/>
          </w:tcPr>
          <w:p w14:paraId="56873F70" w14:textId="77777777" w:rsidR="00000000" w:rsidRDefault="001A570A">
            <w:pPr>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1D99871A" w14:textId="77777777" w:rsidR="00000000" w:rsidRDefault="001A570A">
            <w:pPr>
              <w:jc w:val="right"/>
              <w:rPr>
                <w:rFonts w:eastAsia="Times New Roman"/>
              </w:rPr>
            </w:pPr>
            <w:r>
              <w:rPr>
                <w:rFonts w:eastAsia="Times New Roman"/>
                <w:color w:val="000000"/>
                <w:sz w:val="20"/>
                <w:szCs w:val="20"/>
              </w:rPr>
              <w:t>2,883 </w:t>
            </w:r>
          </w:p>
        </w:tc>
        <w:tc>
          <w:tcPr>
            <w:tcW w:w="0" w:type="auto"/>
            <w:shd w:val="clear" w:color="auto" w:fill="FFFFFF"/>
            <w:tcMar>
              <w:top w:w="30" w:type="dxa"/>
              <w:left w:w="0" w:type="dxa"/>
              <w:bottom w:w="30" w:type="dxa"/>
              <w:right w:w="20" w:type="dxa"/>
            </w:tcMar>
            <w:vAlign w:val="bottom"/>
            <w:hideMark/>
          </w:tcPr>
          <w:p w14:paraId="25E0BB00" w14:textId="77777777" w:rsidR="00000000" w:rsidRDefault="001A570A">
            <w:pPr>
              <w:jc w:val="right"/>
              <w:rPr>
                <w:rFonts w:eastAsia="Times New Roman"/>
              </w:rPr>
            </w:pPr>
          </w:p>
        </w:tc>
      </w:tr>
      <w:tr w:rsidR="00000000" w14:paraId="35F8723D" w14:textId="77777777">
        <w:trPr>
          <w:divId w:val="493836297"/>
        </w:trPr>
        <w:tc>
          <w:tcPr>
            <w:tcW w:w="0" w:type="auto"/>
            <w:gridSpan w:val="3"/>
            <w:shd w:val="clear" w:color="auto" w:fill="CCEEFF"/>
            <w:tcMar>
              <w:top w:w="30" w:type="dxa"/>
              <w:left w:w="20" w:type="dxa"/>
              <w:bottom w:w="30" w:type="dxa"/>
              <w:right w:w="20" w:type="dxa"/>
            </w:tcMar>
            <w:hideMark/>
          </w:tcPr>
          <w:p w14:paraId="0205E380" w14:textId="77777777" w:rsidR="00000000" w:rsidRDefault="001A570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F54DA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B13405" w14:textId="77777777" w:rsidR="00000000" w:rsidRDefault="001A570A">
            <w:pPr>
              <w:jc w:val="right"/>
              <w:rPr>
                <w:rFonts w:eastAsia="Times New Roman"/>
              </w:rPr>
            </w:pPr>
            <w:r>
              <w:rPr>
                <w:rFonts w:eastAsia="Times New Roman"/>
                <w:color w:val="000000"/>
                <w:sz w:val="20"/>
                <w:szCs w:val="20"/>
              </w:rPr>
              <w:t>6,084 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259CAD" w14:textId="77777777" w:rsidR="00000000" w:rsidRDefault="001A570A">
            <w:pPr>
              <w:jc w:val="right"/>
              <w:rPr>
                <w:rFonts w:eastAsia="Times New Roman"/>
              </w:rPr>
            </w:pPr>
          </w:p>
        </w:tc>
      </w:tr>
    </w:tbl>
    <w:p w14:paraId="17435C63" w14:textId="77777777" w:rsidR="00000000" w:rsidRDefault="001A570A">
      <w:pPr>
        <w:ind w:firstLine="450"/>
        <w:jc w:val="center"/>
        <w:divId w:val="2081440693"/>
        <w:rPr>
          <w:rFonts w:eastAsia="Times New Roman"/>
        </w:rPr>
      </w:pPr>
      <w:r>
        <w:rPr>
          <w:rFonts w:eastAsia="Times New Roman"/>
          <w:color w:val="000000"/>
          <w:sz w:val="20"/>
          <w:szCs w:val="20"/>
        </w:rPr>
        <w:t>98</w:t>
      </w:r>
    </w:p>
    <w:p w14:paraId="0E3C0DB9" w14:textId="77777777" w:rsidR="00000000" w:rsidRDefault="001A570A">
      <w:pPr>
        <w:rPr>
          <w:rFonts w:eastAsia="Times New Roman"/>
        </w:rPr>
      </w:pPr>
      <w:r>
        <w:rPr>
          <w:rFonts w:eastAsia="Times New Roman"/>
        </w:rPr>
        <w:pict w14:anchorId="73B91639">
          <v:rect id="_x0000_i1126" style="width:0;height:1.5pt" o:hralign="center" o:hrstd="t" o:hr="t" fillcolor="#a0a0a0" stroked="f"/>
        </w:pict>
      </w:r>
    </w:p>
    <w:p w14:paraId="30E717D3" w14:textId="77777777" w:rsidR="00000000" w:rsidRDefault="001A570A">
      <w:pPr>
        <w:ind w:firstLine="450"/>
        <w:divId w:val="1990205272"/>
        <w:rPr>
          <w:rFonts w:eastAsia="Times New Roman"/>
        </w:rPr>
      </w:pPr>
    </w:p>
    <w:p w14:paraId="2C89B42C" w14:textId="77777777" w:rsidR="00000000" w:rsidRDefault="001A570A">
      <w:pPr>
        <w:divId w:val="2069187619"/>
        <w:rPr>
          <w:rFonts w:eastAsia="Times New Roman"/>
        </w:rPr>
      </w:pPr>
      <w:r>
        <w:rPr>
          <w:rFonts w:eastAsia="Times New Roman"/>
          <w:b/>
          <w:bCs/>
          <w:color w:val="000000"/>
          <w:sz w:val="20"/>
          <w:szCs w:val="20"/>
        </w:rPr>
        <w:t>NOTE 12: ACCRUED WARRANTIES</w:t>
      </w:r>
      <w:r>
        <w:rPr>
          <w:rFonts w:eastAsia="Times New Roman"/>
          <w:b/>
          <w:bCs/>
          <w:i/>
          <w:iCs/>
          <w:color w:val="000000"/>
          <w:sz w:val="20"/>
          <w:szCs w:val="20"/>
        </w:rPr>
        <w:t xml:space="preserve"> </w:t>
      </w:r>
    </w:p>
    <w:p w14:paraId="39D1D081" w14:textId="77777777" w:rsidR="00000000" w:rsidRDefault="001A570A">
      <w:pPr>
        <w:ind w:firstLine="450"/>
        <w:divId w:val="1959339012"/>
        <w:rPr>
          <w:rFonts w:eastAsia="Times New Roman"/>
        </w:rPr>
      </w:pPr>
      <w:r>
        <w:rPr>
          <w:rFonts w:eastAsia="Times New Roman"/>
          <w:color w:val="000000"/>
          <w:sz w:val="20"/>
          <w:szCs w:val="20"/>
        </w:rPr>
        <w:t>Our liability for standard product warranties is included as a component of the “Other accrued items” and “Other long-term liabilities” line items in our Consolidated Balance Sheet. Changes</w:t>
      </w:r>
      <w:r>
        <w:rPr>
          <w:rFonts w:eastAsia="Times New Roman"/>
          <w:color w:val="000000"/>
          <w:sz w:val="20"/>
          <w:szCs w:val="20"/>
        </w:rPr>
        <w:t xml:space="preserve"> in our liability for standard product warranties in fiscal 2020 and the two quarters ended January 3,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675"/>
        <w:gridCol w:w="38"/>
        <w:gridCol w:w="121"/>
        <w:gridCol w:w="1049"/>
        <w:gridCol w:w="36"/>
        <w:gridCol w:w="36"/>
        <w:gridCol w:w="36"/>
        <w:gridCol w:w="36"/>
        <w:gridCol w:w="121"/>
        <w:gridCol w:w="1011"/>
        <w:gridCol w:w="36"/>
        <w:gridCol w:w="36"/>
        <w:gridCol w:w="36"/>
      </w:tblGrid>
      <w:tr w:rsidR="00000000" w14:paraId="11DE5967" w14:textId="77777777">
        <w:trPr>
          <w:divId w:val="1433404580"/>
        </w:trPr>
        <w:tc>
          <w:tcPr>
            <w:tcW w:w="50" w:type="pct"/>
            <w:vAlign w:val="center"/>
            <w:hideMark/>
          </w:tcPr>
          <w:p w14:paraId="4138BA82" w14:textId="77777777" w:rsidR="00000000" w:rsidRDefault="001A570A">
            <w:pPr>
              <w:ind w:firstLine="450"/>
              <w:rPr>
                <w:rFonts w:eastAsia="Times New Roman"/>
              </w:rPr>
            </w:pPr>
          </w:p>
        </w:tc>
        <w:tc>
          <w:tcPr>
            <w:tcW w:w="3472" w:type="pct"/>
            <w:vAlign w:val="center"/>
            <w:hideMark/>
          </w:tcPr>
          <w:p w14:paraId="3857D84E" w14:textId="77777777" w:rsidR="00000000" w:rsidRDefault="001A570A">
            <w:pPr>
              <w:rPr>
                <w:rFonts w:eastAsia="Times New Roman"/>
                <w:sz w:val="20"/>
                <w:szCs w:val="20"/>
              </w:rPr>
            </w:pPr>
          </w:p>
        </w:tc>
        <w:tc>
          <w:tcPr>
            <w:tcW w:w="5" w:type="pct"/>
            <w:vAlign w:val="center"/>
            <w:hideMark/>
          </w:tcPr>
          <w:p w14:paraId="1D120254" w14:textId="77777777" w:rsidR="00000000" w:rsidRDefault="001A570A">
            <w:pPr>
              <w:rPr>
                <w:rFonts w:eastAsia="Times New Roman"/>
                <w:sz w:val="20"/>
                <w:szCs w:val="20"/>
              </w:rPr>
            </w:pPr>
          </w:p>
        </w:tc>
        <w:tc>
          <w:tcPr>
            <w:tcW w:w="50" w:type="pct"/>
            <w:vAlign w:val="center"/>
            <w:hideMark/>
          </w:tcPr>
          <w:p w14:paraId="56F009C3" w14:textId="77777777" w:rsidR="00000000" w:rsidRDefault="001A570A">
            <w:pPr>
              <w:rPr>
                <w:rFonts w:eastAsia="Times New Roman"/>
                <w:sz w:val="20"/>
                <w:szCs w:val="20"/>
              </w:rPr>
            </w:pPr>
          </w:p>
        </w:tc>
        <w:tc>
          <w:tcPr>
            <w:tcW w:w="663" w:type="pct"/>
            <w:vAlign w:val="center"/>
            <w:hideMark/>
          </w:tcPr>
          <w:p w14:paraId="51B34EFD" w14:textId="77777777" w:rsidR="00000000" w:rsidRDefault="001A570A">
            <w:pPr>
              <w:rPr>
                <w:rFonts w:eastAsia="Times New Roman"/>
                <w:sz w:val="20"/>
                <w:szCs w:val="20"/>
              </w:rPr>
            </w:pPr>
          </w:p>
        </w:tc>
        <w:tc>
          <w:tcPr>
            <w:tcW w:w="5" w:type="pct"/>
            <w:vAlign w:val="center"/>
            <w:hideMark/>
          </w:tcPr>
          <w:p w14:paraId="66EA0EE2" w14:textId="77777777" w:rsidR="00000000" w:rsidRDefault="001A570A">
            <w:pPr>
              <w:rPr>
                <w:rFonts w:eastAsia="Times New Roman"/>
                <w:sz w:val="20"/>
                <w:szCs w:val="20"/>
              </w:rPr>
            </w:pPr>
          </w:p>
        </w:tc>
        <w:tc>
          <w:tcPr>
            <w:tcW w:w="5" w:type="pct"/>
            <w:vAlign w:val="center"/>
            <w:hideMark/>
          </w:tcPr>
          <w:p w14:paraId="3C49DF2D" w14:textId="77777777" w:rsidR="00000000" w:rsidRDefault="001A570A">
            <w:pPr>
              <w:rPr>
                <w:rFonts w:eastAsia="Times New Roman"/>
                <w:sz w:val="20"/>
                <w:szCs w:val="20"/>
              </w:rPr>
            </w:pPr>
          </w:p>
        </w:tc>
        <w:tc>
          <w:tcPr>
            <w:tcW w:w="25" w:type="pct"/>
            <w:vAlign w:val="center"/>
            <w:hideMark/>
          </w:tcPr>
          <w:p w14:paraId="79038A79" w14:textId="77777777" w:rsidR="00000000" w:rsidRDefault="001A570A">
            <w:pPr>
              <w:rPr>
                <w:rFonts w:eastAsia="Times New Roman"/>
                <w:sz w:val="20"/>
                <w:szCs w:val="20"/>
              </w:rPr>
            </w:pPr>
          </w:p>
        </w:tc>
        <w:tc>
          <w:tcPr>
            <w:tcW w:w="5" w:type="pct"/>
            <w:vAlign w:val="center"/>
            <w:hideMark/>
          </w:tcPr>
          <w:p w14:paraId="17E44EF4" w14:textId="77777777" w:rsidR="00000000" w:rsidRDefault="001A570A">
            <w:pPr>
              <w:rPr>
                <w:rFonts w:eastAsia="Times New Roman"/>
                <w:sz w:val="20"/>
                <w:szCs w:val="20"/>
              </w:rPr>
            </w:pPr>
          </w:p>
        </w:tc>
        <w:tc>
          <w:tcPr>
            <w:tcW w:w="50" w:type="pct"/>
            <w:vAlign w:val="center"/>
            <w:hideMark/>
          </w:tcPr>
          <w:p w14:paraId="2CB59805" w14:textId="77777777" w:rsidR="00000000" w:rsidRDefault="001A570A">
            <w:pPr>
              <w:rPr>
                <w:rFonts w:eastAsia="Times New Roman"/>
                <w:sz w:val="20"/>
                <w:szCs w:val="20"/>
              </w:rPr>
            </w:pPr>
          </w:p>
        </w:tc>
        <w:tc>
          <w:tcPr>
            <w:tcW w:w="663" w:type="pct"/>
            <w:vAlign w:val="center"/>
            <w:hideMark/>
          </w:tcPr>
          <w:p w14:paraId="4D95C631" w14:textId="77777777" w:rsidR="00000000" w:rsidRDefault="001A570A">
            <w:pPr>
              <w:rPr>
                <w:rFonts w:eastAsia="Times New Roman"/>
                <w:sz w:val="20"/>
                <w:szCs w:val="20"/>
              </w:rPr>
            </w:pPr>
          </w:p>
        </w:tc>
        <w:tc>
          <w:tcPr>
            <w:tcW w:w="5" w:type="pct"/>
            <w:vAlign w:val="center"/>
            <w:hideMark/>
          </w:tcPr>
          <w:p w14:paraId="05E11F7E" w14:textId="77777777" w:rsidR="00000000" w:rsidRDefault="001A570A">
            <w:pPr>
              <w:rPr>
                <w:rFonts w:eastAsia="Times New Roman"/>
                <w:sz w:val="20"/>
                <w:szCs w:val="20"/>
              </w:rPr>
            </w:pPr>
          </w:p>
        </w:tc>
        <w:tc>
          <w:tcPr>
            <w:tcW w:w="0" w:type="auto"/>
            <w:vAlign w:val="center"/>
            <w:hideMark/>
          </w:tcPr>
          <w:p w14:paraId="2881E883" w14:textId="77777777" w:rsidR="00000000" w:rsidRDefault="001A570A">
            <w:pPr>
              <w:rPr>
                <w:rFonts w:eastAsia="Times New Roman"/>
                <w:sz w:val="20"/>
                <w:szCs w:val="20"/>
              </w:rPr>
            </w:pPr>
          </w:p>
        </w:tc>
        <w:tc>
          <w:tcPr>
            <w:tcW w:w="0" w:type="auto"/>
            <w:vAlign w:val="center"/>
            <w:hideMark/>
          </w:tcPr>
          <w:p w14:paraId="1AC1A4DC" w14:textId="77777777" w:rsidR="00000000" w:rsidRDefault="001A570A">
            <w:pPr>
              <w:rPr>
                <w:rFonts w:eastAsia="Times New Roman"/>
                <w:sz w:val="20"/>
                <w:szCs w:val="20"/>
              </w:rPr>
            </w:pPr>
          </w:p>
        </w:tc>
      </w:tr>
      <w:tr w:rsidR="00000000" w14:paraId="2DFB3F17" w14:textId="77777777">
        <w:trPr>
          <w:divId w:val="1433404580"/>
        </w:trPr>
        <w:tc>
          <w:tcPr>
            <w:tcW w:w="0" w:type="auto"/>
            <w:gridSpan w:val="3"/>
            <w:tcMar>
              <w:top w:w="30" w:type="dxa"/>
              <w:left w:w="20" w:type="dxa"/>
              <w:bottom w:w="30" w:type="dxa"/>
              <w:right w:w="20" w:type="dxa"/>
            </w:tcMar>
            <w:vAlign w:val="bottom"/>
            <w:hideMark/>
          </w:tcPr>
          <w:p w14:paraId="1A1870DA"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6AE2A05"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28EDEF4"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E0C0803"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3E9C3EF8" w14:textId="77777777" w:rsidR="00000000" w:rsidRDefault="001A570A">
            <w:pPr>
              <w:jc w:val="center"/>
              <w:rPr>
                <w:rFonts w:eastAsia="Times New Roman"/>
              </w:rPr>
            </w:pPr>
          </w:p>
        </w:tc>
        <w:tc>
          <w:tcPr>
            <w:tcW w:w="0" w:type="auto"/>
            <w:vAlign w:val="center"/>
            <w:hideMark/>
          </w:tcPr>
          <w:p w14:paraId="0B288ECF" w14:textId="77777777" w:rsidR="00000000" w:rsidRDefault="001A570A">
            <w:pPr>
              <w:rPr>
                <w:rFonts w:eastAsia="Times New Roman"/>
                <w:sz w:val="20"/>
                <w:szCs w:val="20"/>
              </w:rPr>
            </w:pPr>
          </w:p>
        </w:tc>
      </w:tr>
      <w:tr w:rsidR="00000000" w14:paraId="3B988498" w14:textId="77777777">
        <w:trPr>
          <w:divId w:val="1433404580"/>
          <w:trHeight w:val="60"/>
        </w:trPr>
        <w:tc>
          <w:tcPr>
            <w:tcW w:w="0" w:type="auto"/>
            <w:gridSpan w:val="3"/>
            <w:tcMar>
              <w:top w:w="0" w:type="dxa"/>
              <w:left w:w="20" w:type="dxa"/>
              <w:bottom w:w="0" w:type="dxa"/>
              <w:right w:w="20" w:type="dxa"/>
            </w:tcMar>
            <w:vAlign w:val="center"/>
            <w:hideMark/>
          </w:tcPr>
          <w:p w14:paraId="1AB02F6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18027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822C2C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98282F" w14:textId="77777777" w:rsidR="00000000" w:rsidRDefault="001A570A">
            <w:pPr>
              <w:rPr>
                <w:rFonts w:eastAsia="Times New Roman"/>
                <w:sz w:val="20"/>
                <w:szCs w:val="20"/>
              </w:rPr>
            </w:pPr>
          </w:p>
        </w:tc>
        <w:tc>
          <w:tcPr>
            <w:tcW w:w="0" w:type="auto"/>
            <w:vAlign w:val="center"/>
            <w:hideMark/>
          </w:tcPr>
          <w:p w14:paraId="104A7AA1" w14:textId="77777777" w:rsidR="00000000" w:rsidRDefault="001A570A">
            <w:pPr>
              <w:rPr>
                <w:rFonts w:eastAsia="Times New Roman"/>
                <w:sz w:val="20"/>
                <w:szCs w:val="20"/>
              </w:rPr>
            </w:pPr>
          </w:p>
        </w:tc>
        <w:tc>
          <w:tcPr>
            <w:tcW w:w="0" w:type="auto"/>
            <w:vAlign w:val="center"/>
            <w:hideMark/>
          </w:tcPr>
          <w:p w14:paraId="144F2704" w14:textId="77777777" w:rsidR="00000000" w:rsidRDefault="001A570A">
            <w:pPr>
              <w:rPr>
                <w:rFonts w:eastAsia="Times New Roman"/>
                <w:sz w:val="20"/>
                <w:szCs w:val="20"/>
              </w:rPr>
            </w:pPr>
          </w:p>
        </w:tc>
      </w:tr>
      <w:tr w:rsidR="00000000" w14:paraId="6BACE15D" w14:textId="77777777">
        <w:trPr>
          <w:divId w:val="1433404580"/>
        </w:trPr>
        <w:tc>
          <w:tcPr>
            <w:tcW w:w="0" w:type="auto"/>
            <w:gridSpan w:val="3"/>
            <w:shd w:val="clear" w:color="auto" w:fill="CCEEFF"/>
            <w:tcMar>
              <w:top w:w="30" w:type="dxa"/>
              <w:left w:w="20" w:type="dxa"/>
              <w:bottom w:w="30" w:type="dxa"/>
              <w:right w:w="20" w:type="dxa"/>
            </w:tcMar>
            <w:hideMark/>
          </w:tcPr>
          <w:p w14:paraId="65238146" w14:textId="77777777" w:rsidR="00000000" w:rsidRDefault="001A570A">
            <w:pPr>
              <w:rPr>
                <w:rFonts w:eastAsia="Times New Roman"/>
              </w:rPr>
            </w:pPr>
            <w:r>
              <w:rPr>
                <w:rFonts w:eastAsia="Times New Roman"/>
                <w:color w:val="000000"/>
                <w:sz w:val="20"/>
                <w:szCs w:val="20"/>
              </w:rPr>
              <w:t>Balance at the beginning of the period</w:t>
            </w:r>
          </w:p>
        </w:tc>
        <w:tc>
          <w:tcPr>
            <w:tcW w:w="0" w:type="auto"/>
            <w:shd w:val="clear" w:color="auto" w:fill="CCEEFF"/>
            <w:tcMar>
              <w:top w:w="30" w:type="dxa"/>
              <w:left w:w="20" w:type="dxa"/>
              <w:bottom w:w="30" w:type="dxa"/>
              <w:right w:w="0" w:type="dxa"/>
            </w:tcMar>
            <w:vAlign w:val="bottom"/>
            <w:hideMark/>
          </w:tcPr>
          <w:p w14:paraId="1E235444"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647584" w14:textId="77777777" w:rsidR="00000000" w:rsidRDefault="001A570A">
            <w:pPr>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14:paraId="44FD275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BEF8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80F89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CD9DEE"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2730B4F0" w14:textId="77777777" w:rsidR="00000000" w:rsidRDefault="001A570A">
            <w:pPr>
              <w:jc w:val="right"/>
              <w:rPr>
                <w:rFonts w:eastAsia="Times New Roman"/>
              </w:rPr>
            </w:pPr>
          </w:p>
        </w:tc>
        <w:tc>
          <w:tcPr>
            <w:tcW w:w="0" w:type="auto"/>
            <w:vAlign w:val="center"/>
            <w:hideMark/>
          </w:tcPr>
          <w:p w14:paraId="129A303C" w14:textId="77777777" w:rsidR="00000000" w:rsidRDefault="001A570A">
            <w:pPr>
              <w:jc w:val="right"/>
              <w:rPr>
                <w:rFonts w:eastAsia="Times New Roman"/>
                <w:sz w:val="20"/>
                <w:szCs w:val="20"/>
              </w:rPr>
            </w:pPr>
          </w:p>
        </w:tc>
        <w:tc>
          <w:tcPr>
            <w:tcW w:w="0" w:type="auto"/>
            <w:vAlign w:val="center"/>
            <w:hideMark/>
          </w:tcPr>
          <w:p w14:paraId="4039277E" w14:textId="77777777" w:rsidR="00000000" w:rsidRDefault="001A570A">
            <w:pPr>
              <w:rPr>
                <w:rFonts w:eastAsia="Times New Roman"/>
                <w:sz w:val="20"/>
                <w:szCs w:val="20"/>
              </w:rPr>
            </w:pPr>
          </w:p>
        </w:tc>
      </w:tr>
      <w:tr w:rsidR="00000000" w14:paraId="00A9C3F3" w14:textId="77777777">
        <w:trPr>
          <w:divId w:val="1433404580"/>
        </w:trPr>
        <w:tc>
          <w:tcPr>
            <w:tcW w:w="0" w:type="auto"/>
            <w:gridSpan w:val="3"/>
            <w:shd w:val="clear" w:color="auto" w:fill="FFFFFF"/>
            <w:tcMar>
              <w:top w:w="30" w:type="dxa"/>
              <w:left w:w="140" w:type="dxa"/>
              <w:bottom w:w="30" w:type="dxa"/>
              <w:right w:w="20" w:type="dxa"/>
            </w:tcMar>
            <w:hideMark/>
          </w:tcPr>
          <w:p w14:paraId="624EAFC2" w14:textId="77777777" w:rsidR="00000000" w:rsidRDefault="001A570A">
            <w:pPr>
              <w:rPr>
                <w:rFonts w:eastAsia="Times New Roman"/>
              </w:rPr>
            </w:pPr>
            <w:r>
              <w:rPr>
                <w:rFonts w:eastAsia="Times New Roman"/>
                <w:color w:val="000000"/>
                <w:sz w:val="20"/>
                <w:szCs w:val="20"/>
              </w:rPr>
              <w:t>Acquisitions during the period</w:t>
            </w:r>
          </w:p>
        </w:tc>
        <w:tc>
          <w:tcPr>
            <w:tcW w:w="0" w:type="auto"/>
            <w:gridSpan w:val="2"/>
            <w:shd w:val="clear" w:color="auto" w:fill="FFFFFF"/>
            <w:tcMar>
              <w:top w:w="30" w:type="dxa"/>
              <w:left w:w="20" w:type="dxa"/>
              <w:bottom w:w="30" w:type="dxa"/>
              <w:right w:w="0" w:type="dxa"/>
            </w:tcMar>
            <w:vAlign w:val="bottom"/>
            <w:hideMark/>
          </w:tcPr>
          <w:p w14:paraId="7FB992C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41767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ADC3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8E34A4"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4B86668C" w14:textId="77777777" w:rsidR="00000000" w:rsidRDefault="001A570A">
            <w:pPr>
              <w:jc w:val="right"/>
              <w:rPr>
                <w:rFonts w:eastAsia="Times New Roman"/>
              </w:rPr>
            </w:pPr>
          </w:p>
        </w:tc>
        <w:tc>
          <w:tcPr>
            <w:tcW w:w="0" w:type="auto"/>
            <w:vAlign w:val="center"/>
            <w:hideMark/>
          </w:tcPr>
          <w:p w14:paraId="7E18E312" w14:textId="77777777" w:rsidR="00000000" w:rsidRDefault="001A570A">
            <w:pPr>
              <w:jc w:val="right"/>
              <w:rPr>
                <w:rFonts w:eastAsia="Times New Roman"/>
                <w:sz w:val="20"/>
                <w:szCs w:val="20"/>
              </w:rPr>
            </w:pPr>
          </w:p>
        </w:tc>
        <w:tc>
          <w:tcPr>
            <w:tcW w:w="0" w:type="auto"/>
            <w:vAlign w:val="center"/>
            <w:hideMark/>
          </w:tcPr>
          <w:p w14:paraId="1BCC1E0E" w14:textId="77777777" w:rsidR="00000000" w:rsidRDefault="001A570A">
            <w:pPr>
              <w:rPr>
                <w:rFonts w:eastAsia="Times New Roman"/>
                <w:sz w:val="20"/>
                <w:szCs w:val="20"/>
              </w:rPr>
            </w:pPr>
          </w:p>
        </w:tc>
      </w:tr>
      <w:tr w:rsidR="00000000" w14:paraId="3AA2F6AE" w14:textId="77777777">
        <w:trPr>
          <w:divId w:val="1433404580"/>
        </w:trPr>
        <w:tc>
          <w:tcPr>
            <w:tcW w:w="0" w:type="auto"/>
            <w:gridSpan w:val="3"/>
            <w:shd w:val="clear" w:color="auto" w:fill="CCEEFF"/>
            <w:tcMar>
              <w:top w:w="30" w:type="dxa"/>
              <w:left w:w="140" w:type="dxa"/>
              <w:bottom w:w="30" w:type="dxa"/>
              <w:right w:w="20" w:type="dxa"/>
            </w:tcMar>
            <w:hideMark/>
          </w:tcPr>
          <w:p w14:paraId="0BCEF1FC" w14:textId="77777777" w:rsidR="00000000" w:rsidRDefault="001A570A">
            <w:pPr>
              <w:rPr>
                <w:rFonts w:eastAsia="Times New Roman"/>
              </w:rPr>
            </w:pPr>
            <w:r>
              <w:rPr>
                <w:rFonts w:eastAsia="Times New Roman"/>
                <w:color w:val="000000"/>
                <w:sz w:val="20"/>
                <w:szCs w:val="20"/>
              </w:rPr>
              <w:t>Adjustments to previously estimated fair value of warranty liabilities assumed</w:t>
            </w:r>
          </w:p>
        </w:tc>
        <w:tc>
          <w:tcPr>
            <w:tcW w:w="0" w:type="auto"/>
            <w:gridSpan w:val="2"/>
            <w:shd w:val="clear" w:color="auto" w:fill="CCEEFF"/>
            <w:tcMar>
              <w:top w:w="30" w:type="dxa"/>
              <w:left w:w="20" w:type="dxa"/>
              <w:bottom w:w="30" w:type="dxa"/>
              <w:right w:w="0" w:type="dxa"/>
            </w:tcMar>
            <w:vAlign w:val="bottom"/>
            <w:hideMark/>
          </w:tcPr>
          <w:p w14:paraId="1D260693"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56D6F2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3700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5D24D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5C2333" w14:textId="77777777" w:rsidR="00000000" w:rsidRDefault="001A570A">
            <w:pPr>
              <w:jc w:val="right"/>
              <w:rPr>
                <w:rFonts w:eastAsia="Times New Roman"/>
              </w:rPr>
            </w:pPr>
          </w:p>
        </w:tc>
        <w:tc>
          <w:tcPr>
            <w:tcW w:w="0" w:type="auto"/>
            <w:vAlign w:val="center"/>
            <w:hideMark/>
          </w:tcPr>
          <w:p w14:paraId="54BF5177" w14:textId="77777777" w:rsidR="00000000" w:rsidRDefault="001A570A">
            <w:pPr>
              <w:jc w:val="right"/>
              <w:rPr>
                <w:rFonts w:eastAsia="Times New Roman"/>
                <w:sz w:val="20"/>
                <w:szCs w:val="20"/>
              </w:rPr>
            </w:pPr>
          </w:p>
        </w:tc>
        <w:tc>
          <w:tcPr>
            <w:tcW w:w="0" w:type="auto"/>
            <w:vAlign w:val="center"/>
            <w:hideMark/>
          </w:tcPr>
          <w:p w14:paraId="4AA51853" w14:textId="77777777" w:rsidR="00000000" w:rsidRDefault="001A570A">
            <w:pPr>
              <w:rPr>
                <w:rFonts w:eastAsia="Times New Roman"/>
                <w:sz w:val="20"/>
                <w:szCs w:val="20"/>
              </w:rPr>
            </w:pPr>
          </w:p>
        </w:tc>
      </w:tr>
      <w:tr w:rsidR="00000000" w14:paraId="16B4AA61" w14:textId="77777777">
        <w:trPr>
          <w:divId w:val="1433404580"/>
        </w:trPr>
        <w:tc>
          <w:tcPr>
            <w:tcW w:w="0" w:type="auto"/>
            <w:gridSpan w:val="3"/>
            <w:shd w:val="clear" w:color="auto" w:fill="FFFFFF"/>
            <w:tcMar>
              <w:top w:w="30" w:type="dxa"/>
              <w:left w:w="140" w:type="dxa"/>
              <w:bottom w:w="30" w:type="dxa"/>
              <w:right w:w="20" w:type="dxa"/>
            </w:tcMar>
            <w:hideMark/>
          </w:tcPr>
          <w:p w14:paraId="18DE327A" w14:textId="77777777" w:rsidR="00000000" w:rsidRDefault="001A570A">
            <w:pPr>
              <w:rPr>
                <w:rFonts w:eastAsia="Times New Roman"/>
              </w:rPr>
            </w:pPr>
            <w:r>
              <w:rPr>
                <w:rFonts w:eastAsia="Times New Roman"/>
                <w:color w:val="000000"/>
                <w:sz w:val="20"/>
                <w:szCs w:val="20"/>
              </w:rPr>
              <w:t>Decrease from divestitures</w:t>
            </w:r>
          </w:p>
        </w:tc>
        <w:tc>
          <w:tcPr>
            <w:tcW w:w="0" w:type="auto"/>
            <w:gridSpan w:val="2"/>
            <w:shd w:val="clear" w:color="auto" w:fill="FFFFFF"/>
            <w:tcMar>
              <w:top w:w="30" w:type="dxa"/>
              <w:left w:w="20" w:type="dxa"/>
              <w:bottom w:w="30" w:type="dxa"/>
              <w:right w:w="0" w:type="dxa"/>
            </w:tcMar>
            <w:vAlign w:val="bottom"/>
            <w:hideMark/>
          </w:tcPr>
          <w:p w14:paraId="1F432DD1"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6F4166F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7185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DDE4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1542BB" w14:textId="77777777" w:rsidR="00000000" w:rsidRDefault="001A570A">
            <w:pPr>
              <w:jc w:val="right"/>
              <w:rPr>
                <w:rFonts w:eastAsia="Times New Roman"/>
              </w:rPr>
            </w:pPr>
          </w:p>
        </w:tc>
        <w:tc>
          <w:tcPr>
            <w:tcW w:w="0" w:type="auto"/>
            <w:vAlign w:val="center"/>
            <w:hideMark/>
          </w:tcPr>
          <w:p w14:paraId="5DADB9DA" w14:textId="77777777" w:rsidR="00000000" w:rsidRDefault="001A570A">
            <w:pPr>
              <w:jc w:val="right"/>
              <w:rPr>
                <w:rFonts w:eastAsia="Times New Roman"/>
                <w:sz w:val="20"/>
                <w:szCs w:val="20"/>
              </w:rPr>
            </w:pPr>
          </w:p>
        </w:tc>
        <w:tc>
          <w:tcPr>
            <w:tcW w:w="0" w:type="auto"/>
            <w:vAlign w:val="center"/>
            <w:hideMark/>
          </w:tcPr>
          <w:p w14:paraId="6CBFD754" w14:textId="77777777" w:rsidR="00000000" w:rsidRDefault="001A570A">
            <w:pPr>
              <w:rPr>
                <w:rFonts w:eastAsia="Times New Roman"/>
                <w:sz w:val="20"/>
                <w:szCs w:val="20"/>
              </w:rPr>
            </w:pPr>
          </w:p>
        </w:tc>
      </w:tr>
      <w:tr w:rsidR="00000000" w14:paraId="50FEFABA" w14:textId="77777777">
        <w:trPr>
          <w:divId w:val="1433404580"/>
        </w:trPr>
        <w:tc>
          <w:tcPr>
            <w:tcW w:w="0" w:type="auto"/>
            <w:gridSpan w:val="3"/>
            <w:shd w:val="clear" w:color="auto" w:fill="CCEEFF"/>
            <w:tcMar>
              <w:top w:w="30" w:type="dxa"/>
              <w:left w:w="140" w:type="dxa"/>
              <w:bottom w:w="30" w:type="dxa"/>
              <w:right w:w="20" w:type="dxa"/>
            </w:tcMar>
            <w:hideMark/>
          </w:tcPr>
          <w:p w14:paraId="2BF8FE44" w14:textId="77777777" w:rsidR="00000000" w:rsidRDefault="001A570A">
            <w:pPr>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CCEEFF"/>
            <w:tcMar>
              <w:top w:w="30" w:type="dxa"/>
              <w:left w:w="20" w:type="dxa"/>
              <w:bottom w:w="30" w:type="dxa"/>
              <w:right w:w="0" w:type="dxa"/>
            </w:tcMar>
            <w:vAlign w:val="bottom"/>
            <w:hideMark/>
          </w:tcPr>
          <w:p w14:paraId="0A3F44EF" w14:textId="77777777" w:rsidR="00000000" w:rsidRDefault="001A570A">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14:paraId="38442A3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44BF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2D6E2"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52EA96FC" w14:textId="77777777" w:rsidR="00000000" w:rsidRDefault="001A570A">
            <w:pPr>
              <w:jc w:val="right"/>
              <w:rPr>
                <w:rFonts w:eastAsia="Times New Roman"/>
              </w:rPr>
            </w:pPr>
          </w:p>
        </w:tc>
        <w:tc>
          <w:tcPr>
            <w:tcW w:w="0" w:type="auto"/>
            <w:vAlign w:val="center"/>
            <w:hideMark/>
          </w:tcPr>
          <w:p w14:paraId="0CAF1732" w14:textId="77777777" w:rsidR="00000000" w:rsidRDefault="001A570A">
            <w:pPr>
              <w:jc w:val="right"/>
              <w:rPr>
                <w:rFonts w:eastAsia="Times New Roman"/>
                <w:sz w:val="20"/>
                <w:szCs w:val="20"/>
              </w:rPr>
            </w:pPr>
          </w:p>
        </w:tc>
        <w:tc>
          <w:tcPr>
            <w:tcW w:w="0" w:type="auto"/>
            <w:vAlign w:val="center"/>
            <w:hideMark/>
          </w:tcPr>
          <w:p w14:paraId="34197DE1" w14:textId="77777777" w:rsidR="00000000" w:rsidRDefault="001A570A">
            <w:pPr>
              <w:rPr>
                <w:rFonts w:eastAsia="Times New Roman"/>
                <w:sz w:val="20"/>
                <w:szCs w:val="20"/>
              </w:rPr>
            </w:pPr>
          </w:p>
        </w:tc>
      </w:tr>
      <w:tr w:rsidR="00000000" w14:paraId="0E7A27E5" w14:textId="77777777">
        <w:trPr>
          <w:divId w:val="1433404580"/>
        </w:trPr>
        <w:tc>
          <w:tcPr>
            <w:tcW w:w="0" w:type="auto"/>
            <w:gridSpan w:val="3"/>
            <w:shd w:val="clear" w:color="auto" w:fill="FFFFFF"/>
            <w:tcMar>
              <w:top w:w="30" w:type="dxa"/>
              <w:left w:w="140" w:type="dxa"/>
              <w:bottom w:w="30" w:type="dxa"/>
              <w:right w:w="20" w:type="dxa"/>
            </w:tcMar>
            <w:hideMark/>
          </w:tcPr>
          <w:p w14:paraId="60E5912D" w14:textId="77777777" w:rsidR="00000000" w:rsidRDefault="001A570A">
            <w:pPr>
              <w:rPr>
                <w:rFonts w:eastAsia="Times New Roman"/>
              </w:rPr>
            </w:pPr>
            <w:r>
              <w:rPr>
                <w:rFonts w:eastAsia="Times New Roman"/>
                <w:color w:val="000000"/>
                <w:sz w:val="20"/>
                <w:szCs w:val="20"/>
              </w:rPr>
              <w:t>Settlements made during the period</w:t>
            </w:r>
          </w:p>
        </w:tc>
        <w:tc>
          <w:tcPr>
            <w:tcW w:w="0" w:type="auto"/>
            <w:gridSpan w:val="2"/>
            <w:shd w:val="clear" w:color="auto" w:fill="FFFFFF"/>
            <w:tcMar>
              <w:top w:w="30" w:type="dxa"/>
              <w:left w:w="20" w:type="dxa"/>
              <w:bottom w:w="30" w:type="dxa"/>
              <w:right w:w="0" w:type="dxa"/>
            </w:tcMar>
            <w:vAlign w:val="bottom"/>
            <w:hideMark/>
          </w:tcPr>
          <w:p w14:paraId="61FF62DB" w14:textId="77777777" w:rsidR="00000000" w:rsidRDefault="001A570A">
            <w:pPr>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14:paraId="1D8060E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21C4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D325D6" w14:textId="77777777" w:rsidR="00000000" w:rsidRDefault="001A570A">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555F4102" w14:textId="77777777" w:rsidR="00000000" w:rsidRDefault="001A570A">
            <w:pPr>
              <w:jc w:val="right"/>
              <w:rPr>
                <w:rFonts w:eastAsia="Times New Roman"/>
              </w:rPr>
            </w:pPr>
          </w:p>
        </w:tc>
        <w:tc>
          <w:tcPr>
            <w:tcW w:w="0" w:type="auto"/>
            <w:vAlign w:val="center"/>
            <w:hideMark/>
          </w:tcPr>
          <w:p w14:paraId="424DC165" w14:textId="77777777" w:rsidR="00000000" w:rsidRDefault="001A570A">
            <w:pPr>
              <w:jc w:val="right"/>
              <w:rPr>
                <w:rFonts w:eastAsia="Times New Roman"/>
                <w:sz w:val="20"/>
                <w:szCs w:val="20"/>
              </w:rPr>
            </w:pPr>
          </w:p>
        </w:tc>
        <w:tc>
          <w:tcPr>
            <w:tcW w:w="0" w:type="auto"/>
            <w:vAlign w:val="center"/>
            <w:hideMark/>
          </w:tcPr>
          <w:p w14:paraId="3C010719" w14:textId="77777777" w:rsidR="00000000" w:rsidRDefault="001A570A">
            <w:pPr>
              <w:rPr>
                <w:rFonts w:eastAsia="Times New Roman"/>
                <w:sz w:val="20"/>
                <w:szCs w:val="20"/>
              </w:rPr>
            </w:pPr>
          </w:p>
        </w:tc>
      </w:tr>
      <w:tr w:rsidR="00000000" w14:paraId="2FE4D46B" w14:textId="77777777">
        <w:trPr>
          <w:divId w:val="1433404580"/>
        </w:trPr>
        <w:tc>
          <w:tcPr>
            <w:tcW w:w="0" w:type="auto"/>
            <w:gridSpan w:val="3"/>
            <w:shd w:val="clear" w:color="auto" w:fill="CCEEFF"/>
            <w:tcMar>
              <w:top w:w="30" w:type="dxa"/>
              <w:left w:w="140" w:type="dxa"/>
              <w:bottom w:w="30" w:type="dxa"/>
              <w:right w:w="20" w:type="dxa"/>
            </w:tcMar>
            <w:hideMark/>
          </w:tcPr>
          <w:p w14:paraId="7F593F8C" w14:textId="77777777" w:rsidR="00000000" w:rsidRDefault="001A570A">
            <w:pPr>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CCEEFF"/>
            <w:tcMar>
              <w:top w:w="30" w:type="dxa"/>
              <w:left w:w="20" w:type="dxa"/>
              <w:bottom w:w="30" w:type="dxa"/>
              <w:right w:w="0" w:type="dxa"/>
            </w:tcMar>
            <w:vAlign w:val="bottom"/>
            <w:hideMark/>
          </w:tcPr>
          <w:p w14:paraId="1DE7E96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F0EA1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1ECA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F13450"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E70B2E3" w14:textId="77777777" w:rsidR="00000000" w:rsidRDefault="001A570A">
            <w:pPr>
              <w:jc w:val="right"/>
              <w:rPr>
                <w:rFonts w:eastAsia="Times New Roman"/>
              </w:rPr>
            </w:pPr>
          </w:p>
        </w:tc>
        <w:tc>
          <w:tcPr>
            <w:tcW w:w="0" w:type="auto"/>
            <w:vAlign w:val="center"/>
            <w:hideMark/>
          </w:tcPr>
          <w:p w14:paraId="148B6F6E" w14:textId="77777777" w:rsidR="00000000" w:rsidRDefault="001A570A">
            <w:pPr>
              <w:jc w:val="right"/>
              <w:rPr>
                <w:rFonts w:eastAsia="Times New Roman"/>
                <w:sz w:val="20"/>
                <w:szCs w:val="20"/>
              </w:rPr>
            </w:pPr>
          </w:p>
        </w:tc>
        <w:tc>
          <w:tcPr>
            <w:tcW w:w="0" w:type="auto"/>
            <w:vAlign w:val="center"/>
            <w:hideMark/>
          </w:tcPr>
          <w:p w14:paraId="443E94F2" w14:textId="77777777" w:rsidR="00000000" w:rsidRDefault="001A570A">
            <w:pPr>
              <w:rPr>
                <w:rFonts w:eastAsia="Times New Roman"/>
                <w:sz w:val="20"/>
                <w:szCs w:val="20"/>
              </w:rPr>
            </w:pPr>
          </w:p>
        </w:tc>
      </w:tr>
      <w:tr w:rsidR="00000000" w14:paraId="49C43F7E" w14:textId="77777777">
        <w:trPr>
          <w:divId w:val="1433404580"/>
        </w:trPr>
        <w:tc>
          <w:tcPr>
            <w:tcW w:w="0" w:type="auto"/>
            <w:gridSpan w:val="3"/>
            <w:shd w:val="clear" w:color="auto" w:fill="FFFFFF"/>
            <w:tcMar>
              <w:top w:w="30" w:type="dxa"/>
              <w:left w:w="20" w:type="dxa"/>
              <w:bottom w:w="30" w:type="dxa"/>
              <w:right w:w="20" w:type="dxa"/>
            </w:tcMar>
            <w:hideMark/>
          </w:tcPr>
          <w:p w14:paraId="78B5D1CD" w14:textId="77777777" w:rsidR="00000000" w:rsidRDefault="001A570A">
            <w:pPr>
              <w:rPr>
                <w:rFonts w:eastAsia="Times New Roman"/>
              </w:rPr>
            </w:pPr>
            <w:r>
              <w:rPr>
                <w:rFonts w:eastAsia="Times New Roman"/>
                <w:color w:val="000000"/>
                <w:sz w:val="20"/>
                <w:szCs w:val="20"/>
              </w:rPr>
              <w:t>Balance at the end of the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3EA9D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07A85A" w14:textId="77777777" w:rsidR="00000000" w:rsidRDefault="001A570A">
            <w:pPr>
              <w:jc w:val="right"/>
              <w:rPr>
                <w:rFonts w:eastAsia="Times New Roman"/>
              </w:rPr>
            </w:pPr>
            <w:r>
              <w:rPr>
                <w:rFonts w:eastAsia="Times New Roman"/>
                <w:color w:val="000000"/>
                <w:sz w:val="20"/>
                <w:szCs w:val="20"/>
              </w:rPr>
              <w:t>133 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D2648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7751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0402B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E82C80" w14:textId="77777777" w:rsidR="00000000" w:rsidRDefault="001A570A">
            <w:pPr>
              <w:jc w:val="right"/>
              <w:rPr>
                <w:rFonts w:eastAsia="Times New Roman"/>
              </w:rPr>
            </w:pPr>
            <w:r>
              <w:rPr>
                <w:rFonts w:eastAsia="Times New Roman"/>
                <w:color w:val="000000"/>
                <w:sz w:val="20"/>
                <w:szCs w:val="20"/>
              </w:rPr>
              <w:t>112 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FFE910" w14:textId="77777777" w:rsidR="00000000" w:rsidRDefault="001A570A">
            <w:pPr>
              <w:jc w:val="right"/>
              <w:rPr>
                <w:rFonts w:eastAsia="Times New Roman"/>
              </w:rPr>
            </w:pPr>
          </w:p>
        </w:tc>
        <w:tc>
          <w:tcPr>
            <w:tcW w:w="0" w:type="auto"/>
            <w:vAlign w:val="center"/>
            <w:hideMark/>
          </w:tcPr>
          <w:p w14:paraId="489CFE5A" w14:textId="77777777" w:rsidR="00000000" w:rsidRDefault="001A570A">
            <w:pPr>
              <w:jc w:val="right"/>
              <w:rPr>
                <w:rFonts w:eastAsia="Times New Roman"/>
                <w:sz w:val="20"/>
                <w:szCs w:val="20"/>
              </w:rPr>
            </w:pPr>
          </w:p>
        </w:tc>
        <w:tc>
          <w:tcPr>
            <w:tcW w:w="0" w:type="auto"/>
            <w:vAlign w:val="center"/>
            <w:hideMark/>
          </w:tcPr>
          <w:p w14:paraId="49D69FFB" w14:textId="77777777" w:rsidR="00000000" w:rsidRDefault="001A570A">
            <w:pPr>
              <w:rPr>
                <w:rFonts w:eastAsia="Times New Roman"/>
                <w:sz w:val="20"/>
                <w:szCs w:val="20"/>
              </w:rPr>
            </w:pPr>
          </w:p>
        </w:tc>
      </w:tr>
    </w:tbl>
    <w:p w14:paraId="08C4A06A" w14:textId="77777777" w:rsidR="00000000" w:rsidRDefault="001A570A">
      <w:pPr>
        <w:divId w:val="366490294"/>
        <w:rPr>
          <w:rFonts w:eastAsia="Times New Roman"/>
        </w:rPr>
      </w:pPr>
      <w:r>
        <w:rPr>
          <w:rFonts w:eastAsia="Times New Roman"/>
          <w:b/>
          <w:bCs/>
          <w:color w:val="000000"/>
          <w:sz w:val="20"/>
          <w:szCs w:val="20"/>
        </w:rPr>
        <w:t>NOTE 13: CREDIT ARRANGEMENTS</w:t>
      </w:r>
      <w:r>
        <w:rPr>
          <w:rFonts w:eastAsia="Times New Roman"/>
          <w:b/>
          <w:bCs/>
          <w:i/>
          <w:iCs/>
          <w:color w:val="000000"/>
          <w:sz w:val="20"/>
          <w:szCs w:val="20"/>
        </w:rPr>
        <w:t xml:space="preserve"> </w:t>
      </w:r>
    </w:p>
    <w:p w14:paraId="7A4ABB9A" w14:textId="77777777" w:rsidR="00000000" w:rsidRDefault="001A570A">
      <w:pPr>
        <w:ind w:firstLine="450"/>
        <w:divId w:val="401102134"/>
        <w:rPr>
          <w:rFonts w:eastAsia="Times New Roman"/>
        </w:rPr>
      </w:pPr>
      <w:r>
        <w:rPr>
          <w:rFonts w:eastAsia="Times New Roman"/>
          <w:color w:val="000000"/>
          <w:sz w:val="20"/>
          <w:szCs w:val="20"/>
        </w:rPr>
        <w:t>On June 28, 2019, we established a new $2 billion, 5</w:t>
      </w:r>
      <w:r>
        <w:rPr>
          <w:rFonts w:eastAsia="Times New Roman"/>
          <w:color w:val="000000"/>
          <w:sz w:val="20"/>
          <w:szCs w:val="20"/>
        </w:rPr>
        <w:t>-year senior unsecured revolving credit facility (the “2019 Credit Facility”) by entering into a Revolving Credit Agreement (the “2019 Credit Agreement”) with a syndicate of lenders. The 2019 Credit Facility replaced our prior $1 billion, 5-year senior uns</w:t>
      </w:r>
      <w:r>
        <w:rPr>
          <w:rFonts w:eastAsia="Times New Roman"/>
          <w:color w:val="000000"/>
          <w:sz w:val="20"/>
          <w:szCs w:val="20"/>
        </w:rPr>
        <w:t>ecured revolving credit facility established under the Revolving Credit Agreement, dated as of June 26, 2018 (the “2018 Credit Agreement”). No loans or letters of credit under the 2018 Credit Agreement were outstanding at the time of, or were repaid in con</w:t>
      </w:r>
      <w:r>
        <w:rPr>
          <w:rFonts w:eastAsia="Times New Roman"/>
          <w:color w:val="000000"/>
          <w:sz w:val="20"/>
          <w:szCs w:val="20"/>
        </w:rPr>
        <w:t xml:space="preserve">nection with, such termination, and we incurred no early termination penalties as a result of such termination. </w:t>
      </w:r>
    </w:p>
    <w:p w14:paraId="200BEC86" w14:textId="77777777" w:rsidR="00000000" w:rsidRDefault="001A570A">
      <w:pPr>
        <w:ind w:firstLine="450"/>
        <w:divId w:val="528033452"/>
        <w:rPr>
          <w:rFonts w:eastAsia="Times New Roman"/>
        </w:rPr>
      </w:pPr>
      <w:r>
        <w:rPr>
          <w:rFonts w:eastAsia="Times New Roman"/>
          <w:color w:val="000000"/>
          <w:sz w:val="20"/>
          <w:szCs w:val="20"/>
        </w:rPr>
        <w:t>The 2019 Credit Agreement provides for the extension of credit to us in the form of revolving loans, including swingline loans and letters of c</w:t>
      </w:r>
      <w:r>
        <w:rPr>
          <w:rFonts w:eastAsia="Times New Roman"/>
          <w:color w:val="000000"/>
          <w:sz w:val="20"/>
          <w:szCs w:val="20"/>
        </w:rPr>
        <w:t>redit, at any time and from time to time during the term of the 2019 Credit Agreement, in an aggregate principal amount at any time outstanding not to exceed $2 billion for both revolving loans and letters of credit, with a sub-limit of $140 million for sw</w:t>
      </w:r>
      <w:r>
        <w:rPr>
          <w:rFonts w:eastAsia="Times New Roman"/>
          <w:color w:val="000000"/>
          <w:sz w:val="20"/>
          <w:szCs w:val="20"/>
        </w:rPr>
        <w:t>ingline loans and a sub-limit of $350 million for letters of credit. Borrowings under the 2019 Credit Agreement may be denominated in U.S. Dollars, Euros, Sterling and any other currency acceptable to the administrative agent and the lenders, with a foreig</w:t>
      </w:r>
      <w:r>
        <w:rPr>
          <w:rFonts w:eastAsia="Times New Roman"/>
          <w:color w:val="000000"/>
          <w:sz w:val="20"/>
          <w:szCs w:val="20"/>
        </w:rPr>
        <w:t xml:space="preserve">n currency sub-limit of $400 million. The 2019 Credit Agreement includes a provision pursuant to which, from time to time, we may request that the lenders in their discretion increase the maximum amount of commitments under the 2019 Credit Agreement by an </w:t>
      </w:r>
      <w:r>
        <w:rPr>
          <w:rFonts w:eastAsia="Times New Roman"/>
          <w:color w:val="000000"/>
          <w:sz w:val="20"/>
          <w:szCs w:val="20"/>
        </w:rPr>
        <w:t>amount not to exceed $1 billion. Only consenting lenders (including new lenders reasonably acceptable to the administrative agent) will participate in any increase. In no event will the maximum amount of credit extensions available under the 2019 Credit Ag</w:t>
      </w:r>
      <w:r>
        <w:rPr>
          <w:rFonts w:eastAsia="Times New Roman"/>
          <w:color w:val="000000"/>
          <w:sz w:val="20"/>
          <w:szCs w:val="20"/>
        </w:rPr>
        <w:t>reement exceed $3 billion. The proceeds of loans or letters of credit borrowings under the 2019 Credit Agreement are restricted from being used for hostile acquisitions (as defined in the 2019 Credit Agreement) or for any purpose in contravention of applic</w:t>
      </w:r>
      <w:r>
        <w:rPr>
          <w:rFonts w:eastAsia="Times New Roman"/>
          <w:color w:val="000000"/>
          <w:sz w:val="20"/>
          <w:szCs w:val="20"/>
        </w:rPr>
        <w:t>able laws. We are not otherwise restricted under the 2019 Credit Agreement from using the proceeds of loans or letters of credit borrowings under the 2019 Credit Agreement for working capital and other general corporate purposes or from using the 2019 Cred</w:t>
      </w:r>
      <w:r>
        <w:rPr>
          <w:rFonts w:eastAsia="Times New Roman"/>
          <w:color w:val="000000"/>
          <w:sz w:val="20"/>
          <w:szCs w:val="20"/>
        </w:rPr>
        <w:t>it Facility to refinance existing debt and to repay maturing commercial paper issued by us from time to time. Subject to certain conditions stated in the 2019 Credit Agreement (including the absence of any default and the accuracy of certain representation</w:t>
      </w:r>
      <w:r>
        <w:rPr>
          <w:rFonts w:eastAsia="Times New Roman"/>
          <w:color w:val="000000"/>
          <w:sz w:val="20"/>
          <w:szCs w:val="20"/>
        </w:rPr>
        <w:t>s and warranties), we may borrow, prepay and re-borrow amounts under the 2019 Credit Agreement at any time during the term of the 2019 Credit Agreement.</w:t>
      </w:r>
    </w:p>
    <w:p w14:paraId="047D819D" w14:textId="77777777" w:rsidR="00000000" w:rsidRDefault="001A570A">
      <w:pPr>
        <w:ind w:firstLine="450"/>
        <w:divId w:val="823547453"/>
        <w:rPr>
          <w:rFonts w:eastAsia="Times New Roman"/>
        </w:rPr>
      </w:pPr>
      <w:r>
        <w:rPr>
          <w:rFonts w:eastAsia="Times New Roman"/>
          <w:color w:val="000000"/>
          <w:sz w:val="20"/>
          <w:szCs w:val="20"/>
        </w:rPr>
        <w:t>The 2019 Credit Agreement provides that we may designate wholly-owned subsidiaries organized in the Uni</w:t>
      </w:r>
      <w:r>
        <w:rPr>
          <w:rFonts w:eastAsia="Times New Roman"/>
          <w:color w:val="000000"/>
          <w:sz w:val="20"/>
          <w:szCs w:val="20"/>
        </w:rPr>
        <w:t>ted States, Canada or the United Kingdom (or such other jurisdictions as all lenders shall approve) as borrowers under the 2019 Credit Agreement. The obligations of any such subsidiary borrower shall be guaranteed by us.</w:t>
      </w:r>
    </w:p>
    <w:p w14:paraId="5DE20899" w14:textId="77777777" w:rsidR="00000000" w:rsidRDefault="001A570A">
      <w:pPr>
        <w:ind w:firstLine="450"/>
        <w:divId w:val="1926381366"/>
        <w:rPr>
          <w:rFonts w:eastAsia="Times New Roman"/>
        </w:rPr>
      </w:pPr>
      <w:r>
        <w:rPr>
          <w:rFonts w:eastAsia="Times New Roman"/>
          <w:color w:val="000000"/>
          <w:sz w:val="20"/>
          <w:szCs w:val="20"/>
        </w:rPr>
        <w:t xml:space="preserve">The 2019 Credit Agreement provides </w:t>
      </w:r>
      <w:r>
        <w:rPr>
          <w:rFonts w:eastAsia="Times New Roman"/>
          <w:color w:val="000000"/>
          <w:sz w:val="20"/>
          <w:szCs w:val="20"/>
        </w:rPr>
        <w:t>that we may from time to time designate certain of our subsidiaries as unrestricted subsidiaries, which means certain of the representations and covenants in the 2019 Credit Agreement do not apply in respect of such subsidiaries.</w:t>
      </w:r>
    </w:p>
    <w:p w14:paraId="4370C7FF" w14:textId="77777777" w:rsidR="00000000" w:rsidRDefault="001A570A">
      <w:pPr>
        <w:ind w:firstLine="450"/>
        <w:divId w:val="634918821"/>
        <w:rPr>
          <w:rFonts w:eastAsia="Times New Roman"/>
        </w:rPr>
      </w:pPr>
      <w:r>
        <w:rPr>
          <w:rFonts w:eastAsia="Times New Roman"/>
          <w:color w:val="000000"/>
          <w:sz w:val="20"/>
          <w:szCs w:val="20"/>
        </w:rPr>
        <w:t>At our election, borrowing</w:t>
      </w:r>
      <w:r>
        <w:rPr>
          <w:rFonts w:eastAsia="Times New Roman"/>
          <w:color w:val="000000"/>
          <w:sz w:val="20"/>
          <w:szCs w:val="20"/>
        </w:rPr>
        <w:t>s under the 2019 Credit Agreement denominated in U.S. Dollars will bear interest either at (i) the eurocurrency rate for the applicable interest period plus an applicable margin, or (ii) the base rate plus an applicable margin. The eurocurrency rate for an</w:t>
      </w:r>
      <w:r>
        <w:rPr>
          <w:rFonts w:eastAsia="Times New Roman"/>
          <w:color w:val="000000"/>
          <w:sz w:val="20"/>
          <w:szCs w:val="20"/>
        </w:rPr>
        <w:t xml:space="preserve"> interest period is the rate per annum equal to (a) the London interbank offered rate (“LIBOR”) for such interest period, divided by (b) a percentage equal to 1.00 minus the daily average eurocurrency reserve rate for such interest period. The applicable i</w:t>
      </w:r>
      <w:r>
        <w:rPr>
          <w:rFonts w:eastAsia="Times New Roman"/>
          <w:color w:val="000000"/>
          <w:sz w:val="20"/>
          <w:szCs w:val="20"/>
        </w:rPr>
        <w:t>nterest rate margin over the eurocurrency rate is currently equal to 1.250%, but may increase (to a maximum amount of 1.875%) or decrease (to a minimum amount of 1.125%) based on changes in the ratings of our senior unsecured long-term debt securities (“Se</w:t>
      </w:r>
      <w:r>
        <w:rPr>
          <w:rFonts w:eastAsia="Times New Roman"/>
          <w:color w:val="000000"/>
          <w:sz w:val="20"/>
          <w:szCs w:val="20"/>
        </w:rPr>
        <w:t>nior Debt Ratings”). The base rate for any day is a rate per annum equal to the greatest of (i) the prime lending rate published in the Wall Street Journal, (ii) the Federal Reserve Bank of New York (“NYFRB”) Rate (“NYFRB Rate”) plus 0.500% (the NYFRB Rate</w:t>
      </w:r>
      <w:r>
        <w:rPr>
          <w:rFonts w:eastAsia="Times New Roman"/>
          <w:color w:val="000000"/>
          <w:sz w:val="20"/>
          <w:szCs w:val="20"/>
        </w:rPr>
        <w:t xml:space="preserve"> is the greater of (a) the federal funds rate and (b) the overnight bank funding rate </w:t>
      </w:r>
    </w:p>
    <w:p w14:paraId="58B5697C" w14:textId="77777777" w:rsidR="00000000" w:rsidRDefault="001A570A">
      <w:pPr>
        <w:ind w:firstLine="450"/>
        <w:jc w:val="center"/>
        <w:divId w:val="474416336"/>
        <w:rPr>
          <w:rFonts w:eastAsia="Times New Roman"/>
        </w:rPr>
      </w:pPr>
      <w:r>
        <w:rPr>
          <w:rFonts w:eastAsia="Times New Roman"/>
          <w:color w:val="000000"/>
          <w:sz w:val="20"/>
          <w:szCs w:val="20"/>
        </w:rPr>
        <w:t>99</w:t>
      </w:r>
    </w:p>
    <w:p w14:paraId="429CB0CF" w14:textId="77777777" w:rsidR="00000000" w:rsidRDefault="001A570A">
      <w:pPr>
        <w:rPr>
          <w:rFonts w:eastAsia="Times New Roman"/>
        </w:rPr>
      </w:pPr>
      <w:r>
        <w:rPr>
          <w:rFonts w:eastAsia="Times New Roman"/>
        </w:rPr>
        <w:pict w14:anchorId="1E968F35">
          <v:rect id="_x0000_i1127" style="width:0;height:1.5pt" o:hralign="center" o:hrstd="t" o:hr="t" fillcolor="#a0a0a0" stroked="f"/>
        </w:pict>
      </w:r>
    </w:p>
    <w:p w14:paraId="1037CB38" w14:textId="77777777" w:rsidR="00000000" w:rsidRDefault="001A570A">
      <w:pPr>
        <w:ind w:firstLine="450"/>
        <w:divId w:val="1212302926"/>
        <w:rPr>
          <w:rFonts w:eastAsia="Times New Roman"/>
        </w:rPr>
      </w:pPr>
    </w:p>
    <w:p w14:paraId="477BEAE6" w14:textId="77777777" w:rsidR="00000000" w:rsidRDefault="001A570A">
      <w:pPr>
        <w:divId w:val="1571454234"/>
        <w:rPr>
          <w:rFonts w:eastAsia="Times New Roman"/>
        </w:rPr>
      </w:pPr>
      <w:r>
        <w:rPr>
          <w:rFonts w:eastAsia="Times New Roman"/>
          <w:color w:val="000000"/>
          <w:sz w:val="20"/>
          <w:szCs w:val="20"/>
        </w:rPr>
        <w:t>published by the NYFRB), and (iii) the eurocurrency rate for a one month interest period (as defined in the 2019 Credit Agreement) plus 1.000%. The applicable interest rate margin over the base rate is initially equal to 0.375%, but may increase (to a maxi</w:t>
      </w:r>
      <w:r>
        <w:rPr>
          <w:rFonts w:eastAsia="Times New Roman"/>
          <w:color w:val="000000"/>
          <w:sz w:val="20"/>
          <w:szCs w:val="20"/>
        </w:rPr>
        <w:t xml:space="preserve">mum amount of 0.875%) or decrease (to a minimum amount of 0.125%) based on changes in our Senior Debt Ratings. </w:t>
      </w:r>
    </w:p>
    <w:p w14:paraId="77EF654C" w14:textId="77777777" w:rsidR="00000000" w:rsidRDefault="001A570A">
      <w:pPr>
        <w:ind w:firstLine="450"/>
        <w:divId w:val="1866363723"/>
        <w:rPr>
          <w:rFonts w:eastAsia="Times New Roman"/>
        </w:rPr>
      </w:pPr>
      <w:r>
        <w:rPr>
          <w:rFonts w:eastAsia="Times New Roman"/>
          <w:color w:val="000000"/>
          <w:sz w:val="20"/>
          <w:szCs w:val="20"/>
        </w:rPr>
        <w:t>Borrowings under the 2019 Credit Agreement denominated in a currency other than U.S. Dollars will bear interest at the eurocurrency rate for the</w:t>
      </w:r>
      <w:r>
        <w:rPr>
          <w:rFonts w:eastAsia="Times New Roman"/>
          <w:color w:val="000000"/>
          <w:sz w:val="20"/>
          <w:szCs w:val="20"/>
        </w:rPr>
        <w:t xml:space="preserve"> applicable interest period plus an applicable margin, as described above, plus, in some cases, additional costs. Letter of credit fees are also determined based on our Senior Debt Ratings.</w:t>
      </w:r>
    </w:p>
    <w:p w14:paraId="360E1C75" w14:textId="77777777" w:rsidR="00000000" w:rsidRDefault="001A570A">
      <w:pPr>
        <w:ind w:firstLine="450"/>
        <w:divId w:val="706682297"/>
        <w:rPr>
          <w:rFonts w:eastAsia="Times New Roman"/>
        </w:rPr>
      </w:pPr>
      <w:r>
        <w:rPr>
          <w:rFonts w:eastAsia="Times New Roman"/>
          <w:color w:val="000000"/>
          <w:sz w:val="20"/>
          <w:szCs w:val="20"/>
        </w:rPr>
        <w:t>In addition to interest payable on the principal amount of indebte</w:t>
      </w:r>
      <w:r>
        <w:rPr>
          <w:rFonts w:eastAsia="Times New Roman"/>
          <w:color w:val="000000"/>
          <w:sz w:val="20"/>
          <w:szCs w:val="20"/>
        </w:rPr>
        <w:t>dness outstanding from time to time under the 2019 Credit Agreement and letter of credit fees, we are required to pay a quarterly unused commitment fee, which shall accrue at an applicable rate per annum multiplied by the actual daily amount of the lenders</w:t>
      </w:r>
      <w:r>
        <w:rPr>
          <w:rFonts w:eastAsia="Times New Roman"/>
          <w:color w:val="000000"/>
          <w:sz w:val="20"/>
          <w:szCs w:val="20"/>
        </w:rPr>
        <w:t xml:space="preserve">’ aggregate unused commitments under the 2019 Credit Agreement. The applicable rate per annum for the unused commitment fee is currently equal to 0.150%, but may increase (to a maximum amount of 0.300%) or decrease (to a minimum amount of 0.125%) based on </w:t>
      </w:r>
      <w:r>
        <w:rPr>
          <w:rFonts w:eastAsia="Times New Roman"/>
          <w:color w:val="000000"/>
          <w:sz w:val="20"/>
          <w:szCs w:val="20"/>
        </w:rPr>
        <w:t xml:space="preserve">changes in our Senior Debt Ratings. </w:t>
      </w:r>
    </w:p>
    <w:p w14:paraId="5666741E" w14:textId="77777777" w:rsidR="00000000" w:rsidRDefault="001A570A">
      <w:pPr>
        <w:ind w:firstLine="450"/>
        <w:divId w:val="1498229061"/>
        <w:rPr>
          <w:rFonts w:eastAsia="Times New Roman"/>
        </w:rPr>
      </w:pPr>
      <w:r>
        <w:rPr>
          <w:rFonts w:eastAsia="Times New Roman"/>
          <w:color w:val="000000"/>
          <w:sz w:val="20"/>
          <w:szCs w:val="20"/>
        </w:rPr>
        <w:t>The 2019 Credit Agreement contains certain representations and warranties for the benefit of the administrative agent and the lenders, including but not limited to representations relating to: due incorporation and good</w:t>
      </w:r>
      <w:r>
        <w:rPr>
          <w:rFonts w:eastAsia="Times New Roman"/>
          <w:color w:val="000000"/>
          <w:sz w:val="20"/>
          <w:szCs w:val="20"/>
        </w:rPr>
        <w:t xml:space="preserve"> standing; due authorization of the 2019 Credit Agreement documentation; absence of any requirement for governmental or third party authorization for the due execution, delivery and performance of the 2019 Credit Agreement documentation; enforceability of </w:t>
      </w:r>
      <w:r>
        <w:rPr>
          <w:rFonts w:eastAsia="Times New Roman"/>
          <w:color w:val="000000"/>
          <w:sz w:val="20"/>
          <w:szCs w:val="20"/>
        </w:rPr>
        <w:t>the 2019 Credit Agreement documentation; accuracy of financial statements; no material adverse effect since June 29, 2018; absence of material undisclosed litigation as of June 28, 2019; compliance with the Employee Retirement Income Security Act of 1974 (</w:t>
      </w:r>
      <w:r>
        <w:rPr>
          <w:rFonts w:eastAsia="Times New Roman"/>
          <w:color w:val="000000"/>
          <w:sz w:val="20"/>
          <w:szCs w:val="20"/>
        </w:rPr>
        <w:t>“ERISA”) and environmental, anti-money laundering, sanctions, anti-corruption and certain other laws; payment of taxes; and solvency.</w:t>
      </w:r>
    </w:p>
    <w:p w14:paraId="338184E8" w14:textId="77777777" w:rsidR="00000000" w:rsidRDefault="001A570A">
      <w:pPr>
        <w:ind w:firstLine="450"/>
        <w:divId w:val="1651641161"/>
        <w:rPr>
          <w:rFonts w:eastAsia="Times New Roman"/>
        </w:rPr>
      </w:pPr>
      <w:r>
        <w:rPr>
          <w:rFonts w:eastAsia="Times New Roman"/>
          <w:color w:val="000000"/>
          <w:sz w:val="20"/>
          <w:szCs w:val="20"/>
        </w:rPr>
        <w:t>The 2019 Credit Agreement contains certain affirmative covenants, including but not limited to covenants relating to: repo</w:t>
      </w:r>
      <w:r>
        <w:rPr>
          <w:rFonts w:eastAsia="Times New Roman"/>
          <w:color w:val="000000"/>
          <w:sz w:val="20"/>
          <w:szCs w:val="20"/>
        </w:rPr>
        <w:t>rting obligations; maintenance of corporate existence and good standing; compliance with laws; maintenance of properties and insurance; payment of taxes; compliance with ERISA and environmental, anti-money laundering, sanctions, export controls, anti-corru</w:t>
      </w:r>
      <w:r>
        <w:rPr>
          <w:rFonts w:eastAsia="Times New Roman"/>
          <w:color w:val="000000"/>
          <w:sz w:val="20"/>
          <w:szCs w:val="20"/>
        </w:rPr>
        <w:t>ption and certain other laws; maintenance of accurate books and records; and visitation and inspection by the administrative agent and the lenders. The 2019 Credit Agreement also contains certain negative covenants, including covenants: limiting certain li</w:t>
      </w:r>
      <w:r>
        <w:rPr>
          <w:rFonts w:eastAsia="Times New Roman"/>
          <w:color w:val="000000"/>
          <w:sz w:val="20"/>
          <w:szCs w:val="20"/>
        </w:rPr>
        <w:t>ens on assets; limiting certain mergers, consolidations or sales of assets; limiting certain sale and leaseback transactions; limiting certain vendor financing investments; limiting certain investments in unrestricted subsidiaries; and limiting certain hed</w:t>
      </w:r>
      <w:r>
        <w:rPr>
          <w:rFonts w:eastAsia="Times New Roman"/>
          <w:color w:val="000000"/>
          <w:sz w:val="20"/>
          <w:szCs w:val="20"/>
        </w:rPr>
        <w:t>ging arrangements. The 2019 Credit Agreement also requires that we not permit our ratio of consolidated total indebtedness (excluding defined benefit plan liabilities) to total capital, each as defined in the 2019 Credit Agreement, to be greater than 0.65:</w:t>
      </w:r>
      <w:r>
        <w:rPr>
          <w:rFonts w:eastAsia="Times New Roman"/>
          <w:color w:val="000000"/>
          <w:sz w:val="20"/>
          <w:szCs w:val="20"/>
        </w:rPr>
        <w:t>1.00. We were in compliance with the covenants in the 2019 Credit Agreement at January 1, 2021.</w:t>
      </w:r>
    </w:p>
    <w:p w14:paraId="0AD4823D" w14:textId="77777777" w:rsidR="00000000" w:rsidRDefault="001A570A">
      <w:pPr>
        <w:ind w:firstLine="450"/>
        <w:divId w:val="1961260729"/>
        <w:rPr>
          <w:rFonts w:eastAsia="Times New Roman"/>
        </w:rPr>
      </w:pPr>
      <w:r>
        <w:rPr>
          <w:rFonts w:eastAsia="Times New Roman"/>
          <w:color w:val="000000"/>
          <w:sz w:val="20"/>
          <w:szCs w:val="20"/>
        </w:rPr>
        <w:t>The 2019 Credit Agreement contains certain events of default, including: failure to make payments under the 2019 Credit Agreement; failure to perform or observe</w:t>
      </w:r>
      <w:r>
        <w:rPr>
          <w:rFonts w:eastAsia="Times New Roman"/>
          <w:color w:val="000000"/>
          <w:sz w:val="20"/>
          <w:szCs w:val="20"/>
        </w:rPr>
        <w:t xml:space="preserve"> terms, covenants or agreements contained in the 2019 Credit Agreement; material inaccuracy of any representation or warranty under the 2019 Credit Agreement; payment default by us or certain of our subsidiaries under other indebtedness with a principal am</w:t>
      </w:r>
      <w:r>
        <w:rPr>
          <w:rFonts w:eastAsia="Times New Roman"/>
          <w:color w:val="000000"/>
          <w:sz w:val="20"/>
          <w:szCs w:val="20"/>
        </w:rPr>
        <w:t>ount in excess of $200 million or acceleration of or ability to accelerate such other indebtedness; occurrence of one or more final judgments or orders for the payment by us or certain of our subsidiaries of money in excess of $200 million that remain unsa</w:t>
      </w:r>
      <w:r>
        <w:rPr>
          <w:rFonts w:eastAsia="Times New Roman"/>
          <w:color w:val="000000"/>
          <w:sz w:val="20"/>
          <w:szCs w:val="20"/>
        </w:rPr>
        <w:t>tisfied; incurrence by us or certain of our subsidiaries of certain ERISA liability in excess of $200 million; any bankruptcy or insolvency of L3Harris or any material subsidiary; invalidity of 2019 Credit Agreement documentation; or a change of control (a</w:t>
      </w:r>
      <w:r>
        <w:rPr>
          <w:rFonts w:eastAsia="Times New Roman"/>
          <w:color w:val="000000"/>
          <w:sz w:val="20"/>
          <w:szCs w:val="20"/>
        </w:rPr>
        <w:t>s defined in the 2019 Credit Agreement) of L3Harris. If an event of default occurs, then the lenders may, among other things, terminate their commitments and declare all outstanding borrowings to be immediately due and payable together with accrued interes</w:t>
      </w:r>
      <w:r>
        <w:rPr>
          <w:rFonts w:eastAsia="Times New Roman"/>
          <w:color w:val="000000"/>
          <w:sz w:val="20"/>
          <w:szCs w:val="20"/>
        </w:rPr>
        <w:t>t and fees.</w:t>
      </w:r>
    </w:p>
    <w:p w14:paraId="15951C5B" w14:textId="77777777" w:rsidR="00000000" w:rsidRDefault="001A570A">
      <w:pPr>
        <w:ind w:firstLine="450"/>
        <w:divId w:val="1116757702"/>
        <w:rPr>
          <w:rFonts w:eastAsia="Times New Roman"/>
        </w:rPr>
      </w:pPr>
      <w:r>
        <w:rPr>
          <w:rFonts w:eastAsia="Times New Roman"/>
          <w:color w:val="000000"/>
          <w:sz w:val="20"/>
          <w:szCs w:val="20"/>
        </w:rPr>
        <w:t>All principal amounts borrowed or outstanding under the 2019 Credit Agreement are due on June 28, 2024, unless (i) the commitments are terminated earlier either at our request or if certain events of default described in the 2019 Credit Agreeme</w:t>
      </w:r>
      <w:r>
        <w:rPr>
          <w:rFonts w:eastAsia="Times New Roman"/>
          <w:color w:val="000000"/>
          <w:sz w:val="20"/>
          <w:szCs w:val="20"/>
        </w:rPr>
        <w:t>nt occur or (ii) the maturity date is extended pursuant to provisions allowing us, from time to time after June 28, 2020, but at least 45 days prior to the scheduled maturity date then in effect, to request that the scheduled maturity date then in effect b</w:t>
      </w:r>
      <w:r>
        <w:rPr>
          <w:rFonts w:eastAsia="Times New Roman"/>
          <w:color w:val="000000"/>
          <w:sz w:val="20"/>
          <w:szCs w:val="20"/>
        </w:rPr>
        <w:t>e extended by</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calendar year (with no more than one such extension permitted in any calendar year and no more than two such extensions during the term of the 2019 Credit Agreement), subject to approval by lenders holding a majority of the commitments un</w:t>
      </w:r>
      <w:r>
        <w:rPr>
          <w:rFonts w:eastAsia="Times New Roman"/>
          <w:color w:val="000000"/>
          <w:sz w:val="20"/>
          <w:szCs w:val="20"/>
        </w:rPr>
        <w:t>der the 2019 Credit Agreement and satisfaction of certain conditions stated in the 2019 Credit Agreement (including the absence of any default and the accuracy of certain representations and warranties); provided, however, that all revolving loans of those</w:t>
      </w:r>
      <w:r>
        <w:rPr>
          <w:rFonts w:eastAsia="Times New Roman"/>
          <w:color w:val="000000"/>
          <w:sz w:val="20"/>
          <w:szCs w:val="20"/>
        </w:rPr>
        <w:t xml:space="preserve"> lenders declining to participate in the requested extension and whose commitments under the 2019 Credit Agreement have not been replaced pursuant to customary replacement rights in our favor shall remain due and payable in full, and all commitments under </w:t>
      </w:r>
      <w:r>
        <w:rPr>
          <w:rFonts w:eastAsia="Times New Roman"/>
          <w:color w:val="000000"/>
          <w:sz w:val="20"/>
          <w:szCs w:val="20"/>
        </w:rPr>
        <w:t>the 2019 Credit Agreement of such declining lenders shall terminate, on the maturity date in effect prior to the requested extension. At January 1, 2021, we had no borrowings outstanding under the 2019 Credit Facility.</w:t>
      </w:r>
    </w:p>
    <w:p w14:paraId="146D7965" w14:textId="77777777" w:rsidR="00000000" w:rsidRDefault="001A570A">
      <w:pPr>
        <w:ind w:firstLine="450"/>
        <w:jc w:val="center"/>
        <w:divId w:val="2089421332"/>
        <w:rPr>
          <w:rFonts w:eastAsia="Times New Roman"/>
        </w:rPr>
      </w:pPr>
      <w:r>
        <w:rPr>
          <w:rFonts w:eastAsia="Times New Roman"/>
          <w:color w:val="000000"/>
          <w:sz w:val="20"/>
          <w:szCs w:val="20"/>
        </w:rPr>
        <w:t>100</w:t>
      </w:r>
    </w:p>
    <w:p w14:paraId="46D6E338" w14:textId="77777777" w:rsidR="00000000" w:rsidRDefault="001A570A">
      <w:pPr>
        <w:rPr>
          <w:rFonts w:eastAsia="Times New Roman"/>
        </w:rPr>
      </w:pPr>
      <w:r>
        <w:rPr>
          <w:rFonts w:eastAsia="Times New Roman"/>
        </w:rPr>
        <w:pict w14:anchorId="11009988">
          <v:rect id="_x0000_i1128" style="width:0;height:1.5pt" o:hralign="center" o:hrstd="t" o:hr="t" fillcolor="#a0a0a0" stroked="f"/>
        </w:pict>
      </w:r>
    </w:p>
    <w:p w14:paraId="3CD7B8C8" w14:textId="77777777" w:rsidR="00000000" w:rsidRDefault="001A570A">
      <w:pPr>
        <w:ind w:firstLine="450"/>
        <w:divId w:val="719551196"/>
        <w:rPr>
          <w:rFonts w:eastAsia="Times New Roman"/>
        </w:rPr>
      </w:pPr>
    </w:p>
    <w:p w14:paraId="3AD8978A" w14:textId="77777777" w:rsidR="00000000" w:rsidRDefault="001A570A">
      <w:pPr>
        <w:divId w:val="1809278947"/>
        <w:rPr>
          <w:rFonts w:eastAsia="Times New Roman"/>
        </w:rPr>
      </w:pPr>
      <w:r>
        <w:rPr>
          <w:rFonts w:eastAsia="Times New Roman"/>
          <w:b/>
          <w:bCs/>
          <w:color w:val="000000"/>
          <w:sz w:val="20"/>
          <w:szCs w:val="20"/>
        </w:rPr>
        <w:t>NOTE 14: DEBT</w:t>
      </w:r>
      <w:r>
        <w:rPr>
          <w:rFonts w:eastAsia="Times New Roman"/>
          <w:b/>
          <w:bCs/>
          <w:i/>
          <w:iCs/>
          <w:color w:val="000000"/>
          <w:sz w:val="20"/>
          <w:szCs w:val="20"/>
        </w:rPr>
        <w:t xml:space="preserve"> </w:t>
      </w:r>
    </w:p>
    <w:p w14:paraId="223A5C88" w14:textId="77777777" w:rsidR="00000000" w:rsidRDefault="001A570A">
      <w:pPr>
        <w:divId w:val="491336793"/>
        <w:rPr>
          <w:rFonts w:eastAsia="Times New Roman"/>
        </w:rPr>
      </w:pPr>
      <w:r>
        <w:rPr>
          <w:rFonts w:eastAsia="Times New Roman"/>
          <w:b/>
          <w:bCs/>
          <w:color w:val="000000"/>
          <w:sz w:val="20"/>
          <w:szCs w:val="20"/>
        </w:rPr>
        <w:t>Long-Term Debt</w:t>
      </w:r>
    </w:p>
    <w:p w14:paraId="33FC8741" w14:textId="77777777" w:rsidR="00000000" w:rsidRDefault="001A570A">
      <w:pPr>
        <w:ind w:firstLine="450"/>
        <w:divId w:val="1288118886"/>
        <w:rPr>
          <w:rFonts w:eastAsia="Times New Roman"/>
        </w:rPr>
      </w:pPr>
      <w:r>
        <w:rPr>
          <w:rFonts w:eastAsia="Times New Roman"/>
          <w:color w:val="000000"/>
          <w:sz w:val="20"/>
          <w:szCs w:val="20"/>
        </w:rPr>
        <w:t>Long-term debt is summarized below:</w:t>
      </w:r>
    </w:p>
    <w:tbl>
      <w:tblPr>
        <w:tblW w:w="4942" w:type="pct"/>
        <w:tblCellMar>
          <w:top w:w="15" w:type="dxa"/>
          <w:left w:w="15" w:type="dxa"/>
          <w:bottom w:w="15" w:type="dxa"/>
          <w:right w:w="15" w:type="dxa"/>
        </w:tblCellMar>
        <w:tblLook w:val="04A0" w:firstRow="1" w:lastRow="0" w:firstColumn="1" w:lastColumn="0" w:noHBand="0" w:noVBand="1"/>
      </w:tblPr>
      <w:tblGrid>
        <w:gridCol w:w="40"/>
        <w:gridCol w:w="5579"/>
        <w:gridCol w:w="39"/>
        <w:gridCol w:w="120"/>
        <w:gridCol w:w="1048"/>
        <w:gridCol w:w="36"/>
        <w:gridCol w:w="36"/>
        <w:gridCol w:w="36"/>
        <w:gridCol w:w="36"/>
        <w:gridCol w:w="120"/>
        <w:gridCol w:w="1012"/>
        <w:gridCol w:w="36"/>
        <w:gridCol w:w="36"/>
        <w:gridCol w:w="36"/>
      </w:tblGrid>
      <w:tr w:rsidR="00000000" w14:paraId="31D2D851" w14:textId="77777777">
        <w:trPr>
          <w:divId w:val="700711999"/>
        </w:trPr>
        <w:tc>
          <w:tcPr>
            <w:tcW w:w="50" w:type="pct"/>
            <w:vAlign w:val="center"/>
            <w:hideMark/>
          </w:tcPr>
          <w:p w14:paraId="79DD84C7" w14:textId="77777777" w:rsidR="00000000" w:rsidRDefault="001A570A">
            <w:pPr>
              <w:ind w:firstLine="450"/>
              <w:rPr>
                <w:rFonts w:eastAsia="Times New Roman"/>
              </w:rPr>
            </w:pPr>
          </w:p>
        </w:tc>
        <w:tc>
          <w:tcPr>
            <w:tcW w:w="3455" w:type="pct"/>
            <w:vAlign w:val="center"/>
            <w:hideMark/>
          </w:tcPr>
          <w:p w14:paraId="423BC107" w14:textId="77777777" w:rsidR="00000000" w:rsidRDefault="001A570A">
            <w:pPr>
              <w:rPr>
                <w:rFonts w:eastAsia="Times New Roman"/>
                <w:sz w:val="20"/>
                <w:szCs w:val="20"/>
              </w:rPr>
            </w:pPr>
          </w:p>
        </w:tc>
        <w:tc>
          <w:tcPr>
            <w:tcW w:w="5" w:type="pct"/>
            <w:vAlign w:val="center"/>
            <w:hideMark/>
          </w:tcPr>
          <w:p w14:paraId="0968F167" w14:textId="77777777" w:rsidR="00000000" w:rsidRDefault="001A570A">
            <w:pPr>
              <w:rPr>
                <w:rFonts w:eastAsia="Times New Roman"/>
                <w:sz w:val="20"/>
                <w:szCs w:val="20"/>
              </w:rPr>
            </w:pPr>
          </w:p>
        </w:tc>
        <w:tc>
          <w:tcPr>
            <w:tcW w:w="50" w:type="pct"/>
            <w:vAlign w:val="center"/>
            <w:hideMark/>
          </w:tcPr>
          <w:p w14:paraId="1A01B750" w14:textId="77777777" w:rsidR="00000000" w:rsidRDefault="001A570A">
            <w:pPr>
              <w:rPr>
                <w:rFonts w:eastAsia="Times New Roman"/>
                <w:sz w:val="20"/>
                <w:szCs w:val="20"/>
              </w:rPr>
            </w:pPr>
          </w:p>
        </w:tc>
        <w:tc>
          <w:tcPr>
            <w:tcW w:w="671" w:type="pct"/>
            <w:vAlign w:val="center"/>
            <w:hideMark/>
          </w:tcPr>
          <w:p w14:paraId="4EE2490F" w14:textId="77777777" w:rsidR="00000000" w:rsidRDefault="001A570A">
            <w:pPr>
              <w:rPr>
                <w:rFonts w:eastAsia="Times New Roman"/>
                <w:sz w:val="20"/>
                <w:szCs w:val="20"/>
              </w:rPr>
            </w:pPr>
          </w:p>
        </w:tc>
        <w:tc>
          <w:tcPr>
            <w:tcW w:w="5" w:type="pct"/>
            <w:vAlign w:val="center"/>
            <w:hideMark/>
          </w:tcPr>
          <w:p w14:paraId="5A19ABD9" w14:textId="77777777" w:rsidR="00000000" w:rsidRDefault="001A570A">
            <w:pPr>
              <w:rPr>
                <w:rFonts w:eastAsia="Times New Roman"/>
                <w:sz w:val="20"/>
                <w:szCs w:val="20"/>
              </w:rPr>
            </w:pPr>
          </w:p>
        </w:tc>
        <w:tc>
          <w:tcPr>
            <w:tcW w:w="5" w:type="pct"/>
            <w:vAlign w:val="center"/>
            <w:hideMark/>
          </w:tcPr>
          <w:p w14:paraId="25E29726" w14:textId="77777777" w:rsidR="00000000" w:rsidRDefault="001A570A">
            <w:pPr>
              <w:rPr>
                <w:rFonts w:eastAsia="Times New Roman"/>
                <w:sz w:val="20"/>
                <w:szCs w:val="20"/>
              </w:rPr>
            </w:pPr>
          </w:p>
        </w:tc>
        <w:tc>
          <w:tcPr>
            <w:tcW w:w="26" w:type="pct"/>
            <w:vAlign w:val="center"/>
            <w:hideMark/>
          </w:tcPr>
          <w:p w14:paraId="00CD5531" w14:textId="77777777" w:rsidR="00000000" w:rsidRDefault="001A570A">
            <w:pPr>
              <w:rPr>
                <w:rFonts w:eastAsia="Times New Roman"/>
                <w:sz w:val="20"/>
                <w:szCs w:val="20"/>
              </w:rPr>
            </w:pPr>
          </w:p>
        </w:tc>
        <w:tc>
          <w:tcPr>
            <w:tcW w:w="5" w:type="pct"/>
            <w:vAlign w:val="center"/>
            <w:hideMark/>
          </w:tcPr>
          <w:p w14:paraId="6049D7BF" w14:textId="77777777" w:rsidR="00000000" w:rsidRDefault="001A570A">
            <w:pPr>
              <w:rPr>
                <w:rFonts w:eastAsia="Times New Roman"/>
                <w:sz w:val="20"/>
                <w:szCs w:val="20"/>
              </w:rPr>
            </w:pPr>
          </w:p>
        </w:tc>
        <w:tc>
          <w:tcPr>
            <w:tcW w:w="50" w:type="pct"/>
            <w:vAlign w:val="center"/>
            <w:hideMark/>
          </w:tcPr>
          <w:p w14:paraId="0BE694E8" w14:textId="77777777" w:rsidR="00000000" w:rsidRDefault="001A570A">
            <w:pPr>
              <w:rPr>
                <w:rFonts w:eastAsia="Times New Roman"/>
                <w:sz w:val="20"/>
                <w:szCs w:val="20"/>
              </w:rPr>
            </w:pPr>
          </w:p>
        </w:tc>
        <w:tc>
          <w:tcPr>
            <w:tcW w:w="671" w:type="pct"/>
            <w:vAlign w:val="center"/>
            <w:hideMark/>
          </w:tcPr>
          <w:p w14:paraId="27EB310B" w14:textId="77777777" w:rsidR="00000000" w:rsidRDefault="001A570A">
            <w:pPr>
              <w:rPr>
                <w:rFonts w:eastAsia="Times New Roman"/>
                <w:sz w:val="20"/>
                <w:szCs w:val="20"/>
              </w:rPr>
            </w:pPr>
          </w:p>
        </w:tc>
        <w:tc>
          <w:tcPr>
            <w:tcW w:w="5" w:type="pct"/>
            <w:vAlign w:val="center"/>
            <w:hideMark/>
          </w:tcPr>
          <w:p w14:paraId="04C545A5" w14:textId="77777777" w:rsidR="00000000" w:rsidRDefault="001A570A">
            <w:pPr>
              <w:rPr>
                <w:rFonts w:eastAsia="Times New Roman"/>
                <w:sz w:val="20"/>
                <w:szCs w:val="20"/>
              </w:rPr>
            </w:pPr>
          </w:p>
        </w:tc>
        <w:tc>
          <w:tcPr>
            <w:tcW w:w="0" w:type="auto"/>
            <w:vAlign w:val="center"/>
            <w:hideMark/>
          </w:tcPr>
          <w:p w14:paraId="1F0D8BD5" w14:textId="77777777" w:rsidR="00000000" w:rsidRDefault="001A570A">
            <w:pPr>
              <w:rPr>
                <w:rFonts w:eastAsia="Times New Roman"/>
                <w:sz w:val="20"/>
                <w:szCs w:val="20"/>
              </w:rPr>
            </w:pPr>
          </w:p>
        </w:tc>
        <w:tc>
          <w:tcPr>
            <w:tcW w:w="0" w:type="auto"/>
            <w:vAlign w:val="center"/>
            <w:hideMark/>
          </w:tcPr>
          <w:p w14:paraId="65BA2964" w14:textId="77777777" w:rsidR="00000000" w:rsidRDefault="001A570A">
            <w:pPr>
              <w:rPr>
                <w:rFonts w:eastAsia="Times New Roman"/>
                <w:sz w:val="20"/>
                <w:szCs w:val="20"/>
              </w:rPr>
            </w:pPr>
          </w:p>
        </w:tc>
      </w:tr>
      <w:tr w:rsidR="00000000" w14:paraId="026C7234" w14:textId="77777777">
        <w:trPr>
          <w:divId w:val="700711999"/>
        </w:trPr>
        <w:tc>
          <w:tcPr>
            <w:tcW w:w="0" w:type="auto"/>
            <w:gridSpan w:val="3"/>
            <w:tcMar>
              <w:top w:w="30" w:type="dxa"/>
              <w:left w:w="20" w:type="dxa"/>
              <w:bottom w:w="30" w:type="dxa"/>
              <w:right w:w="20" w:type="dxa"/>
            </w:tcMar>
            <w:vAlign w:val="bottom"/>
            <w:hideMark/>
          </w:tcPr>
          <w:p w14:paraId="00C15FFD"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158C281B"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3CEB5A51"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BF4B7D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663DB687" w14:textId="77777777" w:rsidR="00000000" w:rsidRDefault="001A570A">
            <w:pPr>
              <w:jc w:val="center"/>
              <w:rPr>
                <w:rFonts w:eastAsia="Times New Roman"/>
              </w:rPr>
            </w:pPr>
          </w:p>
        </w:tc>
        <w:tc>
          <w:tcPr>
            <w:tcW w:w="0" w:type="auto"/>
            <w:vAlign w:val="center"/>
            <w:hideMark/>
          </w:tcPr>
          <w:p w14:paraId="689049CF" w14:textId="77777777" w:rsidR="00000000" w:rsidRDefault="001A570A">
            <w:pPr>
              <w:rPr>
                <w:rFonts w:eastAsia="Times New Roman"/>
                <w:sz w:val="20"/>
                <w:szCs w:val="20"/>
              </w:rPr>
            </w:pPr>
          </w:p>
        </w:tc>
      </w:tr>
      <w:tr w:rsidR="00000000" w14:paraId="3A996569" w14:textId="77777777">
        <w:trPr>
          <w:divId w:val="700711999"/>
          <w:trHeight w:val="60"/>
        </w:trPr>
        <w:tc>
          <w:tcPr>
            <w:tcW w:w="0" w:type="auto"/>
            <w:gridSpan w:val="3"/>
            <w:tcMar>
              <w:top w:w="0" w:type="dxa"/>
              <w:left w:w="20" w:type="dxa"/>
              <w:bottom w:w="0" w:type="dxa"/>
              <w:right w:w="20" w:type="dxa"/>
            </w:tcMar>
            <w:vAlign w:val="center"/>
            <w:hideMark/>
          </w:tcPr>
          <w:p w14:paraId="1565ECD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3CA81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C084D1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8379E7" w14:textId="77777777" w:rsidR="00000000" w:rsidRDefault="001A570A">
            <w:pPr>
              <w:rPr>
                <w:rFonts w:eastAsia="Times New Roman"/>
                <w:sz w:val="20"/>
                <w:szCs w:val="20"/>
              </w:rPr>
            </w:pPr>
          </w:p>
        </w:tc>
        <w:tc>
          <w:tcPr>
            <w:tcW w:w="0" w:type="auto"/>
            <w:vAlign w:val="center"/>
            <w:hideMark/>
          </w:tcPr>
          <w:p w14:paraId="6FE86304" w14:textId="77777777" w:rsidR="00000000" w:rsidRDefault="001A570A">
            <w:pPr>
              <w:rPr>
                <w:rFonts w:eastAsia="Times New Roman"/>
                <w:sz w:val="20"/>
                <w:szCs w:val="20"/>
              </w:rPr>
            </w:pPr>
          </w:p>
        </w:tc>
        <w:tc>
          <w:tcPr>
            <w:tcW w:w="0" w:type="auto"/>
            <w:vAlign w:val="center"/>
            <w:hideMark/>
          </w:tcPr>
          <w:p w14:paraId="412B70F6" w14:textId="77777777" w:rsidR="00000000" w:rsidRDefault="001A570A">
            <w:pPr>
              <w:rPr>
                <w:rFonts w:eastAsia="Times New Roman"/>
                <w:sz w:val="20"/>
                <w:szCs w:val="20"/>
              </w:rPr>
            </w:pPr>
          </w:p>
        </w:tc>
      </w:tr>
      <w:tr w:rsidR="00000000" w14:paraId="0D66C99A" w14:textId="77777777">
        <w:trPr>
          <w:divId w:val="700711999"/>
        </w:trPr>
        <w:tc>
          <w:tcPr>
            <w:tcW w:w="0" w:type="auto"/>
            <w:gridSpan w:val="3"/>
            <w:shd w:val="clear" w:color="auto" w:fill="CCEEFF"/>
            <w:tcMar>
              <w:top w:w="30" w:type="dxa"/>
              <w:left w:w="20" w:type="dxa"/>
              <w:bottom w:w="30" w:type="dxa"/>
              <w:right w:w="20" w:type="dxa"/>
            </w:tcMar>
            <w:hideMark/>
          </w:tcPr>
          <w:p w14:paraId="29D43108" w14:textId="77777777" w:rsidR="00000000" w:rsidRDefault="001A570A">
            <w:pPr>
              <w:rPr>
                <w:rFonts w:eastAsia="Times New Roman"/>
              </w:rPr>
            </w:pPr>
            <w:r>
              <w:rPr>
                <w:rFonts w:eastAsia="Times New Roman"/>
                <w:color w:val="000000"/>
                <w:sz w:val="20"/>
                <w:szCs w:val="20"/>
              </w:rPr>
              <w:t>Variable-rate debt:</w:t>
            </w:r>
          </w:p>
        </w:tc>
        <w:tc>
          <w:tcPr>
            <w:tcW w:w="0" w:type="auto"/>
            <w:gridSpan w:val="3"/>
            <w:shd w:val="clear" w:color="auto" w:fill="CCEEFF"/>
            <w:tcMar>
              <w:top w:w="0" w:type="dxa"/>
              <w:left w:w="20" w:type="dxa"/>
              <w:bottom w:w="0" w:type="dxa"/>
              <w:right w:w="20" w:type="dxa"/>
            </w:tcMar>
            <w:vAlign w:val="center"/>
            <w:hideMark/>
          </w:tcPr>
          <w:p w14:paraId="4C69C91C"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522C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3B31D" w14:textId="77777777" w:rsidR="00000000" w:rsidRDefault="001A570A">
            <w:pPr>
              <w:rPr>
                <w:rFonts w:eastAsia="Times New Roman"/>
                <w:sz w:val="20"/>
                <w:szCs w:val="20"/>
              </w:rPr>
            </w:pPr>
          </w:p>
        </w:tc>
        <w:tc>
          <w:tcPr>
            <w:tcW w:w="0" w:type="auto"/>
            <w:vAlign w:val="center"/>
            <w:hideMark/>
          </w:tcPr>
          <w:p w14:paraId="169B2752" w14:textId="77777777" w:rsidR="00000000" w:rsidRDefault="001A570A">
            <w:pPr>
              <w:rPr>
                <w:rFonts w:eastAsia="Times New Roman"/>
                <w:sz w:val="20"/>
                <w:szCs w:val="20"/>
              </w:rPr>
            </w:pPr>
          </w:p>
        </w:tc>
        <w:tc>
          <w:tcPr>
            <w:tcW w:w="0" w:type="auto"/>
            <w:vAlign w:val="center"/>
            <w:hideMark/>
          </w:tcPr>
          <w:p w14:paraId="594028B7" w14:textId="77777777" w:rsidR="00000000" w:rsidRDefault="001A570A">
            <w:pPr>
              <w:rPr>
                <w:rFonts w:eastAsia="Times New Roman"/>
                <w:sz w:val="20"/>
                <w:szCs w:val="20"/>
              </w:rPr>
            </w:pPr>
          </w:p>
        </w:tc>
      </w:tr>
      <w:tr w:rsidR="00000000" w14:paraId="0159A106" w14:textId="77777777">
        <w:trPr>
          <w:divId w:val="700711999"/>
        </w:trPr>
        <w:tc>
          <w:tcPr>
            <w:tcW w:w="0" w:type="auto"/>
            <w:gridSpan w:val="3"/>
            <w:vAlign w:val="center"/>
            <w:hideMark/>
          </w:tcPr>
          <w:p w14:paraId="3B50D99C" w14:textId="77777777" w:rsidR="00000000" w:rsidRDefault="001A570A">
            <w:pPr>
              <w:rPr>
                <w:rFonts w:eastAsia="Times New Roman"/>
                <w:sz w:val="20"/>
                <w:szCs w:val="20"/>
              </w:rPr>
            </w:pPr>
          </w:p>
        </w:tc>
        <w:tc>
          <w:tcPr>
            <w:tcW w:w="0" w:type="auto"/>
            <w:gridSpan w:val="3"/>
            <w:vAlign w:val="center"/>
            <w:hideMark/>
          </w:tcPr>
          <w:p w14:paraId="27B90626" w14:textId="77777777" w:rsidR="00000000" w:rsidRDefault="001A570A">
            <w:pPr>
              <w:rPr>
                <w:rFonts w:eastAsia="Times New Roman"/>
                <w:sz w:val="20"/>
                <w:szCs w:val="20"/>
              </w:rPr>
            </w:pPr>
          </w:p>
        </w:tc>
        <w:tc>
          <w:tcPr>
            <w:tcW w:w="0" w:type="auto"/>
            <w:gridSpan w:val="3"/>
            <w:vAlign w:val="center"/>
            <w:hideMark/>
          </w:tcPr>
          <w:p w14:paraId="002D966E" w14:textId="77777777" w:rsidR="00000000" w:rsidRDefault="001A570A">
            <w:pPr>
              <w:rPr>
                <w:rFonts w:eastAsia="Times New Roman"/>
                <w:sz w:val="20"/>
                <w:szCs w:val="20"/>
              </w:rPr>
            </w:pPr>
          </w:p>
        </w:tc>
        <w:tc>
          <w:tcPr>
            <w:tcW w:w="0" w:type="auto"/>
            <w:gridSpan w:val="3"/>
            <w:vAlign w:val="center"/>
            <w:hideMark/>
          </w:tcPr>
          <w:p w14:paraId="6FF0BD65" w14:textId="77777777" w:rsidR="00000000" w:rsidRDefault="001A570A">
            <w:pPr>
              <w:rPr>
                <w:rFonts w:eastAsia="Times New Roman"/>
                <w:sz w:val="20"/>
                <w:szCs w:val="20"/>
              </w:rPr>
            </w:pPr>
          </w:p>
        </w:tc>
        <w:tc>
          <w:tcPr>
            <w:tcW w:w="0" w:type="auto"/>
            <w:vAlign w:val="center"/>
            <w:hideMark/>
          </w:tcPr>
          <w:p w14:paraId="019EB7D2" w14:textId="77777777" w:rsidR="00000000" w:rsidRDefault="001A570A">
            <w:pPr>
              <w:rPr>
                <w:rFonts w:eastAsia="Times New Roman"/>
                <w:sz w:val="20"/>
                <w:szCs w:val="20"/>
              </w:rPr>
            </w:pPr>
          </w:p>
        </w:tc>
        <w:tc>
          <w:tcPr>
            <w:tcW w:w="0" w:type="auto"/>
            <w:vAlign w:val="center"/>
            <w:hideMark/>
          </w:tcPr>
          <w:p w14:paraId="40FE92FC" w14:textId="77777777" w:rsidR="00000000" w:rsidRDefault="001A570A">
            <w:pPr>
              <w:rPr>
                <w:rFonts w:eastAsia="Times New Roman"/>
                <w:sz w:val="20"/>
                <w:szCs w:val="20"/>
              </w:rPr>
            </w:pPr>
          </w:p>
        </w:tc>
      </w:tr>
      <w:tr w:rsidR="00000000" w14:paraId="0346B99C" w14:textId="77777777">
        <w:trPr>
          <w:divId w:val="700711999"/>
        </w:trPr>
        <w:tc>
          <w:tcPr>
            <w:tcW w:w="0" w:type="auto"/>
            <w:gridSpan w:val="3"/>
            <w:shd w:val="clear" w:color="auto" w:fill="FFFFFF"/>
            <w:tcMar>
              <w:top w:w="30" w:type="dxa"/>
              <w:left w:w="155" w:type="dxa"/>
              <w:bottom w:w="30" w:type="dxa"/>
              <w:right w:w="20" w:type="dxa"/>
            </w:tcMar>
            <w:hideMark/>
          </w:tcPr>
          <w:p w14:paraId="66830917" w14:textId="77777777" w:rsidR="00000000" w:rsidRDefault="001A570A">
            <w:pPr>
              <w:rPr>
                <w:rFonts w:eastAsia="Times New Roman"/>
              </w:rPr>
            </w:pPr>
            <w:r>
              <w:rPr>
                <w:rFonts w:eastAsia="Times New Roman"/>
                <w:color w:val="000000"/>
                <w:sz w:val="20"/>
                <w:szCs w:val="20"/>
              </w:rPr>
              <w:t>Floating rate notes, due April 30, 2020</w:t>
            </w:r>
          </w:p>
        </w:tc>
        <w:tc>
          <w:tcPr>
            <w:tcW w:w="0" w:type="auto"/>
            <w:shd w:val="clear" w:color="auto" w:fill="FFFFFF"/>
            <w:tcMar>
              <w:top w:w="30" w:type="dxa"/>
              <w:left w:w="20" w:type="dxa"/>
              <w:bottom w:w="30" w:type="dxa"/>
              <w:right w:w="0" w:type="dxa"/>
            </w:tcMar>
            <w:vAlign w:val="bottom"/>
            <w:hideMark/>
          </w:tcPr>
          <w:p w14:paraId="4C00B41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0A8C0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AB04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46957"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D9EF9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C87A06" w14:textId="77777777" w:rsidR="00000000" w:rsidRDefault="001A570A">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14:paraId="13FE04AF" w14:textId="77777777" w:rsidR="00000000" w:rsidRDefault="001A570A">
            <w:pPr>
              <w:jc w:val="right"/>
              <w:rPr>
                <w:rFonts w:eastAsia="Times New Roman"/>
              </w:rPr>
            </w:pPr>
          </w:p>
        </w:tc>
        <w:tc>
          <w:tcPr>
            <w:tcW w:w="0" w:type="auto"/>
            <w:vAlign w:val="center"/>
            <w:hideMark/>
          </w:tcPr>
          <w:p w14:paraId="13067283" w14:textId="77777777" w:rsidR="00000000" w:rsidRDefault="001A570A">
            <w:pPr>
              <w:jc w:val="right"/>
              <w:rPr>
                <w:rFonts w:eastAsia="Times New Roman"/>
                <w:sz w:val="20"/>
                <w:szCs w:val="20"/>
              </w:rPr>
            </w:pPr>
          </w:p>
        </w:tc>
        <w:tc>
          <w:tcPr>
            <w:tcW w:w="0" w:type="auto"/>
            <w:vAlign w:val="center"/>
            <w:hideMark/>
          </w:tcPr>
          <w:p w14:paraId="7963C342" w14:textId="77777777" w:rsidR="00000000" w:rsidRDefault="001A570A">
            <w:pPr>
              <w:rPr>
                <w:rFonts w:eastAsia="Times New Roman"/>
                <w:sz w:val="20"/>
                <w:szCs w:val="20"/>
              </w:rPr>
            </w:pPr>
          </w:p>
        </w:tc>
      </w:tr>
      <w:tr w:rsidR="00000000" w14:paraId="4BD97F2B" w14:textId="77777777">
        <w:trPr>
          <w:divId w:val="700711999"/>
        </w:trPr>
        <w:tc>
          <w:tcPr>
            <w:tcW w:w="0" w:type="auto"/>
            <w:gridSpan w:val="3"/>
            <w:shd w:val="clear" w:color="auto" w:fill="CCEEFF"/>
            <w:tcMar>
              <w:top w:w="30" w:type="dxa"/>
              <w:left w:w="140" w:type="dxa"/>
              <w:bottom w:w="30" w:type="dxa"/>
              <w:right w:w="20" w:type="dxa"/>
            </w:tcMar>
            <w:hideMark/>
          </w:tcPr>
          <w:p w14:paraId="4B4B4840" w14:textId="77777777" w:rsidR="00000000" w:rsidRDefault="001A570A">
            <w:pPr>
              <w:rPr>
                <w:rFonts w:eastAsia="Times New Roman"/>
              </w:rPr>
            </w:pPr>
            <w:r>
              <w:rPr>
                <w:rFonts w:eastAsia="Times New Roman"/>
                <w:color w:val="000000"/>
                <w:sz w:val="20"/>
                <w:szCs w:val="20"/>
              </w:rPr>
              <w:t>Floating rate notes, due March 10, 2023</w:t>
            </w:r>
          </w:p>
        </w:tc>
        <w:tc>
          <w:tcPr>
            <w:tcW w:w="0" w:type="auto"/>
            <w:gridSpan w:val="2"/>
            <w:shd w:val="clear" w:color="auto" w:fill="CCEEFF"/>
            <w:tcMar>
              <w:top w:w="30" w:type="dxa"/>
              <w:left w:w="20" w:type="dxa"/>
              <w:bottom w:w="30" w:type="dxa"/>
              <w:right w:w="0" w:type="dxa"/>
            </w:tcMar>
            <w:vAlign w:val="bottom"/>
            <w:hideMark/>
          </w:tcPr>
          <w:p w14:paraId="221F8A08" w14:textId="77777777" w:rsidR="00000000" w:rsidRDefault="001A570A">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2EFF2A0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C0F3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E034B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53A08E" w14:textId="77777777" w:rsidR="00000000" w:rsidRDefault="001A570A">
            <w:pPr>
              <w:jc w:val="right"/>
              <w:rPr>
                <w:rFonts w:eastAsia="Times New Roman"/>
              </w:rPr>
            </w:pPr>
          </w:p>
        </w:tc>
        <w:tc>
          <w:tcPr>
            <w:tcW w:w="0" w:type="auto"/>
            <w:vAlign w:val="center"/>
            <w:hideMark/>
          </w:tcPr>
          <w:p w14:paraId="28435163" w14:textId="77777777" w:rsidR="00000000" w:rsidRDefault="001A570A">
            <w:pPr>
              <w:jc w:val="right"/>
              <w:rPr>
                <w:rFonts w:eastAsia="Times New Roman"/>
                <w:sz w:val="20"/>
                <w:szCs w:val="20"/>
              </w:rPr>
            </w:pPr>
          </w:p>
        </w:tc>
        <w:tc>
          <w:tcPr>
            <w:tcW w:w="0" w:type="auto"/>
            <w:vAlign w:val="center"/>
            <w:hideMark/>
          </w:tcPr>
          <w:p w14:paraId="399608B9" w14:textId="77777777" w:rsidR="00000000" w:rsidRDefault="001A570A">
            <w:pPr>
              <w:rPr>
                <w:rFonts w:eastAsia="Times New Roman"/>
                <w:sz w:val="20"/>
                <w:szCs w:val="20"/>
              </w:rPr>
            </w:pPr>
          </w:p>
        </w:tc>
      </w:tr>
      <w:tr w:rsidR="00000000" w14:paraId="6A5565D5" w14:textId="77777777">
        <w:trPr>
          <w:divId w:val="700711999"/>
        </w:trPr>
        <w:tc>
          <w:tcPr>
            <w:tcW w:w="0" w:type="auto"/>
            <w:gridSpan w:val="3"/>
            <w:shd w:val="clear" w:color="auto" w:fill="FFFFFF"/>
            <w:tcMar>
              <w:top w:w="30" w:type="dxa"/>
              <w:left w:w="20" w:type="dxa"/>
              <w:bottom w:w="30" w:type="dxa"/>
              <w:right w:w="20" w:type="dxa"/>
            </w:tcMar>
            <w:hideMark/>
          </w:tcPr>
          <w:p w14:paraId="71F065EA" w14:textId="77777777" w:rsidR="00000000" w:rsidRDefault="001A570A">
            <w:pPr>
              <w:rPr>
                <w:rFonts w:eastAsia="Times New Roman"/>
              </w:rPr>
            </w:pPr>
            <w:r>
              <w:rPr>
                <w:rFonts w:eastAsia="Times New Roman"/>
                <w:color w:val="000000"/>
                <w:sz w:val="20"/>
                <w:szCs w:val="20"/>
              </w:rPr>
              <w:t>Total variable-rate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82C549" w14:textId="77777777" w:rsidR="00000000" w:rsidRDefault="001A570A">
            <w:pPr>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D73DF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1DCC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300EF9" w14:textId="77777777" w:rsidR="00000000" w:rsidRDefault="001A570A">
            <w:pPr>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BB14EA" w14:textId="77777777" w:rsidR="00000000" w:rsidRDefault="001A570A">
            <w:pPr>
              <w:jc w:val="right"/>
              <w:rPr>
                <w:rFonts w:eastAsia="Times New Roman"/>
              </w:rPr>
            </w:pPr>
          </w:p>
        </w:tc>
        <w:tc>
          <w:tcPr>
            <w:tcW w:w="0" w:type="auto"/>
            <w:vAlign w:val="center"/>
            <w:hideMark/>
          </w:tcPr>
          <w:p w14:paraId="421E2BAA" w14:textId="77777777" w:rsidR="00000000" w:rsidRDefault="001A570A">
            <w:pPr>
              <w:jc w:val="right"/>
              <w:rPr>
                <w:rFonts w:eastAsia="Times New Roman"/>
                <w:sz w:val="20"/>
                <w:szCs w:val="20"/>
              </w:rPr>
            </w:pPr>
          </w:p>
        </w:tc>
        <w:tc>
          <w:tcPr>
            <w:tcW w:w="0" w:type="auto"/>
            <w:vAlign w:val="center"/>
            <w:hideMark/>
          </w:tcPr>
          <w:p w14:paraId="1A7DE20A" w14:textId="77777777" w:rsidR="00000000" w:rsidRDefault="001A570A">
            <w:pPr>
              <w:rPr>
                <w:rFonts w:eastAsia="Times New Roman"/>
                <w:sz w:val="20"/>
                <w:szCs w:val="20"/>
              </w:rPr>
            </w:pPr>
          </w:p>
        </w:tc>
      </w:tr>
      <w:tr w:rsidR="00000000" w14:paraId="31F00D54" w14:textId="77777777">
        <w:trPr>
          <w:divId w:val="700711999"/>
        </w:trPr>
        <w:tc>
          <w:tcPr>
            <w:tcW w:w="0" w:type="auto"/>
            <w:gridSpan w:val="3"/>
            <w:shd w:val="clear" w:color="auto" w:fill="CCEEFF"/>
            <w:tcMar>
              <w:top w:w="30" w:type="dxa"/>
              <w:left w:w="20" w:type="dxa"/>
              <w:bottom w:w="30" w:type="dxa"/>
              <w:right w:w="20" w:type="dxa"/>
            </w:tcMar>
            <w:hideMark/>
          </w:tcPr>
          <w:p w14:paraId="6930922A" w14:textId="77777777" w:rsidR="00000000" w:rsidRDefault="001A570A">
            <w:pPr>
              <w:rPr>
                <w:rFonts w:eastAsia="Times New Roman"/>
              </w:rPr>
            </w:pPr>
            <w:r>
              <w:rPr>
                <w:rFonts w:eastAsia="Times New Roman"/>
                <w:color w:val="000000"/>
                <w:sz w:val="20"/>
                <w:szCs w:val="20"/>
              </w:rPr>
              <w:t>Fixed-rate debt:</w:t>
            </w:r>
          </w:p>
        </w:tc>
        <w:tc>
          <w:tcPr>
            <w:tcW w:w="0" w:type="auto"/>
            <w:gridSpan w:val="3"/>
            <w:shd w:val="clear" w:color="auto" w:fill="CCEEFF"/>
            <w:tcMar>
              <w:top w:w="0" w:type="dxa"/>
              <w:left w:w="20" w:type="dxa"/>
              <w:bottom w:w="0" w:type="dxa"/>
              <w:right w:w="20" w:type="dxa"/>
            </w:tcMar>
            <w:vAlign w:val="center"/>
            <w:hideMark/>
          </w:tcPr>
          <w:p w14:paraId="076443C8"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9001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42654" w14:textId="77777777" w:rsidR="00000000" w:rsidRDefault="001A570A">
            <w:pPr>
              <w:rPr>
                <w:rFonts w:eastAsia="Times New Roman"/>
                <w:sz w:val="20"/>
                <w:szCs w:val="20"/>
              </w:rPr>
            </w:pPr>
          </w:p>
        </w:tc>
        <w:tc>
          <w:tcPr>
            <w:tcW w:w="0" w:type="auto"/>
            <w:vAlign w:val="center"/>
            <w:hideMark/>
          </w:tcPr>
          <w:p w14:paraId="4BCF270D" w14:textId="77777777" w:rsidR="00000000" w:rsidRDefault="001A570A">
            <w:pPr>
              <w:rPr>
                <w:rFonts w:eastAsia="Times New Roman"/>
                <w:sz w:val="20"/>
                <w:szCs w:val="20"/>
              </w:rPr>
            </w:pPr>
          </w:p>
        </w:tc>
        <w:tc>
          <w:tcPr>
            <w:tcW w:w="0" w:type="auto"/>
            <w:vAlign w:val="center"/>
            <w:hideMark/>
          </w:tcPr>
          <w:p w14:paraId="651A02F3" w14:textId="77777777" w:rsidR="00000000" w:rsidRDefault="001A570A">
            <w:pPr>
              <w:rPr>
                <w:rFonts w:eastAsia="Times New Roman"/>
                <w:sz w:val="20"/>
                <w:szCs w:val="20"/>
              </w:rPr>
            </w:pPr>
          </w:p>
        </w:tc>
      </w:tr>
      <w:tr w:rsidR="00000000" w14:paraId="64796741" w14:textId="77777777">
        <w:trPr>
          <w:divId w:val="700711999"/>
        </w:trPr>
        <w:tc>
          <w:tcPr>
            <w:tcW w:w="0" w:type="auto"/>
            <w:gridSpan w:val="3"/>
            <w:vAlign w:val="center"/>
            <w:hideMark/>
          </w:tcPr>
          <w:p w14:paraId="613C1C51" w14:textId="77777777" w:rsidR="00000000" w:rsidRDefault="001A570A">
            <w:pPr>
              <w:rPr>
                <w:rFonts w:eastAsia="Times New Roman"/>
                <w:sz w:val="20"/>
                <w:szCs w:val="20"/>
              </w:rPr>
            </w:pPr>
          </w:p>
        </w:tc>
        <w:tc>
          <w:tcPr>
            <w:tcW w:w="0" w:type="auto"/>
            <w:gridSpan w:val="3"/>
            <w:vAlign w:val="center"/>
            <w:hideMark/>
          </w:tcPr>
          <w:p w14:paraId="5A17303B" w14:textId="77777777" w:rsidR="00000000" w:rsidRDefault="001A570A">
            <w:pPr>
              <w:rPr>
                <w:rFonts w:eastAsia="Times New Roman"/>
                <w:sz w:val="20"/>
                <w:szCs w:val="20"/>
              </w:rPr>
            </w:pPr>
          </w:p>
        </w:tc>
        <w:tc>
          <w:tcPr>
            <w:tcW w:w="0" w:type="auto"/>
            <w:gridSpan w:val="3"/>
            <w:vAlign w:val="center"/>
            <w:hideMark/>
          </w:tcPr>
          <w:p w14:paraId="46A23B59" w14:textId="77777777" w:rsidR="00000000" w:rsidRDefault="001A570A">
            <w:pPr>
              <w:rPr>
                <w:rFonts w:eastAsia="Times New Roman"/>
                <w:sz w:val="20"/>
                <w:szCs w:val="20"/>
              </w:rPr>
            </w:pPr>
          </w:p>
        </w:tc>
        <w:tc>
          <w:tcPr>
            <w:tcW w:w="0" w:type="auto"/>
            <w:gridSpan w:val="3"/>
            <w:vAlign w:val="center"/>
            <w:hideMark/>
          </w:tcPr>
          <w:p w14:paraId="58CB9F18" w14:textId="77777777" w:rsidR="00000000" w:rsidRDefault="001A570A">
            <w:pPr>
              <w:rPr>
                <w:rFonts w:eastAsia="Times New Roman"/>
                <w:sz w:val="20"/>
                <w:szCs w:val="20"/>
              </w:rPr>
            </w:pPr>
          </w:p>
        </w:tc>
        <w:tc>
          <w:tcPr>
            <w:tcW w:w="0" w:type="auto"/>
            <w:vAlign w:val="center"/>
            <w:hideMark/>
          </w:tcPr>
          <w:p w14:paraId="16A34CCA" w14:textId="77777777" w:rsidR="00000000" w:rsidRDefault="001A570A">
            <w:pPr>
              <w:rPr>
                <w:rFonts w:eastAsia="Times New Roman"/>
                <w:sz w:val="20"/>
                <w:szCs w:val="20"/>
              </w:rPr>
            </w:pPr>
          </w:p>
        </w:tc>
        <w:tc>
          <w:tcPr>
            <w:tcW w:w="0" w:type="auto"/>
            <w:vAlign w:val="center"/>
            <w:hideMark/>
          </w:tcPr>
          <w:p w14:paraId="11C59888" w14:textId="77777777" w:rsidR="00000000" w:rsidRDefault="001A570A">
            <w:pPr>
              <w:rPr>
                <w:rFonts w:eastAsia="Times New Roman"/>
                <w:sz w:val="20"/>
                <w:szCs w:val="20"/>
              </w:rPr>
            </w:pPr>
          </w:p>
        </w:tc>
      </w:tr>
      <w:tr w:rsidR="00000000" w14:paraId="5A6E365F" w14:textId="77777777">
        <w:trPr>
          <w:divId w:val="700711999"/>
        </w:trPr>
        <w:tc>
          <w:tcPr>
            <w:tcW w:w="0" w:type="auto"/>
            <w:gridSpan w:val="3"/>
            <w:shd w:val="clear" w:color="auto" w:fill="FFFFFF"/>
            <w:tcMar>
              <w:top w:w="30" w:type="dxa"/>
              <w:left w:w="20" w:type="dxa"/>
              <w:bottom w:w="30" w:type="dxa"/>
              <w:right w:w="20" w:type="dxa"/>
            </w:tcMar>
            <w:hideMark/>
          </w:tcPr>
          <w:p w14:paraId="207B1E41" w14:textId="77777777" w:rsidR="00000000" w:rsidRDefault="001A570A">
            <w:pPr>
              <w:divId w:val="786628913"/>
              <w:rPr>
                <w:rFonts w:eastAsia="Times New Roman"/>
              </w:rPr>
            </w:pPr>
            <w:r>
              <w:rPr>
                <w:rFonts w:eastAsia="Times New Roman"/>
                <w:color w:val="000000"/>
                <w:sz w:val="20"/>
                <w:szCs w:val="20"/>
              </w:rPr>
              <w:t>4.95</w:t>
            </w:r>
            <w:r>
              <w:rPr>
                <w:rFonts w:eastAsia="Times New Roman"/>
                <w:color w:val="000000"/>
                <w:sz w:val="20"/>
                <w:szCs w:val="20"/>
              </w:rPr>
              <w:t>% notes, due February 15, 2021</w:t>
            </w:r>
          </w:p>
        </w:tc>
        <w:tc>
          <w:tcPr>
            <w:tcW w:w="0" w:type="auto"/>
            <w:gridSpan w:val="2"/>
            <w:shd w:val="clear" w:color="auto" w:fill="FFFFFF"/>
            <w:tcMar>
              <w:top w:w="30" w:type="dxa"/>
              <w:left w:w="20" w:type="dxa"/>
              <w:bottom w:w="30" w:type="dxa"/>
              <w:right w:w="0" w:type="dxa"/>
            </w:tcMar>
            <w:vAlign w:val="bottom"/>
            <w:hideMark/>
          </w:tcPr>
          <w:p w14:paraId="2E445DD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D093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3231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6194D" w14:textId="77777777" w:rsidR="00000000" w:rsidRDefault="001A570A">
            <w:pPr>
              <w:jc w:val="right"/>
              <w:rPr>
                <w:rFonts w:eastAsia="Times New Roman"/>
              </w:rPr>
            </w:pPr>
            <w:r>
              <w:rPr>
                <w:rFonts w:eastAsia="Times New Roman"/>
                <w:color w:val="000000"/>
                <w:sz w:val="20"/>
                <w:szCs w:val="20"/>
              </w:rPr>
              <w:t>650 </w:t>
            </w:r>
          </w:p>
        </w:tc>
        <w:tc>
          <w:tcPr>
            <w:tcW w:w="0" w:type="auto"/>
            <w:shd w:val="clear" w:color="auto" w:fill="FFFFFF"/>
            <w:tcMar>
              <w:top w:w="30" w:type="dxa"/>
              <w:left w:w="0" w:type="dxa"/>
              <w:bottom w:w="30" w:type="dxa"/>
              <w:right w:w="20" w:type="dxa"/>
            </w:tcMar>
            <w:vAlign w:val="bottom"/>
            <w:hideMark/>
          </w:tcPr>
          <w:p w14:paraId="501560AF" w14:textId="77777777" w:rsidR="00000000" w:rsidRDefault="001A570A">
            <w:pPr>
              <w:jc w:val="right"/>
              <w:rPr>
                <w:rFonts w:eastAsia="Times New Roman"/>
              </w:rPr>
            </w:pPr>
          </w:p>
        </w:tc>
        <w:tc>
          <w:tcPr>
            <w:tcW w:w="0" w:type="auto"/>
            <w:vAlign w:val="center"/>
            <w:hideMark/>
          </w:tcPr>
          <w:p w14:paraId="5F2AFEE0" w14:textId="77777777" w:rsidR="00000000" w:rsidRDefault="001A570A">
            <w:pPr>
              <w:jc w:val="right"/>
              <w:rPr>
                <w:rFonts w:eastAsia="Times New Roman"/>
                <w:sz w:val="20"/>
                <w:szCs w:val="20"/>
              </w:rPr>
            </w:pPr>
          </w:p>
        </w:tc>
        <w:tc>
          <w:tcPr>
            <w:tcW w:w="0" w:type="auto"/>
            <w:vAlign w:val="center"/>
            <w:hideMark/>
          </w:tcPr>
          <w:p w14:paraId="0F80C765" w14:textId="77777777" w:rsidR="00000000" w:rsidRDefault="001A570A">
            <w:pPr>
              <w:rPr>
                <w:rFonts w:eastAsia="Times New Roman"/>
                <w:sz w:val="20"/>
                <w:szCs w:val="20"/>
              </w:rPr>
            </w:pPr>
          </w:p>
        </w:tc>
      </w:tr>
      <w:tr w:rsidR="00000000" w14:paraId="3DAA1937" w14:textId="77777777">
        <w:trPr>
          <w:divId w:val="700711999"/>
        </w:trPr>
        <w:tc>
          <w:tcPr>
            <w:tcW w:w="0" w:type="auto"/>
            <w:gridSpan w:val="3"/>
            <w:shd w:val="clear" w:color="auto" w:fill="CCEEFF"/>
            <w:tcMar>
              <w:top w:w="30" w:type="dxa"/>
              <w:left w:w="20" w:type="dxa"/>
              <w:bottom w:w="30" w:type="dxa"/>
              <w:right w:w="20" w:type="dxa"/>
            </w:tcMar>
            <w:hideMark/>
          </w:tcPr>
          <w:p w14:paraId="5128BBB1" w14:textId="77777777" w:rsidR="00000000" w:rsidRDefault="001A570A">
            <w:pPr>
              <w:divId w:val="1098717949"/>
              <w:rPr>
                <w:rFonts w:eastAsia="Times New Roman"/>
              </w:rPr>
            </w:pPr>
            <w:r>
              <w:rPr>
                <w:rFonts w:eastAsia="Times New Roman"/>
                <w:color w:val="000000"/>
                <w:sz w:val="20"/>
                <w:szCs w:val="20"/>
              </w:rPr>
              <w:t>3.85% notes, due June 15, 2023</w:t>
            </w:r>
          </w:p>
        </w:tc>
        <w:tc>
          <w:tcPr>
            <w:tcW w:w="0" w:type="auto"/>
            <w:gridSpan w:val="2"/>
            <w:shd w:val="clear" w:color="auto" w:fill="CCEEFF"/>
            <w:tcMar>
              <w:top w:w="30" w:type="dxa"/>
              <w:left w:w="20" w:type="dxa"/>
              <w:bottom w:w="30" w:type="dxa"/>
              <w:right w:w="0" w:type="dxa"/>
            </w:tcMar>
            <w:vAlign w:val="bottom"/>
            <w:hideMark/>
          </w:tcPr>
          <w:p w14:paraId="22B565B2" w14:textId="77777777" w:rsidR="00000000" w:rsidRDefault="001A570A">
            <w:pPr>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240B22D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3C53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23455" w14:textId="77777777" w:rsidR="00000000" w:rsidRDefault="001A570A">
            <w:pPr>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0ACEA129" w14:textId="77777777" w:rsidR="00000000" w:rsidRDefault="001A570A">
            <w:pPr>
              <w:jc w:val="right"/>
              <w:rPr>
                <w:rFonts w:eastAsia="Times New Roman"/>
              </w:rPr>
            </w:pPr>
          </w:p>
        </w:tc>
        <w:tc>
          <w:tcPr>
            <w:tcW w:w="0" w:type="auto"/>
            <w:vAlign w:val="center"/>
            <w:hideMark/>
          </w:tcPr>
          <w:p w14:paraId="3409542C" w14:textId="77777777" w:rsidR="00000000" w:rsidRDefault="001A570A">
            <w:pPr>
              <w:jc w:val="right"/>
              <w:rPr>
                <w:rFonts w:eastAsia="Times New Roman"/>
                <w:sz w:val="20"/>
                <w:szCs w:val="20"/>
              </w:rPr>
            </w:pPr>
          </w:p>
        </w:tc>
        <w:tc>
          <w:tcPr>
            <w:tcW w:w="0" w:type="auto"/>
            <w:vAlign w:val="center"/>
            <w:hideMark/>
          </w:tcPr>
          <w:p w14:paraId="64EEF140" w14:textId="77777777" w:rsidR="00000000" w:rsidRDefault="001A570A">
            <w:pPr>
              <w:rPr>
                <w:rFonts w:eastAsia="Times New Roman"/>
                <w:sz w:val="20"/>
                <w:szCs w:val="20"/>
              </w:rPr>
            </w:pPr>
          </w:p>
        </w:tc>
      </w:tr>
      <w:tr w:rsidR="00000000" w14:paraId="09093202" w14:textId="77777777">
        <w:trPr>
          <w:divId w:val="700711999"/>
        </w:trPr>
        <w:tc>
          <w:tcPr>
            <w:tcW w:w="0" w:type="auto"/>
            <w:gridSpan w:val="3"/>
            <w:shd w:val="clear" w:color="auto" w:fill="FFFFFF"/>
            <w:tcMar>
              <w:top w:w="30" w:type="dxa"/>
              <w:left w:w="20" w:type="dxa"/>
              <w:bottom w:w="30" w:type="dxa"/>
              <w:right w:w="20" w:type="dxa"/>
            </w:tcMar>
            <w:hideMark/>
          </w:tcPr>
          <w:p w14:paraId="41961B36" w14:textId="77777777" w:rsidR="00000000" w:rsidRDefault="001A570A">
            <w:pPr>
              <w:divId w:val="1718621540"/>
              <w:rPr>
                <w:rFonts w:eastAsia="Times New Roman"/>
              </w:rPr>
            </w:pPr>
            <w:r>
              <w:rPr>
                <w:rFonts w:eastAsia="Times New Roman"/>
                <w:color w:val="000000"/>
                <w:sz w:val="20"/>
                <w:szCs w:val="20"/>
              </w:rPr>
              <w:t>3.95% notes, due May 28, 2024</w:t>
            </w:r>
          </w:p>
        </w:tc>
        <w:tc>
          <w:tcPr>
            <w:tcW w:w="0" w:type="auto"/>
            <w:gridSpan w:val="2"/>
            <w:shd w:val="clear" w:color="auto" w:fill="FFFFFF"/>
            <w:tcMar>
              <w:top w:w="30" w:type="dxa"/>
              <w:left w:w="20" w:type="dxa"/>
              <w:bottom w:w="30" w:type="dxa"/>
              <w:right w:w="0" w:type="dxa"/>
            </w:tcMar>
            <w:vAlign w:val="bottom"/>
            <w:hideMark/>
          </w:tcPr>
          <w:p w14:paraId="369EC45A"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03DF937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88C0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1B06E"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312A4068" w14:textId="77777777" w:rsidR="00000000" w:rsidRDefault="001A570A">
            <w:pPr>
              <w:jc w:val="right"/>
              <w:rPr>
                <w:rFonts w:eastAsia="Times New Roman"/>
              </w:rPr>
            </w:pPr>
          </w:p>
        </w:tc>
        <w:tc>
          <w:tcPr>
            <w:tcW w:w="0" w:type="auto"/>
            <w:vAlign w:val="center"/>
            <w:hideMark/>
          </w:tcPr>
          <w:p w14:paraId="3CF5A475" w14:textId="77777777" w:rsidR="00000000" w:rsidRDefault="001A570A">
            <w:pPr>
              <w:jc w:val="right"/>
              <w:rPr>
                <w:rFonts w:eastAsia="Times New Roman"/>
                <w:sz w:val="20"/>
                <w:szCs w:val="20"/>
              </w:rPr>
            </w:pPr>
          </w:p>
        </w:tc>
        <w:tc>
          <w:tcPr>
            <w:tcW w:w="0" w:type="auto"/>
            <w:vAlign w:val="center"/>
            <w:hideMark/>
          </w:tcPr>
          <w:p w14:paraId="36B2EBB4" w14:textId="77777777" w:rsidR="00000000" w:rsidRDefault="001A570A">
            <w:pPr>
              <w:rPr>
                <w:rFonts w:eastAsia="Times New Roman"/>
                <w:sz w:val="20"/>
                <w:szCs w:val="20"/>
              </w:rPr>
            </w:pPr>
          </w:p>
        </w:tc>
      </w:tr>
      <w:tr w:rsidR="00000000" w14:paraId="1D827A7B" w14:textId="77777777">
        <w:trPr>
          <w:divId w:val="700711999"/>
        </w:trPr>
        <w:tc>
          <w:tcPr>
            <w:tcW w:w="0" w:type="auto"/>
            <w:gridSpan w:val="3"/>
            <w:vAlign w:val="center"/>
            <w:hideMark/>
          </w:tcPr>
          <w:p w14:paraId="40D0337E" w14:textId="77777777" w:rsidR="00000000" w:rsidRDefault="001A570A">
            <w:pPr>
              <w:rPr>
                <w:rFonts w:eastAsia="Times New Roman"/>
                <w:sz w:val="20"/>
                <w:szCs w:val="20"/>
              </w:rPr>
            </w:pPr>
          </w:p>
        </w:tc>
        <w:tc>
          <w:tcPr>
            <w:tcW w:w="0" w:type="auto"/>
            <w:gridSpan w:val="3"/>
            <w:vAlign w:val="center"/>
            <w:hideMark/>
          </w:tcPr>
          <w:p w14:paraId="0E544E88" w14:textId="77777777" w:rsidR="00000000" w:rsidRDefault="001A570A">
            <w:pPr>
              <w:rPr>
                <w:rFonts w:eastAsia="Times New Roman"/>
                <w:sz w:val="20"/>
                <w:szCs w:val="20"/>
              </w:rPr>
            </w:pPr>
          </w:p>
        </w:tc>
        <w:tc>
          <w:tcPr>
            <w:tcW w:w="0" w:type="auto"/>
            <w:gridSpan w:val="3"/>
            <w:vAlign w:val="center"/>
            <w:hideMark/>
          </w:tcPr>
          <w:p w14:paraId="53555E25" w14:textId="77777777" w:rsidR="00000000" w:rsidRDefault="001A570A">
            <w:pPr>
              <w:rPr>
                <w:rFonts w:eastAsia="Times New Roman"/>
                <w:sz w:val="20"/>
                <w:szCs w:val="20"/>
              </w:rPr>
            </w:pPr>
          </w:p>
        </w:tc>
        <w:tc>
          <w:tcPr>
            <w:tcW w:w="0" w:type="auto"/>
            <w:gridSpan w:val="3"/>
            <w:vAlign w:val="center"/>
            <w:hideMark/>
          </w:tcPr>
          <w:p w14:paraId="0D0987C3" w14:textId="77777777" w:rsidR="00000000" w:rsidRDefault="001A570A">
            <w:pPr>
              <w:rPr>
                <w:rFonts w:eastAsia="Times New Roman"/>
                <w:sz w:val="20"/>
                <w:szCs w:val="20"/>
              </w:rPr>
            </w:pPr>
          </w:p>
        </w:tc>
        <w:tc>
          <w:tcPr>
            <w:tcW w:w="0" w:type="auto"/>
            <w:vAlign w:val="center"/>
            <w:hideMark/>
          </w:tcPr>
          <w:p w14:paraId="41AA00E8" w14:textId="77777777" w:rsidR="00000000" w:rsidRDefault="001A570A">
            <w:pPr>
              <w:rPr>
                <w:rFonts w:eastAsia="Times New Roman"/>
                <w:sz w:val="20"/>
                <w:szCs w:val="20"/>
              </w:rPr>
            </w:pPr>
          </w:p>
        </w:tc>
        <w:tc>
          <w:tcPr>
            <w:tcW w:w="0" w:type="auto"/>
            <w:vAlign w:val="center"/>
            <w:hideMark/>
          </w:tcPr>
          <w:p w14:paraId="31F19F8C" w14:textId="77777777" w:rsidR="00000000" w:rsidRDefault="001A570A">
            <w:pPr>
              <w:rPr>
                <w:rFonts w:eastAsia="Times New Roman"/>
                <w:sz w:val="20"/>
                <w:szCs w:val="20"/>
              </w:rPr>
            </w:pPr>
          </w:p>
        </w:tc>
      </w:tr>
      <w:tr w:rsidR="00000000" w14:paraId="3D156C14" w14:textId="77777777">
        <w:trPr>
          <w:divId w:val="700711999"/>
        </w:trPr>
        <w:tc>
          <w:tcPr>
            <w:tcW w:w="0" w:type="auto"/>
            <w:gridSpan w:val="3"/>
            <w:vAlign w:val="center"/>
            <w:hideMark/>
          </w:tcPr>
          <w:p w14:paraId="31A17223" w14:textId="77777777" w:rsidR="00000000" w:rsidRDefault="001A570A">
            <w:pPr>
              <w:rPr>
                <w:rFonts w:eastAsia="Times New Roman"/>
                <w:sz w:val="20"/>
                <w:szCs w:val="20"/>
              </w:rPr>
            </w:pPr>
          </w:p>
        </w:tc>
        <w:tc>
          <w:tcPr>
            <w:tcW w:w="0" w:type="auto"/>
            <w:gridSpan w:val="3"/>
            <w:vAlign w:val="center"/>
            <w:hideMark/>
          </w:tcPr>
          <w:p w14:paraId="19A47E10" w14:textId="77777777" w:rsidR="00000000" w:rsidRDefault="001A570A">
            <w:pPr>
              <w:rPr>
                <w:rFonts w:eastAsia="Times New Roman"/>
                <w:sz w:val="20"/>
                <w:szCs w:val="20"/>
              </w:rPr>
            </w:pPr>
          </w:p>
        </w:tc>
        <w:tc>
          <w:tcPr>
            <w:tcW w:w="0" w:type="auto"/>
            <w:gridSpan w:val="3"/>
            <w:vAlign w:val="center"/>
            <w:hideMark/>
          </w:tcPr>
          <w:p w14:paraId="5684DB04" w14:textId="77777777" w:rsidR="00000000" w:rsidRDefault="001A570A">
            <w:pPr>
              <w:rPr>
                <w:rFonts w:eastAsia="Times New Roman"/>
                <w:sz w:val="20"/>
                <w:szCs w:val="20"/>
              </w:rPr>
            </w:pPr>
          </w:p>
        </w:tc>
        <w:tc>
          <w:tcPr>
            <w:tcW w:w="0" w:type="auto"/>
            <w:gridSpan w:val="3"/>
            <w:vAlign w:val="center"/>
            <w:hideMark/>
          </w:tcPr>
          <w:p w14:paraId="41D312ED" w14:textId="77777777" w:rsidR="00000000" w:rsidRDefault="001A570A">
            <w:pPr>
              <w:rPr>
                <w:rFonts w:eastAsia="Times New Roman"/>
                <w:sz w:val="20"/>
                <w:szCs w:val="20"/>
              </w:rPr>
            </w:pPr>
          </w:p>
        </w:tc>
        <w:tc>
          <w:tcPr>
            <w:tcW w:w="0" w:type="auto"/>
            <w:vAlign w:val="center"/>
            <w:hideMark/>
          </w:tcPr>
          <w:p w14:paraId="5989EC35" w14:textId="77777777" w:rsidR="00000000" w:rsidRDefault="001A570A">
            <w:pPr>
              <w:rPr>
                <w:rFonts w:eastAsia="Times New Roman"/>
                <w:sz w:val="20"/>
                <w:szCs w:val="20"/>
              </w:rPr>
            </w:pPr>
          </w:p>
        </w:tc>
        <w:tc>
          <w:tcPr>
            <w:tcW w:w="0" w:type="auto"/>
            <w:vAlign w:val="center"/>
            <w:hideMark/>
          </w:tcPr>
          <w:p w14:paraId="1B378C7E" w14:textId="77777777" w:rsidR="00000000" w:rsidRDefault="001A570A">
            <w:pPr>
              <w:rPr>
                <w:rFonts w:eastAsia="Times New Roman"/>
                <w:sz w:val="20"/>
                <w:szCs w:val="20"/>
              </w:rPr>
            </w:pPr>
          </w:p>
        </w:tc>
      </w:tr>
      <w:tr w:rsidR="00000000" w14:paraId="20568420" w14:textId="77777777">
        <w:trPr>
          <w:divId w:val="700711999"/>
        </w:trPr>
        <w:tc>
          <w:tcPr>
            <w:tcW w:w="0" w:type="auto"/>
            <w:gridSpan w:val="3"/>
            <w:shd w:val="clear" w:color="auto" w:fill="CCEEFF"/>
            <w:tcMar>
              <w:top w:w="30" w:type="dxa"/>
              <w:left w:w="20" w:type="dxa"/>
              <w:bottom w:w="30" w:type="dxa"/>
              <w:right w:w="20" w:type="dxa"/>
            </w:tcMar>
            <w:hideMark/>
          </w:tcPr>
          <w:p w14:paraId="79E01ED8" w14:textId="77777777" w:rsidR="00000000" w:rsidRDefault="001A570A">
            <w:pPr>
              <w:divId w:val="845480825"/>
              <w:rPr>
                <w:rFonts w:eastAsia="Times New Roman"/>
              </w:rPr>
            </w:pPr>
            <w:r>
              <w:rPr>
                <w:rFonts w:eastAsia="Times New Roman"/>
                <w:color w:val="000000"/>
                <w:sz w:val="20"/>
                <w:szCs w:val="20"/>
              </w:rPr>
              <w:t>3.832</w:t>
            </w:r>
            <w:r>
              <w:rPr>
                <w:rFonts w:eastAsia="Times New Roman"/>
                <w:color w:val="000000"/>
                <w:sz w:val="20"/>
                <w:szCs w:val="20"/>
              </w:rPr>
              <w:t>% notes, due April 27, 2025</w:t>
            </w:r>
          </w:p>
        </w:tc>
        <w:tc>
          <w:tcPr>
            <w:tcW w:w="0" w:type="auto"/>
            <w:gridSpan w:val="2"/>
            <w:shd w:val="clear" w:color="auto" w:fill="CCEEFF"/>
            <w:tcMar>
              <w:top w:w="30" w:type="dxa"/>
              <w:left w:w="20" w:type="dxa"/>
              <w:bottom w:w="30" w:type="dxa"/>
              <w:right w:w="0" w:type="dxa"/>
            </w:tcMar>
            <w:vAlign w:val="bottom"/>
            <w:hideMark/>
          </w:tcPr>
          <w:p w14:paraId="260C2DAC" w14:textId="77777777" w:rsidR="00000000" w:rsidRDefault="001A570A">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14:paraId="3C40D3D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C777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0C4B5" w14:textId="77777777" w:rsidR="00000000" w:rsidRDefault="001A570A">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14:paraId="38974CD7" w14:textId="77777777" w:rsidR="00000000" w:rsidRDefault="001A570A">
            <w:pPr>
              <w:jc w:val="right"/>
              <w:rPr>
                <w:rFonts w:eastAsia="Times New Roman"/>
              </w:rPr>
            </w:pPr>
          </w:p>
        </w:tc>
        <w:tc>
          <w:tcPr>
            <w:tcW w:w="0" w:type="auto"/>
            <w:vAlign w:val="center"/>
            <w:hideMark/>
          </w:tcPr>
          <w:p w14:paraId="1F6B9BF7" w14:textId="77777777" w:rsidR="00000000" w:rsidRDefault="001A570A">
            <w:pPr>
              <w:jc w:val="right"/>
              <w:rPr>
                <w:rFonts w:eastAsia="Times New Roman"/>
                <w:sz w:val="20"/>
                <w:szCs w:val="20"/>
              </w:rPr>
            </w:pPr>
          </w:p>
        </w:tc>
        <w:tc>
          <w:tcPr>
            <w:tcW w:w="0" w:type="auto"/>
            <w:vAlign w:val="center"/>
            <w:hideMark/>
          </w:tcPr>
          <w:p w14:paraId="7E4B0D9F" w14:textId="77777777" w:rsidR="00000000" w:rsidRDefault="001A570A">
            <w:pPr>
              <w:rPr>
                <w:rFonts w:eastAsia="Times New Roman"/>
                <w:sz w:val="20"/>
                <w:szCs w:val="20"/>
              </w:rPr>
            </w:pPr>
          </w:p>
        </w:tc>
      </w:tr>
      <w:tr w:rsidR="00000000" w14:paraId="33FD76FB" w14:textId="77777777">
        <w:trPr>
          <w:divId w:val="700711999"/>
        </w:trPr>
        <w:tc>
          <w:tcPr>
            <w:tcW w:w="0" w:type="auto"/>
            <w:gridSpan w:val="3"/>
            <w:shd w:val="clear" w:color="auto" w:fill="FFFFFF"/>
            <w:tcMar>
              <w:top w:w="30" w:type="dxa"/>
              <w:left w:w="20" w:type="dxa"/>
              <w:bottom w:w="30" w:type="dxa"/>
              <w:right w:w="20" w:type="dxa"/>
            </w:tcMar>
            <w:hideMark/>
          </w:tcPr>
          <w:p w14:paraId="321780BD" w14:textId="77777777" w:rsidR="00000000" w:rsidRDefault="001A570A">
            <w:pPr>
              <w:divId w:val="904295740"/>
              <w:rPr>
                <w:rFonts w:eastAsia="Times New Roman"/>
              </w:rPr>
            </w:pPr>
            <w:r>
              <w:rPr>
                <w:rFonts w:eastAsia="Times New Roman"/>
                <w:color w:val="000000"/>
                <w:sz w:val="20"/>
                <w:szCs w:val="20"/>
              </w:rPr>
              <w:t>7.00% debentures, due January 15, 2026</w:t>
            </w:r>
          </w:p>
        </w:tc>
        <w:tc>
          <w:tcPr>
            <w:tcW w:w="0" w:type="auto"/>
            <w:gridSpan w:val="2"/>
            <w:shd w:val="clear" w:color="auto" w:fill="FFFFFF"/>
            <w:tcMar>
              <w:top w:w="30" w:type="dxa"/>
              <w:left w:w="20" w:type="dxa"/>
              <w:bottom w:w="30" w:type="dxa"/>
              <w:right w:w="0" w:type="dxa"/>
            </w:tcMar>
            <w:vAlign w:val="bottom"/>
            <w:hideMark/>
          </w:tcPr>
          <w:p w14:paraId="4AB2A694" w14:textId="77777777" w:rsidR="00000000" w:rsidRDefault="001A570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42AD66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DD00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1DA16" w14:textId="77777777" w:rsidR="00000000" w:rsidRDefault="001A570A">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43F82D0C" w14:textId="77777777" w:rsidR="00000000" w:rsidRDefault="001A570A">
            <w:pPr>
              <w:jc w:val="right"/>
              <w:rPr>
                <w:rFonts w:eastAsia="Times New Roman"/>
              </w:rPr>
            </w:pPr>
          </w:p>
        </w:tc>
        <w:tc>
          <w:tcPr>
            <w:tcW w:w="0" w:type="auto"/>
            <w:vAlign w:val="center"/>
            <w:hideMark/>
          </w:tcPr>
          <w:p w14:paraId="22E501E6" w14:textId="77777777" w:rsidR="00000000" w:rsidRDefault="001A570A">
            <w:pPr>
              <w:jc w:val="right"/>
              <w:rPr>
                <w:rFonts w:eastAsia="Times New Roman"/>
                <w:sz w:val="20"/>
                <w:szCs w:val="20"/>
              </w:rPr>
            </w:pPr>
          </w:p>
        </w:tc>
        <w:tc>
          <w:tcPr>
            <w:tcW w:w="0" w:type="auto"/>
            <w:vAlign w:val="center"/>
            <w:hideMark/>
          </w:tcPr>
          <w:p w14:paraId="4686948B" w14:textId="77777777" w:rsidR="00000000" w:rsidRDefault="001A570A">
            <w:pPr>
              <w:rPr>
                <w:rFonts w:eastAsia="Times New Roman"/>
                <w:sz w:val="20"/>
                <w:szCs w:val="20"/>
              </w:rPr>
            </w:pPr>
          </w:p>
        </w:tc>
      </w:tr>
      <w:tr w:rsidR="00000000" w14:paraId="239D1B54" w14:textId="77777777">
        <w:trPr>
          <w:divId w:val="700711999"/>
        </w:trPr>
        <w:tc>
          <w:tcPr>
            <w:tcW w:w="0" w:type="auto"/>
            <w:gridSpan w:val="3"/>
            <w:shd w:val="clear" w:color="auto" w:fill="CCEEFF"/>
            <w:tcMar>
              <w:top w:w="30" w:type="dxa"/>
              <w:left w:w="20" w:type="dxa"/>
              <w:bottom w:w="30" w:type="dxa"/>
              <w:right w:w="20" w:type="dxa"/>
            </w:tcMar>
            <w:hideMark/>
          </w:tcPr>
          <w:p w14:paraId="1DCA56E6" w14:textId="77777777" w:rsidR="00000000" w:rsidRDefault="001A570A">
            <w:pPr>
              <w:divId w:val="721103391"/>
              <w:rPr>
                <w:rFonts w:eastAsia="Times New Roman"/>
              </w:rPr>
            </w:pPr>
            <w:r>
              <w:rPr>
                <w:rFonts w:eastAsia="Times New Roman"/>
                <w:color w:val="000000"/>
                <w:sz w:val="20"/>
                <w:szCs w:val="20"/>
              </w:rPr>
              <w:t>3.85% notes, due December 15, 2026</w:t>
            </w:r>
          </w:p>
        </w:tc>
        <w:tc>
          <w:tcPr>
            <w:tcW w:w="0" w:type="auto"/>
            <w:gridSpan w:val="2"/>
            <w:shd w:val="clear" w:color="auto" w:fill="CCEEFF"/>
            <w:tcMar>
              <w:top w:w="30" w:type="dxa"/>
              <w:left w:w="20" w:type="dxa"/>
              <w:bottom w:w="30" w:type="dxa"/>
              <w:right w:w="0" w:type="dxa"/>
            </w:tcMar>
            <w:vAlign w:val="bottom"/>
            <w:hideMark/>
          </w:tcPr>
          <w:p w14:paraId="7674759E" w14:textId="77777777" w:rsidR="00000000" w:rsidRDefault="001A570A">
            <w:pPr>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14:paraId="6CD113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369F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33EAA3" w14:textId="77777777" w:rsidR="00000000" w:rsidRDefault="001A570A">
            <w:pPr>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14:paraId="46BD4FDF" w14:textId="77777777" w:rsidR="00000000" w:rsidRDefault="001A570A">
            <w:pPr>
              <w:jc w:val="right"/>
              <w:rPr>
                <w:rFonts w:eastAsia="Times New Roman"/>
              </w:rPr>
            </w:pPr>
          </w:p>
        </w:tc>
        <w:tc>
          <w:tcPr>
            <w:tcW w:w="0" w:type="auto"/>
            <w:vAlign w:val="center"/>
            <w:hideMark/>
          </w:tcPr>
          <w:p w14:paraId="67AE03FD" w14:textId="77777777" w:rsidR="00000000" w:rsidRDefault="001A570A">
            <w:pPr>
              <w:jc w:val="right"/>
              <w:rPr>
                <w:rFonts w:eastAsia="Times New Roman"/>
                <w:sz w:val="20"/>
                <w:szCs w:val="20"/>
              </w:rPr>
            </w:pPr>
          </w:p>
        </w:tc>
        <w:tc>
          <w:tcPr>
            <w:tcW w:w="0" w:type="auto"/>
            <w:vAlign w:val="center"/>
            <w:hideMark/>
          </w:tcPr>
          <w:p w14:paraId="19DBE2EB" w14:textId="77777777" w:rsidR="00000000" w:rsidRDefault="001A570A">
            <w:pPr>
              <w:rPr>
                <w:rFonts w:eastAsia="Times New Roman"/>
                <w:sz w:val="20"/>
                <w:szCs w:val="20"/>
              </w:rPr>
            </w:pPr>
          </w:p>
        </w:tc>
      </w:tr>
      <w:tr w:rsidR="00000000" w14:paraId="7B512941" w14:textId="77777777">
        <w:trPr>
          <w:divId w:val="700711999"/>
        </w:trPr>
        <w:tc>
          <w:tcPr>
            <w:tcW w:w="0" w:type="auto"/>
            <w:gridSpan w:val="3"/>
            <w:shd w:val="clear" w:color="auto" w:fill="FFFFFF"/>
            <w:tcMar>
              <w:top w:w="30" w:type="dxa"/>
              <w:left w:w="20" w:type="dxa"/>
              <w:bottom w:w="30" w:type="dxa"/>
              <w:right w:w="20" w:type="dxa"/>
            </w:tcMar>
            <w:hideMark/>
          </w:tcPr>
          <w:p w14:paraId="5D2E23B4" w14:textId="77777777" w:rsidR="00000000" w:rsidRDefault="001A570A">
            <w:pPr>
              <w:divId w:val="1779837762"/>
              <w:rPr>
                <w:rFonts w:eastAsia="Times New Roman"/>
              </w:rPr>
            </w:pPr>
            <w:r>
              <w:rPr>
                <w:rFonts w:eastAsia="Times New Roman"/>
                <w:color w:val="000000"/>
                <w:sz w:val="20"/>
                <w:szCs w:val="20"/>
              </w:rPr>
              <w:t>6.35% debentures, due February 1, 2028</w:t>
            </w:r>
          </w:p>
        </w:tc>
        <w:tc>
          <w:tcPr>
            <w:tcW w:w="0" w:type="auto"/>
            <w:gridSpan w:val="2"/>
            <w:shd w:val="clear" w:color="auto" w:fill="FFFFFF"/>
            <w:tcMar>
              <w:top w:w="30" w:type="dxa"/>
              <w:left w:w="20" w:type="dxa"/>
              <w:bottom w:w="30" w:type="dxa"/>
              <w:right w:w="0" w:type="dxa"/>
            </w:tcMar>
            <w:vAlign w:val="bottom"/>
            <w:hideMark/>
          </w:tcPr>
          <w:p w14:paraId="4E1CA773"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3C50D8A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4F59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D35D4"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6726FFC6" w14:textId="77777777" w:rsidR="00000000" w:rsidRDefault="001A570A">
            <w:pPr>
              <w:jc w:val="right"/>
              <w:rPr>
                <w:rFonts w:eastAsia="Times New Roman"/>
              </w:rPr>
            </w:pPr>
          </w:p>
        </w:tc>
        <w:tc>
          <w:tcPr>
            <w:tcW w:w="0" w:type="auto"/>
            <w:vAlign w:val="center"/>
            <w:hideMark/>
          </w:tcPr>
          <w:p w14:paraId="5E2F2F23" w14:textId="77777777" w:rsidR="00000000" w:rsidRDefault="001A570A">
            <w:pPr>
              <w:jc w:val="right"/>
              <w:rPr>
                <w:rFonts w:eastAsia="Times New Roman"/>
                <w:sz w:val="20"/>
                <w:szCs w:val="20"/>
              </w:rPr>
            </w:pPr>
          </w:p>
        </w:tc>
        <w:tc>
          <w:tcPr>
            <w:tcW w:w="0" w:type="auto"/>
            <w:vAlign w:val="center"/>
            <w:hideMark/>
          </w:tcPr>
          <w:p w14:paraId="5330343F" w14:textId="77777777" w:rsidR="00000000" w:rsidRDefault="001A570A">
            <w:pPr>
              <w:rPr>
                <w:rFonts w:eastAsia="Times New Roman"/>
                <w:sz w:val="20"/>
                <w:szCs w:val="20"/>
              </w:rPr>
            </w:pPr>
          </w:p>
        </w:tc>
      </w:tr>
      <w:tr w:rsidR="00000000" w14:paraId="790287A6" w14:textId="77777777">
        <w:trPr>
          <w:divId w:val="700711999"/>
        </w:trPr>
        <w:tc>
          <w:tcPr>
            <w:tcW w:w="0" w:type="auto"/>
            <w:gridSpan w:val="3"/>
            <w:shd w:val="clear" w:color="auto" w:fill="CCEEFF"/>
            <w:tcMar>
              <w:top w:w="30" w:type="dxa"/>
              <w:left w:w="20" w:type="dxa"/>
              <w:bottom w:w="30" w:type="dxa"/>
              <w:right w:w="20" w:type="dxa"/>
            </w:tcMar>
            <w:hideMark/>
          </w:tcPr>
          <w:p w14:paraId="73A890AE" w14:textId="77777777" w:rsidR="00000000" w:rsidRDefault="001A570A">
            <w:pPr>
              <w:divId w:val="427694663"/>
              <w:rPr>
                <w:rFonts w:eastAsia="Times New Roman"/>
              </w:rPr>
            </w:pPr>
            <w:r>
              <w:rPr>
                <w:rFonts w:eastAsia="Times New Roman"/>
                <w:color w:val="000000"/>
                <w:sz w:val="20"/>
                <w:szCs w:val="20"/>
              </w:rPr>
              <w:t>4.40</w:t>
            </w:r>
            <w:r>
              <w:rPr>
                <w:rFonts w:eastAsia="Times New Roman"/>
                <w:color w:val="000000"/>
                <w:sz w:val="20"/>
                <w:szCs w:val="20"/>
              </w:rPr>
              <w:t>% notes, due June 15, 2028</w:t>
            </w:r>
          </w:p>
        </w:tc>
        <w:tc>
          <w:tcPr>
            <w:tcW w:w="0" w:type="auto"/>
            <w:gridSpan w:val="2"/>
            <w:shd w:val="clear" w:color="auto" w:fill="CCEEFF"/>
            <w:tcMar>
              <w:top w:w="30" w:type="dxa"/>
              <w:left w:w="20" w:type="dxa"/>
              <w:bottom w:w="30" w:type="dxa"/>
              <w:right w:w="0" w:type="dxa"/>
            </w:tcMar>
            <w:vAlign w:val="bottom"/>
            <w:hideMark/>
          </w:tcPr>
          <w:p w14:paraId="24C35CF9" w14:textId="77777777" w:rsidR="00000000" w:rsidRDefault="001A570A">
            <w:pPr>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14:paraId="75D2766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42A6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A751F" w14:textId="77777777" w:rsidR="00000000" w:rsidRDefault="001A570A">
            <w:pPr>
              <w:jc w:val="right"/>
              <w:rPr>
                <w:rFonts w:eastAsia="Times New Roman"/>
              </w:rPr>
            </w:pPr>
            <w:r>
              <w:rPr>
                <w:rFonts w:eastAsia="Times New Roman"/>
                <w:color w:val="000000"/>
                <w:sz w:val="20"/>
                <w:szCs w:val="20"/>
              </w:rPr>
              <w:t>1,850 </w:t>
            </w:r>
          </w:p>
        </w:tc>
        <w:tc>
          <w:tcPr>
            <w:tcW w:w="0" w:type="auto"/>
            <w:shd w:val="clear" w:color="auto" w:fill="CCEEFF"/>
            <w:tcMar>
              <w:top w:w="30" w:type="dxa"/>
              <w:left w:w="0" w:type="dxa"/>
              <w:bottom w:w="30" w:type="dxa"/>
              <w:right w:w="20" w:type="dxa"/>
            </w:tcMar>
            <w:vAlign w:val="bottom"/>
            <w:hideMark/>
          </w:tcPr>
          <w:p w14:paraId="1C5C14B5" w14:textId="77777777" w:rsidR="00000000" w:rsidRDefault="001A570A">
            <w:pPr>
              <w:jc w:val="right"/>
              <w:rPr>
                <w:rFonts w:eastAsia="Times New Roman"/>
              </w:rPr>
            </w:pPr>
          </w:p>
        </w:tc>
        <w:tc>
          <w:tcPr>
            <w:tcW w:w="0" w:type="auto"/>
            <w:vAlign w:val="center"/>
            <w:hideMark/>
          </w:tcPr>
          <w:p w14:paraId="139333B5" w14:textId="77777777" w:rsidR="00000000" w:rsidRDefault="001A570A">
            <w:pPr>
              <w:jc w:val="right"/>
              <w:rPr>
                <w:rFonts w:eastAsia="Times New Roman"/>
                <w:sz w:val="20"/>
                <w:szCs w:val="20"/>
              </w:rPr>
            </w:pPr>
          </w:p>
        </w:tc>
        <w:tc>
          <w:tcPr>
            <w:tcW w:w="0" w:type="auto"/>
            <w:vAlign w:val="center"/>
            <w:hideMark/>
          </w:tcPr>
          <w:p w14:paraId="113352F7" w14:textId="77777777" w:rsidR="00000000" w:rsidRDefault="001A570A">
            <w:pPr>
              <w:rPr>
                <w:rFonts w:eastAsia="Times New Roman"/>
                <w:sz w:val="20"/>
                <w:szCs w:val="20"/>
              </w:rPr>
            </w:pPr>
          </w:p>
        </w:tc>
      </w:tr>
      <w:tr w:rsidR="00000000" w14:paraId="0A015499" w14:textId="77777777">
        <w:trPr>
          <w:divId w:val="700711999"/>
        </w:trPr>
        <w:tc>
          <w:tcPr>
            <w:tcW w:w="0" w:type="auto"/>
            <w:gridSpan w:val="3"/>
            <w:shd w:val="clear" w:color="auto" w:fill="FFFFFF"/>
            <w:tcMar>
              <w:top w:w="30" w:type="dxa"/>
              <w:left w:w="20" w:type="dxa"/>
              <w:bottom w:w="30" w:type="dxa"/>
              <w:right w:w="20" w:type="dxa"/>
            </w:tcMar>
            <w:hideMark/>
          </w:tcPr>
          <w:p w14:paraId="711AD4CD" w14:textId="77777777" w:rsidR="00000000" w:rsidRDefault="001A570A">
            <w:pPr>
              <w:divId w:val="490027381"/>
              <w:rPr>
                <w:rFonts w:eastAsia="Times New Roman"/>
              </w:rPr>
            </w:pPr>
            <w:r>
              <w:rPr>
                <w:rFonts w:eastAsia="Times New Roman"/>
                <w:color w:val="000000"/>
                <w:sz w:val="20"/>
                <w:szCs w:val="20"/>
              </w:rPr>
              <w:t>2.90% notes, due December 15, 2029</w:t>
            </w:r>
          </w:p>
        </w:tc>
        <w:tc>
          <w:tcPr>
            <w:tcW w:w="0" w:type="auto"/>
            <w:gridSpan w:val="2"/>
            <w:shd w:val="clear" w:color="auto" w:fill="FFFFFF"/>
            <w:tcMar>
              <w:top w:w="30" w:type="dxa"/>
              <w:left w:w="20" w:type="dxa"/>
              <w:bottom w:w="30" w:type="dxa"/>
              <w:right w:w="0" w:type="dxa"/>
            </w:tcMar>
            <w:vAlign w:val="bottom"/>
            <w:hideMark/>
          </w:tcPr>
          <w:p w14:paraId="2D62B316" w14:textId="77777777" w:rsidR="00000000" w:rsidRDefault="001A570A">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3E7D1B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7579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762EA" w14:textId="77777777" w:rsidR="00000000" w:rsidRDefault="001A570A">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3EDA93E8" w14:textId="77777777" w:rsidR="00000000" w:rsidRDefault="001A570A">
            <w:pPr>
              <w:jc w:val="right"/>
              <w:rPr>
                <w:rFonts w:eastAsia="Times New Roman"/>
              </w:rPr>
            </w:pPr>
          </w:p>
        </w:tc>
        <w:tc>
          <w:tcPr>
            <w:tcW w:w="0" w:type="auto"/>
            <w:vAlign w:val="center"/>
            <w:hideMark/>
          </w:tcPr>
          <w:p w14:paraId="62691082" w14:textId="77777777" w:rsidR="00000000" w:rsidRDefault="001A570A">
            <w:pPr>
              <w:jc w:val="right"/>
              <w:rPr>
                <w:rFonts w:eastAsia="Times New Roman"/>
                <w:sz w:val="20"/>
                <w:szCs w:val="20"/>
              </w:rPr>
            </w:pPr>
          </w:p>
        </w:tc>
        <w:tc>
          <w:tcPr>
            <w:tcW w:w="0" w:type="auto"/>
            <w:vAlign w:val="center"/>
            <w:hideMark/>
          </w:tcPr>
          <w:p w14:paraId="73AB3446" w14:textId="77777777" w:rsidR="00000000" w:rsidRDefault="001A570A">
            <w:pPr>
              <w:rPr>
                <w:rFonts w:eastAsia="Times New Roman"/>
                <w:sz w:val="20"/>
                <w:szCs w:val="20"/>
              </w:rPr>
            </w:pPr>
          </w:p>
        </w:tc>
      </w:tr>
      <w:tr w:rsidR="00000000" w14:paraId="19311BDB" w14:textId="77777777">
        <w:trPr>
          <w:divId w:val="700711999"/>
        </w:trPr>
        <w:tc>
          <w:tcPr>
            <w:tcW w:w="0" w:type="auto"/>
            <w:gridSpan w:val="3"/>
            <w:shd w:val="clear" w:color="auto" w:fill="CCEEFF"/>
            <w:tcMar>
              <w:top w:w="30" w:type="dxa"/>
              <w:left w:w="20" w:type="dxa"/>
              <w:bottom w:w="30" w:type="dxa"/>
              <w:right w:w="20" w:type="dxa"/>
            </w:tcMar>
            <w:hideMark/>
          </w:tcPr>
          <w:p w14:paraId="70172C19" w14:textId="77777777" w:rsidR="00000000" w:rsidRDefault="001A570A">
            <w:pPr>
              <w:divId w:val="1286041608"/>
              <w:rPr>
                <w:rFonts w:eastAsia="Times New Roman"/>
              </w:rPr>
            </w:pPr>
            <w:r>
              <w:rPr>
                <w:rFonts w:eastAsia="Times New Roman"/>
                <w:color w:val="000000"/>
                <w:sz w:val="20"/>
                <w:szCs w:val="20"/>
              </w:rPr>
              <w:t>1.80% notes, due January 15, 2031</w:t>
            </w:r>
          </w:p>
        </w:tc>
        <w:tc>
          <w:tcPr>
            <w:tcW w:w="0" w:type="auto"/>
            <w:gridSpan w:val="2"/>
            <w:shd w:val="clear" w:color="auto" w:fill="CCEEFF"/>
            <w:tcMar>
              <w:top w:w="30" w:type="dxa"/>
              <w:left w:w="20" w:type="dxa"/>
              <w:bottom w:w="30" w:type="dxa"/>
              <w:right w:w="0" w:type="dxa"/>
            </w:tcMar>
            <w:vAlign w:val="bottom"/>
            <w:hideMark/>
          </w:tcPr>
          <w:p w14:paraId="4403B5F7" w14:textId="77777777" w:rsidR="00000000" w:rsidRDefault="001A570A">
            <w:pPr>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14:paraId="5D689A5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71FF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1ADA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BED919" w14:textId="77777777" w:rsidR="00000000" w:rsidRDefault="001A570A">
            <w:pPr>
              <w:jc w:val="right"/>
              <w:rPr>
                <w:rFonts w:eastAsia="Times New Roman"/>
              </w:rPr>
            </w:pPr>
          </w:p>
        </w:tc>
        <w:tc>
          <w:tcPr>
            <w:tcW w:w="0" w:type="auto"/>
            <w:vAlign w:val="center"/>
            <w:hideMark/>
          </w:tcPr>
          <w:p w14:paraId="529B653B" w14:textId="77777777" w:rsidR="00000000" w:rsidRDefault="001A570A">
            <w:pPr>
              <w:jc w:val="right"/>
              <w:rPr>
                <w:rFonts w:eastAsia="Times New Roman"/>
                <w:sz w:val="20"/>
                <w:szCs w:val="20"/>
              </w:rPr>
            </w:pPr>
          </w:p>
        </w:tc>
        <w:tc>
          <w:tcPr>
            <w:tcW w:w="0" w:type="auto"/>
            <w:vAlign w:val="center"/>
            <w:hideMark/>
          </w:tcPr>
          <w:p w14:paraId="2E875769" w14:textId="77777777" w:rsidR="00000000" w:rsidRDefault="001A570A">
            <w:pPr>
              <w:rPr>
                <w:rFonts w:eastAsia="Times New Roman"/>
                <w:sz w:val="20"/>
                <w:szCs w:val="20"/>
              </w:rPr>
            </w:pPr>
          </w:p>
        </w:tc>
      </w:tr>
      <w:tr w:rsidR="00000000" w14:paraId="3B52C7E0" w14:textId="77777777">
        <w:trPr>
          <w:divId w:val="700711999"/>
        </w:trPr>
        <w:tc>
          <w:tcPr>
            <w:tcW w:w="0" w:type="auto"/>
            <w:gridSpan w:val="3"/>
            <w:shd w:val="clear" w:color="auto" w:fill="FFFFFF"/>
            <w:tcMar>
              <w:top w:w="30" w:type="dxa"/>
              <w:left w:w="20" w:type="dxa"/>
              <w:bottom w:w="30" w:type="dxa"/>
              <w:right w:w="20" w:type="dxa"/>
            </w:tcMar>
            <w:hideMark/>
          </w:tcPr>
          <w:p w14:paraId="0C0669B1" w14:textId="77777777" w:rsidR="00000000" w:rsidRDefault="001A570A">
            <w:pPr>
              <w:divId w:val="179391437"/>
              <w:rPr>
                <w:rFonts w:eastAsia="Times New Roman"/>
              </w:rPr>
            </w:pPr>
            <w:r>
              <w:rPr>
                <w:rFonts w:eastAsia="Times New Roman"/>
                <w:color w:val="000000"/>
                <w:sz w:val="20"/>
                <w:szCs w:val="20"/>
              </w:rPr>
              <w:t>4.854% notes, due April 27, 2035</w:t>
            </w:r>
          </w:p>
        </w:tc>
        <w:tc>
          <w:tcPr>
            <w:tcW w:w="0" w:type="auto"/>
            <w:gridSpan w:val="2"/>
            <w:shd w:val="clear" w:color="auto" w:fill="FFFFFF"/>
            <w:tcMar>
              <w:top w:w="30" w:type="dxa"/>
              <w:left w:w="20" w:type="dxa"/>
              <w:bottom w:w="30" w:type="dxa"/>
              <w:right w:w="0" w:type="dxa"/>
            </w:tcMar>
            <w:vAlign w:val="bottom"/>
            <w:hideMark/>
          </w:tcPr>
          <w:p w14:paraId="6D116990" w14:textId="77777777" w:rsidR="00000000" w:rsidRDefault="001A570A">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500BB7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5728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76A6D" w14:textId="77777777" w:rsidR="00000000" w:rsidRDefault="001A570A">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240AB93B" w14:textId="77777777" w:rsidR="00000000" w:rsidRDefault="001A570A">
            <w:pPr>
              <w:jc w:val="right"/>
              <w:rPr>
                <w:rFonts w:eastAsia="Times New Roman"/>
              </w:rPr>
            </w:pPr>
          </w:p>
        </w:tc>
        <w:tc>
          <w:tcPr>
            <w:tcW w:w="0" w:type="auto"/>
            <w:vAlign w:val="center"/>
            <w:hideMark/>
          </w:tcPr>
          <w:p w14:paraId="4A70D9E9" w14:textId="77777777" w:rsidR="00000000" w:rsidRDefault="001A570A">
            <w:pPr>
              <w:jc w:val="right"/>
              <w:rPr>
                <w:rFonts w:eastAsia="Times New Roman"/>
                <w:sz w:val="20"/>
                <w:szCs w:val="20"/>
              </w:rPr>
            </w:pPr>
          </w:p>
        </w:tc>
        <w:tc>
          <w:tcPr>
            <w:tcW w:w="0" w:type="auto"/>
            <w:vAlign w:val="center"/>
            <w:hideMark/>
          </w:tcPr>
          <w:p w14:paraId="66649270" w14:textId="77777777" w:rsidR="00000000" w:rsidRDefault="001A570A">
            <w:pPr>
              <w:rPr>
                <w:rFonts w:eastAsia="Times New Roman"/>
                <w:sz w:val="20"/>
                <w:szCs w:val="20"/>
              </w:rPr>
            </w:pPr>
          </w:p>
        </w:tc>
      </w:tr>
      <w:tr w:rsidR="00000000" w14:paraId="3085C46E" w14:textId="77777777">
        <w:trPr>
          <w:divId w:val="700711999"/>
        </w:trPr>
        <w:tc>
          <w:tcPr>
            <w:tcW w:w="0" w:type="auto"/>
            <w:gridSpan w:val="3"/>
            <w:shd w:val="clear" w:color="auto" w:fill="CCEEFF"/>
            <w:tcMar>
              <w:top w:w="30" w:type="dxa"/>
              <w:left w:w="20" w:type="dxa"/>
              <w:bottom w:w="30" w:type="dxa"/>
              <w:right w:w="20" w:type="dxa"/>
            </w:tcMar>
            <w:hideMark/>
          </w:tcPr>
          <w:p w14:paraId="71CAB982" w14:textId="77777777" w:rsidR="00000000" w:rsidRDefault="001A570A">
            <w:pPr>
              <w:divId w:val="383870818"/>
              <w:rPr>
                <w:rFonts w:eastAsia="Times New Roman"/>
              </w:rPr>
            </w:pPr>
            <w:r>
              <w:rPr>
                <w:rFonts w:eastAsia="Times New Roman"/>
                <w:color w:val="000000"/>
                <w:sz w:val="20"/>
                <w:szCs w:val="20"/>
              </w:rPr>
              <w:t>6.15</w:t>
            </w:r>
            <w:r>
              <w:rPr>
                <w:rFonts w:eastAsia="Times New Roman"/>
                <w:color w:val="000000"/>
                <w:sz w:val="20"/>
                <w:szCs w:val="20"/>
              </w:rPr>
              <w:t>% notes, due December 15, 2040</w:t>
            </w:r>
          </w:p>
        </w:tc>
        <w:tc>
          <w:tcPr>
            <w:tcW w:w="0" w:type="auto"/>
            <w:gridSpan w:val="2"/>
            <w:shd w:val="clear" w:color="auto" w:fill="CCEEFF"/>
            <w:tcMar>
              <w:top w:w="30" w:type="dxa"/>
              <w:left w:w="20" w:type="dxa"/>
              <w:bottom w:w="30" w:type="dxa"/>
              <w:right w:w="0" w:type="dxa"/>
            </w:tcMar>
            <w:vAlign w:val="bottom"/>
            <w:hideMark/>
          </w:tcPr>
          <w:p w14:paraId="093BA7F7" w14:textId="77777777" w:rsidR="00000000" w:rsidRDefault="001A570A">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50A76C6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64B5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B50A9F" w14:textId="77777777" w:rsidR="00000000" w:rsidRDefault="001A570A">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5C652A36" w14:textId="77777777" w:rsidR="00000000" w:rsidRDefault="001A570A">
            <w:pPr>
              <w:jc w:val="right"/>
              <w:rPr>
                <w:rFonts w:eastAsia="Times New Roman"/>
              </w:rPr>
            </w:pPr>
          </w:p>
        </w:tc>
        <w:tc>
          <w:tcPr>
            <w:tcW w:w="0" w:type="auto"/>
            <w:vAlign w:val="center"/>
            <w:hideMark/>
          </w:tcPr>
          <w:p w14:paraId="30113927" w14:textId="77777777" w:rsidR="00000000" w:rsidRDefault="001A570A">
            <w:pPr>
              <w:jc w:val="right"/>
              <w:rPr>
                <w:rFonts w:eastAsia="Times New Roman"/>
                <w:sz w:val="20"/>
                <w:szCs w:val="20"/>
              </w:rPr>
            </w:pPr>
          </w:p>
        </w:tc>
        <w:tc>
          <w:tcPr>
            <w:tcW w:w="0" w:type="auto"/>
            <w:vAlign w:val="center"/>
            <w:hideMark/>
          </w:tcPr>
          <w:p w14:paraId="1FCA5759" w14:textId="77777777" w:rsidR="00000000" w:rsidRDefault="001A570A">
            <w:pPr>
              <w:rPr>
                <w:rFonts w:eastAsia="Times New Roman"/>
                <w:sz w:val="20"/>
                <w:szCs w:val="20"/>
              </w:rPr>
            </w:pPr>
          </w:p>
        </w:tc>
      </w:tr>
      <w:tr w:rsidR="00000000" w14:paraId="1CB8861E" w14:textId="77777777">
        <w:trPr>
          <w:divId w:val="700711999"/>
        </w:trPr>
        <w:tc>
          <w:tcPr>
            <w:tcW w:w="0" w:type="auto"/>
            <w:gridSpan w:val="3"/>
            <w:shd w:val="clear" w:color="auto" w:fill="FFFFFF"/>
            <w:tcMar>
              <w:top w:w="30" w:type="dxa"/>
              <w:left w:w="20" w:type="dxa"/>
              <w:bottom w:w="30" w:type="dxa"/>
              <w:right w:w="20" w:type="dxa"/>
            </w:tcMar>
            <w:hideMark/>
          </w:tcPr>
          <w:p w14:paraId="16CD744C" w14:textId="77777777" w:rsidR="00000000" w:rsidRDefault="001A570A">
            <w:pPr>
              <w:divId w:val="1052314635"/>
              <w:rPr>
                <w:rFonts w:eastAsia="Times New Roman"/>
              </w:rPr>
            </w:pPr>
            <w:r>
              <w:rPr>
                <w:rFonts w:eastAsia="Times New Roman"/>
                <w:color w:val="000000"/>
                <w:sz w:val="20"/>
                <w:szCs w:val="20"/>
              </w:rPr>
              <w:t>5.054% notes, due April 27, 2045</w:t>
            </w:r>
          </w:p>
        </w:tc>
        <w:tc>
          <w:tcPr>
            <w:tcW w:w="0" w:type="auto"/>
            <w:gridSpan w:val="2"/>
            <w:shd w:val="clear" w:color="auto" w:fill="FFFFFF"/>
            <w:tcMar>
              <w:top w:w="30" w:type="dxa"/>
              <w:left w:w="20" w:type="dxa"/>
              <w:bottom w:w="30" w:type="dxa"/>
              <w:right w:w="0" w:type="dxa"/>
            </w:tcMar>
            <w:vAlign w:val="bottom"/>
            <w:hideMark/>
          </w:tcPr>
          <w:p w14:paraId="62F35442" w14:textId="77777777" w:rsidR="00000000" w:rsidRDefault="001A570A">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2BF4613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22A6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1D728" w14:textId="77777777" w:rsidR="00000000" w:rsidRDefault="001A570A">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768811A3" w14:textId="77777777" w:rsidR="00000000" w:rsidRDefault="001A570A">
            <w:pPr>
              <w:jc w:val="right"/>
              <w:rPr>
                <w:rFonts w:eastAsia="Times New Roman"/>
              </w:rPr>
            </w:pPr>
          </w:p>
        </w:tc>
        <w:tc>
          <w:tcPr>
            <w:tcW w:w="0" w:type="auto"/>
            <w:vAlign w:val="center"/>
            <w:hideMark/>
          </w:tcPr>
          <w:p w14:paraId="5D19A0EF" w14:textId="77777777" w:rsidR="00000000" w:rsidRDefault="001A570A">
            <w:pPr>
              <w:jc w:val="right"/>
              <w:rPr>
                <w:rFonts w:eastAsia="Times New Roman"/>
                <w:sz w:val="20"/>
                <w:szCs w:val="20"/>
              </w:rPr>
            </w:pPr>
          </w:p>
        </w:tc>
        <w:tc>
          <w:tcPr>
            <w:tcW w:w="0" w:type="auto"/>
            <w:vAlign w:val="center"/>
            <w:hideMark/>
          </w:tcPr>
          <w:p w14:paraId="3B3FE171" w14:textId="77777777" w:rsidR="00000000" w:rsidRDefault="001A570A">
            <w:pPr>
              <w:rPr>
                <w:rFonts w:eastAsia="Times New Roman"/>
                <w:sz w:val="20"/>
                <w:szCs w:val="20"/>
              </w:rPr>
            </w:pPr>
          </w:p>
        </w:tc>
      </w:tr>
      <w:tr w:rsidR="00000000" w14:paraId="2262CAB6" w14:textId="77777777">
        <w:trPr>
          <w:divId w:val="700711999"/>
        </w:trPr>
        <w:tc>
          <w:tcPr>
            <w:tcW w:w="0" w:type="auto"/>
            <w:gridSpan w:val="3"/>
            <w:shd w:val="clear" w:color="auto" w:fill="CCEEFF"/>
            <w:tcMar>
              <w:top w:w="30" w:type="dxa"/>
              <w:left w:w="155" w:type="dxa"/>
              <w:bottom w:w="30" w:type="dxa"/>
              <w:right w:w="20" w:type="dxa"/>
            </w:tcMar>
            <w:hideMark/>
          </w:tcPr>
          <w:p w14:paraId="6DFDED1C"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17E3E90" w14:textId="77777777" w:rsidR="00000000" w:rsidRDefault="001A570A">
            <w:pPr>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14:paraId="2332E9A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ADFF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AE21CE"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17539C0D" w14:textId="77777777" w:rsidR="00000000" w:rsidRDefault="001A570A">
            <w:pPr>
              <w:jc w:val="right"/>
              <w:rPr>
                <w:rFonts w:eastAsia="Times New Roman"/>
              </w:rPr>
            </w:pPr>
          </w:p>
        </w:tc>
        <w:tc>
          <w:tcPr>
            <w:tcW w:w="0" w:type="auto"/>
            <w:vAlign w:val="center"/>
            <w:hideMark/>
          </w:tcPr>
          <w:p w14:paraId="7D966BBF" w14:textId="77777777" w:rsidR="00000000" w:rsidRDefault="001A570A">
            <w:pPr>
              <w:jc w:val="right"/>
              <w:rPr>
                <w:rFonts w:eastAsia="Times New Roman"/>
                <w:sz w:val="20"/>
                <w:szCs w:val="20"/>
              </w:rPr>
            </w:pPr>
          </w:p>
        </w:tc>
        <w:tc>
          <w:tcPr>
            <w:tcW w:w="0" w:type="auto"/>
            <w:vAlign w:val="center"/>
            <w:hideMark/>
          </w:tcPr>
          <w:p w14:paraId="0EB0741A" w14:textId="77777777" w:rsidR="00000000" w:rsidRDefault="001A570A">
            <w:pPr>
              <w:rPr>
                <w:rFonts w:eastAsia="Times New Roman"/>
                <w:sz w:val="20"/>
                <w:szCs w:val="20"/>
              </w:rPr>
            </w:pPr>
          </w:p>
        </w:tc>
      </w:tr>
      <w:tr w:rsidR="00000000" w14:paraId="399FAB63" w14:textId="77777777">
        <w:trPr>
          <w:divId w:val="700711999"/>
        </w:trPr>
        <w:tc>
          <w:tcPr>
            <w:tcW w:w="0" w:type="auto"/>
            <w:gridSpan w:val="3"/>
            <w:shd w:val="clear" w:color="auto" w:fill="FFFFFF"/>
            <w:tcMar>
              <w:top w:w="30" w:type="dxa"/>
              <w:left w:w="20" w:type="dxa"/>
              <w:bottom w:w="30" w:type="dxa"/>
              <w:right w:w="20" w:type="dxa"/>
            </w:tcMar>
            <w:hideMark/>
          </w:tcPr>
          <w:p w14:paraId="4307639C" w14:textId="77777777" w:rsidR="00000000" w:rsidRDefault="001A570A">
            <w:pPr>
              <w:rPr>
                <w:rFonts w:eastAsia="Times New Roman"/>
              </w:rPr>
            </w:pPr>
            <w:r>
              <w:rPr>
                <w:rFonts w:eastAsia="Times New Roman"/>
                <w:color w:val="000000"/>
                <w:sz w:val="20"/>
                <w:szCs w:val="20"/>
              </w:rPr>
              <w:t>Total fixed-rate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853A0E" w14:textId="77777777" w:rsidR="00000000" w:rsidRDefault="001A570A">
            <w:pPr>
              <w:jc w:val="right"/>
              <w:rPr>
                <w:rFonts w:eastAsia="Times New Roman"/>
              </w:rPr>
            </w:pPr>
            <w:r>
              <w:rPr>
                <w:rFonts w:eastAsia="Times New Roman"/>
                <w:color w:val="000000"/>
                <w:sz w:val="20"/>
                <w:szCs w:val="20"/>
              </w:rPr>
              <w:t>6,582 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0F1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E4B4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6A4247" w14:textId="77777777" w:rsidR="00000000" w:rsidRDefault="001A570A">
            <w:pPr>
              <w:jc w:val="right"/>
              <w:rPr>
                <w:rFonts w:eastAsia="Times New Roman"/>
              </w:rPr>
            </w:pPr>
            <w:r>
              <w:rPr>
                <w:rFonts w:eastAsia="Times New Roman"/>
                <w:color w:val="000000"/>
                <w:sz w:val="20"/>
                <w:szCs w:val="20"/>
              </w:rPr>
              <w:t>6,575 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7D57B6" w14:textId="77777777" w:rsidR="00000000" w:rsidRDefault="001A570A">
            <w:pPr>
              <w:jc w:val="right"/>
              <w:rPr>
                <w:rFonts w:eastAsia="Times New Roman"/>
              </w:rPr>
            </w:pPr>
          </w:p>
        </w:tc>
        <w:tc>
          <w:tcPr>
            <w:tcW w:w="0" w:type="auto"/>
            <w:vAlign w:val="center"/>
            <w:hideMark/>
          </w:tcPr>
          <w:p w14:paraId="599ACA9D" w14:textId="77777777" w:rsidR="00000000" w:rsidRDefault="001A570A">
            <w:pPr>
              <w:jc w:val="right"/>
              <w:rPr>
                <w:rFonts w:eastAsia="Times New Roman"/>
                <w:sz w:val="20"/>
                <w:szCs w:val="20"/>
              </w:rPr>
            </w:pPr>
          </w:p>
        </w:tc>
        <w:tc>
          <w:tcPr>
            <w:tcW w:w="0" w:type="auto"/>
            <w:vAlign w:val="center"/>
            <w:hideMark/>
          </w:tcPr>
          <w:p w14:paraId="225BDFA6" w14:textId="77777777" w:rsidR="00000000" w:rsidRDefault="001A570A">
            <w:pPr>
              <w:rPr>
                <w:rFonts w:eastAsia="Times New Roman"/>
                <w:sz w:val="20"/>
                <w:szCs w:val="20"/>
              </w:rPr>
            </w:pPr>
          </w:p>
        </w:tc>
      </w:tr>
      <w:tr w:rsidR="00000000" w14:paraId="21D9152A" w14:textId="77777777">
        <w:trPr>
          <w:divId w:val="700711999"/>
        </w:trPr>
        <w:tc>
          <w:tcPr>
            <w:tcW w:w="0" w:type="auto"/>
            <w:gridSpan w:val="3"/>
            <w:shd w:val="clear" w:color="auto" w:fill="CCEEFF"/>
            <w:tcMar>
              <w:top w:w="30" w:type="dxa"/>
              <w:left w:w="20" w:type="dxa"/>
              <w:bottom w:w="30" w:type="dxa"/>
              <w:right w:w="20" w:type="dxa"/>
            </w:tcMar>
            <w:hideMark/>
          </w:tcPr>
          <w:p w14:paraId="3D7EC4C4" w14:textId="77777777" w:rsidR="00000000" w:rsidRDefault="001A570A">
            <w:pPr>
              <w:rPr>
                <w:rFonts w:eastAsia="Times New Roman"/>
              </w:rPr>
            </w:pPr>
            <w:r>
              <w:rPr>
                <w:rFonts w:eastAsia="Times New Roman"/>
                <w:color w:val="000000"/>
                <w:sz w:val="20"/>
                <w:szCs w:val="20"/>
              </w:rPr>
              <w:t>Total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4F57D6" w14:textId="77777777" w:rsidR="00000000" w:rsidRDefault="001A570A">
            <w:pPr>
              <w:jc w:val="right"/>
              <w:rPr>
                <w:rFonts w:eastAsia="Times New Roman"/>
              </w:rPr>
            </w:pPr>
            <w:r>
              <w:rPr>
                <w:rFonts w:eastAsia="Times New Roman"/>
                <w:color w:val="000000"/>
                <w:sz w:val="20"/>
                <w:szCs w:val="20"/>
              </w:rPr>
              <w:t>6,832 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E9954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03A7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9F4B6E" w14:textId="77777777" w:rsidR="00000000" w:rsidRDefault="001A570A">
            <w:pPr>
              <w:jc w:val="right"/>
              <w:rPr>
                <w:rFonts w:eastAsia="Times New Roman"/>
              </w:rPr>
            </w:pPr>
            <w:r>
              <w:rPr>
                <w:rFonts w:eastAsia="Times New Roman"/>
                <w:color w:val="000000"/>
                <w:sz w:val="20"/>
                <w:szCs w:val="20"/>
              </w:rPr>
              <w:t>6,825 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1DAC53" w14:textId="77777777" w:rsidR="00000000" w:rsidRDefault="001A570A">
            <w:pPr>
              <w:jc w:val="right"/>
              <w:rPr>
                <w:rFonts w:eastAsia="Times New Roman"/>
              </w:rPr>
            </w:pPr>
          </w:p>
        </w:tc>
        <w:tc>
          <w:tcPr>
            <w:tcW w:w="0" w:type="auto"/>
            <w:vAlign w:val="center"/>
            <w:hideMark/>
          </w:tcPr>
          <w:p w14:paraId="6168E59C" w14:textId="77777777" w:rsidR="00000000" w:rsidRDefault="001A570A">
            <w:pPr>
              <w:jc w:val="right"/>
              <w:rPr>
                <w:rFonts w:eastAsia="Times New Roman"/>
                <w:sz w:val="20"/>
                <w:szCs w:val="20"/>
              </w:rPr>
            </w:pPr>
          </w:p>
        </w:tc>
        <w:tc>
          <w:tcPr>
            <w:tcW w:w="0" w:type="auto"/>
            <w:vAlign w:val="center"/>
            <w:hideMark/>
          </w:tcPr>
          <w:p w14:paraId="103D7C5F" w14:textId="77777777" w:rsidR="00000000" w:rsidRDefault="001A570A">
            <w:pPr>
              <w:rPr>
                <w:rFonts w:eastAsia="Times New Roman"/>
                <w:sz w:val="20"/>
                <w:szCs w:val="20"/>
              </w:rPr>
            </w:pPr>
          </w:p>
        </w:tc>
      </w:tr>
      <w:tr w:rsidR="00000000" w14:paraId="4863975B" w14:textId="77777777">
        <w:trPr>
          <w:divId w:val="700711999"/>
        </w:trPr>
        <w:tc>
          <w:tcPr>
            <w:tcW w:w="0" w:type="auto"/>
            <w:gridSpan w:val="3"/>
            <w:shd w:val="clear" w:color="auto" w:fill="FFFFFF"/>
            <w:tcMar>
              <w:top w:w="30" w:type="dxa"/>
              <w:left w:w="155" w:type="dxa"/>
              <w:bottom w:w="30" w:type="dxa"/>
              <w:right w:w="20" w:type="dxa"/>
            </w:tcMar>
            <w:hideMark/>
          </w:tcPr>
          <w:p w14:paraId="200DBF21" w14:textId="77777777" w:rsidR="00000000" w:rsidRDefault="001A570A">
            <w:pPr>
              <w:rPr>
                <w:rFonts w:eastAsia="Times New Roman"/>
              </w:rPr>
            </w:pPr>
            <w:r>
              <w:rPr>
                <w:rFonts w:eastAsia="Times New Roman"/>
                <w:color w:val="000000"/>
                <w:sz w:val="20"/>
                <w:szCs w:val="20"/>
              </w:rPr>
              <w:t>Plus: unamortized bond premium</w:t>
            </w:r>
          </w:p>
        </w:tc>
        <w:tc>
          <w:tcPr>
            <w:tcW w:w="0" w:type="auto"/>
            <w:gridSpan w:val="2"/>
            <w:shd w:val="clear" w:color="auto" w:fill="FFFFFF"/>
            <w:tcMar>
              <w:top w:w="30" w:type="dxa"/>
              <w:left w:w="20" w:type="dxa"/>
              <w:bottom w:w="30" w:type="dxa"/>
              <w:right w:w="0" w:type="dxa"/>
            </w:tcMar>
            <w:vAlign w:val="bottom"/>
            <w:hideMark/>
          </w:tcPr>
          <w:p w14:paraId="4A6A2AC8" w14:textId="77777777" w:rsidR="00000000" w:rsidRDefault="001A570A">
            <w:pPr>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65F813A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77F3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8DACB" w14:textId="77777777" w:rsidR="00000000" w:rsidRDefault="001A570A">
            <w:pPr>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14:paraId="586E6800" w14:textId="77777777" w:rsidR="00000000" w:rsidRDefault="001A570A">
            <w:pPr>
              <w:jc w:val="right"/>
              <w:rPr>
                <w:rFonts w:eastAsia="Times New Roman"/>
              </w:rPr>
            </w:pPr>
          </w:p>
        </w:tc>
        <w:tc>
          <w:tcPr>
            <w:tcW w:w="0" w:type="auto"/>
            <w:vAlign w:val="center"/>
            <w:hideMark/>
          </w:tcPr>
          <w:p w14:paraId="1E98A211" w14:textId="77777777" w:rsidR="00000000" w:rsidRDefault="001A570A">
            <w:pPr>
              <w:jc w:val="right"/>
              <w:rPr>
                <w:rFonts w:eastAsia="Times New Roman"/>
                <w:sz w:val="20"/>
                <w:szCs w:val="20"/>
              </w:rPr>
            </w:pPr>
          </w:p>
        </w:tc>
        <w:tc>
          <w:tcPr>
            <w:tcW w:w="0" w:type="auto"/>
            <w:vAlign w:val="center"/>
            <w:hideMark/>
          </w:tcPr>
          <w:p w14:paraId="608E2663" w14:textId="77777777" w:rsidR="00000000" w:rsidRDefault="001A570A">
            <w:pPr>
              <w:rPr>
                <w:rFonts w:eastAsia="Times New Roman"/>
                <w:sz w:val="20"/>
                <w:szCs w:val="20"/>
              </w:rPr>
            </w:pPr>
          </w:p>
        </w:tc>
      </w:tr>
      <w:tr w:rsidR="00000000" w14:paraId="7D867060" w14:textId="77777777">
        <w:trPr>
          <w:divId w:val="700711999"/>
        </w:trPr>
        <w:tc>
          <w:tcPr>
            <w:tcW w:w="0" w:type="auto"/>
            <w:gridSpan w:val="3"/>
            <w:shd w:val="clear" w:color="auto" w:fill="CCEEFF"/>
            <w:tcMar>
              <w:top w:w="30" w:type="dxa"/>
              <w:left w:w="155" w:type="dxa"/>
              <w:bottom w:w="30" w:type="dxa"/>
              <w:right w:w="20" w:type="dxa"/>
            </w:tcMar>
            <w:hideMark/>
          </w:tcPr>
          <w:p w14:paraId="2FB24D69" w14:textId="77777777" w:rsidR="00000000" w:rsidRDefault="001A570A">
            <w:pPr>
              <w:rPr>
                <w:rFonts w:eastAsia="Times New Roman"/>
              </w:rPr>
            </w:pPr>
            <w:r>
              <w:rPr>
                <w:rFonts w:eastAsia="Times New Roman"/>
                <w:color w:val="000000"/>
                <w:sz w:val="20"/>
                <w:szCs w:val="20"/>
              </w:rPr>
              <w:t>Less: unamortized discounts and issuance costs</w:t>
            </w:r>
          </w:p>
        </w:tc>
        <w:tc>
          <w:tcPr>
            <w:tcW w:w="0" w:type="auto"/>
            <w:gridSpan w:val="2"/>
            <w:shd w:val="clear" w:color="auto" w:fill="CCEEFF"/>
            <w:tcMar>
              <w:top w:w="30" w:type="dxa"/>
              <w:left w:w="20" w:type="dxa"/>
              <w:bottom w:w="30" w:type="dxa"/>
              <w:right w:w="0" w:type="dxa"/>
            </w:tcMar>
            <w:vAlign w:val="bottom"/>
            <w:hideMark/>
          </w:tcPr>
          <w:p w14:paraId="66507655" w14:textId="77777777" w:rsidR="00000000" w:rsidRDefault="001A570A">
            <w:pPr>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14:paraId="37D875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AC6B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5D3D0"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0A6BA609" w14:textId="77777777" w:rsidR="00000000" w:rsidRDefault="001A570A">
            <w:pPr>
              <w:jc w:val="right"/>
              <w:rPr>
                <w:rFonts w:eastAsia="Times New Roman"/>
              </w:rPr>
            </w:pPr>
          </w:p>
        </w:tc>
        <w:tc>
          <w:tcPr>
            <w:tcW w:w="0" w:type="auto"/>
            <w:vAlign w:val="center"/>
            <w:hideMark/>
          </w:tcPr>
          <w:p w14:paraId="5ECD6815" w14:textId="77777777" w:rsidR="00000000" w:rsidRDefault="001A570A">
            <w:pPr>
              <w:jc w:val="right"/>
              <w:rPr>
                <w:rFonts w:eastAsia="Times New Roman"/>
                <w:sz w:val="20"/>
                <w:szCs w:val="20"/>
              </w:rPr>
            </w:pPr>
          </w:p>
        </w:tc>
        <w:tc>
          <w:tcPr>
            <w:tcW w:w="0" w:type="auto"/>
            <w:vAlign w:val="center"/>
            <w:hideMark/>
          </w:tcPr>
          <w:p w14:paraId="091ECC0B" w14:textId="77777777" w:rsidR="00000000" w:rsidRDefault="001A570A">
            <w:pPr>
              <w:rPr>
                <w:rFonts w:eastAsia="Times New Roman"/>
                <w:sz w:val="20"/>
                <w:szCs w:val="20"/>
              </w:rPr>
            </w:pPr>
          </w:p>
        </w:tc>
      </w:tr>
      <w:tr w:rsidR="00000000" w14:paraId="7CD94983" w14:textId="77777777">
        <w:trPr>
          <w:divId w:val="700711999"/>
        </w:trPr>
        <w:tc>
          <w:tcPr>
            <w:tcW w:w="0" w:type="auto"/>
            <w:gridSpan w:val="3"/>
            <w:shd w:val="clear" w:color="auto" w:fill="FFFFFF"/>
            <w:tcMar>
              <w:top w:w="30" w:type="dxa"/>
              <w:left w:w="20" w:type="dxa"/>
              <w:bottom w:w="30" w:type="dxa"/>
              <w:right w:w="20" w:type="dxa"/>
            </w:tcMar>
            <w:hideMark/>
          </w:tcPr>
          <w:p w14:paraId="2991FD6D" w14:textId="77777777" w:rsidR="00000000" w:rsidRDefault="001A570A">
            <w:pPr>
              <w:rPr>
                <w:rFonts w:eastAsia="Times New Roman"/>
              </w:rPr>
            </w:pPr>
            <w:r>
              <w:rPr>
                <w:rFonts w:eastAsia="Times New Roman"/>
                <w:color w:val="000000"/>
                <w:sz w:val="20"/>
                <w:szCs w:val="20"/>
              </w:rPr>
              <w:t>Total debt,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B3FD76" w14:textId="77777777" w:rsidR="00000000" w:rsidRDefault="001A570A">
            <w:pPr>
              <w:jc w:val="right"/>
              <w:rPr>
                <w:rFonts w:eastAsia="Times New Roman"/>
              </w:rPr>
            </w:pPr>
            <w:r>
              <w:rPr>
                <w:rFonts w:eastAsia="Times New Roman"/>
                <w:color w:val="000000"/>
                <w:sz w:val="20"/>
                <w:szCs w:val="20"/>
              </w:rPr>
              <w:t>6,916 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0F80E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1842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C86CDE" w14:textId="77777777" w:rsidR="00000000" w:rsidRDefault="001A570A">
            <w:pPr>
              <w:jc w:val="right"/>
              <w:rPr>
                <w:rFonts w:eastAsia="Times New Roman"/>
              </w:rPr>
            </w:pPr>
            <w:r>
              <w:rPr>
                <w:rFonts w:eastAsia="Times New Roman"/>
                <w:color w:val="000000"/>
                <w:sz w:val="20"/>
                <w:szCs w:val="20"/>
              </w:rPr>
              <w:t>6,951 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05552A" w14:textId="77777777" w:rsidR="00000000" w:rsidRDefault="001A570A">
            <w:pPr>
              <w:jc w:val="right"/>
              <w:rPr>
                <w:rFonts w:eastAsia="Times New Roman"/>
              </w:rPr>
            </w:pPr>
          </w:p>
        </w:tc>
        <w:tc>
          <w:tcPr>
            <w:tcW w:w="0" w:type="auto"/>
            <w:vAlign w:val="center"/>
            <w:hideMark/>
          </w:tcPr>
          <w:p w14:paraId="50A12843" w14:textId="77777777" w:rsidR="00000000" w:rsidRDefault="001A570A">
            <w:pPr>
              <w:jc w:val="right"/>
              <w:rPr>
                <w:rFonts w:eastAsia="Times New Roman"/>
                <w:sz w:val="20"/>
                <w:szCs w:val="20"/>
              </w:rPr>
            </w:pPr>
          </w:p>
        </w:tc>
        <w:tc>
          <w:tcPr>
            <w:tcW w:w="0" w:type="auto"/>
            <w:vAlign w:val="center"/>
            <w:hideMark/>
          </w:tcPr>
          <w:p w14:paraId="519283DB" w14:textId="77777777" w:rsidR="00000000" w:rsidRDefault="001A570A">
            <w:pPr>
              <w:rPr>
                <w:rFonts w:eastAsia="Times New Roman"/>
                <w:sz w:val="20"/>
                <w:szCs w:val="20"/>
              </w:rPr>
            </w:pPr>
          </w:p>
        </w:tc>
      </w:tr>
      <w:tr w:rsidR="00000000" w14:paraId="20BB7EFA" w14:textId="77777777">
        <w:trPr>
          <w:divId w:val="700711999"/>
        </w:trPr>
        <w:tc>
          <w:tcPr>
            <w:tcW w:w="0" w:type="auto"/>
            <w:gridSpan w:val="3"/>
            <w:shd w:val="clear" w:color="auto" w:fill="CCEEFF"/>
            <w:tcMar>
              <w:top w:w="30" w:type="dxa"/>
              <w:left w:w="155" w:type="dxa"/>
              <w:bottom w:w="30" w:type="dxa"/>
              <w:right w:w="20" w:type="dxa"/>
            </w:tcMar>
            <w:hideMark/>
          </w:tcPr>
          <w:p w14:paraId="36E62871" w14:textId="77777777" w:rsidR="00000000" w:rsidRDefault="001A570A">
            <w:pPr>
              <w:rPr>
                <w:rFonts w:eastAsia="Times New Roman"/>
              </w:rPr>
            </w:pPr>
            <w:r>
              <w:rPr>
                <w:rFonts w:eastAsia="Times New Roman"/>
                <w:color w:val="000000"/>
                <w:sz w:val="20"/>
                <w:szCs w:val="20"/>
              </w:rPr>
              <w:t>Less: current portion of long-term debt, net</w:t>
            </w:r>
          </w:p>
        </w:tc>
        <w:tc>
          <w:tcPr>
            <w:tcW w:w="0" w:type="auto"/>
            <w:gridSpan w:val="2"/>
            <w:shd w:val="clear" w:color="auto" w:fill="CCEEFF"/>
            <w:tcMar>
              <w:top w:w="30" w:type="dxa"/>
              <w:left w:w="20" w:type="dxa"/>
              <w:bottom w:w="30" w:type="dxa"/>
              <w:right w:w="0" w:type="dxa"/>
            </w:tcMar>
            <w:vAlign w:val="bottom"/>
            <w:hideMark/>
          </w:tcPr>
          <w:p w14:paraId="36AA48A6"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3DB1DA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0E3E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D479BF" w14:textId="77777777" w:rsidR="00000000" w:rsidRDefault="001A570A">
            <w:pPr>
              <w:jc w:val="right"/>
              <w:rPr>
                <w:rFonts w:eastAsia="Times New Roman"/>
              </w:rPr>
            </w:pPr>
            <w:r>
              <w:rPr>
                <w:rFonts w:eastAsia="Times New Roman"/>
                <w:color w:val="000000"/>
                <w:sz w:val="20"/>
                <w:szCs w:val="20"/>
              </w:rPr>
              <w:t>(257)</w:t>
            </w:r>
          </w:p>
        </w:tc>
        <w:tc>
          <w:tcPr>
            <w:tcW w:w="0" w:type="auto"/>
            <w:shd w:val="clear" w:color="auto" w:fill="CCEEFF"/>
            <w:tcMar>
              <w:top w:w="30" w:type="dxa"/>
              <w:left w:w="0" w:type="dxa"/>
              <w:bottom w:w="30" w:type="dxa"/>
              <w:right w:w="20" w:type="dxa"/>
            </w:tcMar>
            <w:vAlign w:val="bottom"/>
            <w:hideMark/>
          </w:tcPr>
          <w:p w14:paraId="5D4F8A66" w14:textId="77777777" w:rsidR="00000000" w:rsidRDefault="001A570A">
            <w:pPr>
              <w:jc w:val="right"/>
              <w:rPr>
                <w:rFonts w:eastAsia="Times New Roman"/>
              </w:rPr>
            </w:pPr>
          </w:p>
        </w:tc>
        <w:tc>
          <w:tcPr>
            <w:tcW w:w="0" w:type="auto"/>
            <w:vAlign w:val="center"/>
            <w:hideMark/>
          </w:tcPr>
          <w:p w14:paraId="4F7D481D" w14:textId="77777777" w:rsidR="00000000" w:rsidRDefault="001A570A">
            <w:pPr>
              <w:jc w:val="right"/>
              <w:rPr>
                <w:rFonts w:eastAsia="Times New Roman"/>
                <w:sz w:val="20"/>
                <w:szCs w:val="20"/>
              </w:rPr>
            </w:pPr>
          </w:p>
        </w:tc>
        <w:tc>
          <w:tcPr>
            <w:tcW w:w="0" w:type="auto"/>
            <w:vAlign w:val="center"/>
            <w:hideMark/>
          </w:tcPr>
          <w:p w14:paraId="1444714E" w14:textId="77777777" w:rsidR="00000000" w:rsidRDefault="001A570A">
            <w:pPr>
              <w:rPr>
                <w:rFonts w:eastAsia="Times New Roman"/>
                <w:sz w:val="20"/>
                <w:szCs w:val="20"/>
              </w:rPr>
            </w:pPr>
          </w:p>
        </w:tc>
      </w:tr>
      <w:tr w:rsidR="00000000" w14:paraId="4D18DA60" w14:textId="77777777">
        <w:trPr>
          <w:divId w:val="700711999"/>
        </w:trPr>
        <w:tc>
          <w:tcPr>
            <w:tcW w:w="0" w:type="auto"/>
            <w:gridSpan w:val="3"/>
            <w:shd w:val="clear" w:color="auto" w:fill="FFFFFF"/>
            <w:tcMar>
              <w:top w:w="30" w:type="dxa"/>
              <w:left w:w="20" w:type="dxa"/>
              <w:bottom w:w="30" w:type="dxa"/>
              <w:right w:w="20" w:type="dxa"/>
            </w:tcMar>
            <w:hideMark/>
          </w:tcPr>
          <w:p w14:paraId="5402F4CA" w14:textId="77777777" w:rsidR="00000000" w:rsidRDefault="001A570A">
            <w:pPr>
              <w:rPr>
                <w:rFonts w:eastAsia="Times New Roman"/>
              </w:rPr>
            </w:pPr>
            <w:r>
              <w:rPr>
                <w:rFonts w:eastAsia="Times New Roman"/>
                <w:color w:val="000000"/>
                <w:sz w:val="20"/>
                <w:szCs w:val="20"/>
              </w:rPr>
              <w:t>Total long-term debt,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75DD8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C025FD" w14:textId="77777777" w:rsidR="00000000" w:rsidRDefault="001A570A">
            <w:pPr>
              <w:jc w:val="right"/>
              <w:rPr>
                <w:rFonts w:eastAsia="Times New Roman"/>
              </w:rPr>
            </w:pPr>
            <w:r>
              <w:rPr>
                <w:rFonts w:eastAsia="Times New Roman"/>
                <w:color w:val="000000"/>
                <w:sz w:val="20"/>
                <w:szCs w:val="20"/>
              </w:rPr>
              <w:t>6,908 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7E194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B8AE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2BE9C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B348F0" w14:textId="77777777" w:rsidR="00000000" w:rsidRDefault="001A570A">
            <w:pPr>
              <w:jc w:val="right"/>
              <w:rPr>
                <w:rFonts w:eastAsia="Times New Roman"/>
              </w:rPr>
            </w:pPr>
            <w:r>
              <w:rPr>
                <w:rFonts w:eastAsia="Times New Roman"/>
                <w:color w:val="000000"/>
                <w:sz w:val="20"/>
                <w:szCs w:val="20"/>
              </w:rPr>
              <w:t>6,694 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01DF08" w14:textId="77777777" w:rsidR="00000000" w:rsidRDefault="001A570A">
            <w:pPr>
              <w:jc w:val="right"/>
              <w:rPr>
                <w:rFonts w:eastAsia="Times New Roman"/>
              </w:rPr>
            </w:pPr>
          </w:p>
        </w:tc>
        <w:tc>
          <w:tcPr>
            <w:tcW w:w="0" w:type="auto"/>
            <w:vAlign w:val="center"/>
            <w:hideMark/>
          </w:tcPr>
          <w:p w14:paraId="32D5E018" w14:textId="77777777" w:rsidR="00000000" w:rsidRDefault="001A570A">
            <w:pPr>
              <w:jc w:val="right"/>
              <w:rPr>
                <w:rFonts w:eastAsia="Times New Roman"/>
                <w:sz w:val="20"/>
                <w:szCs w:val="20"/>
              </w:rPr>
            </w:pPr>
          </w:p>
        </w:tc>
        <w:tc>
          <w:tcPr>
            <w:tcW w:w="0" w:type="auto"/>
            <w:vAlign w:val="center"/>
            <w:hideMark/>
          </w:tcPr>
          <w:p w14:paraId="5202B64F" w14:textId="77777777" w:rsidR="00000000" w:rsidRDefault="001A570A">
            <w:pPr>
              <w:rPr>
                <w:rFonts w:eastAsia="Times New Roman"/>
                <w:sz w:val="20"/>
                <w:szCs w:val="20"/>
              </w:rPr>
            </w:pPr>
          </w:p>
        </w:tc>
      </w:tr>
    </w:tbl>
    <w:p w14:paraId="4D7E815F" w14:textId="77777777" w:rsidR="00000000" w:rsidRDefault="001A570A">
      <w:pPr>
        <w:ind w:firstLine="450"/>
        <w:divId w:val="2132283227"/>
        <w:rPr>
          <w:rFonts w:eastAsia="Times New Roman"/>
        </w:rPr>
      </w:pPr>
      <w:r>
        <w:rPr>
          <w:rFonts w:eastAsia="Times New Roman"/>
          <w:color w:val="000000"/>
          <w:sz w:val="20"/>
          <w:szCs w:val="20"/>
        </w:rPr>
        <w:t xml:space="preserve">The potential maturities of long-term debt, including the current portion, for the five years following the end of fiscal 2020 and, in total, thereafter are: $8 million in fiscal 2021; $6 million in fiscal 2022; $1,056 million in fiscal 2023; $353 million </w:t>
      </w:r>
      <w:r>
        <w:rPr>
          <w:rFonts w:eastAsia="Times New Roman"/>
          <w:color w:val="000000"/>
          <w:sz w:val="20"/>
          <w:szCs w:val="20"/>
        </w:rPr>
        <w:t xml:space="preserve">in fiscal 2024; $602 million in fiscal 2025; and $4,807 million thereafter. </w:t>
      </w:r>
    </w:p>
    <w:p w14:paraId="0935F3F4" w14:textId="77777777" w:rsidR="00000000" w:rsidRDefault="001A570A">
      <w:pPr>
        <w:divId w:val="506672814"/>
        <w:rPr>
          <w:rFonts w:eastAsia="Times New Roman"/>
        </w:rPr>
      </w:pPr>
      <w:r>
        <w:rPr>
          <w:rFonts w:eastAsia="Times New Roman"/>
          <w:b/>
          <w:bCs/>
          <w:color w:val="000000"/>
          <w:sz w:val="20"/>
          <w:szCs w:val="20"/>
        </w:rPr>
        <w:t>Long-Term Debt Repaid in Fiscal 2020    </w:t>
      </w:r>
    </w:p>
    <w:p w14:paraId="75DC9454" w14:textId="77777777" w:rsidR="00000000" w:rsidRDefault="001A570A">
      <w:pPr>
        <w:ind w:firstLine="450"/>
        <w:divId w:val="1045713586"/>
        <w:rPr>
          <w:rFonts w:eastAsia="Times New Roman"/>
        </w:rPr>
      </w:pPr>
      <w:r>
        <w:rPr>
          <w:rFonts w:eastAsia="Times New Roman"/>
          <w:i/>
          <w:iCs/>
          <w:color w:val="000000"/>
          <w:sz w:val="20"/>
          <w:szCs w:val="20"/>
        </w:rPr>
        <w:t xml:space="preserve">Fixed-rate Debt. </w:t>
      </w:r>
      <w:r>
        <w:rPr>
          <w:rFonts w:eastAsia="Times New Roman"/>
          <w:color w:val="000000"/>
          <w:sz w:val="20"/>
          <w:szCs w:val="20"/>
        </w:rPr>
        <w:t>On December 14, 2020, we completed our optional redemption of the entire outstanding $650 million aggregate principal amount of our 4.95% 2021 Notes (as defined below under “Debt Exchange”) for a redemption price of $650 million as set forth in the 4.95% 2</w:t>
      </w:r>
      <w:r>
        <w:rPr>
          <w:rFonts w:eastAsia="Times New Roman"/>
          <w:color w:val="000000"/>
          <w:sz w:val="20"/>
          <w:szCs w:val="20"/>
        </w:rPr>
        <w:t>021 Notes. After adjusting for the carrying value of our unamortized premium, we recorded a $2 million gain on the extinguishment of the 4.95% 2021 Notes, which is included as a component of the “Non-operating income” line item in our Consolidated Statemen</w:t>
      </w:r>
      <w:r>
        <w:rPr>
          <w:rFonts w:eastAsia="Times New Roman"/>
          <w:color w:val="000000"/>
          <w:sz w:val="20"/>
          <w:szCs w:val="20"/>
        </w:rPr>
        <w:t xml:space="preserve">t of Income for fiscal 2020. </w:t>
      </w:r>
    </w:p>
    <w:p w14:paraId="2A335FAA" w14:textId="77777777" w:rsidR="00000000" w:rsidRDefault="001A570A">
      <w:pPr>
        <w:ind w:firstLine="450"/>
        <w:divId w:val="308553703"/>
        <w:rPr>
          <w:rFonts w:eastAsia="Times New Roman"/>
        </w:rPr>
      </w:pPr>
      <w:r>
        <w:rPr>
          <w:rFonts w:eastAsia="Times New Roman"/>
          <w:i/>
          <w:iCs/>
          <w:color w:val="000000"/>
          <w:sz w:val="20"/>
          <w:szCs w:val="20"/>
        </w:rPr>
        <w:t xml:space="preserve">Variable-rate Debt. </w:t>
      </w:r>
      <w:r>
        <w:rPr>
          <w:rFonts w:eastAsia="Times New Roman"/>
          <w:color w:val="000000"/>
          <w:sz w:val="20"/>
          <w:szCs w:val="20"/>
        </w:rPr>
        <w:t>During the second quarter of fiscal 2020, we repaid at maturity the entire outstanding $250 million aggregate principal amount of our Floating Rate Notes due April 30, 2020.</w:t>
      </w:r>
    </w:p>
    <w:p w14:paraId="0FE9CE0F" w14:textId="77777777" w:rsidR="00000000" w:rsidRDefault="001A570A">
      <w:pPr>
        <w:divId w:val="1337465324"/>
        <w:rPr>
          <w:rFonts w:eastAsia="Times New Roman"/>
        </w:rPr>
      </w:pPr>
      <w:r>
        <w:rPr>
          <w:rFonts w:eastAsia="Times New Roman"/>
          <w:b/>
          <w:bCs/>
          <w:color w:val="000000"/>
          <w:sz w:val="20"/>
          <w:szCs w:val="20"/>
        </w:rPr>
        <w:t xml:space="preserve">Long-Term Debt Issued in Fiscal </w:t>
      </w:r>
      <w:r>
        <w:rPr>
          <w:rFonts w:eastAsia="Times New Roman"/>
          <w:b/>
          <w:bCs/>
          <w:color w:val="000000"/>
          <w:sz w:val="20"/>
          <w:szCs w:val="20"/>
        </w:rPr>
        <w:t>2020</w:t>
      </w:r>
    </w:p>
    <w:p w14:paraId="1792CC00" w14:textId="77777777" w:rsidR="00000000" w:rsidRDefault="001A570A">
      <w:pPr>
        <w:ind w:firstLine="450"/>
        <w:divId w:val="300040919"/>
        <w:rPr>
          <w:rFonts w:eastAsia="Times New Roman"/>
        </w:rPr>
      </w:pPr>
      <w:r>
        <w:rPr>
          <w:rFonts w:eastAsia="Times New Roman"/>
          <w:i/>
          <w:iCs/>
          <w:color w:val="000000"/>
          <w:sz w:val="20"/>
          <w:szCs w:val="20"/>
        </w:rPr>
        <w:t xml:space="preserve">Fixed-rate Debt. </w:t>
      </w:r>
      <w:r>
        <w:rPr>
          <w:rFonts w:eastAsia="Times New Roman"/>
          <w:color w:val="000000"/>
          <w:sz w:val="20"/>
          <w:szCs w:val="20"/>
        </w:rPr>
        <w:t>On November 25, 2020, in order to fund the optional redemption of the 4.95% 2021 Notes as described above under “Long-Term Debt Repaid in Fiscal 2020”, we completed the issuance of $650 million in aggregate principal amount of 1.80% n</w:t>
      </w:r>
      <w:r>
        <w:rPr>
          <w:rFonts w:eastAsia="Times New Roman"/>
          <w:color w:val="000000"/>
          <w:sz w:val="20"/>
          <w:szCs w:val="20"/>
        </w:rPr>
        <w:t>otes due January 15, 2031 (the “1.80% 2031 Notes”). Interest on the 1.80% 2031 Notes is payable semi-annually in arrears on January 15 and July 15 of each year, commencing on July 15, 2021. At any time prior to October 15, 2030, we may redeem the 1.80% 203</w:t>
      </w:r>
      <w:r>
        <w:rPr>
          <w:rFonts w:eastAsia="Times New Roman"/>
          <w:color w:val="000000"/>
          <w:sz w:val="20"/>
          <w:szCs w:val="20"/>
        </w:rPr>
        <w:t>1 Notes, in whole or in part, at our option, at a “make-whole” redemption price equal to the greater of 100 percent of the principal amount of the 1.80% 2031 Notes or the sum of the present values of the remaining scheduled payments of the principal plus a</w:t>
      </w:r>
      <w:r>
        <w:rPr>
          <w:rFonts w:eastAsia="Times New Roman"/>
          <w:color w:val="000000"/>
          <w:sz w:val="20"/>
          <w:szCs w:val="20"/>
        </w:rPr>
        <w:t xml:space="preserve">ccrued interest (other than interest accruing to the date of redemption) on the notes being redeemed, discounted </w:t>
      </w:r>
    </w:p>
    <w:p w14:paraId="75A8D877" w14:textId="77777777" w:rsidR="00000000" w:rsidRDefault="001A570A">
      <w:pPr>
        <w:ind w:firstLine="450"/>
        <w:jc w:val="center"/>
        <w:divId w:val="1296445218"/>
        <w:rPr>
          <w:rFonts w:eastAsia="Times New Roman"/>
        </w:rPr>
      </w:pPr>
      <w:r>
        <w:rPr>
          <w:rFonts w:eastAsia="Times New Roman"/>
          <w:color w:val="000000"/>
          <w:sz w:val="20"/>
          <w:szCs w:val="20"/>
        </w:rPr>
        <w:t>101</w:t>
      </w:r>
    </w:p>
    <w:p w14:paraId="69853D79" w14:textId="77777777" w:rsidR="00000000" w:rsidRDefault="001A570A">
      <w:pPr>
        <w:rPr>
          <w:rFonts w:eastAsia="Times New Roman"/>
        </w:rPr>
      </w:pPr>
      <w:r>
        <w:rPr>
          <w:rFonts w:eastAsia="Times New Roman"/>
        </w:rPr>
        <w:pict w14:anchorId="5F0EAF80">
          <v:rect id="_x0000_i1129" style="width:0;height:1.5pt" o:hralign="center" o:hrstd="t" o:hr="t" fillcolor="#a0a0a0" stroked="f"/>
        </w:pict>
      </w:r>
    </w:p>
    <w:p w14:paraId="379428B1" w14:textId="77777777" w:rsidR="00000000" w:rsidRDefault="001A570A">
      <w:pPr>
        <w:ind w:firstLine="450"/>
        <w:divId w:val="434907650"/>
        <w:rPr>
          <w:rFonts w:eastAsia="Times New Roman"/>
        </w:rPr>
      </w:pPr>
    </w:p>
    <w:p w14:paraId="49E9F10E" w14:textId="77777777" w:rsidR="00000000" w:rsidRDefault="001A570A">
      <w:pPr>
        <w:divId w:val="1962225020"/>
        <w:rPr>
          <w:rFonts w:eastAsia="Times New Roman"/>
        </w:rPr>
      </w:pPr>
      <w:r>
        <w:rPr>
          <w:rFonts w:eastAsia="Times New Roman"/>
          <w:color w:val="000000"/>
          <w:sz w:val="20"/>
          <w:szCs w:val="20"/>
        </w:rPr>
        <w:t>to the redemption date on a semi-annual basis at the “Treasury Rate”, as defined in the 1.80% 2031 N</w:t>
      </w:r>
      <w:r>
        <w:rPr>
          <w:rFonts w:eastAsia="Times New Roman"/>
          <w:color w:val="000000"/>
          <w:sz w:val="20"/>
          <w:szCs w:val="20"/>
        </w:rPr>
        <w:t>otes, plus 15 basis points. We will pay accrued interest on the principal amount of notes being redeemed to, but not including, the redemption date. At any time on or after October 15, 2030, we may redeem the 1.80% 2031 Notes, in whole or in part, at our o</w:t>
      </w:r>
      <w:r>
        <w:rPr>
          <w:rFonts w:eastAsia="Times New Roman"/>
          <w:color w:val="000000"/>
          <w:sz w:val="20"/>
          <w:szCs w:val="20"/>
        </w:rPr>
        <w:t>ption, at a redemption price equal to 100 percent of the principal amount of the notes being redeemed, plus accrued interest on the principal amount of the notes being redeemed to, but not including, the redemption date. In addition, upon change of control</w:t>
      </w:r>
      <w:r>
        <w:rPr>
          <w:rFonts w:eastAsia="Times New Roman"/>
          <w:color w:val="000000"/>
          <w:sz w:val="20"/>
          <w:szCs w:val="20"/>
        </w:rPr>
        <w:t xml:space="preserve"> combined with a below-investment-grade rating event, we may be required to make an offer to repurchase the 1.80% 2031 Notes at a price equal to 101 percent of the aggregate principal amount of the notes being repurchased, plus accrued interest on the note</w:t>
      </w:r>
      <w:r>
        <w:rPr>
          <w:rFonts w:eastAsia="Times New Roman"/>
          <w:color w:val="000000"/>
          <w:sz w:val="20"/>
          <w:szCs w:val="20"/>
        </w:rPr>
        <w:t xml:space="preserve">s being repurchased to, but not including, the date of repurchase. We incurred $6 million of debt issuance costs related to the issuance of the 1.80% 2031 Notes, which are being amortized using the effective interest rate method over the life of the 1.80% </w:t>
      </w:r>
      <w:r>
        <w:rPr>
          <w:rFonts w:eastAsia="Times New Roman"/>
          <w:color w:val="000000"/>
          <w:sz w:val="20"/>
          <w:szCs w:val="20"/>
        </w:rPr>
        <w:t>2031 Notes, and such amortization is included as a component of the “Interest expense” line item in our Consolidated Statement of Income.</w:t>
      </w:r>
    </w:p>
    <w:p w14:paraId="2ED18F5D" w14:textId="77777777" w:rsidR="00000000" w:rsidRDefault="001A570A">
      <w:pPr>
        <w:ind w:firstLine="450"/>
        <w:divId w:val="1946032930"/>
        <w:rPr>
          <w:rFonts w:eastAsia="Times New Roman"/>
        </w:rPr>
      </w:pPr>
      <w:r>
        <w:rPr>
          <w:rFonts w:eastAsia="Times New Roman"/>
          <w:i/>
          <w:iCs/>
          <w:color w:val="000000"/>
          <w:sz w:val="20"/>
          <w:szCs w:val="20"/>
        </w:rPr>
        <w:t xml:space="preserve">Variable-rate Debt. </w:t>
      </w:r>
      <w:r>
        <w:rPr>
          <w:rFonts w:eastAsia="Times New Roman"/>
          <w:color w:val="000000"/>
          <w:sz w:val="20"/>
          <w:szCs w:val="20"/>
        </w:rPr>
        <w:t xml:space="preserve">During the first quarter of 2020, we completed the issuance and sale of $250 million in aggregate </w:t>
      </w:r>
      <w:r>
        <w:rPr>
          <w:rFonts w:eastAsia="Times New Roman"/>
          <w:color w:val="000000"/>
          <w:sz w:val="20"/>
          <w:szCs w:val="20"/>
        </w:rPr>
        <w:t>principal amount of Floating Rate Notes due March 10, 2023 (the “Floating Rate Notes 2023”). The Floating Rate Notes 2023 bear interest at a floating rate, reset quarterly, equal to three-month LIBOR plus 0.75% per year. Interest on the Floating Rate Notes</w:t>
      </w:r>
      <w:r>
        <w:rPr>
          <w:rFonts w:eastAsia="Times New Roman"/>
          <w:color w:val="000000"/>
          <w:sz w:val="20"/>
          <w:szCs w:val="20"/>
        </w:rPr>
        <w:t xml:space="preserve"> 2023 is payable quarterly in arrears on March 10, June 10, September 10 and December 10 of each year, commencing on June 10, 2020. The Floating Rate Notes 2023 are unsecured and unsubordinated and rank equally in right of payment with all other unsecured </w:t>
      </w:r>
      <w:r>
        <w:rPr>
          <w:rFonts w:eastAsia="Times New Roman"/>
          <w:color w:val="000000"/>
          <w:sz w:val="20"/>
          <w:szCs w:val="20"/>
        </w:rPr>
        <w:t>and unsubordinated indebtedness. The Floating Rate Notes 2023 are not redeemable at our option prior to maturity. Debt issuance costs related to the issuance of the Floating Rate Notes 2023 were not material. We used the net proceeds from the sale of the F</w:t>
      </w:r>
      <w:r>
        <w:rPr>
          <w:rFonts w:eastAsia="Times New Roman"/>
          <w:color w:val="000000"/>
          <w:sz w:val="20"/>
          <w:szCs w:val="20"/>
        </w:rPr>
        <w:t>loating Rate Notes 2023 to repay at maturity the aggregate principal amount of our Floating Rate Notes due April 30, 2020 as described above under “Long-Term Debt Repaid in Fiscal 2020”.</w:t>
      </w:r>
    </w:p>
    <w:p w14:paraId="38759E21" w14:textId="77777777" w:rsidR="00000000" w:rsidRDefault="001A570A">
      <w:pPr>
        <w:divId w:val="2078047692"/>
        <w:rPr>
          <w:rFonts w:eastAsia="Times New Roman"/>
        </w:rPr>
      </w:pPr>
      <w:r>
        <w:rPr>
          <w:rFonts w:eastAsia="Times New Roman"/>
          <w:b/>
          <w:bCs/>
          <w:color w:val="000000"/>
          <w:sz w:val="20"/>
          <w:szCs w:val="20"/>
        </w:rPr>
        <w:t>Debt Exchange</w:t>
      </w:r>
    </w:p>
    <w:p w14:paraId="13402C6F" w14:textId="77777777" w:rsidR="00000000" w:rsidRDefault="001A570A">
      <w:pPr>
        <w:ind w:firstLine="450"/>
        <w:divId w:val="991758162"/>
        <w:rPr>
          <w:rFonts w:eastAsia="Times New Roman"/>
        </w:rPr>
      </w:pPr>
      <w:r>
        <w:rPr>
          <w:rFonts w:eastAsia="Times New Roman"/>
          <w:color w:val="000000"/>
          <w:sz w:val="20"/>
          <w:szCs w:val="20"/>
        </w:rPr>
        <w:t>In connection with the L3Harris Merger, on July 2, 2019</w:t>
      </w:r>
      <w:r>
        <w:rPr>
          <w:rFonts w:eastAsia="Times New Roman"/>
          <w:color w:val="000000"/>
          <w:sz w:val="20"/>
          <w:szCs w:val="20"/>
        </w:rPr>
        <w:t>, we settled our previously announced debt exchange offers in which eligible holders of L3 senior notes (“L3 Notes”) could exchange such outstanding notes for (1) up to $3.35 billion aggregate principal amount of new notes issued by L3Harris (“New L3Harris</w:t>
      </w:r>
      <w:r>
        <w:rPr>
          <w:rFonts w:eastAsia="Times New Roman"/>
          <w:color w:val="000000"/>
          <w:sz w:val="20"/>
          <w:szCs w:val="20"/>
        </w:rPr>
        <w:t xml:space="preserve"> Notes”) and (2) one dollar in cash for each $1,000 of principal amount. Each series of the New L3Harris Notes issued has an interest rate and maturity date that is identical to the L3 Notes. </w:t>
      </w:r>
    </w:p>
    <w:tbl>
      <w:tblPr>
        <w:tblW w:w="5000" w:type="pct"/>
        <w:tblCellMar>
          <w:top w:w="15" w:type="dxa"/>
          <w:left w:w="15" w:type="dxa"/>
          <w:bottom w:w="15" w:type="dxa"/>
          <w:right w:w="15" w:type="dxa"/>
        </w:tblCellMar>
        <w:tblLook w:val="04A0" w:firstRow="1" w:lastRow="0" w:firstColumn="1" w:lastColumn="0" w:noHBand="0" w:noVBand="1"/>
      </w:tblPr>
      <w:tblGrid>
        <w:gridCol w:w="39"/>
        <w:gridCol w:w="4451"/>
        <w:gridCol w:w="38"/>
        <w:gridCol w:w="121"/>
        <w:gridCol w:w="1054"/>
        <w:gridCol w:w="36"/>
        <w:gridCol w:w="36"/>
        <w:gridCol w:w="36"/>
        <w:gridCol w:w="36"/>
        <w:gridCol w:w="121"/>
        <w:gridCol w:w="1024"/>
        <w:gridCol w:w="36"/>
        <w:gridCol w:w="36"/>
        <w:gridCol w:w="36"/>
        <w:gridCol w:w="36"/>
        <w:gridCol w:w="121"/>
        <w:gridCol w:w="1013"/>
        <w:gridCol w:w="36"/>
      </w:tblGrid>
      <w:tr w:rsidR="00000000" w14:paraId="6CF61BA8" w14:textId="77777777">
        <w:trPr>
          <w:divId w:val="1496997841"/>
        </w:trPr>
        <w:tc>
          <w:tcPr>
            <w:tcW w:w="50" w:type="pct"/>
            <w:vAlign w:val="center"/>
            <w:hideMark/>
          </w:tcPr>
          <w:p w14:paraId="1FF56D00" w14:textId="77777777" w:rsidR="00000000" w:rsidRDefault="001A570A">
            <w:pPr>
              <w:ind w:firstLine="450"/>
              <w:rPr>
                <w:rFonts w:eastAsia="Times New Roman"/>
              </w:rPr>
            </w:pPr>
          </w:p>
        </w:tc>
        <w:tc>
          <w:tcPr>
            <w:tcW w:w="2710" w:type="pct"/>
            <w:vAlign w:val="center"/>
            <w:hideMark/>
          </w:tcPr>
          <w:p w14:paraId="25636833" w14:textId="77777777" w:rsidR="00000000" w:rsidRDefault="001A570A">
            <w:pPr>
              <w:rPr>
                <w:rFonts w:eastAsia="Times New Roman"/>
                <w:sz w:val="20"/>
                <w:szCs w:val="20"/>
              </w:rPr>
            </w:pPr>
          </w:p>
        </w:tc>
        <w:tc>
          <w:tcPr>
            <w:tcW w:w="5" w:type="pct"/>
            <w:vAlign w:val="center"/>
            <w:hideMark/>
          </w:tcPr>
          <w:p w14:paraId="71A14624" w14:textId="77777777" w:rsidR="00000000" w:rsidRDefault="001A570A">
            <w:pPr>
              <w:rPr>
                <w:rFonts w:eastAsia="Times New Roman"/>
                <w:sz w:val="20"/>
                <w:szCs w:val="20"/>
              </w:rPr>
            </w:pPr>
          </w:p>
        </w:tc>
        <w:tc>
          <w:tcPr>
            <w:tcW w:w="50" w:type="pct"/>
            <w:vAlign w:val="center"/>
            <w:hideMark/>
          </w:tcPr>
          <w:p w14:paraId="530CB635" w14:textId="77777777" w:rsidR="00000000" w:rsidRDefault="001A570A">
            <w:pPr>
              <w:rPr>
                <w:rFonts w:eastAsia="Times New Roman"/>
                <w:sz w:val="20"/>
                <w:szCs w:val="20"/>
              </w:rPr>
            </w:pPr>
          </w:p>
        </w:tc>
        <w:tc>
          <w:tcPr>
            <w:tcW w:w="663" w:type="pct"/>
            <w:vAlign w:val="center"/>
            <w:hideMark/>
          </w:tcPr>
          <w:p w14:paraId="29B6F515" w14:textId="77777777" w:rsidR="00000000" w:rsidRDefault="001A570A">
            <w:pPr>
              <w:rPr>
                <w:rFonts w:eastAsia="Times New Roman"/>
                <w:sz w:val="20"/>
                <w:szCs w:val="20"/>
              </w:rPr>
            </w:pPr>
          </w:p>
        </w:tc>
        <w:tc>
          <w:tcPr>
            <w:tcW w:w="5" w:type="pct"/>
            <w:vAlign w:val="center"/>
            <w:hideMark/>
          </w:tcPr>
          <w:p w14:paraId="6AE4FAB2" w14:textId="77777777" w:rsidR="00000000" w:rsidRDefault="001A570A">
            <w:pPr>
              <w:rPr>
                <w:rFonts w:eastAsia="Times New Roman"/>
                <w:sz w:val="20"/>
                <w:szCs w:val="20"/>
              </w:rPr>
            </w:pPr>
          </w:p>
        </w:tc>
        <w:tc>
          <w:tcPr>
            <w:tcW w:w="5" w:type="pct"/>
            <w:vAlign w:val="center"/>
            <w:hideMark/>
          </w:tcPr>
          <w:p w14:paraId="6D727739" w14:textId="77777777" w:rsidR="00000000" w:rsidRDefault="001A570A">
            <w:pPr>
              <w:rPr>
                <w:rFonts w:eastAsia="Times New Roman"/>
                <w:sz w:val="20"/>
                <w:szCs w:val="20"/>
              </w:rPr>
            </w:pPr>
          </w:p>
        </w:tc>
        <w:tc>
          <w:tcPr>
            <w:tcW w:w="25" w:type="pct"/>
            <w:vAlign w:val="center"/>
            <w:hideMark/>
          </w:tcPr>
          <w:p w14:paraId="5B54A996" w14:textId="77777777" w:rsidR="00000000" w:rsidRDefault="001A570A">
            <w:pPr>
              <w:rPr>
                <w:rFonts w:eastAsia="Times New Roman"/>
                <w:sz w:val="20"/>
                <w:szCs w:val="20"/>
              </w:rPr>
            </w:pPr>
          </w:p>
        </w:tc>
        <w:tc>
          <w:tcPr>
            <w:tcW w:w="5" w:type="pct"/>
            <w:vAlign w:val="center"/>
            <w:hideMark/>
          </w:tcPr>
          <w:p w14:paraId="59FABE46" w14:textId="77777777" w:rsidR="00000000" w:rsidRDefault="001A570A">
            <w:pPr>
              <w:rPr>
                <w:rFonts w:eastAsia="Times New Roman"/>
                <w:sz w:val="20"/>
                <w:szCs w:val="20"/>
              </w:rPr>
            </w:pPr>
          </w:p>
        </w:tc>
        <w:tc>
          <w:tcPr>
            <w:tcW w:w="50" w:type="pct"/>
            <w:vAlign w:val="center"/>
            <w:hideMark/>
          </w:tcPr>
          <w:p w14:paraId="03627B05" w14:textId="77777777" w:rsidR="00000000" w:rsidRDefault="001A570A">
            <w:pPr>
              <w:rPr>
                <w:rFonts w:eastAsia="Times New Roman"/>
                <w:sz w:val="20"/>
                <w:szCs w:val="20"/>
              </w:rPr>
            </w:pPr>
          </w:p>
        </w:tc>
        <w:tc>
          <w:tcPr>
            <w:tcW w:w="670" w:type="pct"/>
            <w:vAlign w:val="center"/>
            <w:hideMark/>
          </w:tcPr>
          <w:p w14:paraId="74161E65" w14:textId="77777777" w:rsidR="00000000" w:rsidRDefault="001A570A">
            <w:pPr>
              <w:rPr>
                <w:rFonts w:eastAsia="Times New Roman"/>
                <w:sz w:val="20"/>
                <w:szCs w:val="20"/>
              </w:rPr>
            </w:pPr>
          </w:p>
        </w:tc>
        <w:tc>
          <w:tcPr>
            <w:tcW w:w="5" w:type="pct"/>
            <w:vAlign w:val="center"/>
            <w:hideMark/>
          </w:tcPr>
          <w:p w14:paraId="0F98EFA5" w14:textId="77777777" w:rsidR="00000000" w:rsidRDefault="001A570A">
            <w:pPr>
              <w:rPr>
                <w:rFonts w:eastAsia="Times New Roman"/>
                <w:sz w:val="20"/>
                <w:szCs w:val="20"/>
              </w:rPr>
            </w:pPr>
          </w:p>
        </w:tc>
        <w:tc>
          <w:tcPr>
            <w:tcW w:w="5" w:type="pct"/>
            <w:vAlign w:val="center"/>
            <w:hideMark/>
          </w:tcPr>
          <w:p w14:paraId="792E5698" w14:textId="77777777" w:rsidR="00000000" w:rsidRDefault="001A570A">
            <w:pPr>
              <w:rPr>
                <w:rFonts w:eastAsia="Times New Roman"/>
                <w:sz w:val="20"/>
                <w:szCs w:val="20"/>
              </w:rPr>
            </w:pPr>
          </w:p>
        </w:tc>
        <w:tc>
          <w:tcPr>
            <w:tcW w:w="25" w:type="pct"/>
            <w:vAlign w:val="center"/>
            <w:hideMark/>
          </w:tcPr>
          <w:p w14:paraId="01BCF444" w14:textId="77777777" w:rsidR="00000000" w:rsidRDefault="001A570A">
            <w:pPr>
              <w:rPr>
                <w:rFonts w:eastAsia="Times New Roman"/>
                <w:sz w:val="20"/>
                <w:szCs w:val="20"/>
              </w:rPr>
            </w:pPr>
          </w:p>
        </w:tc>
        <w:tc>
          <w:tcPr>
            <w:tcW w:w="5" w:type="pct"/>
            <w:vAlign w:val="center"/>
            <w:hideMark/>
          </w:tcPr>
          <w:p w14:paraId="48F38FAC" w14:textId="77777777" w:rsidR="00000000" w:rsidRDefault="001A570A">
            <w:pPr>
              <w:rPr>
                <w:rFonts w:eastAsia="Times New Roman"/>
                <w:sz w:val="20"/>
                <w:szCs w:val="20"/>
              </w:rPr>
            </w:pPr>
          </w:p>
        </w:tc>
        <w:tc>
          <w:tcPr>
            <w:tcW w:w="50" w:type="pct"/>
            <w:vAlign w:val="center"/>
            <w:hideMark/>
          </w:tcPr>
          <w:p w14:paraId="42DB9174" w14:textId="77777777" w:rsidR="00000000" w:rsidRDefault="001A570A">
            <w:pPr>
              <w:rPr>
                <w:rFonts w:eastAsia="Times New Roman"/>
                <w:sz w:val="20"/>
                <w:szCs w:val="20"/>
              </w:rPr>
            </w:pPr>
          </w:p>
        </w:tc>
        <w:tc>
          <w:tcPr>
            <w:tcW w:w="663" w:type="pct"/>
            <w:vAlign w:val="center"/>
            <w:hideMark/>
          </w:tcPr>
          <w:p w14:paraId="7C67E30F" w14:textId="77777777" w:rsidR="00000000" w:rsidRDefault="001A570A">
            <w:pPr>
              <w:rPr>
                <w:rFonts w:eastAsia="Times New Roman"/>
                <w:sz w:val="20"/>
                <w:szCs w:val="20"/>
              </w:rPr>
            </w:pPr>
          </w:p>
        </w:tc>
        <w:tc>
          <w:tcPr>
            <w:tcW w:w="5" w:type="pct"/>
            <w:vAlign w:val="center"/>
            <w:hideMark/>
          </w:tcPr>
          <w:p w14:paraId="387EA113" w14:textId="77777777" w:rsidR="00000000" w:rsidRDefault="001A570A">
            <w:pPr>
              <w:rPr>
                <w:rFonts w:eastAsia="Times New Roman"/>
                <w:sz w:val="20"/>
                <w:szCs w:val="20"/>
              </w:rPr>
            </w:pPr>
          </w:p>
        </w:tc>
      </w:tr>
      <w:tr w:rsidR="00000000" w14:paraId="0C41387E" w14:textId="77777777">
        <w:trPr>
          <w:divId w:val="1496997841"/>
        </w:trPr>
        <w:tc>
          <w:tcPr>
            <w:tcW w:w="0" w:type="auto"/>
            <w:gridSpan w:val="3"/>
            <w:tcMar>
              <w:top w:w="30" w:type="dxa"/>
              <w:left w:w="20" w:type="dxa"/>
              <w:bottom w:w="30" w:type="dxa"/>
              <w:right w:w="20" w:type="dxa"/>
            </w:tcMar>
            <w:vAlign w:val="bottom"/>
            <w:hideMark/>
          </w:tcPr>
          <w:p w14:paraId="3890005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076A7482" w14:textId="77777777" w:rsidR="00000000" w:rsidRDefault="001A570A">
            <w:pPr>
              <w:jc w:val="center"/>
              <w:rPr>
                <w:rFonts w:eastAsia="Times New Roman"/>
              </w:rPr>
            </w:pPr>
            <w:r>
              <w:rPr>
                <w:rFonts w:eastAsia="Times New Roman"/>
                <w:b/>
                <w:bCs/>
                <w:color w:val="000000"/>
                <w:sz w:val="16"/>
                <w:szCs w:val="16"/>
              </w:rPr>
              <w:t>Aggregate Principal</w:t>
            </w:r>
            <w:r>
              <w:rPr>
                <w:rFonts w:eastAsia="Times New Roman"/>
                <w:b/>
                <w:bCs/>
                <w:color w:val="000000"/>
                <w:sz w:val="16"/>
                <w:szCs w:val="16"/>
              </w:rPr>
              <w:br/>
              <w:t>Amount of L3 Notes</w:t>
            </w:r>
            <w:r>
              <w:rPr>
                <w:rFonts w:eastAsia="Times New Roman"/>
                <w:b/>
                <w:bCs/>
                <w:color w:val="000000"/>
                <w:sz w:val="16"/>
                <w:szCs w:val="16"/>
              </w:rPr>
              <w:br/>
              <w:t>(prior to debt</w:t>
            </w:r>
            <w:r>
              <w:rPr>
                <w:rFonts w:eastAsia="Times New Roman"/>
                <w:b/>
                <w:bCs/>
                <w:color w:val="000000"/>
                <w:sz w:val="16"/>
                <w:szCs w:val="16"/>
              </w:rPr>
              <w:br/>
              <w:t>exchange)</w:t>
            </w:r>
          </w:p>
        </w:tc>
        <w:tc>
          <w:tcPr>
            <w:tcW w:w="0" w:type="auto"/>
            <w:gridSpan w:val="3"/>
            <w:tcMar>
              <w:top w:w="0" w:type="dxa"/>
              <w:left w:w="20" w:type="dxa"/>
              <w:bottom w:w="0" w:type="dxa"/>
              <w:right w:w="20" w:type="dxa"/>
            </w:tcMar>
            <w:vAlign w:val="center"/>
            <w:hideMark/>
          </w:tcPr>
          <w:p w14:paraId="1A0463B7"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57217B5" w14:textId="77777777" w:rsidR="00000000" w:rsidRDefault="001A570A">
            <w:pPr>
              <w:jc w:val="center"/>
              <w:rPr>
                <w:rFonts w:eastAsia="Times New Roman"/>
              </w:rPr>
            </w:pPr>
            <w:r>
              <w:rPr>
                <w:rFonts w:eastAsia="Times New Roman"/>
                <w:b/>
                <w:bCs/>
                <w:color w:val="000000"/>
                <w:sz w:val="16"/>
                <w:szCs w:val="16"/>
              </w:rPr>
              <w:t>Aggregate Principal</w:t>
            </w:r>
            <w:r>
              <w:rPr>
                <w:rFonts w:eastAsia="Times New Roman"/>
                <w:b/>
                <w:bCs/>
                <w:color w:val="000000"/>
                <w:sz w:val="16"/>
                <w:szCs w:val="16"/>
              </w:rPr>
              <w:br/>
              <w:t>Amount of</w:t>
            </w:r>
            <w:r>
              <w:rPr>
                <w:rFonts w:eastAsia="Times New Roman"/>
                <w:b/>
                <w:bCs/>
                <w:color w:val="000000"/>
                <w:sz w:val="16"/>
                <w:szCs w:val="16"/>
              </w:rPr>
              <w:br/>
              <w:t>New L3Harris Notes</w:t>
            </w:r>
            <w:r>
              <w:rPr>
                <w:rFonts w:eastAsia="Times New Roman"/>
                <w:b/>
                <w:bCs/>
                <w:color w:val="000000"/>
                <w:sz w:val="16"/>
                <w:szCs w:val="16"/>
              </w:rPr>
              <w:br/>
              <w:t>Issued</w:t>
            </w:r>
          </w:p>
        </w:tc>
        <w:tc>
          <w:tcPr>
            <w:tcW w:w="0" w:type="auto"/>
            <w:gridSpan w:val="3"/>
            <w:tcMar>
              <w:top w:w="0" w:type="dxa"/>
              <w:left w:w="20" w:type="dxa"/>
              <w:bottom w:w="0" w:type="dxa"/>
              <w:right w:w="20" w:type="dxa"/>
            </w:tcMar>
            <w:vAlign w:val="center"/>
            <w:hideMark/>
          </w:tcPr>
          <w:p w14:paraId="75044561"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FE69725" w14:textId="77777777" w:rsidR="00000000" w:rsidRDefault="001A570A">
            <w:pPr>
              <w:jc w:val="center"/>
              <w:rPr>
                <w:rFonts w:eastAsia="Times New Roman"/>
              </w:rPr>
            </w:pPr>
            <w:r>
              <w:rPr>
                <w:rFonts w:eastAsia="Times New Roman"/>
                <w:b/>
                <w:bCs/>
                <w:color w:val="000000"/>
                <w:sz w:val="16"/>
                <w:szCs w:val="16"/>
              </w:rPr>
              <w:t>Aggregate Principal</w:t>
            </w:r>
            <w:r>
              <w:rPr>
                <w:rFonts w:eastAsia="Times New Roman"/>
                <w:b/>
                <w:bCs/>
                <w:color w:val="000000"/>
                <w:sz w:val="16"/>
                <w:szCs w:val="16"/>
              </w:rPr>
              <w:br/>
              <w:t>Amount of</w:t>
            </w:r>
            <w:r>
              <w:rPr>
                <w:rFonts w:eastAsia="Times New Roman"/>
                <w:b/>
                <w:bCs/>
                <w:color w:val="000000"/>
                <w:sz w:val="16"/>
                <w:szCs w:val="16"/>
              </w:rPr>
              <w:br/>
              <w:t>Remaining L3 Notes</w:t>
            </w:r>
          </w:p>
        </w:tc>
      </w:tr>
      <w:tr w:rsidR="00000000" w14:paraId="2BC26B50" w14:textId="77777777">
        <w:trPr>
          <w:divId w:val="1496997841"/>
          <w:trHeight w:val="60"/>
        </w:trPr>
        <w:tc>
          <w:tcPr>
            <w:tcW w:w="0" w:type="auto"/>
            <w:gridSpan w:val="3"/>
            <w:tcMar>
              <w:top w:w="0" w:type="dxa"/>
              <w:left w:w="20" w:type="dxa"/>
              <w:bottom w:w="0" w:type="dxa"/>
              <w:right w:w="20" w:type="dxa"/>
            </w:tcMar>
            <w:vAlign w:val="center"/>
            <w:hideMark/>
          </w:tcPr>
          <w:p w14:paraId="3D20E947"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2A228C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20327E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1F431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05E296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66BF37" w14:textId="77777777" w:rsidR="00000000" w:rsidRDefault="001A570A">
            <w:pPr>
              <w:rPr>
                <w:rFonts w:eastAsia="Times New Roman"/>
                <w:sz w:val="20"/>
                <w:szCs w:val="20"/>
              </w:rPr>
            </w:pPr>
          </w:p>
        </w:tc>
      </w:tr>
      <w:tr w:rsidR="00000000" w14:paraId="5545CAF7" w14:textId="77777777">
        <w:trPr>
          <w:divId w:val="1496997841"/>
        </w:trPr>
        <w:tc>
          <w:tcPr>
            <w:tcW w:w="0" w:type="auto"/>
            <w:gridSpan w:val="3"/>
            <w:shd w:val="clear" w:color="auto" w:fill="CCEEFF"/>
            <w:tcMar>
              <w:top w:w="30" w:type="dxa"/>
              <w:left w:w="20" w:type="dxa"/>
              <w:bottom w:w="30" w:type="dxa"/>
              <w:right w:w="20" w:type="dxa"/>
            </w:tcMar>
            <w:vAlign w:val="center"/>
            <w:hideMark/>
          </w:tcPr>
          <w:p w14:paraId="5C9B96BB" w14:textId="77777777" w:rsidR="00000000" w:rsidRDefault="001A570A">
            <w:pPr>
              <w:divId w:val="1583370138"/>
              <w:rPr>
                <w:rFonts w:eastAsia="Times New Roman"/>
              </w:rPr>
            </w:pPr>
            <w:r>
              <w:rPr>
                <w:rFonts w:eastAsia="Times New Roman"/>
                <w:color w:val="000000"/>
                <w:sz w:val="20"/>
                <w:szCs w:val="20"/>
              </w:rPr>
              <w:t>4.95</w:t>
            </w:r>
            <w:r>
              <w:rPr>
                <w:rFonts w:eastAsia="Times New Roman"/>
                <w:color w:val="000000"/>
                <w:sz w:val="20"/>
                <w:szCs w:val="20"/>
              </w:rPr>
              <w:t>% notes due February 15, 2021 (“4.95% 2021 Notes”)</w:t>
            </w:r>
          </w:p>
        </w:tc>
        <w:tc>
          <w:tcPr>
            <w:tcW w:w="0" w:type="auto"/>
            <w:shd w:val="clear" w:color="auto" w:fill="CCEEFF"/>
            <w:tcMar>
              <w:top w:w="30" w:type="dxa"/>
              <w:left w:w="20" w:type="dxa"/>
              <w:bottom w:w="30" w:type="dxa"/>
              <w:right w:w="0" w:type="dxa"/>
            </w:tcMar>
            <w:vAlign w:val="center"/>
            <w:hideMark/>
          </w:tcPr>
          <w:p w14:paraId="57F2666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094ED7BC" w14:textId="77777777" w:rsidR="00000000" w:rsidRDefault="001A570A">
            <w:pPr>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center"/>
            <w:hideMark/>
          </w:tcPr>
          <w:p w14:paraId="30B6ECC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5C7C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6EE46C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E1E3BB3" w14:textId="77777777" w:rsidR="00000000" w:rsidRDefault="001A570A">
            <w:pPr>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center"/>
            <w:hideMark/>
          </w:tcPr>
          <w:p w14:paraId="78E5221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97A9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8C0A92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22717A3" w14:textId="77777777" w:rsidR="00000000" w:rsidRDefault="001A570A">
            <w:pPr>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center"/>
            <w:hideMark/>
          </w:tcPr>
          <w:p w14:paraId="50C29E75" w14:textId="77777777" w:rsidR="00000000" w:rsidRDefault="001A570A">
            <w:pPr>
              <w:jc w:val="right"/>
              <w:rPr>
                <w:rFonts w:eastAsia="Times New Roman"/>
              </w:rPr>
            </w:pPr>
          </w:p>
        </w:tc>
      </w:tr>
      <w:tr w:rsidR="00000000" w14:paraId="4BB32A25" w14:textId="77777777">
        <w:trPr>
          <w:divId w:val="1496997841"/>
        </w:trPr>
        <w:tc>
          <w:tcPr>
            <w:tcW w:w="0" w:type="auto"/>
            <w:gridSpan w:val="3"/>
            <w:shd w:val="clear" w:color="auto" w:fill="FFFFFF"/>
            <w:tcMar>
              <w:top w:w="30" w:type="dxa"/>
              <w:left w:w="20" w:type="dxa"/>
              <w:bottom w:w="30" w:type="dxa"/>
              <w:right w:w="20" w:type="dxa"/>
            </w:tcMar>
            <w:vAlign w:val="center"/>
            <w:hideMark/>
          </w:tcPr>
          <w:p w14:paraId="7188451D" w14:textId="77777777" w:rsidR="00000000" w:rsidRDefault="001A570A">
            <w:pPr>
              <w:divId w:val="1771394088"/>
              <w:rPr>
                <w:rFonts w:eastAsia="Times New Roman"/>
              </w:rPr>
            </w:pPr>
            <w:r>
              <w:rPr>
                <w:rFonts w:eastAsia="Times New Roman"/>
                <w:color w:val="000000"/>
                <w:sz w:val="20"/>
                <w:szCs w:val="20"/>
              </w:rPr>
              <w:t>3.85% notes due June 15, 2023 (“3.85% 2023 Notes”)</w:t>
            </w:r>
          </w:p>
        </w:tc>
        <w:tc>
          <w:tcPr>
            <w:tcW w:w="0" w:type="auto"/>
            <w:gridSpan w:val="2"/>
            <w:shd w:val="clear" w:color="auto" w:fill="FFFFFF"/>
            <w:tcMar>
              <w:top w:w="30" w:type="dxa"/>
              <w:left w:w="20" w:type="dxa"/>
              <w:bottom w:w="30" w:type="dxa"/>
              <w:right w:w="0" w:type="dxa"/>
            </w:tcMar>
            <w:vAlign w:val="center"/>
            <w:hideMark/>
          </w:tcPr>
          <w:p w14:paraId="13D04C25" w14:textId="77777777" w:rsidR="00000000" w:rsidRDefault="001A570A">
            <w:pPr>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center"/>
            <w:hideMark/>
          </w:tcPr>
          <w:p w14:paraId="3905DC6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5B87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E23432" w14:textId="77777777" w:rsidR="00000000" w:rsidRDefault="001A570A">
            <w:pPr>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center"/>
            <w:hideMark/>
          </w:tcPr>
          <w:p w14:paraId="3BF95E3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168E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436EB2" w14:textId="77777777" w:rsidR="00000000" w:rsidRDefault="001A570A">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center"/>
            <w:hideMark/>
          </w:tcPr>
          <w:p w14:paraId="1CFA5C49" w14:textId="77777777" w:rsidR="00000000" w:rsidRDefault="001A570A">
            <w:pPr>
              <w:jc w:val="right"/>
              <w:rPr>
                <w:rFonts w:eastAsia="Times New Roman"/>
              </w:rPr>
            </w:pPr>
          </w:p>
        </w:tc>
      </w:tr>
      <w:tr w:rsidR="00000000" w14:paraId="1AAC3E93" w14:textId="77777777">
        <w:trPr>
          <w:divId w:val="1496997841"/>
        </w:trPr>
        <w:tc>
          <w:tcPr>
            <w:tcW w:w="0" w:type="auto"/>
            <w:gridSpan w:val="3"/>
            <w:shd w:val="clear" w:color="auto" w:fill="CCEEFF"/>
            <w:tcMar>
              <w:top w:w="30" w:type="dxa"/>
              <w:left w:w="20" w:type="dxa"/>
              <w:bottom w:w="30" w:type="dxa"/>
              <w:right w:w="20" w:type="dxa"/>
            </w:tcMar>
            <w:vAlign w:val="center"/>
            <w:hideMark/>
          </w:tcPr>
          <w:p w14:paraId="3364AE2D" w14:textId="77777777" w:rsidR="00000000" w:rsidRDefault="001A570A">
            <w:pPr>
              <w:divId w:val="642151601"/>
              <w:rPr>
                <w:rFonts w:eastAsia="Times New Roman"/>
              </w:rPr>
            </w:pPr>
            <w:r>
              <w:rPr>
                <w:rFonts w:eastAsia="Times New Roman"/>
                <w:color w:val="000000"/>
                <w:sz w:val="20"/>
                <w:szCs w:val="20"/>
              </w:rPr>
              <w:t>3.95% notes due May 28, 2024 (“3.95% 2024 Notes”)</w:t>
            </w:r>
          </w:p>
        </w:tc>
        <w:tc>
          <w:tcPr>
            <w:tcW w:w="0" w:type="auto"/>
            <w:gridSpan w:val="2"/>
            <w:shd w:val="clear" w:color="auto" w:fill="CCEEFF"/>
            <w:tcMar>
              <w:top w:w="30" w:type="dxa"/>
              <w:left w:w="20" w:type="dxa"/>
              <w:bottom w:w="30" w:type="dxa"/>
              <w:right w:w="0" w:type="dxa"/>
            </w:tcMar>
            <w:vAlign w:val="center"/>
            <w:hideMark/>
          </w:tcPr>
          <w:p w14:paraId="387ABAEE"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center"/>
            <w:hideMark/>
          </w:tcPr>
          <w:p w14:paraId="57621A5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992A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9C3E6D" w14:textId="77777777" w:rsidR="00000000" w:rsidRDefault="001A570A">
            <w:pPr>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center"/>
            <w:hideMark/>
          </w:tcPr>
          <w:p w14:paraId="5C13BE0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EEC7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73433D"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center"/>
            <w:hideMark/>
          </w:tcPr>
          <w:p w14:paraId="4EE74E1B" w14:textId="77777777" w:rsidR="00000000" w:rsidRDefault="001A570A">
            <w:pPr>
              <w:jc w:val="right"/>
              <w:rPr>
                <w:rFonts w:eastAsia="Times New Roman"/>
              </w:rPr>
            </w:pPr>
          </w:p>
        </w:tc>
      </w:tr>
      <w:tr w:rsidR="00000000" w14:paraId="525DA351" w14:textId="77777777">
        <w:trPr>
          <w:divId w:val="1496997841"/>
        </w:trPr>
        <w:tc>
          <w:tcPr>
            <w:tcW w:w="0" w:type="auto"/>
            <w:gridSpan w:val="3"/>
            <w:shd w:val="clear" w:color="auto" w:fill="FFFFFF"/>
            <w:tcMar>
              <w:top w:w="30" w:type="dxa"/>
              <w:left w:w="20" w:type="dxa"/>
              <w:bottom w:w="30" w:type="dxa"/>
              <w:right w:w="20" w:type="dxa"/>
            </w:tcMar>
            <w:vAlign w:val="center"/>
            <w:hideMark/>
          </w:tcPr>
          <w:p w14:paraId="5CE93BEE" w14:textId="77777777" w:rsidR="00000000" w:rsidRDefault="001A570A">
            <w:pPr>
              <w:divId w:val="1651864212"/>
              <w:rPr>
                <w:rFonts w:eastAsia="Times New Roman"/>
              </w:rPr>
            </w:pPr>
            <w:r>
              <w:rPr>
                <w:rFonts w:eastAsia="Times New Roman"/>
                <w:color w:val="000000"/>
                <w:sz w:val="20"/>
                <w:szCs w:val="20"/>
              </w:rPr>
              <w:t>3.85</w:t>
            </w:r>
            <w:r>
              <w:rPr>
                <w:rFonts w:eastAsia="Times New Roman"/>
                <w:color w:val="000000"/>
                <w:sz w:val="20"/>
                <w:szCs w:val="20"/>
              </w:rPr>
              <w:t>% notes due December 15, 2026 (“3.85% 2026 Notes”)</w:t>
            </w:r>
          </w:p>
        </w:tc>
        <w:tc>
          <w:tcPr>
            <w:tcW w:w="0" w:type="auto"/>
            <w:gridSpan w:val="2"/>
            <w:shd w:val="clear" w:color="auto" w:fill="FFFFFF"/>
            <w:tcMar>
              <w:top w:w="30" w:type="dxa"/>
              <w:left w:w="20" w:type="dxa"/>
              <w:bottom w:w="30" w:type="dxa"/>
              <w:right w:w="0" w:type="dxa"/>
            </w:tcMar>
            <w:vAlign w:val="center"/>
            <w:hideMark/>
          </w:tcPr>
          <w:p w14:paraId="7AAD11F1" w14:textId="77777777" w:rsidR="00000000" w:rsidRDefault="001A570A">
            <w:pPr>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center"/>
            <w:hideMark/>
          </w:tcPr>
          <w:p w14:paraId="5C964DC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19AB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0826E8" w14:textId="77777777" w:rsidR="00000000" w:rsidRDefault="001A570A">
            <w:pPr>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center"/>
            <w:hideMark/>
          </w:tcPr>
          <w:p w14:paraId="2AC96B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8F4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2E314F"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14:paraId="79266E2D" w14:textId="77777777" w:rsidR="00000000" w:rsidRDefault="001A570A">
            <w:pPr>
              <w:jc w:val="right"/>
              <w:rPr>
                <w:rFonts w:eastAsia="Times New Roman"/>
              </w:rPr>
            </w:pPr>
          </w:p>
        </w:tc>
      </w:tr>
      <w:tr w:rsidR="00000000" w14:paraId="01EBC47A" w14:textId="77777777">
        <w:trPr>
          <w:divId w:val="1496997841"/>
        </w:trPr>
        <w:tc>
          <w:tcPr>
            <w:tcW w:w="0" w:type="auto"/>
            <w:gridSpan w:val="3"/>
            <w:shd w:val="clear" w:color="auto" w:fill="CCEEFF"/>
            <w:tcMar>
              <w:top w:w="30" w:type="dxa"/>
              <w:left w:w="20" w:type="dxa"/>
              <w:bottom w:w="30" w:type="dxa"/>
              <w:right w:w="20" w:type="dxa"/>
            </w:tcMar>
            <w:vAlign w:val="center"/>
            <w:hideMark/>
          </w:tcPr>
          <w:p w14:paraId="6D4F34B6" w14:textId="77777777" w:rsidR="00000000" w:rsidRDefault="001A570A">
            <w:pPr>
              <w:divId w:val="1310205335"/>
              <w:rPr>
                <w:rFonts w:eastAsia="Times New Roman"/>
              </w:rPr>
            </w:pPr>
            <w:r>
              <w:rPr>
                <w:rFonts w:eastAsia="Times New Roman"/>
                <w:color w:val="000000"/>
                <w:sz w:val="20"/>
                <w:szCs w:val="20"/>
              </w:rPr>
              <w:t>4.40% notes due June 15, 2028 (“4.40% 2028 Notes”)</w:t>
            </w:r>
          </w:p>
        </w:tc>
        <w:tc>
          <w:tcPr>
            <w:tcW w:w="0" w:type="auto"/>
            <w:gridSpan w:val="2"/>
            <w:shd w:val="clear" w:color="auto" w:fill="CCEEFF"/>
            <w:tcMar>
              <w:top w:w="30" w:type="dxa"/>
              <w:left w:w="20" w:type="dxa"/>
              <w:bottom w:w="30" w:type="dxa"/>
              <w:right w:w="0" w:type="dxa"/>
            </w:tcMar>
            <w:vAlign w:val="center"/>
            <w:hideMark/>
          </w:tcPr>
          <w:p w14:paraId="12A6259A" w14:textId="77777777" w:rsidR="00000000" w:rsidRDefault="001A570A">
            <w:pPr>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center"/>
            <w:hideMark/>
          </w:tcPr>
          <w:p w14:paraId="0AFD459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4422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4A626D" w14:textId="77777777" w:rsidR="00000000" w:rsidRDefault="001A570A">
            <w:pPr>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center"/>
            <w:hideMark/>
          </w:tcPr>
          <w:p w14:paraId="36AED96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6E3C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EE8087" w14:textId="77777777" w:rsidR="00000000" w:rsidRDefault="001A570A">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14:paraId="7AC56620" w14:textId="77777777" w:rsidR="00000000" w:rsidRDefault="001A570A">
            <w:pPr>
              <w:jc w:val="right"/>
              <w:rPr>
                <w:rFonts w:eastAsia="Times New Roman"/>
              </w:rPr>
            </w:pPr>
          </w:p>
        </w:tc>
      </w:tr>
      <w:tr w:rsidR="00000000" w14:paraId="6006BCAA" w14:textId="77777777">
        <w:trPr>
          <w:divId w:val="1496997841"/>
        </w:trPr>
        <w:tc>
          <w:tcPr>
            <w:tcW w:w="0" w:type="auto"/>
            <w:gridSpan w:val="3"/>
            <w:shd w:val="clear" w:color="auto" w:fill="FFFFFF"/>
            <w:tcMar>
              <w:top w:w="30" w:type="dxa"/>
              <w:left w:w="20" w:type="dxa"/>
              <w:bottom w:w="30" w:type="dxa"/>
              <w:right w:w="20" w:type="dxa"/>
            </w:tcMar>
            <w:vAlign w:val="center"/>
            <w:hideMark/>
          </w:tcPr>
          <w:p w14:paraId="4CDD30B2" w14:textId="77777777" w:rsidR="00000000" w:rsidRDefault="001A570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A1F53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C49BDBC" w14:textId="77777777" w:rsidR="00000000" w:rsidRDefault="001A570A">
            <w:pPr>
              <w:jc w:val="right"/>
              <w:rPr>
                <w:rFonts w:eastAsia="Times New Roman"/>
              </w:rPr>
            </w:pPr>
            <w:r>
              <w:rPr>
                <w:rFonts w:eastAsia="Times New Roman"/>
                <w:color w:val="000000"/>
                <w:sz w:val="20"/>
                <w:szCs w:val="20"/>
              </w:rPr>
              <w:t>3,350 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400C55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E7D1B"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73255F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119BB62" w14:textId="77777777" w:rsidR="00000000" w:rsidRDefault="001A570A">
            <w:pPr>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336445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9929A"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2AA1C0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302ED1A" w14:textId="77777777" w:rsidR="00000000" w:rsidRDefault="001A570A">
            <w:pPr>
              <w:jc w:val="right"/>
              <w:rPr>
                <w:rFonts w:eastAsia="Times New Roman"/>
              </w:rPr>
            </w:pPr>
            <w:r>
              <w:rPr>
                <w:rFonts w:eastAsia="Times New Roman"/>
                <w:color w:val="000000"/>
                <w:sz w:val="20"/>
                <w:szCs w:val="20"/>
              </w:rPr>
              <w:t>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24EB1C5" w14:textId="77777777" w:rsidR="00000000" w:rsidRDefault="001A570A">
            <w:pPr>
              <w:jc w:val="right"/>
              <w:rPr>
                <w:rFonts w:eastAsia="Times New Roman"/>
              </w:rPr>
            </w:pPr>
          </w:p>
        </w:tc>
      </w:tr>
    </w:tbl>
    <w:p w14:paraId="7D80A763" w14:textId="77777777" w:rsidR="00000000" w:rsidRDefault="001A570A">
      <w:pPr>
        <w:ind w:firstLine="450"/>
        <w:divId w:val="1913270674"/>
        <w:rPr>
          <w:rFonts w:eastAsia="Times New Roman"/>
        </w:rPr>
      </w:pPr>
      <w:r>
        <w:rPr>
          <w:rFonts w:eastAsia="Times New Roman"/>
          <w:color w:val="000000"/>
          <w:sz w:val="20"/>
          <w:szCs w:val="20"/>
        </w:rPr>
        <w:t>Following the settlement of the exchange offers, there was $329 million of existing L3 Notes outstanding, which remained the senior unsecured obligations of L3.</w:t>
      </w:r>
    </w:p>
    <w:p w14:paraId="4BA274CE" w14:textId="77777777" w:rsidR="00000000" w:rsidRDefault="001A570A">
      <w:pPr>
        <w:ind w:firstLine="450"/>
        <w:divId w:val="1398554573"/>
        <w:rPr>
          <w:rFonts w:eastAsia="Times New Roman"/>
        </w:rPr>
      </w:pPr>
      <w:r>
        <w:rPr>
          <w:rFonts w:eastAsia="Times New Roman"/>
          <w:color w:val="000000"/>
          <w:sz w:val="20"/>
          <w:szCs w:val="20"/>
        </w:rPr>
        <w:t>On December 14, 2020, we redeemed the 4.95% 2021 Notes, as described above under “Long-Term Debt Repaid in Fiscal 2020.” Interest on the remaining New L3Harris Notes is payable semi-annually in arrears on June 15 and December 15, commencing on December 15,</w:t>
      </w:r>
      <w:r>
        <w:rPr>
          <w:rFonts w:eastAsia="Times New Roman"/>
          <w:color w:val="000000"/>
          <w:sz w:val="20"/>
          <w:szCs w:val="20"/>
        </w:rPr>
        <w:t xml:space="preserve"> 2019, in the case of the 3.85% 2023 Notes, 3.85% 2026 Notes and 4.40% 2028 Notes; and on May 28 and November 28, commencing on November 28, 2019, in the case of the 3.95% 2024 Notes. The New L3Harris Notes are unsecured senior obligations and rank equally</w:t>
      </w:r>
      <w:r>
        <w:rPr>
          <w:rFonts w:eastAsia="Times New Roman"/>
          <w:color w:val="000000"/>
          <w:sz w:val="20"/>
          <w:szCs w:val="20"/>
        </w:rPr>
        <w:t xml:space="preserve"> in right of payment with all other L3Harris senior unsecured debt. </w:t>
      </w:r>
    </w:p>
    <w:p w14:paraId="3267D5C8" w14:textId="77777777" w:rsidR="00000000" w:rsidRDefault="001A570A">
      <w:pPr>
        <w:ind w:firstLine="450"/>
        <w:divId w:val="989944505"/>
        <w:rPr>
          <w:rFonts w:eastAsia="Times New Roman"/>
        </w:rPr>
      </w:pPr>
      <w:r>
        <w:rPr>
          <w:rFonts w:eastAsia="Times New Roman"/>
          <w:color w:val="000000"/>
          <w:sz w:val="20"/>
          <w:szCs w:val="20"/>
        </w:rPr>
        <w:t xml:space="preserve">The New L3Harris Notes are redeemable in whole or in part at any time or in part from time to time, at our option, until three months prior to the maturity date, in the case of the 3.95% </w:t>
      </w:r>
      <w:r>
        <w:rPr>
          <w:rFonts w:eastAsia="Times New Roman"/>
          <w:color w:val="000000"/>
          <w:sz w:val="20"/>
          <w:szCs w:val="20"/>
        </w:rPr>
        <w:t>2024 Notes, 3.85% 2026 Notes and 4.40% 2028 Notes, and until one month prior to the maturity date, in the case of the 3.85% 2023 Notes, at a redemption price equal to the greater of 100 percent of the principal amount of the notes to be redeemed or the sum</w:t>
      </w:r>
      <w:r>
        <w:rPr>
          <w:rFonts w:eastAsia="Times New Roman"/>
          <w:color w:val="000000"/>
          <w:sz w:val="20"/>
          <w:szCs w:val="20"/>
        </w:rPr>
        <w:t xml:space="preserve"> of the present values of the principal amount and the remaining scheduled payments of interest on the notes to be redeemed, discounted from the scheduled payment dates to the date of redemption at the “treasury rate” as defined in the note, plus 20 basis </w:t>
      </w:r>
      <w:r>
        <w:rPr>
          <w:rFonts w:eastAsia="Times New Roman"/>
          <w:color w:val="000000"/>
          <w:sz w:val="20"/>
          <w:szCs w:val="20"/>
        </w:rPr>
        <w:t xml:space="preserve">points, in the case of the 3.85% 2023 Notes and 3.95% 2024 Notes, or 25 basis points, in the case of the 3.85% 2026 Notes and 4.40% 2028 Notes, plus, in each case, accrued and unpaid interest due at the date of redemption. </w:t>
      </w:r>
    </w:p>
    <w:p w14:paraId="5481366B" w14:textId="77777777" w:rsidR="00000000" w:rsidRDefault="001A570A">
      <w:pPr>
        <w:ind w:firstLine="450"/>
        <w:divId w:val="261187569"/>
        <w:rPr>
          <w:rFonts w:eastAsia="Times New Roman"/>
        </w:rPr>
      </w:pPr>
      <w:r>
        <w:rPr>
          <w:rFonts w:eastAsia="Times New Roman"/>
          <w:color w:val="000000"/>
          <w:sz w:val="20"/>
          <w:szCs w:val="20"/>
        </w:rPr>
        <w:t xml:space="preserve">On March 31, 2020, we commenced </w:t>
      </w:r>
      <w:r>
        <w:rPr>
          <w:rFonts w:eastAsia="Times New Roman"/>
          <w:color w:val="000000"/>
          <w:sz w:val="20"/>
          <w:szCs w:val="20"/>
        </w:rPr>
        <w:t>offers to eligible holders (“Exchange Offers”) to exchange any and all outstanding New L3Harris Notes issued by L3Harris as set forth in the table above (the “Original Notes”), which were previously issued pursuant to an exemption from the registration req</w:t>
      </w:r>
      <w:r>
        <w:rPr>
          <w:rFonts w:eastAsia="Times New Roman"/>
          <w:color w:val="000000"/>
          <w:sz w:val="20"/>
          <w:szCs w:val="20"/>
        </w:rPr>
        <w:t>uirements of the Securities Act of 1933, as amended (the “Securities Act”), for an equal principal amount of new notes registered under the Securities Act (the “Exchange Notes”).</w:t>
      </w:r>
    </w:p>
    <w:p w14:paraId="7C117BC3" w14:textId="77777777" w:rsidR="00000000" w:rsidRDefault="001A570A">
      <w:pPr>
        <w:ind w:firstLine="450"/>
        <w:jc w:val="center"/>
        <w:divId w:val="701320414"/>
        <w:rPr>
          <w:rFonts w:eastAsia="Times New Roman"/>
        </w:rPr>
      </w:pPr>
      <w:r>
        <w:rPr>
          <w:rFonts w:eastAsia="Times New Roman"/>
          <w:color w:val="000000"/>
          <w:sz w:val="20"/>
          <w:szCs w:val="20"/>
        </w:rPr>
        <w:t>102</w:t>
      </w:r>
    </w:p>
    <w:p w14:paraId="45C5E053" w14:textId="77777777" w:rsidR="00000000" w:rsidRDefault="001A570A">
      <w:pPr>
        <w:rPr>
          <w:rFonts w:eastAsia="Times New Roman"/>
        </w:rPr>
      </w:pPr>
      <w:r>
        <w:rPr>
          <w:rFonts w:eastAsia="Times New Roman"/>
        </w:rPr>
        <w:pict w14:anchorId="516FAB13">
          <v:rect id="_x0000_i1130" style="width:0;height:1.5pt" o:hralign="center" o:hrstd="t" o:hr="t" fillcolor="#a0a0a0" stroked="f"/>
        </w:pict>
      </w:r>
    </w:p>
    <w:p w14:paraId="533BACFD" w14:textId="77777777" w:rsidR="00000000" w:rsidRDefault="001A570A">
      <w:pPr>
        <w:ind w:firstLine="450"/>
        <w:divId w:val="414783762"/>
        <w:rPr>
          <w:rFonts w:eastAsia="Times New Roman"/>
        </w:rPr>
      </w:pPr>
    </w:p>
    <w:p w14:paraId="336841C6" w14:textId="77777777" w:rsidR="00000000" w:rsidRDefault="001A570A">
      <w:pPr>
        <w:ind w:firstLine="450"/>
        <w:divId w:val="496918419"/>
        <w:rPr>
          <w:rFonts w:eastAsia="Times New Roman"/>
        </w:rPr>
      </w:pPr>
      <w:r>
        <w:rPr>
          <w:rFonts w:eastAsia="Times New Roman"/>
          <w:color w:val="000000"/>
          <w:sz w:val="20"/>
          <w:szCs w:val="20"/>
        </w:rPr>
        <w:t>The Exchange Notes were offered to</w:t>
      </w:r>
      <w:r>
        <w:rPr>
          <w:rFonts w:eastAsia="Times New Roman"/>
          <w:color w:val="000000"/>
          <w:sz w:val="20"/>
          <w:szCs w:val="20"/>
        </w:rPr>
        <w:t xml:space="preserve"> satisfy L3Harris’ obligations under the registration rights agreement entered into as part of the issuance of the Original Notes, which occurred in exchange for the L3 Notes as described above.</w:t>
      </w:r>
    </w:p>
    <w:p w14:paraId="41B016EE" w14:textId="77777777" w:rsidR="00000000" w:rsidRDefault="001A570A">
      <w:pPr>
        <w:ind w:firstLine="450"/>
        <w:divId w:val="613053293"/>
        <w:rPr>
          <w:rFonts w:eastAsia="Times New Roman"/>
        </w:rPr>
      </w:pPr>
      <w:r>
        <w:rPr>
          <w:rFonts w:eastAsia="Times New Roman"/>
          <w:color w:val="000000"/>
          <w:sz w:val="20"/>
          <w:szCs w:val="20"/>
        </w:rPr>
        <w:t>The terms of the Exchange Notes issued in the Exchange Offers</w:t>
      </w:r>
      <w:r>
        <w:rPr>
          <w:rFonts w:eastAsia="Times New Roman"/>
          <w:color w:val="000000"/>
          <w:sz w:val="20"/>
          <w:szCs w:val="20"/>
        </w:rPr>
        <w:t xml:space="preserve"> are substantially identical to the terms of the corresponding series of the Original Notes, except that the Exchange Notes are registered under the Securities Act and the transfer restrictions, registration rights and related special interest provisions a</w:t>
      </w:r>
      <w:r>
        <w:rPr>
          <w:rFonts w:eastAsia="Times New Roman"/>
          <w:color w:val="000000"/>
          <w:sz w:val="20"/>
          <w:szCs w:val="20"/>
        </w:rPr>
        <w:t>pplicable to the Original Notes do not apply to the Exchange Notes. Each series of Exchange Notes is part of the same corresponding series of the Original Notes and were issued under the same base indenture.</w:t>
      </w:r>
    </w:p>
    <w:p w14:paraId="1B6C85AD" w14:textId="77777777" w:rsidR="00000000" w:rsidRDefault="001A570A">
      <w:pPr>
        <w:ind w:firstLine="450"/>
        <w:divId w:val="1413045985"/>
        <w:rPr>
          <w:rFonts w:eastAsia="Times New Roman"/>
        </w:rPr>
      </w:pPr>
      <w:r>
        <w:rPr>
          <w:rFonts w:eastAsia="Times New Roman"/>
          <w:color w:val="000000"/>
          <w:sz w:val="20"/>
          <w:szCs w:val="20"/>
        </w:rPr>
        <w:t>The Exchange Offers expired at 5:00p.m., New Yor</w:t>
      </w:r>
      <w:r>
        <w:rPr>
          <w:rFonts w:eastAsia="Times New Roman"/>
          <w:color w:val="000000"/>
          <w:sz w:val="20"/>
          <w:szCs w:val="20"/>
        </w:rPr>
        <w:t>k City time, on May 1, 2020. On May 5, 2020, we settled the Exchange Offers and Issued Exchange Notes for validly tendered Original Notes for over 99.9 percent of the 4.95% 2021 Notes, 3.85% 2023 Notes, 3.95% 2024 Notes and 3.85% 2026 Notes and 98.9 percen</w:t>
      </w:r>
      <w:r>
        <w:rPr>
          <w:rFonts w:eastAsia="Times New Roman"/>
          <w:color w:val="000000"/>
          <w:sz w:val="20"/>
          <w:szCs w:val="20"/>
        </w:rPr>
        <w:t>t of the 4.40% 2028 Notes.</w:t>
      </w:r>
    </w:p>
    <w:p w14:paraId="2D50EFD4" w14:textId="77777777" w:rsidR="00000000" w:rsidRDefault="001A570A">
      <w:pPr>
        <w:divId w:val="244188426"/>
        <w:rPr>
          <w:rFonts w:eastAsia="Times New Roman"/>
        </w:rPr>
      </w:pPr>
      <w:r>
        <w:rPr>
          <w:rFonts w:eastAsia="Times New Roman"/>
          <w:b/>
          <w:bCs/>
          <w:color w:val="000000"/>
          <w:sz w:val="20"/>
          <w:szCs w:val="20"/>
        </w:rPr>
        <w:t xml:space="preserve">Long-Term Debt Repaid in the Two Quarters Ended January 3, 2020 </w:t>
      </w:r>
    </w:p>
    <w:p w14:paraId="150D516A" w14:textId="77777777" w:rsidR="00000000" w:rsidRDefault="001A570A">
      <w:pPr>
        <w:ind w:firstLine="450"/>
        <w:divId w:val="1764103675"/>
        <w:rPr>
          <w:rFonts w:eastAsia="Times New Roman"/>
        </w:rPr>
      </w:pPr>
      <w:r>
        <w:rPr>
          <w:rFonts w:eastAsia="Times New Roman"/>
          <w:color w:val="000000"/>
          <w:sz w:val="20"/>
          <w:szCs w:val="20"/>
        </w:rPr>
        <w:t>On December 16, 2019, we completed our optional redemption of the entire outstanding $400 million aggregate principal amount of our 2.7% Notes due April 27, 2020 (t</w:t>
      </w:r>
      <w:r>
        <w:rPr>
          <w:rFonts w:eastAsia="Times New Roman"/>
          <w:color w:val="000000"/>
          <w:sz w:val="20"/>
          <w:szCs w:val="20"/>
        </w:rPr>
        <w:t>he “2.7% 2020 Notes”) at a “make-whole” redemption price as set forth in the 2.7% 2020 Notes. The “make-whole” redemption price for the 2.7% 2020 Notes was $403 million, and after adjusting for the carrying value of our unamortized issuance costs, we recor</w:t>
      </w:r>
      <w:r>
        <w:rPr>
          <w:rFonts w:eastAsia="Times New Roman"/>
          <w:color w:val="000000"/>
          <w:sz w:val="20"/>
          <w:szCs w:val="20"/>
        </w:rPr>
        <w:t xml:space="preserve">ded a $2 million loss on the extinguishment of the 2.7% 2020 Notes in the two quarters ended January 3, 2020, which is included as a component of the “Non-operating income” line item in our Consolidated Statement of Income. </w:t>
      </w:r>
    </w:p>
    <w:p w14:paraId="3AF9083B" w14:textId="77777777" w:rsidR="00000000" w:rsidRDefault="001A570A">
      <w:pPr>
        <w:divId w:val="1518620794"/>
        <w:rPr>
          <w:rFonts w:eastAsia="Times New Roman"/>
        </w:rPr>
      </w:pPr>
      <w:r>
        <w:rPr>
          <w:rFonts w:eastAsia="Times New Roman"/>
          <w:b/>
          <w:bCs/>
          <w:color w:val="000000"/>
          <w:sz w:val="20"/>
          <w:szCs w:val="20"/>
        </w:rPr>
        <w:t xml:space="preserve">Long-Term Debt Issued in the Two Quarters Ended January 3, 2020 </w:t>
      </w:r>
    </w:p>
    <w:p w14:paraId="7EBD862A" w14:textId="77777777" w:rsidR="00000000" w:rsidRDefault="001A570A">
      <w:pPr>
        <w:ind w:firstLine="450"/>
        <w:divId w:val="68501870"/>
        <w:rPr>
          <w:rFonts w:eastAsia="Times New Roman"/>
        </w:rPr>
      </w:pPr>
      <w:r>
        <w:rPr>
          <w:rFonts w:eastAsia="Times New Roman"/>
          <w:i/>
          <w:iCs/>
          <w:color w:val="000000"/>
          <w:sz w:val="20"/>
          <w:szCs w:val="20"/>
        </w:rPr>
        <w:t>Fixed-rate Debt:</w:t>
      </w:r>
      <w:r>
        <w:rPr>
          <w:rFonts w:eastAsia="Times New Roman"/>
          <w:color w:val="000000"/>
          <w:sz w:val="20"/>
          <w:szCs w:val="20"/>
        </w:rPr>
        <w:t> On November 27, 2019, in order to fund our optional redemption of the 2.7% 2020 Notes as described above under “Long-Term Debt Repaid in the Two Quarters Ended January 3, 202</w:t>
      </w:r>
      <w:r>
        <w:rPr>
          <w:rFonts w:eastAsia="Times New Roman"/>
          <w:color w:val="000000"/>
          <w:sz w:val="20"/>
          <w:szCs w:val="20"/>
        </w:rPr>
        <w:t>0,” we completed the issuance of $400 million in aggregate principal amount of 2.90% notes due December 15, 2029 (the “2.90% 2029 Notes”). Interest on the 2.90% 2029 Notes is payable semi-annually in arrears on June 15 and December 15 of each year, commenc</w:t>
      </w:r>
      <w:r>
        <w:rPr>
          <w:rFonts w:eastAsia="Times New Roman"/>
          <w:color w:val="000000"/>
          <w:sz w:val="20"/>
          <w:szCs w:val="20"/>
        </w:rPr>
        <w:t>ing on June 15, 2020. At any time prior to September 15, 2029, we may redeem the 2.90% 2029 Notes, in whole or in part, at our option, at a “make-whole” redemption price equal to the greater of 100 percent of the principal amount of the 2.90% 2029 Notes or</w:t>
      </w:r>
      <w:r>
        <w:rPr>
          <w:rFonts w:eastAsia="Times New Roman"/>
          <w:color w:val="000000"/>
          <w:sz w:val="20"/>
          <w:szCs w:val="20"/>
        </w:rPr>
        <w:t xml:space="preserve"> the sum of the present values of the remaining scheduled payments of the principal plus accrued interest (other than interest accruing to the date of redemption) on the notes being redeemed, discounted to the redemption date on a semi-annual basis at the </w:t>
      </w:r>
      <w:r>
        <w:rPr>
          <w:rFonts w:eastAsia="Times New Roman"/>
          <w:color w:val="000000"/>
          <w:sz w:val="20"/>
          <w:szCs w:val="20"/>
        </w:rPr>
        <w:t>“Treasury Rate”, as defined in the 2.90% 2029 Notes, plus 20 basis points. We will pay accrued interest on the principal amount of notes being redeemed to, but not including, the redemption date. At any time on or after September 15, 2029, we may redeem th</w:t>
      </w:r>
      <w:r>
        <w:rPr>
          <w:rFonts w:eastAsia="Times New Roman"/>
          <w:color w:val="000000"/>
          <w:sz w:val="20"/>
          <w:szCs w:val="20"/>
        </w:rPr>
        <w:t>e 2.90% 2029 Notes, in whole or in part, at our option, at a redemption price equal to 100 percent of the principal amount of the notes being redeemed, plus accrued interest on the principal amount of the notes being redeemed to, but not including, the red</w:t>
      </w:r>
      <w:r>
        <w:rPr>
          <w:rFonts w:eastAsia="Times New Roman"/>
          <w:color w:val="000000"/>
          <w:sz w:val="20"/>
          <w:szCs w:val="20"/>
        </w:rPr>
        <w:t>emption date. In addition, upon change of control combined with a below-investment-grade rating event, we may be required to make an offer to repurchase the 2.90% 2029 Notes at a price equal to 101 percent of the aggregate principal amount of the notes bei</w:t>
      </w:r>
      <w:r>
        <w:rPr>
          <w:rFonts w:eastAsia="Times New Roman"/>
          <w:color w:val="000000"/>
          <w:sz w:val="20"/>
          <w:szCs w:val="20"/>
        </w:rPr>
        <w:t>ng repurchased, plus accrued interest on the notes being repurchased to, but not including, the date of repurchase. We incurred $3 million of debt issuance costs related to the issuance of the 2.90% 2029 Notes, which are being amortized using the effective</w:t>
      </w:r>
      <w:r>
        <w:rPr>
          <w:rFonts w:eastAsia="Times New Roman"/>
          <w:color w:val="000000"/>
          <w:sz w:val="20"/>
          <w:szCs w:val="20"/>
        </w:rPr>
        <w:t xml:space="preserve"> interest rate method over the life of the 2.90% 2029 Notes, and such amortization is included as a component of the “Interest expense” line item in our Consolidated Statement of Income.</w:t>
      </w:r>
    </w:p>
    <w:p w14:paraId="47D0E514" w14:textId="77777777" w:rsidR="00000000" w:rsidRDefault="001A570A">
      <w:pPr>
        <w:divId w:val="619192116"/>
        <w:rPr>
          <w:rFonts w:eastAsia="Times New Roman"/>
        </w:rPr>
      </w:pPr>
      <w:r>
        <w:rPr>
          <w:rFonts w:eastAsia="Times New Roman"/>
          <w:b/>
          <w:bCs/>
          <w:color w:val="000000"/>
          <w:sz w:val="20"/>
          <w:szCs w:val="20"/>
        </w:rPr>
        <w:t>Long-Term Debt Repaid in Fiscal 2019</w:t>
      </w:r>
    </w:p>
    <w:p w14:paraId="33F118CB" w14:textId="77777777" w:rsidR="00000000" w:rsidRDefault="001A570A">
      <w:pPr>
        <w:ind w:firstLine="450"/>
        <w:divId w:val="807821007"/>
        <w:rPr>
          <w:rFonts w:eastAsia="Times New Roman"/>
        </w:rPr>
      </w:pPr>
      <w:r>
        <w:rPr>
          <w:rFonts w:eastAsia="Times New Roman"/>
          <w:color w:val="000000"/>
          <w:sz w:val="20"/>
          <w:szCs w:val="20"/>
        </w:rPr>
        <w:t>During the third quarter of fisc</w:t>
      </w:r>
      <w:r>
        <w:rPr>
          <w:rFonts w:eastAsia="Times New Roman"/>
          <w:color w:val="000000"/>
          <w:sz w:val="20"/>
          <w:szCs w:val="20"/>
        </w:rPr>
        <w:t>al 2019, we repaid at maturity the entire outstanding $300 million aggregate principal amount of our Floating Rate Notes due February 27, 2019.</w:t>
      </w:r>
    </w:p>
    <w:p w14:paraId="4350E622" w14:textId="77777777" w:rsidR="00000000" w:rsidRDefault="001A570A">
      <w:pPr>
        <w:divId w:val="1499616610"/>
        <w:rPr>
          <w:rFonts w:eastAsia="Times New Roman"/>
        </w:rPr>
      </w:pPr>
      <w:r>
        <w:rPr>
          <w:rFonts w:eastAsia="Times New Roman"/>
          <w:b/>
          <w:bCs/>
          <w:color w:val="000000"/>
          <w:sz w:val="20"/>
          <w:szCs w:val="20"/>
        </w:rPr>
        <w:t>Long-Term Debt Repaid in Fiscal 2018</w:t>
      </w:r>
    </w:p>
    <w:p w14:paraId="11997DA5" w14:textId="77777777" w:rsidR="00000000" w:rsidRDefault="001A570A">
      <w:pPr>
        <w:ind w:firstLine="450"/>
        <w:divId w:val="665086964"/>
        <w:rPr>
          <w:rFonts w:eastAsia="Times New Roman"/>
        </w:rPr>
      </w:pPr>
      <w:r>
        <w:rPr>
          <w:rFonts w:eastAsia="Times New Roman"/>
          <w:color w:val="000000"/>
          <w:sz w:val="20"/>
          <w:szCs w:val="20"/>
        </w:rPr>
        <w:t>On June 22, 2018, we completed our optional redemption of the entire outsta</w:t>
      </w:r>
      <w:r>
        <w:rPr>
          <w:rFonts w:eastAsia="Times New Roman"/>
          <w:color w:val="000000"/>
          <w:sz w:val="20"/>
          <w:szCs w:val="20"/>
        </w:rPr>
        <w:t>nding $400 million aggregate principal amount of our 4.40% notes due December 15, 2020 (the “4.40% 2020 Notes”) and $400 million aggregate principal amount of our 5.55% notes due October 1, 2021 (the “2021 Notes” and collectively with the 4.40% 2020 Notes,</w:t>
      </w:r>
      <w:r>
        <w:rPr>
          <w:rFonts w:eastAsia="Times New Roman"/>
          <w:color w:val="000000"/>
          <w:sz w:val="20"/>
          <w:szCs w:val="20"/>
        </w:rPr>
        <w:t xml:space="preserve"> the “2018 Redeemed Notes”) at a “make-whole” redemption price as set forth in the 2018 Redeemed Notes. The combined “make-whole” redemption price for the 2018 Redeemed Notes was $844 million, and after adjusting for the carrying value of our bond premium,</w:t>
      </w:r>
      <w:r>
        <w:rPr>
          <w:rFonts w:eastAsia="Times New Roman"/>
          <w:color w:val="000000"/>
          <w:sz w:val="20"/>
          <w:szCs w:val="20"/>
        </w:rPr>
        <w:t xml:space="preserve"> discounts and issuance costs, we recorded a combined $22 million loss on the extinguishment of the 2018 Redeemed Notes in the fourth quarter of fiscal 2018, which is included as a component of the “Non-operating income (loss)” line item in our Consolidate</w:t>
      </w:r>
      <w:r>
        <w:rPr>
          <w:rFonts w:eastAsia="Times New Roman"/>
          <w:color w:val="000000"/>
          <w:sz w:val="20"/>
          <w:szCs w:val="20"/>
        </w:rPr>
        <w:t>d Statement of Income.</w:t>
      </w:r>
    </w:p>
    <w:p w14:paraId="4875EDDF" w14:textId="77777777" w:rsidR="00000000" w:rsidRDefault="001A570A">
      <w:pPr>
        <w:ind w:firstLine="450"/>
        <w:divId w:val="668799153"/>
        <w:rPr>
          <w:rFonts w:eastAsia="Times New Roman"/>
        </w:rPr>
      </w:pPr>
      <w:r>
        <w:rPr>
          <w:rFonts w:eastAsia="Times New Roman"/>
          <w:color w:val="000000"/>
          <w:sz w:val="20"/>
          <w:szCs w:val="20"/>
        </w:rPr>
        <w:t>During the fourth quarter of fiscal 2018, we also repaid at maturity the entire outstanding $500 million aggregate principal amount of the 1.999% notes due April 27, 2018.</w:t>
      </w:r>
    </w:p>
    <w:p w14:paraId="6F335010" w14:textId="77777777" w:rsidR="00000000" w:rsidRDefault="001A570A">
      <w:pPr>
        <w:ind w:firstLine="450"/>
        <w:divId w:val="1908026081"/>
        <w:rPr>
          <w:rFonts w:eastAsia="Times New Roman"/>
        </w:rPr>
      </w:pPr>
      <w:r>
        <w:rPr>
          <w:rFonts w:eastAsia="Times New Roman"/>
          <w:color w:val="000000"/>
          <w:sz w:val="20"/>
          <w:szCs w:val="20"/>
        </w:rPr>
        <w:t>During the second quarter of fiscal 2018, we repaid in full t</w:t>
      </w:r>
      <w:r>
        <w:rPr>
          <w:rFonts w:eastAsia="Times New Roman"/>
          <w:color w:val="000000"/>
          <w:sz w:val="20"/>
          <w:szCs w:val="20"/>
        </w:rPr>
        <w:t>he $253 million in remaining outstanding indebtedness under the 5-year tranche of our $1.3 billion senior unsecured term loan facility pursuant to our Term Loan Agreement, dated as of March 16, 2015, and recognized a $1 million extinguishment loss, which i</w:t>
      </w:r>
      <w:r>
        <w:rPr>
          <w:rFonts w:eastAsia="Times New Roman"/>
          <w:color w:val="000000"/>
          <w:sz w:val="20"/>
          <w:szCs w:val="20"/>
        </w:rPr>
        <w:t>s included as a component of the “Non-operating income (loss)” line item in our Consolidated Statement of Income, as a result of associated unamortized debt issuance costs. During the fourth quarter of fiscal 2018, we also repaid in full the $36 million in</w:t>
      </w:r>
      <w:r>
        <w:rPr>
          <w:rFonts w:eastAsia="Times New Roman"/>
          <w:color w:val="000000"/>
          <w:sz w:val="20"/>
          <w:szCs w:val="20"/>
        </w:rPr>
        <w:t xml:space="preserve"> remaining indebtedness under the 3-year tranche (for a total </w:t>
      </w:r>
    </w:p>
    <w:p w14:paraId="1E935DAA" w14:textId="77777777" w:rsidR="00000000" w:rsidRDefault="001A570A">
      <w:pPr>
        <w:ind w:firstLine="450"/>
        <w:jc w:val="center"/>
        <w:divId w:val="320503479"/>
        <w:rPr>
          <w:rFonts w:eastAsia="Times New Roman"/>
        </w:rPr>
      </w:pPr>
      <w:r>
        <w:rPr>
          <w:rFonts w:eastAsia="Times New Roman"/>
          <w:color w:val="000000"/>
          <w:sz w:val="20"/>
          <w:szCs w:val="20"/>
        </w:rPr>
        <w:t>103</w:t>
      </w:r>
    </w:p>
    <w:p w14:paraId="167D134F" w14:textId="77777777" w:rsidR="00000000" w:rsidRDefault="001A570A">
      <w:pPr>
        <w:rPr>
          <w:rFonts w:eastAsia="Times New Roman"/>
        </w:rPr>
      </w:pPr>
      <w:r>
        <w:rPr>
          <w:rFonts w:eastAsia="Times New Roman"/>
        </w:rPr>
        <w:pict w14:anchorId="4402CF1E">
          <v:rect id="_x0000_i1131" style="width:0;height:1.5pt" o:hralign="center" o:hrstd="t" o:hr="t" fillcolor="#a0a0a0" stroked="f"/>
        </w:pict>
      </w:r>
    </w:p>
    <w:p w14:paraId="575A7B4A" w14:textId="77777777" w:rsidR="00000000" w:rsidRDefault="001A570A">
      <w:pPr>
        <w:ind w:firstLine="450"/>
        <w:divId w:val="1838114937"/>
        <w:rPr>
          <w:rFonts w:eastAsia="Times New Roman"/>
        </w:rPr>
      </w:pPr>
    </w:p>
    <w:p w14:paraId="4538AB8F" w14:textId="77777777" w:rsidR="00000000" w:rsidRDefault="001A570A">
      <w:pPr>
        <w:divId w:val="2020429540"/>
        <w:rPr>
          <w:rFonts w:eastAsia="Times New Roman"/>
        </w:rPr>
      </w:pPr>
      <w:r>
        <w:rPr>
          <w:rFonts w:eastAsia="Times New Roman"/>
          <w:color w:val="000000"/>
          <w:sz w:val="20"/>
          <w:szCs w:val="20"/>
        </w:rPr>
        <w:t>of $305 million in term loan indebtedness repaid during fiscal 2018), and as a result, our $1.3 billion senior unsecured term loan facility pursuant t</w:t>
      </w:r>
      <w:r>
        <w:rPr>
          <w:rFonts w:eastAsia="Times New Roman"/>
          <w:color w:val="000000"/>
          <w:sz w:val="20"/>
          <w:szCs w:val="20"/>
        </w:rPr>
        <w:t>o our Term Loan Agreement, dated as of March 16, 2015, was terminated.</w:t>
      </w:r>
    </w:p>
    <w:p w14:paraId="2A1A7972" w14:textId="77777777" w:rsidR="00000000" w:rsidRDefault="001A570A">
      <w:pPr>
        <w:divId w:val="757096659"/>
        <w:rPr>
          <w:rFonts w:eastAsia="Times New Roman"/>
        </w:rPr>
      </w:pPr>
      <w:r>
        <w:rPr>
          <w:rFonts w:eastAsia="Times New Roman"/>
          <w:b/>
          <w:bCs/>
          <w:color w:val="000000"/>
          <w:sz w:val="20"/>
          <w:szCs w:val="20"/>
        </w:rPr>
        <w:t>Long-Term Debt Issued in Fiscal 2018</w:t>
      </w:r>
    </w:p>
    <w:p w14:paraId="54B1E4DA" w14:textId="77777777" w:rsidR="00000000" w:rsidRDefault="001A570A">
      <w:pPr>
        <w:ind w:firstLine="450"/>
        <w:divId w:val="336080047"/>
        <w:rPr>
          <w:rFonts w:eastAsia="Times New Roman"/>
        </w:rPr>
      </w:pPr>
      <w:r>
        <w:rPr>
          <w:rFonts w:eastAsia="Times New Roman"/>
          <w:color w:val="000000"/>
          <w:sz w:val="20"/>
          <w:szCs w:val="20"/>
        </w:rPr>
        <w:t>On June 4, 2018, in order to fund our optional redemption of the 2018 Redeemed Notes as described above under “Long-Term Debt Repaid in Fiscal 2018,</w:t>
      </w:r>
      <w:r>
        <w:rPr>
          <w:rFonts w:eastAsia="Times New Roman"/>
          <w:color w:val="000000"/>
          <w:sz w:val="20"/>
          <w:szCs w:val="20"/>
        </w:rPr>
        <w:t>” we completed the issuance of $850 million in aggregate principal amount of 4.40% notes due June 15, 2028 (the “New 2028 Notes”). Interest on the New 2028 Notes is payable semi-annually in arrears on June 15 and December 15 of each year, commencing on Dec</w:t>
      </w:r>
      <w:r>
        <w:rPr>
          <w:rFonts w:eastAsia="Times New Roman"/>
          <w:color w:val="000000"/>
          <w:sz w:val="20"/>
          <w:szCs w:val="20"/>
        </w:rPr>
        <w:t>ember 15, 2018. At any time prior to March 15, 2028, we may redeem the New 2028 Notes, in whole or in part, at our option, at a “make-whole” redemption price equal to the greater of 100 percent of the principal amount of the New 2028 Notes or the sum of th</w:t>
      </w:r>
      <w:r>
        <w:rPr>
          <w:rFonts w:eastAsia="Times New Roman"/>
          <w:color w:val="000000"/>
          <w:sz w:val="20"/>
          <w:szCs w:val="20"/>
        </w:rPr>
        <w:t>e present values of the remaining scheduled payments of the principal and interest (other than interest accruing to the date of redemption) on the notes being redeemed, discounted to the redemption date on a semi-annual basis at the “Treasury Rate”, as def</w:t>
      </w:r>
      <w:r>
        <w:rPr>
          <w:rFonts w:eastAsia="Times New Roman"/>
          <w:color w:val="000000"/>
          <w:sz w:val="20"/>
          <w:szCs w:val="20"/>
        </w:rPr>
        <w:t>ined in the New 2028 Notes, plus 25 basis points. We will pay accrued interest on the principal amount of notes being redeemed to, but not including, the redemption date. At any time on or after March 15, 2028, we may redeem the New 2028 Notes, in whole or</w:t>
      </w:r>
      <w:r>
        <w:rPr>
          <w:rFonts w:eastAsia="Times New Roman"/>
          <w:color w:val="000000"/>
          <w:sz w:val="20"/>
          <w:szCs w:val="20"/>
        </w:rPr>
        <w:t xml:space="preserve"> in part, at our option, at a redemption price equal to 100 percent of the principal amount of the notes being redeemed, plus accrued interest on the principal amount of the notes being redeemed to, but not including, the redemption date. In addition, upon</w:t>
      </w:r>
      <w:r>
        <w:rPr>
          <w:rFonts w:eastAsia="Times New Roman"/>
          <w:color w:val="000000"/>
          <w:sz w:val="20"/>
          <w:szCs w:val="20"/>
        </w:rPr>
        <w:t xml:space="preserve"> change of control combined with a below-investment-grade rating event, we may be required to make an offer to repurchase the New 2028 Notes at a price equal to 101 percent of the aggregate principal amount of the notes being repurchased, plus accrued inte</w:t>
      </w:r>
      <w:r>
        <w:rPr>
          <w:rFonts w:eastAsia="Times New Roman"/>
          <w:color w:val="000000"/>
          <w:sz w:val="20"/>
          <w:szCs w:val="20"/>
        </w:rPr>
        <w:t>rest on the notes being repurchased to, but not including, the date of repurchase. We incurred $8 million of debt issuance costs related to the issuance of the New 2028 Notes, which are being amortized using the effective interest rate method over the life</w:t>
      </w:r>
      <w:r>
        <w:rPr>
          <w:rFonts w:eastAsia="Times New Roman"/>
          <w:color w:val="000000"/>
          <w:sz w:val="20"/>
          <w:szCs w:val="20"/>
        </w:rPr>
        <w:t xml:space="preserve"> of the New 2028 Notes, and such amortization is included as a component of the “Interest expense” line item in our Consolidated Statement of Income.</w:t>
      </w:r>
    </w:p>
    <w:p w14:paraId="47A56240" w14:textId="77777777" w:rsidR="00000000" w:rsidRDefault="001A570A">
      <w:pPr>
        <w:divId w:val="1549296915"/>
        <w:rPr>
          <w:rFonts w:eastAsia="Times New Roman"/>
        </w:rPr>
      </w:pPr>
      <w:r>
        <w:rPr>
          <w:rFonts w:eastAsia="Times New Roman"/>
          <w:b/>
          <w:bCs/>
          <w:color w:val="000000"/>
          <w:sz w:val="20"/>
          <w:szCs w:val="20"/>
        </w:rPr>
        <w:t xml:space="preserve">Long-Term Debt Issued Prior to Fiscal 2018 that Remained Outstanding at January 1, 2021 </w:t>
      </w:r>
    </w:p>
    <w:p w14:paraId="2EB71009" w14:textId="77777777" w:rsidR="00000000" w:rsidRDefault="001A570A">
      <w:pPr>
        <w:ind w:firstLine="450"/>
        <w:divId w:val="655231892"/>
        <w:rPr>
          <w:rFonts w:eastAsia="Times New Roman"/>
        </w:rPr>
      </w:pPr>
      <w:r>
        <w:rPr>
          <w:rFonts w:eastAsia="Times New Roman"/>
          <w:color w:val="000000"/>
          <w:sz w:val="20"/>
          <w:szCs w:val="20"/>
        </w:rPr>
        <w:t>On April 27, 2015</w:t>
      </w:r>
      <w:r>
        <w:rPr>
          <w:rFonts w:eastAsia="Times New Roman"/>
          <w:color w:val="000000"/>
          <w:sz w:val="20"/>
          <w:szCs w:val="20"/>
        </w:rPr>
        <w:t>, in connection with the then-pending acquisition of Exelis, to fund a portion of the cash consideration and other amounts payable under the terms of the merger agreement and to redeem certain of our existing notes, we issued long-term fixed-rate debt secu</w:t>
      </w:r>
      <w:r>
        <w:rPr>
          <w:rFonts w:eastAsia="Times New Roman"/>
          <w:color w:val="000000"/>
          <w:sz w:val="20"/>
          <w:szCs w:val="20"/>
        </w:rPr>
        <w:t>rities in the aggregate amount of $2.4 billion. The principal amounts, interest rates and maturity dates of these securities that remained outstanding at January 1, 2021 were as follows:</w:t>
      </w:r>
    </w:p>
    <w:p w14:paraId="3FEEFA7E" w14:textId="77777777" w:rsidR="00000000" w:rsidRDefault="001A570A">
      <w:pPr>
        <w:ind w:hanging="360"/>
        <w:divId w:val="740179861"/>
        <w:rPr>
          <w:rFonts w:eastAsia="Times New Roman"/>
        </w:rPr>
      </w:pPr>
      <w:r>
        <w:rPr>
          <w:rFonts w:eastAsia="Times New Roman"/>
          <w:color w:val="000000"/>
          <w:sz w:val="20"/>
          <w:szCs w:val="20"/>
        </w:rPr>
        <w:t>•$600 </w:t>
      </w:r>
      <w:r>
        <w:rPr>
          <w:rFonts w:eastAsia="Times New Roman"/>
          <w:color w:val="000000"/>
          <w:sz w:val="20"/>
          <w:szCs w:val="20"/>
        </w:rPr>
        <w:t>million in aggregate principal amount of 3.832% notes due April 27, 2025 (the “2025 Notes”),</w:t>
      </w:r>
    </w:p>
    <w:p w14:paraId="4E0C89B7" w14:textId="77777777" w:rsidR="00000000" w:rsidRDefault="001A570A">
      <w:pPr>
        <w:ind w:hanging="360"/>
        <w:divId w:val="1232349054"/>
        <w:rPr>
          <w:rFonts w:eastAsia="Times New Roman"/>
        </w:rPr>
      </w:pPr>
      <w:r>
        <w:rPr>
          <w:rFonts w:eastAsia="Times New Roman"/>
          <w:color w:val="000000"/>
          <w:sz w:val="20"/>
          <w:szCs w:val="20"/>
        </w:rPr>
        <w:t>•$400 million in aggregate principal amount of 4.854% notes due April 27, 2035 (the “2035 Notes”), and</w:t>
      </w:r>
    </w:p>
    <w:p w14:paraId="520C186E" w14:textId="77777777" w:rsidR="00000000" w:rsidRDefault="001A570A">
      <w:pPr>
        <w:ind w:hanging="360"/>
        <w:divId w:val="383867204"/>
        <w:rPr>
          <w:rFonts w:eastAsia="Times New Roman"/>
        </w:rPr>
      </w:pPr>
      <w:r>
        <w:rPr>
          <w:rFonts w:eastAsia="Times New Roman"/>
          <w:color w:val="000000"/>
          <w:sz w:val="20"/>
          <w:szCs w:val="20"/>
        </w:rPr>
        <w:t xml:space="preserve">•$500 million in aggregate principal amount of 5.054% notes </w:t>
      </w:r>
      <w:r>
        <w:rPr>
          <w:rFonts w:eastAsia="Times New Roman"/>
          <w:color w:val="000000"/>
          <w:sz w:val="20"/>
          <w:szCs w:val="20"/>
        </w:rPr>
        <w:t>due April 27, 2045 (the “2045 Notes” and collectively with the 2025 Notes and 2035 Notes, the “Exelis Notes”).</w:t>
      </w:r>
    </w:p>
    <w:p w14:paraId="351223D4" w14:textId="77777777" w:rsidR="00000000" w:rsidRDefault="001A570A">
      <w:pPr>
        <w:ind w:firstLine="450"/>
        <w:divId w:val="613294853"/>
        <w:rPr>
          <w:rFonts w:eastAsia="Times New Roman"/>
        </w:rPr>
      </w:pPr>
      <w:r>
        <w:rPr>
          <w:rFonts w:eastAsia="Times New Roman"/>
          <w:color w:val="000000"/>
          <w:sz w:val="20"/>
          <w:szCs w:val="20"/>
        </w:rPr>
        <w:t>Interest on each series of the Exelis Notes is payable semi-annually in arrears on April 27 and October 27 of each year, commencing October 27, 2</w:t>
      </w:r>
      <w:r>
        <w:rPr>
          <w:rFonts w:eastAsia="Times New Roman"/>
          <w:color w:val="000000"/>
          <w:sz w:val="20"/>
          <w:szCs w:val="20"/>
        </w:rPr>
        <w:t>015. The Exelis Notes are redeemable at our option up to one month prior to the scheduled maturity date at a price equal to the greater of 100 percent of the principal amount of the notes being redeemed or the sum of the present values of the remaining sch</w:t>
      </w:r>
      <w:r>
        <w:rPr>
          <w:rFonts w:eastAsia="Times New Roman"/>
          <w:color w:val="000000"/>
          <w:sz w:val="20"/>
          <w:szCs w:val="20"/>
        </w:rPr>
        <w:t xml:space="preserve">eduled payments, plus accrued interest, discounted to the redemption date on a semi-annual basis (assuming a 360-day year consisting of twelve 30-day months) at the Treasury Rate, as defined, plus (i) 30 basis points in the case of the 2025 Notes, (ii) 35 </w:t>
      </w:r>
      <w:r>
        <w:rPr>
          <w:rFonts w:eastAsia="Times New Roman"/>
          <w:color w:val="000000"/>
          <w:sz w:val="20"/>
          <w:szCs w:val="20"/>
        </w:rPr>
        <w:t>basis points in the case of the 2035 Notes, and (iii) 40 basis points in the case of the 2045 Notes. In addition, upon a change of control combined with a below-investment-grade rating event, we may be required to make an offer to repurchase the Exelis Not</w:t>
      </w:r>
      <w:r>
        <w:rPr>
          <w:rFonts w:eastAsia="Times New Roman"/>
          <w:color w:val="000000"/>
          <w:sz w:val="20"/>
          <w:szCs w:val="20"/>
        </w:rPr>
        <w:t xml:space="preserve">es at a price equal to 101 percent of the aggregate principal amount of the notes being repurchased, plus accrued interest on the notes being repurchased to, excluding the date of repurchase. </w:t>
      </w:r>
    </w:p>
    <w:p w14:paraId="13F55D20" w14:textId="77777777" w:rsidR="00000000" w:rsidRDefault="001A570A">
      <w:pPr>
        <w:ind w:firstLine="450"/>
        <w:divId w:val="2107771338"/>
        <w:rPr>
          <w:rFonts w:eastAsia="Times New Roman"/>
        </w:rPr>
      </w:pPr>
      <w:r>
        <w:rPr>
          <w:rFonts w:eastAsia="Times New Roman"/>
          <w:color w:val="000000"/>
          <w:sz w:val="20"/>
          <w:szCs w:val="20"/>
        </w:rPr>
        <w:t xml:space="preserve">On December 3, 2010, we completed the issuance of $300 million </w:t>
      </w:r>
      <w:r>
        <w:rPr>
          <w:rFonts w:eastAsia="Times New Roman"/>
          <w:color w:val="000000"/>
          <w:sz w:val="20"/>
          <w:szCs w:val="20"/>
        </w:rPr>
        <w:t>in aggregate principal amount of 6.150%. notes due December 15, 2040 (the “2040 Notes”). The 2040 Notes are redeemable at our option at a price equal to the greater of 100 percent of the principal amount of the notes being redeemed or the sum of the presen</w:t>
      </w:r>
      <w:r>
        <w:rPr>
          <w:rFonts w:eastAsia="Times New Roman"/>
          <w:color w:val="000000"/>
          <w:sz w:val="20"/>
          <w:szCs w:val="20"/>
        </w:rPr>
        <w:t xml:space="preserve">t values of the remaining scheduled payments, plus accrued interest, discounted to the redemption date on a semi-annual basis (assuming a 360-day year consisting of twelve 30-day months) at the Treasury Rate, as defined, plus 35 basis points. In addition, </w:t>
      </w:r>
      <w:r>
        <w:rPr>
          <w:rFonts w:eastAsia="Times New Roman"/>
          <w:color w:val="000000"/>
          <w:sz w:val="20"/>
          <w:szCs w:val="20"/>
        </w:rPr>
        <w:t>upon a change of control combined with a below-investment-grade rating event, we may be required to make an offer to repurchase the notes at a price equal to 101 percent of the aggregate principal amount of the notes being repurchased, plus accrued interes</w:t>
      </w:r>
      <w:r>
        <w:rPr>
          <w:rFonts w:eastAsia="Times New Roman"/>
          <w:color w:val="000000"/>
          <w:sz w:val="20"/>
          <w:szCs w:val="20"/>
        </w:rPr>
        <w:t xml:space="preserve">t on the notes being repurchased to, but not including, the date of repurchase. </w:t>
      </w:r>
    </w:p>
    <w:p w14:paraId="470257B0" w14:textId="77777777" w:rsidR="00000000" w:rsidRDefault="001A570A">
      <w:pPr>
        <w:ind w:firstLine="450"/>
        <w:divId w:val="267198920"/>
        <w:rPr>
          <w:rFonts w:eastAsia="Times New Roman"/>
        </w:rPr>
      </w:pPr>
      <w:r>
        <w:rPr>
          <w:rFonts w:eastAsia="Times New Roman"/>
          <w:color w:val="000000"/>
          <w:sz w:val="20"/>
          <w:szCs w:val="20"/>
        </w:rPr>
        <w:t>In January 1996, we completed the issuance of $100 million in aggregate principal amount of 7.00% debentures due January 15, 2026. The debentures are not redeemable prior to m</w:t>
      </w:r>
      <w:r>
        <w:rPr>
          <w:rFonts w:eastAsia="Times New Roman"/>
          <w:color w:val="000000"/>
          <w:sz w:val="20"/>
          <w:szCs w:val="20"/>
        </w:rPr>
        <w:t>aturity.</w:t>
      </w:r>
    </w:p>
    <w:p w14:paraId="3FEAC438" w14:textId="77777777" w:rsidR="00000000" w:rsidRDefault="001A570A">
      <w:pPr>
        <w:ind w:firstLine="450"/>
        <w:divId w:val="112795436"/>
        <w:rPr>
          <w:rFonts w:eastAsia="Times New Roman"/>
        </w:rPr>
      </w:pPr>
      <w:r>
        <w:rPr>
          <w:rFonts w:eastAsia="Times New Roman"/>
          <w:color w:val="000000"/>
          <w:sz w:val="20"/>
          <w:szCs w:val="20"/>
        </w:rPr>
        <w:t>In February 1998, we completed the issuance of $150 million in aggregate principal amount of 6.35% debentures due February 1, 2028. On December 5, 2007, we repurchased and retired $25 million in aggregate principal amount of the debentures. On Feb</w:t>
      </w:r>
      <w:r>
        <w:rPr>
          <w:rFonts w:eastAsia="Times New Roman"/>
          <w:color w:val="000000"/>
          <w:sz w:val="20"/>
          <w:szCs w:val="20"/>
        </w:rPr>
        <w:t>ruary 1, 2008, we redeemed $99 million in aggregate principal amount of the debentures pursuant to the procedures for redemption at the option of the holders of the debentures. We may redeem the remaining $26 million in aggregate principal amount of the de</w:t>
      </w:r>
      <w:r>
        <w:rPr>
          <w:rFonts w:eastAsia="Times New Roman"/>
          <w:color w:val="000000"/>
          <w:sz w:val="20"/>
          <w:szCs w:val="20"/>
        </w:rPr>
        <w:t>bentures in whole, or in part, at any time at a pre-determined redemption price.</w:t>
      </w:r>
    </w:p>
    <w:p w14:paraId="2C76648C" w14:textId="77777777" w:rsidR="00000000" w:rsidRDefault="001A570A">
      <w:pPr>
        <w:ind w:firstLine="450"/>
        <w:jc w:val="center"/>
        <w:divId w:val="2112816979"/>
        <w:rPr>
          <w:rFonts w:eastAsia="Times New Roman"/>
        </w:rPr>
      </w:pPr>
      <w:r>
        <w:rPr>
          <w:rFonts w:eastAsia="Times New Roman"/>
          <w:color w:val="000000"/>
          <w:sz w:val="20"/>
          <w:szCs w:val="20"/>
        </w:rPr>
        <w:t>104</w:t>
      </w:r>
    </w:p>
    <w:p w14:paraId="54FC1E48" w14:textId="77777777" w:rsidR="00000000" w:rsidRDefault="001A570A">
      <w:pPr>
        <w:rPr>
          <w:rFonts w:eastAsia="Times New Roman"/>
        </w:rPr>
      </w:pPr>
      <w:r>
        <w:rPr>
          <w:rFonts w:eastAsia="Times New Roman"/>
        </w:rPr>
        <w:pict w14:anchorId="3AD09C39">
          <v:rect id="_x0000_i1132" style="width:0;height:1.5pt" o:hralign="center" o:hrstd="t" o:hr="t" fillcolor="#a0a0a0" stroked="f"/>
        </w:pict>
      </w:r>
    </w:p>
    <w:p w14:paraId="67229EAC" w14:textId="77777777" w:rsidR="00000000" w:rsidRDefault="001A570A">
      <w:pPr>
        <w:ind w:firstLine="450"/>
        <w:divId w:val="257951183"/>
        <w:rPr>
          <w:rFonts w:eastAsia="Times New Roman"/>
        </w:rPr>
      </w:pPr>
    </w:p>
    <w:p w14:paraId="362E299E" w14:textId="77777777" w:rsidR="00000000" w:rsidRDefault="001A570A">
      <w:pPr>
        <w:ind w:firstLine="450"/>
        <w:divId w:val="851335720"/>
        <w:rPr>
          <w:rFonts w:eastAsia="Times New Roman"/>
        </w:rPr>
      </w:pPr>
      <w:r>
        <w:rPr>
          <w:rFonts w:eastAsia="Times New Roman"/>
          <w:color w:val="000000"/>
          <w:sz w:val="20"/>
          <w:szCs w:val="20"/>
        </w:rPr>
        <w:t>The following table presents the carrying amounts and estimated fair values of our long-term debt:</w:t>
      </w:r>
    </w:p>
    <w:tbl>
      <w:tblPr>
        <w:tblW w:w="4892" w:type="pct"/>
        <w:tblCellMar>
          <w:top w:w="15" w:type="dxa"/>
          <w:left w:w="15" w:type="dxa"/>
          <w:bottom w:w="15" w:type="dxa"/>
          <w:right w:w="15" w:type="dxa"/>
        </w:tblCellMar>
        <w:tblLook w:val="04A0" w:firstRow="1" w:lastRow="0" w:firstColumn="1" w:lastColumn="0" w:noHBand="0" w:noVBand="1"/>
      </w:tblPr>
      <w:tblGrid>
        <w:gridCol w:w="36"/>
        <w:gridCol w:w="403"/>
        <w:gridCol w:w="36"/>
        <w:gridCol w:w="38"/>
        <w:gridCol w:w="3628"/>
        <w:gridCol w:w="37"/>
        <w:gridCol w:w="121"/>
        <w:gridCol w:w="708"/>
        <w:gridCol w:w="36"/>
        <w:gridCol w:w="36"/>
        <w:gridCol w:w="36"/>
        <w:gridCol w:w="36"/>
        <w:gridCol w:w="120"/>
        <w:gridCol w:w="667"/>
        <w:gridCol w:w="36"/>
        <w:gridCol w:w="36"/>
        <w:gridCol w:w="36"/>
        <w:gridCol w:w="36"/>
        <w:gridCol w:w="121"/>
        <w:gridCol w:w="667"/>
        <w:gridCol w:w="36"/>
        <w:gridCol w:w="36"/>
        <w:gridCol w:w="36"/>
        <w:gridCol w:w="36"/>
        <w:gridCol w:w="120"/>
        <w:gridCol w:w="669"/>
        <w:gridCol w:w="36"/>
        <w:gridCol w:w="36"/>
        <w:gridCol w:w="36"/>
        <w:gridCol w:w="36"/>
        <w:gridCol w:w="36"/>
        <w:gridCol w:w="36"/>
        <w:gridCol w:w="36"/>
        <w:gridCol w:w="36"/>
        <w:gridCol w:w="36"/>
      </w:tblGrid>
      <w:tr w:rsidR="00000000" w14:paraId="25748A86" w14:textId="77777777">
        <w:trPr>
          <w:divId w:val="81531317"/>
        </w:trPr>
        <w:tc>
          <w:tcPr>
            <w:tcW w:w="50" w:type="pct"/>
            <w:vAlign w:val="center"/>
            <w:hideMark/>
          </w:tcPr>
          <w:p w14:paraId="23FF52EA" w14:textId="77777777" w:rsidR="00000000" w:rsidRDefault="001A570A">
            <w:pPr>
              <w:ind w:firstLine="450"/>
              <w:rPr>
                <w:rFonts w:eastAsia="Times New Roman"/>
              </w:rPr>
            </w:pPr>
          </w:p>
        </w:tc>
        <w:tc>
          <w:tcPr>
            <w:tcW w:w="290" w:type="pct"/>
            <w:vAlign w:val="center"/>
            <w:hideMark/>
          </w:tcPr>
          <w:p w14:paraId="151C9D8C" w14:textId="77777777" w:rsidR="00000000" w:rsidRDefault="001A570A">
            <w:pPr>
              <w:rPr>
                <w:rFonts w:eastAsia="Times New Roman"/>
                <w:sz w:val="20"/>
                <w:szCs w:val="20"/>
              </w:rPr>
            </w:pPr>
          </w:p>
        </w:tc>
        <w:tc>
          <w:tcPr>
            <w:tcW w:w="5" w:type="pct"/>
            <w:vAlign w:val="center"/>
            <w:hideMark/>
          </w:tcPr>
          <w:p w14:paraId="05D4C2BA" w14:textId="77777777" w:rsidR="00000000" w:rsidRDefault="001A570A">
            <w:pPr>
              <w:rPr>
                <w:rFonts w:eastAsia="Times New Roman"/>
                <w:sz w:val="20"/>
                <w:szCs w:val="20"/>
              </w:rPr>
            </w:pPr>
          </w:p>
        </w:tc>
        <w:tc>
          <w:tcPr>
            <w:tcW w:w="50" w:type="pct"/>
            <w:vAlign w:val="center"/>
            <w:hideMark/>
          </w:tcPr>
          <w:p w14:paraId="4E3F1C42" w14:textId="77777777" w:rsidR="00000000" w:rsidRDefault="001A570A">
            <w:pPr>
              <w:rPr>
                <w:rFonts w:eastAsia="Times New Roman"/>
                <w:sz w:val="20"/>
                <w:szCs w:val="20"/>
              </w:rPr>
            </w:pPr>
          </w:p>
        </w:tc>
        <w:tc>
          <w:tcPr>
            <w:tcW w:w="2345" w:type="pct"/>
            <w:vAlign w:val="center"/>
            <w:hideMark/>
          </w:tcPr>
          <w:p w14:paraId="662BDCC7" w14:textId="77777777" w:rsidR="00000000" w:rsidRDefault="001A570A">
            <w:pPr>
              <w:rPr>
                <w:rFonts w:eastAsia="Times New Roman"/>
                <w:sz w:val="20"/>
                <w:szCs w:val="20"/>
              </w:rPr>
            </w:pPr>
          </w:p>
        </w:tc>
        <w:tc>
          <w:tcPr>
            <w:tcW w:w="5" w:type="pct"/>
            <w:vAlign w:val="center"/>
            <w:hideMark/>
          </w:tcPr>
          <w:p w14:paraId="3BC19F1A" w14:textId="77777777" w:rsidR="00000000" w:rsidRDefault="001A570A">
            <w:pPr>
              <w:rPr>
                <w:rFonts w:eastAsia="Times New Roman"/>
                <w:sz w:val="20"/>
                <w:szCs w:val="20"/>
              </w:rPr>
            </w:pPr>
          </w:p>
        </w:tc>
        <w:tc>
          <w:tcPr>
            <w:tcW w:w="50" w:type="pct"/>
            <w:vAlign w:val="center"/>
            <w:hideMark/>
          </w:tcPr>
          <w:p w14:paraId="0E017600" w14:textId="77777777" w:rsidR="00000000" w:rsidRDefault="001A570A">
            <w:pPr>
              <w:rPr>
                <w:rFonts w:eastAsia="Times New Roman"/>
                <w:sz w:val="20"/>
                <w:szCs w:val="20"/>
              </w:rPr>
            </w:pPr>
          </w:p>
        </w:tc>
        <w:tc>
          <w:tcPr>
            <w:tcW w:w="480" w:type="pct"/>
            <w:vAlign w:val="center"/>
            <w:hideMark/>
          </w:tcPr>
          <w:p w14:paraId="69189166" w14:textId="77777777" w:rsidR="00000000" w:rsidRDefault="001A570A">
            <w:pPr>
              <w:rPr>
                <w:rFonts w:eastAsia="Times New Roman"/>
                <w:sz w:val="20"/>
                <w:szCs w:val="20"/>
              </w:rPr>
            </w:pPr>
          </w:p>
        </w:tc>
        <w:tc>
          <w:tcPr>
            <w:tcW w:w="5" w:type="pct"/>
            <w:vAlign w:val="center"/>
            <w:hideMark/>
          </w:tcPr>
          <w:p w14:paraId="6E8EE71E" w14:textId="77777777" w:rsidR="00000000" w:rsidRDefault="001A570A">
            <w:pPr>
              <w:rPr>
                <w:rFonts w:eastAsia="Times New Roman"/>
                <w:sz w:val="20"/>
                <w:szCs w:val="20"/>
              </w:rPr>
            </w:pPr>
          </w:p>
        </w:tc>
        <w:tc>
          <w:tcPr>
            <w:tcW w:w="5" w:type="pct"/>
            <w:vAlign w:val="center"/>
            <w:hideMark/>
          </w:tcPr>
          <w:p w14:paraId="7B456DC5" w14:textId="77777777" w:rsidR="00000000" w:rsidRDefault="001A570A">
            <w:pPr>
              <w:rPr>
                <w:rFonts w:eastAsia="Times New Roman"/>
                <w:sz w:val="20"/>
                <w:szCs w:val="20"/>
              </w:rPr>
            </w:pPr>
          </w:p>
        </w:tc>
        <w:tc>
          <w:tcPr>
            <w:tcW w:w="26" w:type="pct"/>
            <w:vAlign w:val="center"/>
            <w:hideMark/>
          </w:tcPr>
          <w:p w14:paraId="319112C8" w14:textId="77777777" w:rsidR="00000000" w:rsidRDefault="001A570A">
            <w:pPr>
              <w:rPr>
                <w:rFonts w:eastAsia="Times New Roman"/>
                <w:sz w:val="20"/>
                <w:szCs w:val="20"/>
              </w:rPr>
            </w:pPr>
          </w:p>
        </w:tc>
        <w:tc>
          <w:tcPr>
            <w:tcW w:w="5" w:type="pct"/>
            <w:vAlign w:val="center"/>
            <w:hideMark/>
          </w:tcPr>
          <w:p w14:paraId="258A5202" w14:textId="77777777" w:rsidR="00000000" w:rsidRDefault="001A570A">
            <w:pPr>
              <w:rPr>
                <w:rFonts w:eastAsia="Times New Roman"/>
                <w:sz w:val="20"/>
                <w:szCs w:val="20"/>
              </w:rPr>
            </w:pPr>
          </w:p>
        </w:tc>
        <w:tc>
          <w:tcPr>
            <w:tcW w:w="50" w:type="pct"/>
            <w:vAlign w:val="center"/>
            <w:hideMark/>
          </w:tcPr>
          <w:p w14:paraId="4678D7EA" w14:textId="77777777" w:rsidR="00000000" w:rsidRDefault="001A570A">
            <w:pPr>
              <w:rPr>
                <w:rFonts w:eastAsia="Times New Roman"/>
                <w:sz w:val="20"/>
                <w:szCs w:val="20"/>
              </w:rPr>
            </w:pPr>
          </w:p>
        </w:tc>
        <w:tc>
          <w:tcPr>
            <w:tcW w:w="480" w:type="pct"/>
            <w:vAlign w:val="center"/>
            <w:hideMark/>
          </w:tcPr>
          <w:p w14:paraId="250006E6" w14:textId="77777777" w:rsidR="00000000" w:rsidRDefault="001A570A">
            <w:pPr>
              <w:rPr>
                <w:rFonts w:eastAsia="Times New Roman"/>
                <w:sz w:val="20"/>
                <w:szCs w:val="20"/>
              </w:rPr>
            </w:pPr>
          </w:p>
        </w:tc>
        <w:tc>
          <w:tcPr>
            <w:tcW w:w="5" w:type="pct"/>
            <w:vAlign w:val="center"/>
            <w:hideMark/>
          </w:tcPr>
          <w:p w14:paraId="0D1565B2" w14:textId="77777777" w:rsidR="00000000" w:rsidRDefault="001A570A">
            <w:pPr>
              <w:rPr>
                <w:rFonts w:eastAsia="Times New Roman"/>
                <w:sz w:val="20"/>
                <w:szCs w:val="20"/>
              </w:rPr>
            </w:pPr>
          </w:p>
        </w:tc>
        <w:tc>
          <w:tcPr>
            <w:tcW w:w="5" w:type="pct"/>
            <w:vAlign w:val="center"/>
            <w:hideMark/>
          </w:tcPr>
          <w:p w14:paraId="08EB23BA" w14:textId="77777777" w:rsidR="00000000" w:rsidRDefault="001A570A">
            <w:pPr>
              <w:rPr>
                <w:rFonts w:eastAsia="Times New Roman"/>
                <w:sz w:val="20"/>
                <w:szCs w:val="20"/>
              </w:rPr>
            </w:pPr>
          </w:p>
        </w:tc>
        <w:tc>
          <w:tcPr>
            <w:tcW w:w="26" w:type="pct"/>
            <w:vAlign w:val="center"/>
            <w:hideMark/>
          </w:tcPr>
          <w:p w14:paraId="3FC643AD" w14:textId="77777777" w:rsidR="00000000" w:rsidRDefault="001A570A">
            <w:pPr>
              <w:rPr>
                <w:rFonts w:eastAsia="Times New Roman"/>
                <w:sz w:val="20"/>
                <w:szCs w:val="20"/>
              </w:rPr>
            </w:pPr>
          </w:p>
        </w:tc>
        <w:tc>
          <w:tcPr>
            <w:tcW w:w="5" w:type="pct"/>
            <w:vAlign w:val="center"/>
            <w:hideMark/>
          </w:tcPr>
          <w:p w14:paraId="341F2B06" w14:textId="77777777" w:rsidR="00000000" w:rsidRDefault="001A570A">
            <w:pPr>
              <w:rPr>
                <w:rFonts w:eastAsia="Times New Roman"/>
                <w:sz w:val="20"/>
                <w:szCs w:val="20"/>
              </w:rPr>
            </w:pPr>
          </w:p>
        </w:tc>
        <w:tc>
          <w:tcPr>
            <w:tcW w:w="50" w:type="pct"/>
            <w:vAlign w:val="center"/>
            <w:hideMark/>
          </w:tcPr>
          <w:p w14:paraId="2AC26397" w14:textId="77777777" w:rsidR="00000000" w:rsidRDefault="001A570A">
            <w:pPr>
              <w:rPr>
                <w:rFonts w:eastAsia="Times New Roman"/>
                <w:sz w:val="20"/>
                <w:szCs w:val="20"/>
              </w:rPr>
            </w:pPr>
          </w:p>
        </w:tc>
        <w:tc>
          <w:tcPr>
            <w:tcW w:w="480" w:type="pct"/>
            <w:vAlign w:val="center"/>
            <w:hideMark/>
          </w:tcPr>
          <w:p w14:paraId="7E736C99" w14:textId="77777777" w:rsidR="00000000" w:rsidRDefault="001A570A">
            <w:pPr>
              <w:rPr>
                <w:rFonts w:eastAsia="Times New Roman"/>
                <w:sz w:val="20"/>
                <w:szCs w:val="20"/>
              </w:rPr>
            </w:pPr>
          </w:p>
        </w:tc>
        <w:tc>
          <w:tcPr>
            <w:tcW w:w="5" w:type="pct"/>
            <w:vAlign w:val="center"/>
            <w:hideMark/>
          </w:tcPr>
          <w:p w14:paraId="2D1A1422" w14:textId="77777777" w:rsidR="00000000" w:rsidRDefault="001A570A">
            <w:pPr>
              <w:rPr>
                <w:rFonts w:eastAsia="Times New Roman"/>
                <w:sz w:val="20"/>
                <w:szCs w:val="20"/>
              </w:rPr>
            </w:pPr>
          </w:p>
        </w:tc>
        <w:tc>
          <w:tcPr>
            <w:tcW w:w="5" w:type="pct"/>
            <w:vAlign w:val="center"/>
            <w:hideMark/>
          </w:tcPr>
          <w:p w14:paraId="5C831B37" w14:textId="77777777" w:rsidR="00000000" w:rsidRDefault="001A570A">
            <w:pPr>
              <w:rPr>
                <w:rFonts w:eastAsia="Times New Roman"/>
                <w:sz w:val="20"/>
                <w:szCs w:val="20"/>
              </w:rPr>
            </w:pPr>
          </w:p>
        </w:tc>
        <w:tc>
          <w:tcPr>
            <w:tcW w:w="26" w:type="pct"/>
            <w:vAlign w:val="center"/>
            <w:hideMark/>
          </w:tcPr>
          <w:p w14:paraId="2CB7F608" w14:textId="77777777" w:rsidR="00000000" w:rsidRDefault="001A570A">
            <w:pPr>
              <w:rPr>
                <w:rFonts w:eastAsia="Times New Roman"/>
                <w:sz w:val="20"/>
                <w:szCs w:val="20"/>
              </w:rPr>
            </w:pPr>
          </w:p>
        </w:tc>
        <w:tc>
          <w:tcPr>
            <w:tcW w:w="5" w:type="pct"/>
            <w:vAlign w:val="center"/>
            <w:hideMark/>
          </w:tcPr>
          <w:p w14:paraId="28665DB6" w14:textId="77777777" w:rsidR="00000000" w:rsidRDefault="001A570A">
            <w:pPr>
              <w:rPr>
                <w:rFonts w:eastAsia="Times New Roman"/>
                <w:sz w:val="20"/>
                <w:szCs w:val="20"/>
              </w:rPr>
            </w:pPr>
          </w:p>
        </w:tc>
        <w:tc>
          <w:tcPr>
            <w:tcW w:w="50" w:type="pct"/>
            <w:vAlign w:val="center"/>
            <w:hideMark/>
          </w:tcPr>
          <w:p w14:paraId="7A25C98F" w14:textId="77777777" w:rsidR="00000000" w:rsidRDefault="001A570A">
            <w:pPr>
              <w:rPr>
                <w:rFonts w:eastAsia="Times New Roman"/>
                <w:sz w:val="20"/>
                <w:szCs w:val="20"/>
              </w:rPr>
            </w:pPr>
          </w:p>
        </w:tc>
        <w:tc>
          <w:tcPr>
            <w:tcW w:w="481" w:type="pct"/>
            <w:vAlign w:val="center"/>
            <w:hideMark/>
          </w:tcPr>
          <w:p w14:paraId="16B266DE" w14:textId="77777777" w:rsidR="00000000" w:rsidRDefault="001A570A">
            <w:pPr>
              <w:rPr>
                <w:rFonts w:eastAsia="Times New Roman"/>
                <w:sz w:val="20"/>
                <w:szCs w:val="20"/>
              </w:rPr>
            </w:pPr>
          </w:p>
        </w:tc>
        <w:tc>
          <w:tcPr>
            <w:tcW w:w="5" w:type="pct"/>
            <w:vAlign w:val="center"/>
            <w:hideMark/>
          </w:tcPr>
          <w:p w14:paraId="55210620" w14:textId="77777777" w:rsidR="00000000" w:rsidRDefault="001A570A">
            <w:pPr>
              <w:rPr>
                <w:rFonts w:eastAsia="Times New Roman"/>
                <w:sz w:val="20"/>
                <w:szCs w:val="20"/>
              </w:rPr>
            </w:pPr>
          </w:p>
        </w:tc>
        <w:tc>
          <w:tcPr>
            <w:tcW w:w="0" w:type="auto"/>
            <w:vAlign w:val="center"/>
            <w:hideMark/>
          </w:tcPr>
          <w:p w14:paraId="6EF4CB4B" w14:textId="77777777" w:rsidR="00000000" w:rsidRDefault="001A570A">
            <w:pPr>
              <w:rPr>
                <w:rFonts w:eastAsia="Times New Roman"/>
                <w:sz w:val="20"/>
                <w:szCs w:val="20"/>
              </w:rPr>
            </w:pPr>
          </w:p>
        </w:tc>
        <w:tc>
          <w:tcPr>
            <w:tcW w:w="0" w:type="auto"/>
            <w:vAlign w:val="center"/>
            <w:hideMark/>
          </w:tcPr>
          <w:p w14:paraId="4027FC00" w14:textId="77777777" w:rsidR="00000000" w:rsidRDefault="001A570A">
            <w:pPr>
              <w:rPr>
                <w:rFonts w:eastAsia="Times New Roman"/>
                <w:sz w:val="20"/>
                <w:szCs w:val="20"/>
              </w:rPr>
            </w:pPr>
          </w:p>
        </w:tc>
        <w:tc>
          <w:tcPr>
            <w:tcW w:w="0" w:type="auto"/>
            <w:gridSpan w:val="3"/>
            <w:vAlign w:val="center"/>
            <w:hideMark/>
          </w:tcPr>
          <w:p w14:paraId="58FB5A4D" w14:textId="77777777" w:rsidR="00000000" w:rsidRDefault="001A570A">
            <w:pPr>
              <w:rPr>
                <w:rFonts w:eastAsia="Times New Roman"/>
                <w:sz w:val="20"/>
                <w:szCs w:val="20"/>
              </w:rPr>
            </w:pPr>
          </w:p>
        </w:tc>
        <w:tc>
          <w:tcPr>
            <w:tcW w:w="0" w:type="auto"/>
            <w:gridSpan w:val="3"/>
            <w:vAlign w:val="center"/>
            <w:hideMark/>
          </w:tcPr>
          <w:p w14:paraId="3DC40EB2" w14:textId="77777777" w:rsidR="00000000" w:rsidRDefault="001A570A">
            <w:pPr>
              <w:rPr>
                <w:rFonts w:eastAsia="Times New Roman"/>
                <w:sz w:val="20"/>
                <w:szCs w:val="20"/>
              </w:rPr>
            </w:pPr>
          </w:p>
        </w:tc>
      </w:tr>
      <w:tr w:rsidR="00000000" w14:paraId="29105D81" w14:textId="77777777">
        <w:trPr>
          <w:divId w:val="81531317"/>
        </w:trPr>
        <w:tc>
          <w:tcPr>
            <w:tcW w:w="0" w:type="auto"/>
            <w:gridSpan w:val="3"/>
            <w:tcMar>
              <w:top w:w="0" w:type="dxa"/>
              <w:left w:w="20" w:type="dxa"/>
              <w:bottom w:w="0" w:type="dxa"/>
              <w:right w:w="20" w:type="dxa"/>
            </w:tcMar>
            <w:vAlign w:val="center"/>
            <w:hideMark/>
          </w:tcPr>
          <w:p w14:paraId="02F2F194"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3D2A6566" w14:textId="77777777" w:rsidR="00000000" w:rsidRDefault="001A570A">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1E80E176"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1562975"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7181532E"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0960F836" w14:textId="77777777" w:rsidR="00000000" w:rsidRDefault="001A570A">
            <w:pPr>
              <w:jc w:val="center"/>
              <w:rPr>
                <w:rFonts w:eastAsia="Times New Roman"/>
              </w:rPr>
            </w:pPr>
          </w:p>
        </w:tc>
        <w:tc>
          <w:tcPr>
            <w:tcW w:w="0" w:type="auto"/>
            <w:vAlign w:val="center"/>
            <w:hideMark/>
          </w:tcPr>
          <w:p w14:paraId="681EE3B1" w14:textId="77777777" w:rsidR="00000000" w:rsidRDefault="001A570A">
            <w:pPr>
              <w:rPr>
                <w:rFonts w:eastAsia="Times New Roman"/>
                <w:sz w:val="20"/>
                <w:szCs w:val="20"/>
              </w:rPr>
            </w:pPr>
          </w:p>
        </w:tc>
        <w:tc>
          <w:tcPr>
            <w:tcW w:w="0" w:type="auto"/>
            <w:vAlign w:val="center"/>
            <w:hideMark/>
          </w:tcPr>
          <w:p w14:paraId="0411E05C" w14:textId="77777777" w:rsidR="00000000" w:rsidRDefault="001A570A">
            <w:pPr>
              <w:rPr>
                <w:rFonts w:eastAsia="Times New Roman"/>
                <w:sz w:val="20"/>
                <w:szCs w:val="20"/>
              </w:rPr>
            </w:pPr>
          </w:p>
        </w:tc>
        <w:tc>
          <w:tcPr>
            <w:tcW w:w="0" w:type="auto"/>
            <w:vAlign w:val="center"/>
            <w:hideMark/>
          </w:tcPr>
          <w:p w14:paraId="3CD8E1D8" w14:textId="77777777" w:rsidR="00000000" w:rsidRDefault="001A570A">
            <w:pPr>
              <w:rPr>
                <w:rFonts w:eastAsia="Times New Roman"/>
                <w:sz w:val="20"/>
                <w:szCs w:val="20"/>
              </w:rPr>
            </w:pPr>
          </w:p>
        </w:tc>
        <w:tc>
          <w:tcPr>
            <w:tcW w:w="0" w:type="auto"/>
            <w:vAlign w:val="center"/>
            <w:hideMark/>
          </w:tcPr>
          <w:p w14:paraId="675CECB0" w14:textId="77777777" w:rsidR="00000000" w:rsidRDefault="001A570A">
            <w:pPr>
              <w:rPr>
                <w:rFonts w:eastAsia="Times New Roman"/>
                <w:sz w:val="20"/>
                <w:szCs w:val="20"/>
              </w:rPr>
            </w:pPr>
          </w:p>
        </w:tc>
        <w:tc>
          <w:tcPr>
            <w:tcW w:w="0" w:type="auto"/>
            <w:vAlign w:val="center"/>
            <w:hideMark/>
          </w:tcPr>
          <w:p w14:paraId="72F1183E" w14:textId="77777777" w:rsidR="00000000" w:rsidRDefault="001A570A">
            <w:pPr>
              <w:rPr>
                <w:rFonts w:eastAsia="Times New Roman"/>
                <w:sz w:val="20"/>
                <w:szCs w:val="20"/>
              </w:rPr>
            </w:pPr>
          </w:p>
        </w:tc>
        <w:tc>
          <w:tcPr>
            <w:tcW w:w="0" w:type="auto"/>
            <w:vAlign w:val="center"/>
            <w:hideMark/>
          </w:tcPr>
          <w:p w14:paraId="263BE97A" w14:textId="77777777" w:rsidR="00000000" w:rsidRDefault="001A570A">
            <w:pPr>
              <w:rPr>
                <w:rFonts w:eastAsia="Times New Roman"/>
                <w:sz w:val="20"/>
                <w:szCs w:val="20"/>
              </w:rPr>
            </w:pPr>
          </w:p>
        </w:tc>
        <w:tc>
          <w:tcPr>
            <w:tcW w:w="0" w:type="auto"/>
            <w:vAlign w:val="center"/>
            <w:hideMark/>
          </w:tcPr>
          <w:p w14:paraId="6378B6F9" w14:textId="77777777" w:rsidR="00000000" w:rsidRDefault="001A570A">
            <w:pPr>
              <w:rPr>
                <w:rFonts w:eastAsia="Times New Roman"/>
                <w:sz w:val="20"/>
                <w:szCs w:val="20"/>
              </w:rPr>
            </w:pPr>
          </w:p>
        </w:tc>
      </w:tr>
      <w:tr w:rsidR="00000000" w14:paraId="13C12749" w14:textId="77777777">
        <w:trPr>
          <w:divId w:val="81531317"/>
        </w:trPr>
        <w:tc>
          <w:tcPr>
            <w:tcW w:w="0" w:type="auto"/>
            <w:gridSpan w:val="3"/>
            <w:tcMar>
              <w:top w:w="0" w:type="dxa"/>
              <w:left w:w="20" w:type="dxa"/>
              <w:bottom w:w="0" w:type="dxa"/>
              <w:right w:w="20" w:type="dxa"/>
            </w:tcMar>
            <w:vAlign w:val="center"/>
            <w:hideMark/>
          </w:tcPr>
          <w:p w14:paraId="73DFD8AE"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D887B9A"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7FAAE78" w14:textId="77777777" w:rsidR="00000000" w:rsidRDefault="001A570A">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5703FE3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3D89C2" w14:textId="77777777" w:rsidR="00000000" w:rsidRDefault="001A570A">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14:paraId="06DAAD4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360916" w14:textId="77777777" w:rsidR="00000000" w:rsidRDefault="001A570A">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A073C6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A40F3C" w14:textId="77777777" w:rsidR="00000000" w:rsidRDefault="001A570A">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14:paraId="3AE93AE7" w14:textId="77777777" w:rsidR="00000000" w:rsidRDefault="001A570A">
            <w:pPr>
              <w:jc w:val="center"/>
              <w:rPr>
                <w:rFonts w:eastAsia="Times New Roman"/>
              </w:rPr>
            </w:pPr>
          </w:p>
        </w:tc>
        <w:tc>
          <w:tcPr>
            <w:tcW w:w="0" w:type="auto"/>
            <w:vAlign w:val="center"/>
            <w:hideMark/>
          </w:tcPr>
          <w:p w14:paraId="20857C0C" w14:textId="77777777" w:rsidR="00000000" w:rsidRDefault="001A570A">
            <w:pPr>
              <w:rPr>
                <w:rFonts w:eastAsia="Times New Roman"/>
                <w:sz w:val="20"/>
                <w:szCs w:val="20"/>
              </w:rPr>
            </w:pPr>
          </w:p>
        </w:tc>
        <w:tc>
          <w:tcPr>
            <w:tcW w:w="0" w:type="auto"/>
            <w:gridSpan w:val="3"/>
            <w:vAlign w:val="center"/>
            <w:hideMark/>
          </w:tcPr>
          <w:p w14:paraId="3BF4A0D1" w14:textId="77777777" w:rsidR="00000000" w:rsidRDefault="001A570A">
            <w:pPr>
              <w:rPr>
                <w:rFonts w:eastAsia="Times New Roman"/>
                <w:sz w:val="20"/>
                <w:szCs w:val="20"/>
              </w:rPr>
            </w:pPr>
          </w:p>
        </w:tc>
        <w:tc>
          <w:tcPr>
            <w:tcW w:w="0" w:type="auto"/>
            <w:gridSpan w:val="3"/>
            <w:vAlign w:val="center"/>
            <w:hideMark/>
          </w:tcPr>
          <w:p w14:paraId="32CA3E34" w14:textId="77777777" w:rsidR="00000000" w:rsidRDefault="001A570A">
            <w:pPr>
              <w:rPr>
                <w:rFonts w:eastAsia="Times New Roman"/>
                <w:sz w:val="20"/>
                <w:szCs w:val="20"/>
              </w:rPr>
            </w:pPr>
          </w:p>
        </w:tc>
      </w:tr>
      <w:tr w:rsidR="00000000" w14:paraId="62EA99F3" w14:textId="77777777">
        <w:trPr>
          <w:divId w:val="81531317"/>
          <w:trHeight w:val="60"/>
        </w:trPr>
        <w:tc>
          <w:tcPr>
            <w:tcW w:w="0" w:type="auto"/>
            <w:gridSpan w:val="3"/>
            <w:tcMar>
              <w:top w:w="0" w:type="dxa"/>
              <w:left w:w="20" w:type="dxa"/>
              <w:bottom w:w="0" w:type="dxa"/>
              <w:right w:w="20" w:type="dxa"/>
            </w:tcMar>
            <w:vAlign w:val="center"/>
            <w:hideMark/>
          </w:tcPr>
          <w:p w14:paraId="740CDF8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CE921B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BFC00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5359B4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923C5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920ED9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4828A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E4C643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AE3C6C" w14:textId="77777777" w:rsidR="00000000" w:rsidRDefault="001A570A">
            <w:pPr>
              <w:rPr>
                <w:rFonts w:eastAsia="Times New Roman"/>
                <w:sz w:val="20"/>
                <w:szCs w:val="20"/>
              </w:rPr>
            </w:pPr>
          </w:p>
        </w:tc>
        <w:tc>
          <w:tcPr>
            <w:tcW w:w="0" w:type="auto"/>
            <w:vAlign w:val="center"/>
            <w:hideMark/>
          </w:tcPr>
          <w:p w14:paraId="1E50C0EC" w14:textId="77777777" w:rsidR="00000000" w:rsidRDefault="001A570A">
            <w:pPr>
              <w:rPr>
                <w:rFonts w:eastAsia="Times New Roman"/>
                <w:sz w:val="20"/>
                <w:szCs w:val="20"/>
              </w:rPr>
            </w:pPr>
          </w:p>
        </w:tc>
        <w:tc>
          <w:tcPr>
            <w:tcW w:w="0" w:type="auto"/>
            <w:vAlign w:val="center"/>
            <w:hideMark/>
          </w:tcPr>
          <w:p w14:paraId="1B05CE5E" w14:textId="77777777" w:rsidR="00000000" w:rsidRDefault="001A570A">
            <w:pPr>
              <w:rPr>
                <w:rFonts w:eastAsia="Times New Roman"/>
                <w:sz w:val="20"/>
                <w:szCs w:val="20"/>
              </w:rPr>
            </w:pPr>
          </w:p>
        </w:tc>
        <w:tc>
          <w:tcPr>
            <w:tcW w:w="0" w:type="auto"/>
            <w:gridSpan w:val="3"/>
            <w:vAlign w:val="center"/>
            <w:hideMark/>
          </w:tcPr>
          <w:p w14:paraId="48CA9B34" w14:textId="77777777" w:rsidR="00000000" w:rsidRDefault="001A570A">
            <w:pPr>
              <w:rPr>
                <w:rFonts w:eastAsia="Times New Roman"/>
                <w:sz w:val="20"/>
                <w:szCs w:val="20"/>
              </w:rPr>
            </w:pPr>
          </w:p>
        </w:tc>
        <w:tc>
          <w:tcPr>
            <w:tcW w:w="0" w:type="auto"/>
            <w:gridSpan w:val="3"/>
            <w:vAlign w:val="center"/>
            <w:hideMark/>
          </w:tcPr>
          <w:p w14:paraId="1FB0F66E" w14:textId="77777777" w:rsidR="00000000" w:rsidRDefault="001A570A">
            <w:pPr>
              <w:rPr>
                <w:rFonts w:eastAsia="Times New Roman"/>
                <w:sz w:val="20"/>
                <w:szCs w:val="20"/>
              </w:rPr>
            </w:pPr>
          </w:p>
        </w:tc>
      </w:tr>
      <w:tr w:rsidR="00000000" w14:paraId="4F272BCB" w14:textId="77777777">
        <w:trPr>
          <w:divId w:val="81531317"/>
        </w:trPr>
        <w:tc>
          <w:tcPr>
            <w:tcW w:w="0" w:type="auto"/>
            <w:gridSpan w:val="6"/>
            <w:shd w:val="clear" w:color="auto" w:fill="CCEEFF"/>
            <w:tcMar>
              <w:top w:w="30" w:type="dxa"/>
              <w:left w:w="20" w:type="dxa"/>
              <w:bottom w:w="30" w:type="dxa"/>
              <w:right w:w="20" w:type="dxa"/>
            </w:tcMar>
            <w:hideMark/>
          </w:tcPr>
          <w:p w14:paraId="5D20DDC3" w14:textId="77777777" w:rsidR="00000000" w:rsidRDefault="001A570A">
            <w:pPr>
              <w:divId w:val="1470056641"/>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50E85D8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59D0A5" w14:textId="77777777" w:rsidR="00000000" w:rsidRDefault="001A570A">
            <w:pPr>
              <w:jc w:val="right"/>
              <w:rPr>
                <w:rFonts w:eastAsia="Times New Roman"/>
              </w:rPr>
            </w:pPr>
            <w:r>
              <w:rPr>
                <w:rFonts w:eastAsia="Times New Roman"/>
                <w:color w:val="000000"/>
                <w:sz w:val="20"/>
                <w:szCs w:val="20"/>
              </w:rPr>
              <w:t>6,916 </w:t>
            </w:r>
          </w:p>
        </w:tc>
        <w:tc>
          <w:tcPr>
            <w:tcW w:w="0" w:type="auto"/>
            <w:shd w:val="clear" w:color="auto" w:fill="CCEEFF"/>
            <w:tcMar>
              <w:top w:w="30" w:type="dxa"/>
              <w:left w:w="0" w:type="dxa"/>
              <w:bottom w:w="30" w:type="dxa"/>
              <w:right w:w="20" w:type="dxa"/>
            </w:tcMar>
            <w:vAlign w:val="bottom"/>
            <w:hideMark/>
          </w:tcPr>
          <w:p w14:paraId="79A655C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4CB3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64F1C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9CD97A" w14:textId="77777777" w:rsidR="00000000" w:rsidRDefault="001A570A">
            <w:pPr>
              <w:jc w:val="right"/>
              <w:rPr>
                <w:rFonts w:eastAsia="Times New Roman"/>
              </w:rPr>
            </w:pPr>
            <w:r>
              <w:rPr>
                <w:rFonts w:eastAsia="Times New Roman"/>
                <w:color w:val="000000"/>
                <w:sz w:val="20"/>
                <w:szCs w:val="20"/>
              </w:rPr>
              <w:t>7,948 </w:t>
            </w:r>
          </w:p>
        </w:tc>
        <w:tc>
          <w:tcPr>
            <w:tcW w:w="0" w:type="auto"/>
            <w:shd w:val="clear" w:color="auto" w:fill="CCEEFF"/>
            <w:tcMar>
              <w:top w:w="30" w:type="dxa"/>
              <w:left w:w="0" w:type="dxa"/>
              <w:bottom w:w="30" w:type="dxa"/>
              <w:right w:w="20" w:type="dxa"/>
            </w:tcMar>
            <w:vAlign w:val="bottom"/>
            <w:hideMark/>
          </w:tcPr>
          <w:p w14:paraId="20500A5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9907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17C51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FF04B4F" w14:textId="77777777" w:rsidR="00000000" w:rsidRDefault="001A570A">
            <w:pPr>
              <w:jc w:val="right"/>
              <w:rPr>
                <w:rFonts w:eastAsia="Times New Roman"/>
              </w:rPr>
            </w:pPr>
            <w:r>
              <w:rPr>
                <w:rFonts w:eastAsia="Times New Roman"/>
                <w:color w:val="000000"/>
                <w:sz w:val="20"/>
                <w:szCs w:val="20"/>
              </w:rPr>
              <w:t>6,951 </w:t>
            </w:r>
          </w:p>
        </w:tc>
        <w:tc>
          <w:tcPr>
            <w:tcW w:w="0" w:type="auto"/>
            <w:shd w:val="clear" w:color="auto" w:fill="CCEEFF"/>
            <w:tcMar>
              <w:top w:w="30" w:type="dxa"/>
              <w:left w:w="0" w:type="dxa"/>
              <w:bottom w:w="30" w:type="dxa"/>
              <w:right w:w="20" w:type="dxa"/>
            </w:tcMar>
            <w:vAlign w:val="bottom"/>
            <w:hideMark/>
          </w:tcPr>
          <w:p w14:paraId="2085F4A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6CA0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80A2C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F20715" w14:textId="77777777" w:rsidR="00000000" w:rsidRDefault="001A570A">
            <w:pPr>
              <w:jc w:val="right"/>
              <w:rPr>
                <w:rFonts w:eastAsia="Times New Roman"/>
              </w:rPr>
            </w:pPr>
            <w:r>
              <w:rPr>
                <w:rFonts w:eastAsia="Times New Roman"/>
                <w:color w:val="000000"/>
                <w:sz w:val="20"/>
                <w:szCs w:val="20"/>
              </w:rPr>
              <w:t>7,536 </w:t>
            </w:r>
          </w:p>
        </w:tc>
        <w:tc>
          <w:tcPr>
            <w:tcW w:w="0" w:type="auto"/>
            <w:shd w:val="clear" w:color="auto" w:fill="CCEEFF"/>
            <w:tcMar>
              <w:top w:w="30" w:type="dxa"/>
              <w:left w:w="0" w:type="dxa"/>
              <w:bottom w:w="30" w:type="dxa"/>
              <w:right w:w="20" w:type="dxa"/>
            </w:tcMar>
            <w:vAlign w:val="bottom"/>
            <w:hideMark/>
          </w:tcPr>
          <w:p w14:paraId="7A069973" w14:textId="77777777" w:rsidR="00000000" w:rsidRDefault="001A570A">
            <w:pPr>
              <w:jc w:val="right"/>
              <w:rPr>
                <w:rFonts w:eastAsia="Times New Roman"/>
              </w:rPr>
            </w:pPr>
          </w:p>
        </w:tc>
        <w:tc>
          <w:tcPr>
            <w:tcW w:w="0" w:type="auto"/>
            <w:vAlign w:val="center"/>
            <w:hideMark/>
          </w:tcPr>
          <w:p w14:paraId="6A39D566" w14:textId="77777777" w:rsidR="00000000" w:rsidRDefault="001A570A">
            <w:pPr>
              <w:jc w:val="right"/>
              <w:rPr>
                <w:rFonts w:eastAsia="Times New Roman"/>
                <w:sz w:val="20"/>
                <w:szCs w:val="20"/>
              </w:rPr>
            </w:pPr>
          </w:p>
        </w:tc>
        <w:tc>
          <w:tcPr>
            <w:tcW w:w="0" w:type="auto"/>
            <w:vAlign w:val="center"/>
            <w:hideMark/>
          </w:tcPr>
          <w:p w14:paraId="47BC9760" w14:textId="77777777" w:rsidR="00000000" w:rsidRDefault="001A570A">
            <w:pPr>
              <w:rPr>
                <w:rFonts w:eastAsia="Times New Roman"/>
                <w:sz w:val="20"/>
                <w:szCs w:val="20"/>
              </w:rPr>
            </w:pPr>
          </w:p>
        </w:tc>
        <w:tc>
          <w:tcPr>
            <w:tcW w:w="0" w:type="auto"/>
            <w:gridSpan w:val="3"/>
            <w:vAlign w:val="center"/>
            <w:hideMark/>
          </w:tcPr>
          <w:p w14:paraId="2908183E" w14:textId="77777777" w:rsidR="00000000" w:rsidRDefault="001A570A">
            <w:pPr>
              <w:rPr>
                <w:rFonts w:eastAsia="Times New Roman"/>
                <w:sz w:val="20"/>
                <w:szCs w:val="20"/>
              </w:rPr>
            </w:pPr>
          </w:p>
        </w:tc>
        <w:tc>
          <w:tcPr>
            <w:tcW w:w="0" w:type="auto"/>
            <w:gridSpan w:val="3"/>
            <w:vAlign w:val="center"/>
            <w:hideMark/>
          </w:tcPr>
          <w:p w14:paraId="3696B83F" w14:textId="77777777" w:rsidR="00000000" w:rsidRDefault="001A570A">
            <w:pPr>
              <w:rPr>
                <w:rFonts w:eastAsia="Times New Roman"/>
                <w:sz w:val="20"/>
                <w:szCs w:val="20"/>
              </w:rPr>
            </w:pPr>
          </w:p>
        </w:tc>
      </w:tr>
    </w:tbl>
    <w:p w14:paraId="2CC7DB98" w14:textId="77777777" w:rsidR="00000000" w:rsidRDefault="001A570A">
      <w:pPr>
        <w:divId w:val="1230385476"/>
        <w:rPr>
          <w:rFonts w:eastAsia="Times New Roman"/>
        </w:rPr>
      </w:pPr>
      <w:r>
        <w:rPr>
          <w:rFonts w:eastAsia="Times New Roman"/>
          <w:color w:val="000000"/>
          <w:sz w:val="16"/>
          <w:szCs w:val="16"/>
        </w:rPr>
        <w:t>_______________</w:t>
      </w:r>
    </w:p>
    <w:p w14:paraId="0A402FB0" w14:textId="77777777" w:rsidR="00000000" w:rsidRDefault="001A570A">
      <w:pPr>
        <w:ind w:hanging="360"/>
        <w:divId w:val="533007415"/>
        <w:rPr>
          <w:rFonts w:eastAsia="Times New Roman"/>
        </w:rPr>
      </w:pPr>
      <w:r>
        <w:rPr>
          <w:rFonts w:eastAsia="Times New Roman"/>
          <w:color w:val="000000"/>
          <w:sz w:val="16"/>
          <w:szCs w:val="16"/>
        </w:rPr>
        <w:t>(1)The fair value was estimated using a market approach based on quoted market prices for our debt traded in the second</w:t>
      </w:r>
      <w:r>
        <w:rPr>
          <w:rFonts w:eastAsia="Times New Roman"/>
          <w:color w:val="000000"/>
          <w:sz w:val="16"/>
          <w:szCs w:val="16"/>
        </w:rPr>
        <w:t>ary market. If our long-term debt in our balance sheet were measured at fair value, it would be categorized in Level 2 of the fair value hierarchy.</w:t>
      </w:r>
    </w:p>
    <w:p w14:paraId="5B7221C4" w14:textId="77777777" w:rsidR="00000000" w:rsidRDefault="001A570A">
      <w:pPr>
        <w:divId w:val="583225602"/>
        <w:rPr>
          <w:rFonts w:eastAsia="Times New Roman"/>
        </w:rPr>
      </w:pPr>
      <w:r>
        <w:rPr>
          <w:rFonts w:eastAsia="Times New Roman"/>
          <w:b/>
          <w:bCs/>
          <w:color w:val="000000"/>
          <w:sz w:val="20"/>
          <w:szCs w:val="20"/>
        </w:rPr>
        <w:t>Short-Term Debt</w:t>
      </w:r>
    </w:p>
    <w:p w14:paraId="44864A33" w14:textId="77777777" w:rsidR="00000000" w:rsidRDefault="001A570A">
      <w:pPr>
        <w:ind w:firstLine="450"/>
        <w:divId w:val="1350185233"/>
        <w:rPr>
          <w:rFonts w:eastAsia="Times New Roman"/>
        </w:rPr>
      </w:pPr>
      <w:r>
        <w:rPr>
          <w:rFonts w:eastAsia="Times New Roman"/>
          <w:color w:val="000000"/>
          <w:sz w:val="20"/>
          <w:szCs w:val="20"/>
        </w:rPr>
        <w:t>Our short-term debt at January 1, 2021 and January 3, 2020 was $2 million and $3 million, re</w:t>
      </w:r>
      <w:r>
        <w:rPr>
          <w:rFonts w:eastAsia="Times New Roman"/>
          <w:color w:val="000000"/>
          <w:sz w:val="20"/>
          <w:szCs w:val="20"/>
        </w:rPr>
        <w:t>spectively. Interest expense incurred on our short-term debt was not material in fiscal 2020, the two quarters ended January 3, 2020, or fiscal 2019 or 2018.</w:t>
      </w:r>
    </w:p>
    <w:p w14:paraId="6ED952E0" w14:textId="77777777" w:rsidR="00000000" w:rsidRDefault="001A570A">
      <w:pPr>
        <w:divId w:val="2132042714"/>
        <w:rPr>
          <w:rFonts w:eastAsia="Times New Roman"/>
        </w:rPr>
      </w:pPr>
      <w:r>
        <w:rPr>
          <w:rFonts w:eastAsia="Times New Roman"/>
          <w:b/>
          <w:bCs/>
          <w:color w:val="000000"/>
          <w:sz w:val="20"/>
          <w:szCs w:val="20"/>
        </w:rPr>
        <w:t>Interest Paid</w:t>
      </w:r>
    </w:p>
    <w:p w14:paraId="224D5F1A" w14:textId="77777777" w:rsidR="00000000" w:rsidRDefault="001A570A">
      <w:pPr>
        <w:ind w:firstLine="450"/>
        <w:divId w:val="988362087"/>
        <w:rPr>
          <w:rFonts w:eastAsia="Times New Roman"/>
        </w:rPr>
      </w:pPr>
      <w:r>
        <w:rPr>
          <w:rFonts w:eastAsia="Times New Roman"/>
          <w:color w:val="000000"/>
          <w:sz w:val="20"/>
          <w:szCs w:val="20"/>
        </w:rPr>
        <w:t>Total interest paid was $313 million, $144 million, $170 million and $175 million in</w:t>
      </w:r>
      <w:r>
        <w:rPr>
          <w:rFonts w:eastAsia="Times New Roman"/>
          <w:color w:val="000000"/>
          <w:sz w:val="20"/>
          <w:szCs w:val="20"/>
        </w:rPr>
        <w:t xml:space="preserve"> fiscal 2020, the two quarters ended January 3, 2020, and fiscal 2019 and 2018, respectively. </w:t>
      </w:r>
    </w:p>
    <w:p w14:paraId="0D462883" w14:textId="77777777" w:rsidR="00000000" w:rsidRDefault="001A570A">
      <w:pPr>
        <w:divId w:val="1215653273"/>
        <w:rPr>
          <w:rFonts w:eastAsia="Times New Roman"/>
        </w:rPr>
      </w:pPr>
      <w:r>
        <w:rPr>
          <w:rFonts w:eastAsia="Times New Roman"/>
          <w:b/>
          <w:bCs/>
          <w:color w:val="000000"/>
          <w:sz w:val="20"/>
          <w:szCs w:val="20"/>
        </w:rPr>
        <w:t>NOTE 15: PENSION AND OTHER POSTRETIREMENT BENEFITS</w:t>
      </w:r>
      <w:r>
        <w:rPr>
          <w:rFonts w:eastAsia="Times New Roman"/>
          <w:b/>
          <w:bCs/>
          <w:i/>
          <w:iCs/>
          <w:color w:val="000000"/>
          <w:sz w:val="20"/>
          <w:szCs w:val="20"/>
        </w:rPr>
        <w:t xml:space="preserve"> </w:t>
      </w:r>
    </w:p>
    <w:p w14:paraId="578CE8AE" w14:textId="77777777" w:rsidR="00000000" w:rsidRDefault="001A570A">
      <w:pPr>
        <w:divId w:val="1245846446"/>
        <w:rPr>
          <w:rFonts w:eastAsia="Times New Roman"/>
        </w:rPr>
      </w:pPr>
      <w:r>
        <w:rPr>
          <w:rFonts w:eastAsia="Times New Roman"/>
          <w:b/>
          <w:bCs/>
          <w:color w:val="000000"/>
          <w:sz w:val="20"/>
          <w:szCs w:val="20"/>
        </w:rPr>
        <w:t>Defined Contribution Plan</w:t>
      </w:r>
    </w:p>
    <w:p w14:paraId="53C732CD" w14:textId="77777777" w:rsidR="00000000" w:rsidRDefault="001A570A">
      <w:pPr>
        <w:ind w:firstLine="450"/>
        <w:divId w:val="42869644"/>
        <w:rPr>
          <w:rFonts w:eastAsia="Times New Roman"/>
        </w:rPr>
      </w:pPr>
      <w:r>
        <w:rPr>
          <w:rFonts w:eastAsia="Times New Roman"/>
          <w:color w:val="000000"/>
          <w:sz w:val="20"/>
          <w:szCs w:val="20"/>
        </w:rPr>
        <w:t>As of January 1, 2021, we sponsor numerous defined contribution savings plans, whic</w:t>
      </w:r>
      <w:r>
        <w:rPr>
          <w:rFonts w:eastAsia="Times New Roman"/>
          <w:color w:val="000000"/>
          <w:sz w:val="20"/>
          <w:szCs w:val="20"/>
        </w:rPr>
        <w:t>h allow our eligible employees to contribute a portion of their pre-tax and/or after-tax income in accordance with specified guidelines. The plans include several match contribution formulas which requires us to match a percentage of the employee contribut</w:t>
      </w:r>
      <w:r>
        <w:rPr>
          <w:rFonts w:eastAsia="Times New Roman"/>
          <w:color w:val="000000"/>
          <w:sz w:val="20"/>
          <w:szCs w:val="20"/>
        </w:rPr>
        <w:t xml:space="preserve">ions up to certain limits, generally totaling between 2.0% to 6.0% of employee eligible pay. Matching contributions, net of forfeitures, charged to expense were $225 million, $105 million, $85 million and $83 million in fiscal 2020, the two quarters ended </w:t>
      </w:r>
      <w:r>
        <w:rPr>
          <w:rFonts w:eastAsia="Times New Roman"/>
          <w:color w:val="000000"/>
          <w:sz w:val="20"/>
          <w:szCs w:val="20"/>
        </w:rPr>
        <w:t xml:space="preserve">January 3, 2020, and fiscal 2019 and 2018, respectively. </w:t>
      </w:r>
    </w:p>
    <w:p w14:paraId="1BF4C947" w14:textId="77777777" w:rsidR="00000000" w:rsidRDefault="001A570A">
      <w:pPr>
        <w:divId w:val="858082952"/>
        <w:rPr>
          <w:rFonts w:eastAsia="Times New Roman"/>
        </w:rPr>
      </w:pPr>
      <w:r>
        <w:rPr>
          <w:rFonts w:eastAsia="Times New Roman"/>
          <w:b/>
          <w:bCs/>
          <w:color w:val="000000"/>
          <w:sz w:val="20"/>
          <w:szCs w:val="20"/>
        </w:rPr>
        <w:t>Deferred Compensation Plan</w:t>
      </w:r>
    </w:p>
    <w:p w14:paraId="18DA645D" w14:textId="77777777" w:rsidR="00000000" w:rsidRDefault="001A570A">
      <w:pPr>
        <w:ind w:firstLine="450"/>
        <w:divId w:val="1628777756"/>
        <w:rPr>
          <w:rFonts w:eastAsia="Times New Roman"/>
        </w:rPr>
      </w:pPr>
      <w:r>
        <w:rPr>
          <w:rFonts w:eastAsia="Times New Roman"/>
          <w:color w:val="000000"/>
          <w:sz w:val="20"/>
          <w:szCs w:val="20"/>
        </w:rPr>
        <w:t xml:space="preserve">We also sponsor the L3Harris Excess Retirement Savings Plan (as amended and restated effective January 1, 2020), which is a nonqualified deferred compensation arrangement </w:t>
      </w:r>
      <w:r>
        <w:rPr>
          <w:rFonts w:eastAsia="Times New Roman"/>
          <w:color w:val="000000"/>
          <w:sz w:val="20"/>
          <w:szCs w:val="20"/>
        </w:rPr>
        <w:t>for highly compensated employees (within the meaning of section 201(2) of ERISA). The plan obligations are funded by investments held in a Rabbi Trust.</w:t>
      </w:r>
    </w:p>
    <w:p w14:paraId="0D4906C6" w14:textId="77777777" w:rsidR="00000000" w:rsidRDefault="001A570A">
      <w:pPr>
        <w:ind w:firstLine="450"/>
        <w:divId w:val="465896612"/>
        <w:rPr>
          <w:rFonts w:eastAsia="Times New Roman"/>
        </w:rPr>
      </w:pPr>
      <w:r>
        <w:rPr>
          <w:rFonts w:eastAsia="Times New Roman"/>
          <w:color w:val="000000"/>
          <w:sz w:val="20"/>
          <w:szCs w:val="20"/>
        </w:rPr>
        <w:t>The following table provides the fair value of our deferred compensation plan investments and liabilitie</w:t>
      </w:r>
      <w:r>
        <w:rPr>
          <w:rFonts w:eastAsia="Times New Roman"/>
          <w:color w:val="000000"/>
          <w:sz w:val="20"/>
          <w:szCs w:val="20"/>
        </w:rPr>
        <w:t>s by category and by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44"/>
        <w:gridCol w:w="4005"/>
        <w:gridCol w:w="39"/>
        <w:gridCol w:w="120"/>
        <w:gridCol w:w="781"/>
        <w:gridCol w:w="36"/>
        <w:gridCol w:w="36"/>
        <w:gridCol w:w="36"/>
        <w:gridCol w:w="36"/>
        <w:gridCol w:w="121"/>
        <w:gridCol w:w="732"/>
        <w:gridCol w:w="36"/>
        <w:gridCol w:w="36"/>
        <w:gridCol w:w="36"/>
        <w:gridCol w:w="36"/>
        <w:gridCol w:w="120"/>
        <w:gridCol w:w="733"/>
        <w:gridCol w:w="36"/>
        <w:gridCol w:w="36"/>
        <w:gridCol w:w="36"/>
        <w:gridCol w:w="36"/>
        <w:gridCol w:w="121"/>
        <w:gridCol w:w="734"/>
        <w:gridCol w:w="36"/>
        <w:gridCol w:w="36"/>
        <w:gridCol w:w="36"/>
        <w:gridCol w:w="36"/>
        <w:gridCol w:w="36"/>
        <w:gridCol w:w="36"/>
        <w:gridCol w:w="36"/>
        <w:gridCol w:w="36"/>
        <w:gridCol w:w="36"/>
      </w:tblGrid>
      <w:tr w:rsidR="00000000" w14:paraId="4E0436AE" w14:textId="77777777">
        <w:trPr>
          <w:divId w:val="1733581559"/>
        </w:trPr>
        <w:tc>
          <w:tcPr>
            <w:tcW w:w="50" w:type="pct"/>
            <w:vAlign w:val="center"/>
            <w:hideMark/>
          </w:tcPr>
          <w:p w14:paraId="45959C3E" w14:textId="77777777" w:rsidR="00000000" w:rsidRDefault="001A570A">
            <w:pPr>
              <w:ind w:firstLine="450"/>
              <w:rPr>
                <w:rFonts w:eastAsia="Times New Roman"/>
              </w:rPr>
            </w:pPr>
          </w:p>
        </w:tc>
        <w:tc>
          <w:tcPr>
            <w:tcW w:w="2538" w:type="pct"/>
            <w:vAlign w:val="center"/>
            <w:hideMark/>
          </w:tcPr>
          <w:p w14:paraId="1797C6D9" w14:textId="77777777" w:rsidR="00000000" w:rsidRDefault="001A570A">
            <w:pPr>
              <w:rPr>
                <w:rFonts w:eastAsia="Times New Roman"/>
                <w:sz w:val="20"/>
                <w:szCs w:val="20"/>
              </w:rPr>
            </w:pPr>
          </w:p>
        </w:tc>
        <w:tc>
          <w:tcPr>
            <w:tcW w:w="5" w:type="pct"/>
            <w:vAlign w:val="center"/>
            <w:hideMark/>
          </w:tcPr>
          <w:p w14:paraId="34B441E2" w14:textId="77777777" w:rsidR="00000000" w:rsidRDefault="001A570A">
            <w:pPr>
              <w:rPr>
                <w:rFonts w:eastAsia="Times New Roman"/>
                <w:sz w:val="20"/>
                <w:szCs w:val="20"/>
              </w:rPr>
            </w:pPr>
          </w:p>
        </w:tc>
        <w:tc>
          <w:tcPr>
            <w:tcW w:w="50" w:type="pct"/>
            <w:vAlign w:val="center"/>
            <w:hideMark/>
          </w:tcPr>
          <w:p w14:paraId="025046C9" w14:textId="77777777" w:rsidR="00000000" w:rsidRDefault="001A570A">
            <w:pPr>
              <w:rPr>
                <w:rFonts w:eastAsia="Times New Roman"/>
                <w:sz w:val="20"/>
                <w:szCs w:val="20"/>
              </w:rPr>
            </w:pPr>
          </w:p>
        </w:tc>
        <w:tc>
          <w:tcPr>
            <w:tcW w:w="519" w:type="pct"/>
            <w:vAlign w:val="center"/>
            <w:hideMark/>
          </w:tcPr>
          <w:p w14:paraId="5CB82BAA" w14:textId="77777777" w:rsidR="00000000" w:rsidRDefault="001A570A">
            <w:pPr>
              <w:rPr>
                <w:rFonts w:eastAsia="Times New Roman"/>
                <w:sz w:val="20"/>
                <w:szCs w:val="20"/>
              </w:rPr>
            </w:pPr>
          </w:p>
        </w:tc>
        <w:tc>
          <w:tcPr>
            <w:tcW w:w="5" w:type="pct"/>
            <w:vAlign w:val="center"/>
            <w:hideMark/>
          </w:tcPr>
          <w:p w14:paraId="206FFDC4" w14:textId="77777777" w:rsidR="00000000" w:rsidRDefault="001A570A">
            <w:pPr>
              <w:rPr>
                <w:rFonts w:eastAsia="Times New Roman"/>
                <w:sz w:val="20"/>
                <w:szCs w:val="20"/>
              </w:rPr>
            </w:pPr>
          </w:p>
        </w:tc>
        <w:tc>
          <w:tcPr>
            <w:tcW w:w="5" w:type="pct"/>
            <w:vAlign w:val="center"/>
            <w:hideMark/>
          </w:tcPr>
          <w:p w14:paraId="03670CFE" w14:textId="77777777" w:rsidR="00000000" w:rsidRDefault="001A570A">
            <w:pPr>
              <w:rPr>
                <w:rFonts w:eastAsia="Times New Roman"/>
                <w:sz w:val="20"/>
                <w:szCs w:val="20"/>
              </w:rPr>
            </w:pPr>
          </w:p>
        </w:tc>
        <w:tc>
          <w:tcPr>
            <w:tcW w:w="25" w:type="pct"/>
            <w:vAlign w:val="center"/>
            <w:hideMark/>
          </w:tcPr>
          <w:p w14:paraId="236A1603" w14:textId="77777777" w:rsidR="00000000" w:rsidRDefault="001A570A">
            <w:pPr>
              <w:rPr>
                <w:rFonts w:eastAsia="Times New Roman"/>
                <w:sz w:val="20"/>
                <w:szCs w:val="20"/>
              </w:rPr>
            </w:pPr>
          </w:p>
        </w:tc>
        <w:tc>
          <w:tcPr>
            <w:tcW w:w="5" w:type="pct"/>
            <w:vAlign w:val="center"/>
            <w:hideMark/>
          </w:tcPr>
          <w:p w14:paraId="37DB2B3C" w14:textId="77777777" w:rsidR="00000000" w:rsidRDefault="001A570A">
            <w:pPr>
              <w:rPr>
                <w:rFonts w:eastAsia="Times New Roman"/>
                <w:sz w:val="20"/>
                <w:szCs w:val="20"/>
              </w:rPr>
            </w:pPr>
          </w:p>
        </w:tc>
        <w:tc>
          <w:tcPr>
            <w:tcW w:w="50" w:type="pct"/>
            <w:vAlign w:val="center"/>
            <w:hideMark/>
          </w:tcPr>
          <w:p w14:paraId="6E1674D6" w14:textId="77777777" w:rsidR="00000000" w:rsidRDefault="001A570A">
            <w:pPr>
              <w:rPr>
                <w:rFonts w:eastAsia="Times New Roman"/>
                <w:sz w:val="20"/>
                <w:szCs w:val="20"/>
              </w:rPr>
            </w:pPr>
          </w:p>
        </w:tc>
        <w:tc>
          <w:tcPr>
            <w:tcW w:w="519" w:type="pct"/>
            <w:vAlign w:val="center"/>
            <w:hideMark/>
          </w:tcPr>
          <w:p w14:paraId="6E8D1FFD" w14:textId="77777777" w:rsidR="00000000" w:rsidRDefault="001A570A">
            <w:pPr>
              <w:rPr>
                <w:rFonts w:eastAsia="Times New Roman"/>
                <w:sz w:val="20"/>
                <w:szCs w:val="20"/>
              </w:rPr>
            </w:pPr>
          </w:p>
        </w:tc>
        <w:tc>
          <w:tcPr>
            <w:tcW w:w="5" w:type="pct"/>
            <w:vAlign w:val="center"/>
            <w:hideMark/>
          </w:tcPr>
          <w:p w14:paraId="37111CA1" w14:textId="77777777" w:rsidR="00000000" w:rsidRDefault="001A570A">
            <w:pPr>
              <w:rPr>
                <w:rFonts w:eastAsia="Times New Roman"/>
                <w:sz w:val="20"/>
                <w:szCs w:val="20"/>
              </w:rPr>
            </w:pPr>
          </w:p>
        </w:tc>
        <w:tc>
          <w:tcPr>
            <w:tcW w:w="5" w:type="pct"/>
            <w:vAlign w:val="center"/>
            <w:hideMark/>
          </w:tcPr>
          <w:p w14:paraId="26841FBC" w14:textId="77777777" w:rsidR="00000000" w:rsidRDefault="001A570A">
            <w:pPr>
              <w:rPr>
                <w:rFonts w:eastAsia="Times New Roman"/>
                <w:sz w:val="20"/>
                <w:szCs w:val="20"/>
              </w:rPr>
            </w:pPr>
          </w:p>
        </w:tc>
        <w:tc>
          <w:tcPr>
            <w:tcW w:w="25" w:type="pct"/>
            <w:vAlign w:val="center"/>
            <w:hideMark/>
          </w:tcPr>
          <w:p w14:paraId="35C24192" w14:textId="77777777" w:rsidR="00000000" w:rsidRDefault="001A570A">
            <w:pPr>
              <w:rPr>
                <w:rFonts w:eastAsia="Times New Roman"/>
                <w:sz w:val="20"/>
                <w:szCs w:val="20"/>
              </w:rPr>
            </w:pPr>
          </w:p>
        </w:tc>
        <w:tc>
          <w:tcPr>
            <w:tcW w:w="5" w:type="pct"/>
            <w:vAlign w:val="center"/>
            <w:hideMark/>
          </w:tcPr>
          <w:p w14:paraId="785A4272" w14:textId="77777777" w:rsidR="00000000" w:rsidRDefault="001A570A">
            <w:pPr>
              <w:rPr>
                <w:rFonts w:eastAsia="Times New Roman"/>
                <w:sz w:val="20"/>
                <w:szCs w:val="20"/>
              </w:rPr>
            </w:pPr>
          </w:p>
        </w:tc>
        <w:tc>
          <w:tcPr>
            <w:tcW w:w="50" w:type="pct"/>
            <w:vAlign w:val="center"/>
            <w:hideMark/>
          </w:tcPr>
          <w:p w14:paraId="39B40966" w14:textId="77777777" w:rsidR="00000000" w:rsidRDefault="001A570A">
            <w:pPr>
              <w:rPr>
                <w:rFonts w:eastAsia="Times New Roman"/>
                <w:sz w:val="20"/>
                <w:szCs w:val="20"/>
              </w:rPr>
            </w:pPr>
          </w:p>
        </w:tc>
        <w:tc>
          <w:tcPr>
            <w:tcW w:w="519" w:type="pct"/>
            <w:vAlign w:val="center"/>
            <w:hideMark/>
          </w:tcPr>
          <w:p w14:paraId="4AD95CCE" w14:textId="77777777" w:rsidR="00000000" w:rsidRDefault="001A570A">
            <w:pPr>
              <w:rPr>
                <w:rFonts w:eastAsia="Times New Roman"/>
                <w:sz w:val="20"/>
                <w:szCs w:val="20"/>
              </w:rPr>
            </w:pPr>
          </w:p>
        </w:tc>
        <w:tc>
          <w:tcPr>
            <w:tcW w:w="5" w:type="pct"/>
            <w:vAlign w:val="center"/>
            <w:hideMark/>
          </w:tcPr>
          <w:p w14:paraId="0FCA2102" w14:textId="77777777" w:rsidR="00000000" w:rsidRDefault="001A570A">
            <w:pPr>
              <w:rPr>
                <w:rFonts w:eastAsia="Times New Roman"/>
                <w:sz w:val="20"/>
                <w:szCs w:val="20"/>
              </w:rPr>
            </w:pPr>
          </w:p>
        </w:tc>
        <w:tc>
          <w:tcPr>
            <w:tcW w:w="5" w:type="pct"/>
            <w:vAlign w:val="center"/>
            <w:hideMark/>
          </w:tcPr>
          <w:p w14:paraId="5860F8DB" w14:textId="77777777" w:rsidR="00000000" w:rsidRDefault="001A570A">
            <w:pPr>
              <w:rPr>
                <w:rFonts w:eastAsia="Times New Roman"/>
                <w:sz w:val="20"/>
                <w:szCs w:val="20"/>
              </w:rPr>
            </w:pPr>
          </w:p>
        </w:tc>
        <w:tc>
          <w:tcPr>
            <w:tcW w:w="25" w:type="pct"/>
            <w:vAlign w:val="center"/>
            <w:hideMark/>
          </w:tcPr>
          <w:p w14:paraId="1B37CD11" w14:textId="77777777" w:rsidR="00000000" w:rsidRDefault="001A570A">
            <w:pPr>
              <w:rPr>
                <w:rFonts w:eastAsia="Times New Roman"/>
                <w:sz w:val="20"/>
                <w:szCs w:val="20"/>
              </w:rPr>
            </w:pPr>
          </w:p>
        </w:tc>
        <w:tc>
          <w:tcPr>
            <w:tcW w:w="5" w:type="pct"/>
            <w:vAlign w:val="center"/>
            <w:hideMark/>
          </w:tcPr>
          <w:p w14:paraId="46C2C10B" w14:textId="77777777" w:rsidR="00000000" w:rsidRDefault="001A570A">
            <w:pPr>
              <w:rPr>
                <w:rFonts w:eastAsia="Times New Roman"/>
                <w:sz w:val="20"/>
                <w:szCs w:val="20"/>
              </w:rPr>
            </w:pPr>
          </w:p>
        </w:tc>
        <w:tc>
          <w:tcPr>
            <w:tcW w:w="50" w:type="pct"/>
            <w:vAlign w:val="center"/>
            <w:hideMark/>
          </w:tcPr>
          <w:p w14:paraId="3874A1DB" w14:textId="77777777" w:rsidR="00000000" w:rsidRDefault="001A570A">
            <w:pPr>
              <w:rPr>
                <w:rFonts w:eastAsia="Times New Roman"/>
                <w:sz w:val="20"/>
                <w:szCs w:val="20"/>
              </w:rPr>
            </w:pPr>
          </w:p>
        </w:tc>
        <w:tc>
          <w:tcPr>
            <w:tcW w:w="519" w:type="pct"/>
            <w:vAlign w:val="center"/>
            <w:hideMark/>
          </w:tcPr>
          <w:p w14:paraId="6D7226BF" w14:textId="77777777" w:rsidR="00000000" w:rsidRDefault="001A570A">
            <w:pPr>
              <w:rPr>
                <w:rFonts w:eastAsia="Times New Roman"/>
                <w:sz w:val="20"/>
                <w:szCs w:val="20"/>
              </w:rPr>
            </w:pPr>
          </w:p>
        </w:tc>
        <w:tc>
          <w:tcPr>
            <w:tcW w:w="5" w:type="pct"/>
            <w:vAlign w:val="center"/>
            <w:hideMark/>
          </w:tcPr>
          <w:p w14:paraId="4F456592" w14:textId="77777777" w:rsidR="00000000" w:rsidRDefault="001A570A">
            <w:pPr>
              <w:rPr>
                <w:rFonts w:eastAsia="Times New Roman"/>
                <w:sz w:val="20"/>
                <w:szCs w:val="20"/>
              </w:rPr>
            </w:pPr>
          </w:p>
        </w:tc>
        <w:tc>
          <w:tcPr>
            <w:tcW w:w="0" w:type="auto"/>
            <w:vAlign w:val="center"/>
            <w:hideMark/>
          </w:tcPr>
          <w:p w14:paraId="3456795E" w14:textId="77777777" w:rsidR="00000000" w:rsidRDefault="001A570A">
            <w:pPr>
              <w:rPr>
                <w:rFonts w:eastAsia="Times New Roman"/>
                <w:sz w:val="20"/>
                <w:szCs w:val="20"/>
              </w:rPr>
            </w:pPr>
          </w:p>
        </w:tc>
        <w:tc>
          <w:tcPr>
            <w:tcW w:w="0" w:type="auto"/>
            <w:vAlign w:val="center"/>
            <w:hideMark/>
          </w:tcPr>
          <w:p w14:paraId="747AD121" w14:textId="77777777" w:rsidR="00000000" w:rsidRDefault="001A570A">
            <w:pPr>
              <w:rPr>
                <w:rFonts w:eastAsia="Times New Roman"/>
                <w:sz w:val="20"/>
                <w:szCs w:val="20"/>
              </w:rPr>
            </w:pPr>
          </w:p>
        </w:tc>
        <w:tc>
          <w:tcPr>
            <w:tcW w:w="0" w:type="auto"/>
            <w:gridSpan w:val="3"/>
            <w:vAlign w:val="center"/>
            <w:hideMark/>
          </w:tcPr>
          <w:p w14:paraId="26B5D1DB" w14:textId="77777777" w:rsidR="00000000" w:rsidRDefault="001A570A">
            <w:pPr>
              <w:rPr>
                <w:rFonts w:eastAsia="Times New Roman"/>
                <w:sz w:val="20"/>
                <w:szCs w:val="20"/>
              </w:rPr>
            </w:pPr>
          </w:p>
        </w:tc>
        <w:tc>
          <w:tcPr>
            <w:tcW w:w="0" w:type="auto"/>
            <w:gridSpan w:val="3"/>
            <w:vAlign w:val="center"/>
            <w:hideMark/>
          </w:tcPr>
          <w:p w14:paraId="28408392" w14:textId="77777777" w:rsidR="00000000" w:rsidRDefault="001A570A">
            <w:pPr>
              <w:rPr>
                <w:rFonts w:eastAsia="Times New Roman"/>
                <w:sz w:val="20"/>
                <w:szCs w:val="20"/>
              </w:rPr>
            </w:pPr>
          </w:p>
        </w:tc>
      </w:tr>
      <w:tr w:rsidR="00000000" w14:paraId="1FEDD8AA" w14:textId="77777777">
        <w:trPr>
          <w:divId w:val="1733581559"/>
        </w:trPr>
        <w:tc>
          <w:tcPr>
            <w:tcW w:w="0" w:type="auto"/>
            <w:gridSpan w:val="3"/>
            <w:tcMar>
              <w:top w:w="0" w:type="dxa"/>
              <w:left w:w="20" w:type="dxa"/>
              <w:bottom w:w="0" w:type="dxa"/>
              <w:right w:w="20" w:type="dxa"/>
            </w:tcMar>
            <w:vAlign w:val="center"/>
            <w:hideMark/>
          </w:tcPr>
          <w:p w14:paraId="12B2855C" w14:textId="77777777" w:rsidR="00000000" w:rsidRDefault="001A570A">
            <w:pPr>
              <w:rPr>
                <w:rFonts w:eastAsia="Times New Roman"/>
                <w:sz w:val="20"/>
                <w:szCs w:val="20"/>
              </w:rPr>
            </w:pPr>
          </w:p>
        </w:tc>
        <w:tc>
          <w:tcPr>
            <w:tcW w:w="0" w:type="auto"/>
            <w:gridSpan w:val="9"/>
            <w:tcMar>
              <w:top w:w="30" w:type="dxa"/>
              <w:left w:w="20" w:type="dxa"/>
              <w:bottom w:w="30" w:type="dxa"/>
              <w:right w:w="20" w:type="dxa"/>
            </w:tcMar>
            <w:vAlign w:val="bottom"/>
            <w:hideMark/>
          </w:tcPr>
          <w:p w14:paraId="65B2CD39"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1777E365"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D5B4B71"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626A1F44" w14:textId="77777777" w:rsidR="00000000" w:rsidRDefault="001A570A">
            <w:pPr>
              <w:jc w:val="center"/>
              <w:rPr>
                <w:rFonts w:eastAsia="Times New Roman"/>
              </w:rPr>
            </w:pPr>
          </w:p>
        </w:tc>
        <w:tc>
          <w:tcPr>
            <w:tcW w:w="0" w:type="auto"/>
            <w:vAlign w:val="center"/>
            <w:hideMark/>
          </w:tcPr>
          <w:p w14:paraId="1C3E5F3A" w14:textId="77777777" w:rsidR="00000000" w:rsidRDefault="001A570A">
            <w:pPr>
              <w:rPr>
                <w:rFonts w:eastAsia="Times New Roman"/>
                <w:sz w:val="20"/>
                <w:szCs w:val="20"/>
              </w:rPr>
            </w:pPr>
          </w:p>
        </w:tc>
        <w:tc>
          <w:tcPr>
            <w:tcW w:w="0" w:type="auto"/>
            <w:vAlign w:val="center"/>
            <w:hideMark/>
          </w:tcPr>
          <w:p w14:paraId="1FD800A6" w14:textId="77777777" w:rsidR="00000000" w:rsidRDefault="001A570A">
            <w:pPr>
              <w:rPr>
                <w:rFonts w:eastAsia="Times New Roman"/>
                <w:sz w:val="20"/>
                <w:szCs w:val="20"/>
              </w:rPr>
            </w:pPr>
          </w:p>
        </w:tc>
        <w:tc>
          <w:tcPr>
            <w:tcW w:w="0" w:type="auto"/>
            <w:vAlign w:val="center"/>
            <w:hideMark/>
          </w:tcPr>
          <w:p w14:paraId="3C9DAC35" w14:textId="77777777" w:rsidR="00000000" w:rsidRDefault="001A570A">
            <w:pPr>
              <w:rPr>
                <w:rFonts w:eastAsia="Times New Roman"/>
                <w:sz w:val="20"/>
                <w:szCs w:val="20"/>
              </w:rPr>
            </w:pPr>
          </w:p>
        </w:tc>
        <w:tc>
          <w:tcPr>
            <w:tcW w:w="0" w:type="auto"/>
            <w:vAlign w:val="center"/>
            <w:hideMark/>
          </w:tcPr>
          <w:p w14:paraId="07E4472C" w14:textId="77777777" w:rsidR="00000000" w:rsidRDefault="001A570A">
            <w:pPr>
              <w:rPr>
                <w:rFonts w:eastAsia="Times New Roman"/>
                <w:sz w:val="20"/>
                <w:szCs w:val="20"/>
              </w:rPr>
            </w:pPr>
          </w:p>
        </w:tc>
        <w:tc>
          <w:tcPr>
            <w:tcW w:w="0" w:type="auto"/>
            <w:vAlign w:val="center"/>
            <w:hideMark/>
          </w:tcPr>
          <w:p w14:paraId="5B8B1543" w14:textId="77777777" w:rsidR="00000000" w:rsidRDefault="001A570A">
            <w:pPr>
              <w:rPr>
                <w:rFonts w:eastAsia="Times New Roman"/>
                <w:sz w:val="20"/>
                <w:szCs w:val="20"/>
              </w:rPr>
            </w:pPr>
          </w:p>
        </w:tc>
        <w:tc>
          <w:tcPr>
            <w:tcW w:w="0" w:type="auto"/>
            <w:vAlign w:val="center"/>
            <w:hideMark/>
          </w:tcPr>
          <w:p w14:paraId="01BB809D" w14:textId="77777777" w:rsidR="00000000" w:rsidRDefault="001A570A">
            <w:pPr>
              <w:rPr>
                <w:rFonts w:eastAsia="Times New Roman"/>
                <w:sz w:val="20"/>
                <w:szCs w:val="20"/>
              </w:rPr>
            </w:pPr>
          </w:p>
        </w:tc>
        <w:tc>
          <w:tcPr>
            <w:tcW w:w="0" w:type="auto"/>
            <w:vAlign w:val="center"/>
            <w:hideMark/>
          </w:tcPr>
          <w:p w14:paraId="1141AF46" w14:textId="77777777" w:rsidR="00000000" w:rsidRDefault="001A570A">
            <w:pPr>
              <w:rPr>
                <w:rFonts w:eastAsia="Times New Roman"/>
                <w:sz w:val="20"/>
                <w:szCs w:val="20"/>
              </w:rPr>
            </w:pPr>
          </w:p>
        </w:tc>
      </w:tr>
      <w:tr w:rsidR="00000000" w14:paraId="70D40739" w14:textId="77777777">
        <w:trPr>
          <w:divId w:val="1733581559"/>
        </w:trPr>
        <w:tc>
          <w:tcPr>
            <w:tcW w:w="0" w:type="auto"/>
            <w:gridSpan w:val="3"/>
            <w:tcMar>
              <w:top w:w="30" w:type="dxa"/>
              <w:left w:w="20" w:type="dxa"/>
              <w:bottom w:w="30" w:type="dxa"/>
              <w:right w:w="20" w:type="dxa"/>
            </w:tcMar>
            <w:vAlign w:val="bottom"/>
            <w:hideMark/>
          </w:tcPr>
          <w:p w14:paraId="029DC023"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8E0B20A"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5F1B13B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D0E5A5" w14:textId="77777777" w:rsidR="00000000" w:rsidRDefault="001A570A">
            <w:pPr>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14:paraId="6506B65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D374A"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3D8EE10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5ADC60" w14:textId="77777777" w:rsidR="00000000" w:rsidRDefault="001A570A">
            <w:pPr>
              <w:jc w:val="center"/>
              <w:rPr>
                <w:rFonts w:eastAsia="Times New Roman"/>
              </w:rPr>
            </w:pPr>
            <w:r>
              <w:rPr>
                <w:rFonts w:eastAsia="Times New Roman"/>
                <w:b/>
                <w:bCs/>
                <w:color w:val="000000"/>
                <w:sz w:val="16"/>
                <w:szCs w:val="16"/>
              </w:rPr>
              <w:t>Level 1</w:t>
            </w:r>
          </w:p>
        </w:tc>
        <w:tc>
          <w:tcPr>
            <w:tcW w:w="0" w:type="auto"/>
            <w:vAlign w:val="center"/>
            <w:hideMark/>
          </w:tcPr>
          <w:p w14:paraId="11C50FC4" w14:textId="77777777" w:rsidR="00000000" w:rsidRDefault="001A570A">
            <w:pPr>
              <w:jc w:val="center"/>
              <w:rPr>
                <w:rFonts w:eastAsia="Times New Roman"/>
              </w:rPr>
            </w:pPr>
          </w:p>
        </w:tc>
        <w:tc>
          <w:tcPr>
            <w:tcW w:w="0" w:type="auto"/>
            <w:vAlign w:val="center"/>
            <w:hideMark/>
          </w:tcPr>
          <w:p w14:paraId="4FFA9138" w14:textId="77777777" w:rsidR="00000000" w:rsidRDefault="001A570A">
            <w:pPr>
              <w:rPr>
                <w:rFonts w:eastAsia="Times New Roman"/>
                <w:sz w:val="20"/>
                <w:szCs w:val="20"/>
              </w:rPr>
            </w:pPr>
          </w:p>
        </w:tc>
        <w:tc>
          <w:tcPr>
            <w:tcW w:w="0" w:type="auto"/>
            <w:gridSpan w:val="3"/>
            <w:vAlign w:val="center"/>
            <w:hideMark/>
          </w:tcPr>
          <w:p w14:paraId="5AA1E1F7" w14:textId="77777777" w:rsidR="00000000" w:rsidRDefault="001A570A">
            <w:pPr>
              <w:rPr>
                <w:rFonts w:eastAsia="Times New Roman"/>
                <w:sz w:val="20"/>
                <w:szCs w:val="20"/>
              </w:rPr>
            </w:pPr>
          </w:p>
        </w:tc>
        <w:tc>
          <w:tcPr>
            <w:tcW w:w="0" w:type="auto"/>
            <w:gridSpan w:val="3"/>
            <w:vAlign w:val="center"/>
            <w:hideMark/>
          </w:tcPr>
          <w:p w14:paraId="0F66ABA8" w14:textId="77777777" w:rsidR="00000000" w:rsidRDefault="001A570A">
            <w:pPr>
              <w:rPr>
                <w:rFonts w:eastAsia="Times New Roman"/>
                <w:sz w:val="20"/>
                <w:szCs w:val="20"/>
              </w:rPr>
            </w:pPr>
          </w:p>
        </w:tc>
      </w:tr>
      <w:tr w:rsidR="00000000" w14:paraId="68D57796" w14:textId="77777777">
        <w:trPr>
          <w:divId w:val="1733581559"/>
          <w:trHeight w:val="60"/>
        </w:trPr>
        <w:tc>
          <w:tcPr>
            <w:tcW w:w="0" w:type="auto"/>
            <w:gridSpan w:val="3"/>
            <w:tcMar>
              <w:top w:w="0" w:type="dxa"/>
              <w:left w:w="20" w:type="dxa"/>
              <w:bottom w:w="0" w:type="dxa"/>
              <w:right w:w="20" w:type="dxa"/>
            </w:tcMar>
            <w:vAlign w:val="center"/>
            <w:hideMark/>
          </w:tcPr>
          <w:p w14:paraId="1126029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3DBEC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DCBEDE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7246B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21033E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A4C33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5E2170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9B5A84" w14:textId="77777777" w:rsidR="00000000" w:rsidRDefault="001A570A">
            <w:pPr>
              <w:rPr>
                <w:rFonts w:eastAsia="Times New Roman"/>
                <w:sz w:val="20"/>
                <w:szCs w:val="20"/>
              </w:rPr>
            </w:pPr>
          </w:p>
        </w:tc>
        <w:tc>
          <w:tcPr>
            <w:tcW w:w="0" w:type="auto"/>
            <w:vAlign w:val="center"/>
            <w:hideMark/>
          </w:tcPr>
          <w:p w14:paraId="6BEC390A" w14:textId="77777777" w:rsidR="00000000" w:rsidRDefault="001A570A">
            <w:pPr>
              <w:rPr>
                <w:rFonts w:eastAsia="Times New Roman"/>
                <w:sz w:val="20"/>
                <w:szCs w:val="20"/>
              </w:rPr>
            </w:pPr>
          </w:p>
        </w:tc>
        <w:tc>
          <w:tcPr>
            <w:tcW w:w="0" w:type="auto"/>
            <w:vAlign w:val="center"/>
            <w:hideMark/>
          </w:tcPr>
          <w:p w14:paraId="60553296" w14:textId="77777777" w:rsidR="00000000" w:rsidRDefault="001A570A">
            <w:pPr>
              <w:rPr>
                <w:rFonts w:eastAsia="Times New Roman"/>
                <w:sz w:val="20"/>
                <w:szCs w:val="20"/>
              </w:rPr>
            </w:pPr>
          </w:p>
        </w:tc>
        <w:tc>
          <w:tcPr>
            <w:tcW w:w="0" w:type="auto"/>
            <w:gridSpan w:val="3"/>
            <w:vAlign w:val="center"/>
            <w:hideMark/>
          </w:tcPr>
          <w:p w14:paraId="3F828B5E" w14:textId="77777777" w:rsidR="00000000" w:rsidRDefault="001A570A">
            <w:pPr>
              <w:rPr>
                <w:rFonts w:eastAsia="Times New Roman"/>
                <w:sz w:val="20"/>
                <w:szCs w:val="20"/>
              </w:rPr>
            </w:pPr>
          </w:p>
        </w:tc>
        <w:tc>
          <w:tcPr>
            <w:tcW w:w="0" w:type="auto"/>
            <w:gridSpan w:val="3"/>
            <w:vAlign w:val="center"/>
            <w:hideMark/>
          </w:tcPr>
          <w:p w14:paraId="0E297E0D" w14:textId="77777777" w:rsidR="00000000" w:rsidRDefault="001A570A">
            <w:pPr>
              <w:rPr>
                <w:rFonts w:eastAsia="Times New Roman"/>
                <w:sz w:val="20"/>
                <w:szCs w:val="20"/>
              </w:rPr>
            </w:pPr>
          </w:p>
        </w:tc>
      </w:tr>
      <w:tr w:rsidR="00000000" w14:paraId="7D471A29" w14:textId="77777777">
        <w:trPr>
          <w:divId w:val="1733581559"/>
        </w:trPr>
        <w:tc>
          <w:tcPr>
            <w:tcW w:w="0" w:type="auto"/>
            <w:gridSpan w:val="3"/>
            <w:shd w:val="clear" w:color="auto" w:fill="CCEEFF"/>
            <w:tcMar>
              <w:top w:w="30" w:type="dxa"/>
              <w:left w:w="20" w:type="dxa"/>
              <w:bottom w:w="30" w:type="dxa"/>
              <w:right w:w="20" w:type="dxa"/>
            </w:tcMar>
            <w:hideMark/>
          </w:tcPr>
          <w:p w14:paraId="60599E8A" w14:textId="77777777" w:rsidR="00000000" w:rsidRDefault="001A570A">
            <w:pPr>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6924074C"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8CF6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7A096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C84E0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6520D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AA36A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F1D8E" w14:textId="77777777" w:rsidR="00000000" w:rsidRDefault="001A570A">
            <w:pPr>
              <w:rPr>
                <w:rFonts w:eastAsia="Times New Roman"/>
                <w:sz w:val="20"/>
                <w:szCs w:val="20"/>
              </w:rPr>
            </w:pPr>
          </w:p>
        </w:tc>
        <w:tc>
          <w:tcPr>
            <w:tcW w:w="0" w:type="auto"/>
            <w:vAlign w:val="center"/>
            <w:hideMark/>
          </w:tcPr>
          <w:p w14:paraId="0F1D7A40" w14:textId="77777777" w:rsidR="00000000" w:rsidRDefault="001A570A">
            <w:pPr>
              <w:rPr>
                <w:rFonts w:eastAsia="Times New Roman"/>
                <w:sz w:val="20"/>
                <w:szCs w:val="20"/>
              </w:rPr>
            </w:pPr>
          </w:p>
        </w:tc>
        <w:tc>
          <w:tcPr>
            <w:tcW w:w="0" w:type="auto"/>
            <w:vAlign w:val="center"/>
            <w:hideMark/>
          </w:tcPr>
          <w:p w14:paraId="78E79C6C" w14:textId="77777777" w:rsidR="00000000" w:rsidRDefault="001A570A">
            <w:pPr>
              <w:rPr>
                <w:rFonts w:eastAsia="Times New Roman"/>
                <w:sz w:val="20"/>
                <w:szCs w:val="20"/>
              </w:rPr>
            </w:pPr>
          </w:p>
        </w:tc>
        <w:tc>
          <w:tcPr>
            <w:tcW w:w="0" w:type="auto"/>
            <w:gridSpan w:val="3"/>
            <w:vAlign w:val="center"/>
            <w:hideMark/>
          </w:tcPr>
          <w:p w14:paraId="6868DDC2" w14:textId="77777777" w:rsidR="00000000" w:rsidRDefault="001A570A">
            <w:pPr>
              <w:rPr>
                <w:rFonts w:eastAsia="Times New Roman"/>
                <w:sz w:val="20"/>
                <w:szCs w:val="20"/>
              </w:rPr>
            </w:pPr>
          </w:p>
        </w:tc>
        <w:tc>
          <w:tcPr>
            <w:tcW w:w="0" w:type="auto"/>
            <w:gridSpan w:val="3"/>
            <w:vAlign w:val="center"/>
            <w:hideMark/>
          </w:tcPr>
          <w:p w14:paraId="1A104581" w14:textId="77777777" w:rsidR="00000000" w:rsidRDefault="001A570A">
            <w:pPr>
              <w:rPr>
                <w:rFonts w:eastAsia="Times New Roman"/>
                <w:sz w:val="20"/>
                <w:szCs w:val="20"/>
              </w:rPr>
            </w:pPr>
          </w:p>
        </w:tc>
      </w:tr>
      <w:tr w:rsidR="00000000" w14:paraId="7E4B8103" w14:textId="77777777">
        <w:trPr>
          <w:divId w:val="1733581559"/>
        </w:trPr>
        <w:tc>
          <w:tcPr>
            <w:tcW w:w="0" w:type="auto"/>
            <w:gridSpan w:val="3"/>
            <w:shd w:val="clear" w:color="auto" w:fill="FFFFFF"/>
            <w:tcMar>
              <w:top w:w="30" w:type="dxa"/>
              <w:left w:w="20" w:type="dxa"/>
              <w:bottom w:w="30" w:type="dxa"/>
              <w:right w:w="20" w:type="dxa"/>
            </w:tcMar>
            <w:hideMark/>
          </w:tcPr>
          <w:p w14:paraId="2BC38EDB" w14:textId="77777777" w:rsidR="00000000" w:rsidRDefault="001A570A">
            <w:pPr>
              <w:divId w:val="294912567"/>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84C3A0F"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C046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21AAA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D7EC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162AA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7035A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C6CC17" w14:textId="77777777" w:rsidR="00000000" w:rsidRDefault="001A570A">
            <w:pPr>
              <w:rPr>
                <w:rFonts w:eastAsia="Times New Roman"/>
                <w:sz w:val="20"/>
                <w:szCs w:val="20"/>
              </w:rPr>
            </w:pPr>
          </w:p>
        </w:tc>
        <w:tc>
          <w:tcPr>
            <w:tcW w:w="0" w:type="auto"/>
            <w:vAlign w:val="center"/>
            <w:hideMark/>
          </w:tcPr>
          <w:p w14:paraId="40905D55" w14:textId="77777777" w:rsidR="00000000" w:rsidRDefault="001A570A">
            <w:pPr>
              <w:rPr>
                <w:rFonts w:eastAsia="Times New Roman"/>
                <w:sz w:val="20"/>
                <w:szCs w:val="20"/>
              </w:rPr>
            </w:pPr>
          </w:p>
        </w:tc>
        <w:tc>
          <w:tcPr>
            <w:tcW w:w="0" w:type="auto"/>
            <w:vAlign w:val="center"/>
            <w:hideMark/>
          </w:tcPr>
          <w:p w14:paraId="7D594A96" w14:textId="77777777" w:rsidR="00000000" w:rsidRDefault="001A570A">
            <w:pPr>
              <w:rPr>
                <w:rFonts w:eastAsia="Times New Roman"/>
                <w:sz w:val="20"/>
                <w:szCs w:val="20"/>
              </w:rPr>
            </w:pPr>
          </w:p>
        </w:tc>
        <w:tc>
          <w:tcPr>
            <w:tcW w:w="0" w:type="auto"/>
            <w:gridSpan w:val="3"/>
            <w:vAlign w:val="center"/>
            <w:hideMark/>
          </w:tcPr>
          <w:p w14:paraId="658F4BFC" w14:textId="77777777" w:rsidR="00000000" w:rsidRDefault="001A570A">
            <w:pPr>
              <w:rPr>
                <w:rFonts w:eastAsia="Times New Roman"/>
                <w:sz w:val="20"/>
                <w:szCs w:val="20"/>
              </w:rPr>
            </w:pPr>
          </w:p>
        </w:tc>
        <w:tc>
          <w:tcPr>
            <w:tcW w:w="0" w:type="auto"/>
            <w:gridSpan w:val="3"/>
            <w:vAlign w:val="center"/>
            <w:hideMark/>
          </w:tcPr>
          <w:p w14:paraId="4562E72D" w14:textId="77777777" w:rsidR="00000000" w:rsidRDefault="001A570A">
            <w:pPr>
              <w:rPr>
                <w:rFonts w:eastAsia="Times New Roman"/>
                <w:sz w:val="20"/>
                <w:szCs w:val="20"/>
              </w:rPr>
            </w:pPr>
          </w:p>
        </w:tc>
      </w:tr>
      <w:tr w:rsidR="00000000" w14:paraId="0E2FD71C" w14:textId="77777777">
        <w:trPr>
          <w:divId w:val="1733581559"/>
        </w:trPr>
        <w:tc>
          <w:tcPr>
            <w:tcW w:w="0" w:type="auto"/>
            <w:gridSpan w:val="3"/>
            <w:shd w:val="clear" w:color="auto" w:fill="CCEEFF"/>
            <w:tcMar>
              <w:top w:w="30" w:type="dxa"/>
              <w:left w:w="380" w:type="dxa"/>
              <w:bottom w:w="30" w:type="dxa"/>
              <w:right w:w="20" w:type="dxa"/>
            </w:tcMar>
            <w:hideMark/>
          </w:tcPr>
          <w:p w14:paraId="31A13DDC" w14:textId="77777777" w:rsidR="00000000" w:rsidRDefault="001A570A">
            <w:pPr>
              <w:rPr>
                <w:rFonts w:eastAsia="Times New Roman"/>
              </w:rPr>
            </w:pPr>
            <w:r>
              <w:rPr>
                <w:rFonts w:eastAsia="Times New Roman"/>
                <w:color w:val="000000"/>
                <w:sz w:val="20"/>
                <w:szCs w:val="20"/>
              </w:rPr>
              <w:t>Equity and fixed income securities</w:t>
            </w:r>
          </w:p>
        </w:tc>
        <w:tc>
          <w:tcPr>
            <w:tcW w:w="0" w:type="auto"/>
            <w:shd w:val="clear" w:color="auto" w:fill="CCEEFF"/>
            <w:tcMar>
              <w:top w:w="30" w:type="dxa"/>
              <w:left w:w="20" w:type="dxa"/>
              <w:bottom w:w="30" w:type="dxa"/>
              <w:right w:w="0" w:type="dxa"/>
            </w:tcMar>
            <w:vAlign w:val="bottom"/>
            <w:hideMark/>
          </w:tcPr>
          <w:p w14:paraId="11CEFEC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121587" w14:textId="77777777" w:rsidR="00000000" w:rsidRDefault="001A570A">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49D0BD1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2645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00EAD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3D6C7C" w14:textId="77777777" w:rsidR="00000000" w:rsidRDefault="001A570A">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36777DA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B664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2E7A2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10AF91" w14:textId="77777777" w:rsidR="00000000" w:rsidRDefault="001A570A">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302C042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801A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54CB1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014178" w14:textId="77777777" w:rsidR="00000000" w:rsidRDefault="001A570A">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1239974D" w14:textId="77777777" w:rsidR="00000000" w:rsidRDefault="001A570A">
            <w:pPr>
              <w:jc w:val="right"/>
              <w:rPr>
                <w:rFonts w:eastAsia="Times New Roman"/>
              </w:rPr>
            </w:pPr>
          </w:p>
        </w:tc>
        <w:tc>
          <w:tcPr>
            <w:tcW w:w="0" w:type="auto"/>
            <w:vAlign w:val="center"/>
            <w:hideMark/>
          </w:tcPr>
          <w:p w14:paraId="466E1E71" w14:textId="77777777" w:rsidR="00000000" w:rsidRDefault="001A570A">
            <w:pPr>
              <w:jc w:val="right"/>
              <w:rPr>
                <w:rFonts w:eastAsia="Times New Roman"/>
                <w:sz w:val="20"/>
                <w:szCs w:val="20"/>
              </w:rPr>
            </w:pPr>
          </w:p>
        </w:tc>
        <w:tc>
          <w:tcPr>
            <w:tcW w:w="0" w:type="auto"/>
            <w:vAlign w:val="center"/>
            <w:hideMark/>
          </w:tcPr>
          <w:p w14:paraId="0992BB1B" w14:textId="77777777" w:rsidR="00000000" w:rsidRDefault="001A570A">
            <w:pPr>
              <w:rPr>
                <w:rFonts w:eastAsia="Times New Roman"/>
                <w:sz w:val="20"/>
                <w:szCs w:val="20"/>
              </w:rPr>
            </w:pPr>
          </w:p>
        </w:tc>
        <w:tc>
          <w:tcPr>
            <w:tcW w:w="0" w:type="auto"/>
            <w:gridSpan w:val="3"/>
            <w:vAlign w:val="center"/>
            <w:hideMark/>
          </w:tcPr>
          <w:p w14:paraId="5D20BD6B" w14:textId="77777777" w:rsidR="00000000" w:rsidRDefault="001A570A">
            <w:pPr>
              <w:rPr>
                <w:rFonts w:eastAsia="Times New Roman"/>
                <w:sz w:val="20"/>
                <w:szCs w:val="20"/>
              </w:rPr>
            </w:pPr>
          </w:p>
        </w:tc>
        <w:tc>
          <w:tcPr>
            <w:tcW w:w="0" w:type="auto"/>
            <w:gridSpan w:val="3"/>
            <w:vAlign w:val="center"/>
            <w:hideMark/>
          </w:tcPr>
          <w:p w14:paraId="4C0F9E11" w14:textId="77777777" w:rsidR="00000000" w:rsidRDefault="001A570A">
            <w:pPr>
              <w:rPr>
                <w:rFonts w:eastAsia="Times New Roman"/>
                <w:sz w:val="20"/>
                <w:szCs w:val="20"/>
              </w:rPr>
            </w:pPr>
          </w:p>
        </w:tc>
      </w:tr>
      <w:tr w:rsidR="00000000" w14:paraId="50A61B41" w14:textId="77777777">
        <w:trPr>
          <w:divId w:val="1733581559"/>
        </w:trPr>
        <w:tc>
          <w:tcPr>
            <w:tcW w:w="0" w:type="auto"/>
            <w:gridSpan w:val="3"/>
            <w:shd w:val="clear" w:color="auto" w:fill="FFFFFF"/>
            <w:tcMar>
              <w:top w:w="30" w:type="dxa"/>
              <w:left w:w="380" w:type="dxa"/>
              <w:bottom w:w="30" w:type="dxa"/>
              <w:right w:w="20" w:type="dxa"/>
            </w:tcMar>
            <w:hideMark/>
          </w:tcPr>
          <w:p w14:paraId="5C5BF3FC" w14:textId="77777777" w:rsidR="00000000" w:rsidRDefault="001A570A">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4EABE7D5"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E9B5B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BFC9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4572D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544B7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11E5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564D05" w14:textId="77777777" w:rsidR="00000000" w:rsidRDefault="001A570A">
            <w:pPr>
              <w:rPr>
                <w:rFonts w:eastAsia="Times New Roman"/>
                <w:sz w:val="20"/>
                <w:szCs w:val="20"/>
              </w:rPr>
            </w:pPr>
          </w:p>
        </w:tc>
        <w:tc>
          <w:tcPr>
            <w:tcW w:w="0" w:type="auto"/>
            <w:vAlign w:val="center"/>
            <w:hideMark/>
          </w:tcPr>
          <w:p w14:paraId="62D588FD" w14:textId="77777777" w:rsidR="00000000" w:rsidRDefault="001A570A">
            <w:pPr>
              <w:rPr>
                <w:rFonts w:eastAsia="Times New Roman"/>
                <w:sz w:val="20"/>
                <w:szCs w:val="20"/>
              </w:rPr>
            </w:pPr>
          </w:p>
        </w:tc>
        <w:tc>
          <w:tcPr>
            <w:tcW w:w="0" w:type="auto"/>
            <w:vAlign w:val="center"/>
            <w:hideMark/>
          </w:tcPr>
          <w:p w14:paraId="34F53963" w14:textId="77777777" w:rsidR="00000000" w:rsidRDefault="001A570A">
            <w:pPr>
              <w:rPr>
                <w:rFonts w:eastAsia="Times New Roman"/>
                <w:sz w:val="20"/>
                <w:szCs w:val="20"/>
              </w:rPr>
            </w:pPr>
          </w:p>
        </w:tc>
        <w:tc>
          <w:tcPr>
            <w:tcW w:w="0" w:type="auto"/>
            <w:gridSpan w:val="3"/>
            <w:vAlign w:val="center"/>
            <w:hideMark/>
          </w:tcPr>
          <w:p w14:paraId="3EA75EE3" w14:textId="77777777" w:rsidR="00000000" w:rsidRDefault="001A570A">
            <w:pPr>
              <w:rPr>
                <w:rFonts w:eastAsia="Times New Roman"/>
                <w:sz w:val="20"/>
                <w:szCs w:val="20"/>
              </w:rPr>
            </w:pPr>
          </w:p>
        </w:tc>
        <w:tc>
          <w:tcPr>
            <w:tcW w:w="0" w:type="auto"/>
            <w:gridSpan w:val="3"/>
            <w:vAlign w:val="center"/>
            <w:hideMark/>
          </w:tcPr>
          <w:p w14:paraId="35EFEEBA" w14:textId="77777777" w:rsidR="00000000" w:rsidRDefault="001A570A">
            <w:pPr>
              <w:rPr>
                <w:rFonts w:eastAsia="Times New Roman"/>
                <w:sz w:val="20"/>
                <w:szCs w:val="20"/>
              </w:rPr>
            </w:pPr>
          </w:p>
        </w:tc>
      </w:tr>
      <w:tr w:rsidR="00000000" w14:paraId="2FD7B454" w14:textId="77777777">
        <w:trPr>
          <w:divId w:val="1733581559"/>
        </w:trPr>
        <w:tc>
          <w:tcPr>
            <w:tcW w:w="0" w:type="auto"/>
            <w:gridSpan w:val="3"/>
            <w:vAlign w:val="center"/>
            <w:hideMark/>
          </w:tcPr>
          <w:p w14:paraId="0F70639C" w14:textId="77777777" w:rsidR="00000000" w:rsidRDefault="001A570A">
            <w:pPr>
              <w:rPr>
                <w:rFonts w:eastAsia="Times New Roman"/>
                <w:sz w:val="20"/>
                <w:szCs w:val="20"/>
              </w:rPr>
            </w:pPr>
          </w:p>
        </w:tc>
        <w:tc>
          <w:tcPr>
            <w:tcW w:w="0" w:type="auto"/>
            <w:gridSpan w:val="3"/>
            <w:vAlign w:val="center"/>
            <w:hideMark/>
          </w:tcPr>
          <w:p w14:paraId="65AA06BA" w14:textId="77777777" w:rsidR="00000000" w:rsidRDefault="001A570A">
            <w:pPr>
              <w:rPr>
                <w:rFonts w:eastAsia="Times New Roman"/>
                <w:sz w:val="20"/>
                <w:szCs w:val="20"/>
              </w:rPr>
            </w:pPr>
          </w:p>
        </w:tc>
        <w:tc>
          <w:tcPr>
            <w:tcW w:w="0" w:type="auto"/>
            <w:gridSpan w:val="3"/>
            <w:vAlign w:val="center"/>
            <w:hideMark/>
          </w:tcPr>
          <w:p w14:paraId="46D0EA1B" w14:textId="77777777" w:rsidR="00000000" w:rsidRDefault="001A570A">
            <w:pPr>
              <w:rPr>
                <w:rFonts w:eastAsia="Times New Roman"/>
                <w:sz w:val="20"/>
                <w:szCs w:val="20"/>
              </w:rPr>
            </w:pPr>
          </w:p>
        </w:tc>
        <w:tc>
          <w:tcPr>
            <w:tcW w:w="0" w:type="auto"/>
            <w:gridSpan w:val="3"/>
            <w:vAlign w:val="center"/>
            <w:hideMark/>
          </w:tcPr>
          <w:p w14:paraId="57B1F429" w14:textId="77777777" w:rsidR="00000000" w:rsidRDefault="001A570A">
            <w:pPr>
              <w:rPr>
                <w:rFonts w:eastAsia="Times New Roman"/>
                <w:sz w:val="20"/>
                <w:szCs w:val="20"/>
              </w:rPr>
            </w:pPr>
          </w:p>
        </w:tc>
        <w:tc>
          <w:tcPr>
            <w:tcW w:w="0" w:type="auto"/>
            <w:gridSpan w:val="3"/>
            <w:vAlign w:val="center"/>
            <w:hideMark/>
          </w:tcPr>
          <w:p w14:paraId="60F0A761" w14:textId="77777777" w:rsidR="00000000" w:rsidRDefault="001A570A">
            <w:pPr>
              <w:rPr>
                <w:rFonts w:eastAsia="Times New Roman"/>
                <w:sz w:val="20"/>
                <w:szCs w:val="20"/>
              </w:rPr>
            </w:pPr>
          </w:p>
        </w:tc>
        <w:tc>
          <w:tcPr>
            <w:tcW w:w="0" w:type="auto"/>
            <w:gridSpan w:val="3"/>
            <w:vAlign w:val="center"/>
            <w:hideMark/>
          </w:tcPr>
          <w:p w14:paraId="0B520FF4" w14:textId="77777777" w:rsidR="00000000" w:rsidRDefault="001A570A">
            <w:pPr>
              <w:rPr>
                <w:rFonts w:eastAsia="Times New Roman"/>
                <w:sz w:val="20"/>
                <w:szCs w:val="20"/>
              </w:rPr>
            </w:pPr>
          </w:p>
        </w:tc>
        <w:tc>
          <w:tcPr>
            <w:tcW w:w="0" w:type="auto"/>
            <w:gridSpan w:val="3"/>
            <w:vAlign w:val="center"/>
            <w:hideMark/>
          </w:tcPr>
          <w:p w14:paraId="663AC3B4" w14:textId="77777777" w:rsidR="00000000" w:rsidRDefault="001A570A">
            <w:pPr>
              <w:rPr>
                <w:rFonts w:eastAsia="Times New Roman"/>
                <w:sz w:val="20"/>
                <w:szCs w:val="20"/>
              </w:rPr>
            </w:pPr>
          </w:p>
        </w:tc>
        <w:tc>
          <w:tcPr>
            <w:tcW w:w="0" w:type="auto"/>
            <w:gridSpan w:val="3"/>
            <w:vAlign w:val="center"/>
            <w:hideMark/>
          </w:tcPr>
          <w:p w14:paraId="7772B5D7" w14:textId="77777777" w:rsidR="00000000" w:rsidRDefault="001A570A">
            <w:pPr>
              <w:rPr>
                <w:rFonts w:eastAsia="Times New Roman"/>
                <w:sz w:val="20"/>
                <w:szCs w:val="20"/>
              </w:rPr>
            </w:pPr>
          </w:p>
        </w:tc>
        <w:tc>
          <w:tcPr>
            <w:tcW w:w="0" w:type="auto"/>
            <w:vAlign w:val="center"/>
            <w:hideMark/>
          </w:tcPr>
          <w:p w14:paraId="06B6F710" w14:textId="77777777" w:rsidR="00000000" w:rsidRDefault="001A570A">
            <w:pPr>
              <w:rPr>
                <w:rFonts w:eastAsia="Times New Roman"/>
                <w:sz w:val="20"/>
                <w:szCs w:val="20"/>
              </w:rPr>
            </w:pPr>
          </w:p>
        </w:tc>
        <w:tc>
          <w:tcPr>
            <w:tcW w:w="0" w:type="auto"/>
            <w:vAlign w:val="center"/>
            <w:hideMark/>
          </w:tcPr>
          <w:p w14:paraId="3430E154" w14:textId="77777777" w:rsidR="00000000" w:rsidRDefault="001A570A">
            <w:pPr>
              <w:rPr>
                <w:rFonts w:eastAsia="Times New Roman"/>
                <w:sz w:val="20"/>
                <w:szCs w:val="20"/>
              </w:rPr>
            </w:pPr>
          </w:p>
        </w:tc>
        <w:tc>
          <w:tcPr>
            <w:tcW w:w="0" w:type="auto"/>
            <w:gridSpan w:val="3"/>
            <w:vAlign w:val="center"/>
            <w:hideMark/>
          </w:tcPr>
          <w:p w14:paraId="5241160D" w14:textId="77777777" w:rsidR="00000000" w:rsidRDefault="001A570A">
            <w:pPr>
              <w:rPr>
                <w:rFonts w:eastAsia="Times New Roman"/>
                <w:sz w:val="20"/>
                <w:szCs w:val="20"/>
              </w:rPr>
            </w:pPr>
          </w:p>
        </w:tc>
        <w:tc>
          <w:tcPr>
            <w:tcW w:w="0" w:type="auto"/>
            <w:gridSpan w:val="3"/>
            <w:vAlign w:val="center"/>
            <w:hideMark/>
          </w:tcPr>
          <w:p w14:paraId="25F7D5F4" w14:textId="77777777" w:rsidR="00000000" w:rsidRDefault="001A570A">
            <w:pPr>
              <w:rPr>
                <w:rFonts w:eastAsia="Times New Roman"/>
                <w:sz w:val="20"/>
                <w:szCs w:val="20"/>
              </w:rPr>
            </w:pPr>
          </w:p>
        </w:tc>
      </w:tr>
      <w:tr w:rsidR="00000000" w14:paraId="208E3403" w14:textId="77777777">
        <w:trPr>
          <w:divId w:val="1733581559"/>
        </w:trPr>
        <w:tc>
          <w:tcPr>
            <w:tcW w:w="0" w:type="auto"/>
            <w:gridSpan w:val="3"/>
            <w:shd w:val="clear" w:color="auto" w:fill="CCEEFF"/>
            <w:tcMar>
              <w:top w:w="30" w:type="dxa"/>
              <w:left w:w="635" w:type="dxa"/>
              <w:bottom w:w="30" w:type="dxa"/>
              <w:right w:w="20" w:type="dxa"/>
            </w:tcMar>
            <w:hideMark/>
          </w:tcPr>
          <w:p w14:paraId="012DC752" w14:textId="77777777" w:rsidR="00000000" w:rsidRDefault="001A570A">
            <w:pPr>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14:paraId="54444F3B"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5BA07E5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C0190"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74B40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A30CD" w14:textId="77777777" w:rsidR="00000000" w:rsidRDefault="001A570A">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9F0948" w14:textId="77777777" w:rsidR="00000000" w:rsidRDefault="001A570A">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4933DCB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6E584"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FEA05" w14:textId="77777777" w:rsidR="00000000" w:rsidRDefault="001A570A">
            <w:pPr>
              <w:rPr>
                <w:rFonts w:eastAsia="Times New Roman"/>
                <w:sz w:val="20"/>
                <w:szCs w:val="20"/>
              </w:rPr>
            </w:pPr>
          </w:p>
        </w:tc>
        <w:tc>
          <w:tcPr>
            <w:tcW w:w="0" w:type="auto"/>
            <w:vAlign w:val="center"/>
            <w:hideMark/>
          </w:tcPr>
          <w:p w14:paraId="33819F54" w14:textId="77777777" w:rsidR="00000000" w:rsidRDefault="001A570A">
            <w:pPr>
              <w:rPr>
                <w:rFonts w:eastAsia="Times New Roman"/>
                <w:sz w:val="20"/>
                <w:szCs w:val="20"/>
              </w:rPr>
            </w:pPr>
          </w:p>
        </w:tc>
        <w:tc>
          <w:tcPr>
            <w:tcW w:w="0" w:type="auto"/>
            <w:vAlign w:val="center"/>
            <w:hideMark/>
          </w:tcPr>
          <w:p w14:paraId="0ECA275F" w14:textId="77777777" w:rsidR="00000000" w:rsidRDefault="001A570A">
            <w:pPr>
              <w:rPr>
                <w:rFonts w:eastAsia="Times New Roman"/>
                <w:sz w:val="20"/>
                <w:szCs w:val="20"/>
              </w:rPr>
            </w:pPr>
          </w:p>
        </w:tc>
        <w:tc>
          <w:tcPr>
            <w:tcW w:w="0" w:type="auto"/>
            <w:gridSpan w:val="3"/>
            <w:vAlign w:val="center"/>
            <w:hideMark/>
          </w:tcPr>
          <w:p w14:paraId="7C55106B" w14:textId="77777777" w:rsidR="00000000" w:rsidRDefault="001A570A">
            <w:pPr>
              <w:rPr>
                <w:rFonts w:eastAsia="Times New Roman"/>
                <w:sz w:val="20"/>
                <w:szCs w:val="20"/>
              </w:rPr>
            </w:pPr>
          </w:p>
        </w:tc>
        <w:tc>
          <w:tcPr>
            <w:tcW w:w="0" w:type="auto"/>
            <w:gridSpan w:val="3"/>
            <w:vAlign w:val="center"/>
            <w:hideMark/>
          </w:tcPr>
          <w:p w14:paraId="6663DFD1" w14:textId="77777777" w:rsidR="00000000" w:rsidRDefault="001A570A">
            <w:pPr>
              <w:rPr>
                <w:rFonts w:eastAsia="Times New Roman"/>
                <w:sz w:val="20"/>
                <w:szCs w:val="20"/>
              </w:rPr>
            </w:pPr>
          </w:p>
        </w:tc>
      </w:tr>
      <w:tr w:rsidR="00000000" w14:paraId="585A648C" w14:textId="77777777">
        <w:trPr>
          <w:divId w:val="1733581559"/>
        </w:trPr>
        <w:tc>
          <w:tcPr>
            <w:tcW w:w="0" w:type="auto"/>
            <w:gridSpan w:val="3"/>
            <w:vAlign w:val="center"/>
            <w:hideMark/>
          </w:tcPr>
          <w:p w14:paraId="0A6E1DD3" w14:textId="77777777" w:rsidR="00000000" w:rsidRDefault="001A570A">
            <w:pPr>
              <w:rPr>
                <w:rFonts w:eastAsia="Times New Roman"/>
                <w:sz w:val="20"/>
                <w:szCs w:val="20"/>
              </w:rPr>
            </w:pPr>
          </w:p>
        </w:tc>
        <w:tc>
          <w:tcPr>
            <w:tcW w:w="0" w:type="auto"/>
            <w:gridSpan w:val="3"/>
            <w:vAlign w:val="center"/>
            <w:hideMark/>
          </w:tcPr>
          <w:p w14:paraId="3D7AED1D" w14:textId="77777777" w:rsidR="00000000" w:rsidRDefault="001A570A">
            <w:pPr>
              <w:rPr>
                <w:rFonts w:eastAsia="Times New Roman"/>
                <w:sz w:val="20"/>
                <w:szCs w:val="20"/>
              </w:rPr>
            </w:pPr>
          </w:p>
        </w:tc>
        <w:tc>
          <w:tcPr>
            <w:tcW w:w="0" w:type="auto"/>
            <w:gridSpan w:val="3"/>
            <w:vAlign w:val="center"/>
            <w:hideMark/>
          </w:tcPr>
          <w:p w14:paraId="2FE733A0" w14:textId="77777777" w:rsidR="00000000" w:rsidRDefault="001A570A">
            <w:pPr>
              <w:rPr>
                <w:rFonts w:eastAsia="Times New Roman"/>
                <w:sz w:val="20"/>
                <w:szCs w:val="20"/>
              </w:rPr>
            </w:pPr>
          </w:p>
        </w:tc>
        <w:tc>
          <w:tcPr>
            <w:tcW w:w="0" w:type="auto"/>
            <w:gridSpan w:val="3"/>
            <w:vAlign w:val="center"/>
            <w:hideMark/>
          </w:tcPr>
          <w:p w14:paraId="53B43C8B" w14:textId="77777777" w:rsidR="00000000" w:rsidRDefault="001A570A">
            <w:pPr>
              <w:rPr>
                <w:rFonts w:eastAsia="Times New Roman"/>
                <w:sz w:val="20"/>
                <w:szCs w:val="20"/>
              </w:rPr>
            </w:pPr>
          </w:p>
        </w:tc>
        <w:tc>
          <w:tcPr>
            <w:tcW w:w="0" w:type="auto"/>
            <w:gridSpan w:val="3"/>
            <w:vAlign w:val="center"/>
            <w:hideMark/>
          </w:tcPr>
          <w:p w14:paraId="44837BE9" w14:textId="77777777" w:rsidR="00000000" w:rsidRDefault="001A570A">
            <w:pPr>
              <w:rPr>
                <w:rFonts w:eastAsia="Times New Roman"/>
                <w:sz w:val="20"/>
                <w:szCs w:val="20"/>
              </w:rPr>
            </w:pPr>
          </w:p>
        </w:tc>
        <w:tc>
          <w:tcPr>
            <w:tcW w:w="0" w:type="auto"/>
            <w:gridSpan w:val="3"/>
            <w:vAlign w:val="center"/>
            <w:hideMark/>
          </w:tcPr>
          <w:p w14:paraId="03356434" w14:textId="77777777" w:rsidR="00000000" w:rsidRDefault="001A570A">
            <w:pPr>
              <w:rPr>
                <w:rFonts w:eastAsia="Times New Roman"/>
                <w:sz w:val="20"/>
                <w:szCs w:val="20"/>
              </w:rPr>
            </w:pPr>
          </w:p>
        </w:tc>
        <w:tc>
          <w:tcPr>
            <w:tcW w:w="0" w:type="auto"/>
            <w:gridSpan w:val="3"/>
            <w:vAlign w:val="center"/>
            <w:hideMark/>
          </w:tcPr>
          <w:p w14:paraId="3251C81A" w14:textId="77777777" w:rsidR="00000000" w:rsidRDefault="001A570A">
            <w:pPr>
              <w:rPr>
                <w:rFonts w:eastAsia="Times New Roman"/>
                <w:sz w:val="20"/>
                <w:szCs w:val="20"/>
              </w:rPr>
            </w:pPr>
          </w:p>
        </w:tc>
        <w:tc>
          <w:tcPr>
            <w:tcW w:w="0" w:type="auto"/>
            <w:gridSpan w:val="3"/>
            <w:vAlign w:val="center"/>
            <w:hideMark/>
          </w:tcPr>
          <w:p w14:paraId="0676638B" w14:textId="77777777" w:rsidR="00000000" w:rsidRDefault="001A570A">
            <w:pPr>
              <w:rPr>
                <w:rFonts w:eastAsia="Times New Roman"/>
                <w:sz w:val="20"/>
                <w:szCs w:val="20"/>
              </w:rPr>
            </w:pPr>
          </w:p>
        </w:tc>
        <w:tc>
          <w:tcPr>
            <w:tcW w:w="0" w:type="auto"/>
            <w:vAlign w:val="center"/>
            <w:hideMark/>
          </w:tcPr>
          <w:p w14:paraId="06D58AAA" w14:textId="77777777" w:rsidR="00000000" w:rsidRDefault="001A570A">
            <w:pPr>
              <w:rPr>
                <w:rFonts w:eastAsia="Times New Roman"/>
                <w:sz w:val="20"/>
                <w:szCs w:val="20"/>
              </w:rPr>
            </w:pPr>
          </w:p>
        </w:tc>
        <w:tc>
          <w:tcPr>
            <w:tcW w:w="0" w:type="auto"/>
            <w:vAlign w:val="center"/>
            <w:hideMark/>
          </w:tcPr>
          <w:p w14:paraId="493553F4" w14:textId="77777777" w:rsidR="00000000" w:rsidRDefault="001A570A">
            <w:pPr>
              <w:rPr>
                <w:rFonts w:eastAsia="Times New Roman"/>
                <w:sz w:val="20"/>
                <w:szCs w:val="20"/>
              </w:rPr>
            </w:pPr>
          </w:p>
        </w:tc>
        <w:tc>
          <w:tcPr>
            <w:tcW w:w="0" w:type="auto"/>
            <w:gridSpan w:val="3"/>
            <w:vAlign w:val="center"/>
            <w:hideMark/>
          </w:tcPr>
          <w:p w14:paraId="1DE29A53" w14:textId="77777777" w:rsidR="00000000" w:rsidRDefault="001A570A">
            <w:pPr>
              <w:rPr>
                <w:rFonts w:eastAsia="Times New Roman"/>
                <w:sz w:val="20"/>
                <w:szCs w:val="20"/>
              </w:rPr>
            </w:pPr>
          </w:p>
        </w:tc>
        <w:tc>
          <w:tcPr>
            <w:tcW w:w="0" w:type="auto"/>
            <w:gridSpan w:val="3"/>
            <w:vAlign w:val="center"/>
            <w:hideMark/>
          </w:tcPr>
          <w:p w14:paraId="19471E19" w14:textId="77777777" w:rsidR="00000000" w:rsidRDefault="001A570A">
            <w:pPr>
              <w:rPr>
                <w:rFonts w:eastAsia="Times New Roman"/>
                <w:sz w:val="20"/>
                <w:szCs w:val="20"/>
              </w:rPr>
            </w:pPr>
          </w:p>
        </w:tc>
      </w:tr>
      <w:tr w:rsidR="00000000" w14:paraId="1A7AD168" w14:textId="77777777">
        <w:trPr>
          <w:divId w:val="1733581559"/>
        </w:trPr>
        <w:tc>
          <w:tcPr>
            <w:tcW w:w="0" w:type="auto"/>
            <w:gridSpan w:val="3"/>
            <w:shd w:val="clear" w:color="auto" w:fill="FFFFFF"/>
            <w:tcMar>
              <w:top w:w="30" w:type="dxa"/>
              <w:left w:w="185" w:type="dxa"/>
              <w:bottom w:w="30" w:type="dxa"/>
              <w:right w:w="20" w:type="dxa"/>
            </w:tcMar>
            <w:hideMark/>
          </w:tcPr>
          <w:p w14:paraId="1ED022EE" w14:textId="77777777" w:rsidR="00000000" w:rsidRDefault="001A570A">
            <w:pPr>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D8D6A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AFCED5" w14:textId="77777777" w:rsidR="00000000" w:rsidRDefault="001A570A">
            <w:pPr>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9EBF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4C66C"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DCF6E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F9B14D"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138A3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AA8FD6" w14:textId="77777777" w:rsidR="00000000" w:rsidRDefault="001A570A">
            <w:pPr>
              <w:jc w:val="right"/>
              <w:rPr>
                <w:rFonts w:eastAsia="Times New Roman"/>
              </w:rPr>
            </w:pPr>
            <w:r>
              <w:rPr>
                <w:rFonts w:eastAsia="Times New Roman"/>
                <w:color w:val="000000"/>
                <w:sz w:val="20"/>
                <w:szCs w:val="20"/>
              </w:rPr>
              <w:t>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5CEA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CD73C"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A157A" w14:textId="77777777" w:rsidR="00000000" w:rsidRDefault="001A570A">
            <w:pPr>
              <w:rPr>
                <w:rFonts w:eastAsia="Times New Roman"/>
                <w:sz w:val="20"/>
                <w:szCs w:val="20"/>
              </w:rPr>
            </w:pPr>
          </w:p>
        </w:tc>
        <w:tc>
          <w:tcPr>
            <w:tcW w:w="0" w:type="auto"/>
            <w:vAlign w:val="center"/>
            <w:hideMark/>
          </w:tcPr>
          <w:p w14:paraId="0D16CCC1" w14:textId="77777777" w:rsidR="00000000" w:rsidRDefault="001A570A">
            <w:pPr>
              <w:rPr>
                <w:rFonts w:eastAsia="Times New Roman"/>
                <w:sz w:val="20"/>
                <w:szCs w:val="20"/>
              </w:rPr>
            </w:pPr>
          </w:p>
        </w:tc>
        <w:tc>
          <w:tcPr>
            <w:tcW w:w="0" w:type="auto"/>
            <w:vAlign w:val="center"/>
            <w:hideMark/>
          </w:tcPr>
          <w:p w14:paraId="3EB9BD03" w14:textId="77777777" w:rsidR="00000000" w:rsidRDefault="001A570A">
            <w:pPr>
              <w:rPr>
                <w:rFonts w:eastAsia="Times New Roman"/>
                <w:sz w:val="20"/>
                <w:szCs w:val="20"/>
              </w:rPr>
            </w:pPr>
          </w:p>
        </w:tc>
        <w:tc>
          <w:tcPr>
            <w:tcW w:w="0" w:type="auto"/>
            <w:gridSpan w:val="3"/>
            <w:vAlign w:val="center"/>
            <w:hideMark/>
          </w:tcPr>
          <w:p w14:paraId="7694FF11" w14:textId="77777777" w:rsidR="00000000" w:rsidRDefault="001A570A">
            <w:pPr>
              <w:rPr>
                <w:rFonts w:eastAsia="Times New Roman"/>
                <w:sz w:val="20"/>
                <w:szCs w:val="20"/>
              </w:rPr>
            </w:pPr>
          </w:p>
        </w:tc>
        <w:tc>
          <w:tcPr>
            <w:tcW w:w="0" w:type="auto"/>
            <w:gridSpan w:val="3"/>
            <w:vAlign w:val="center"/>
            <w:hideMark/>
          </w:tcPr>
          <w:p w14:paraId="4D0A2D5B" w14:textId="77777777" w:rsidR="00000000" w:rsidRDefault="001A570A">
            <w:pPr>
              <w:rPr>
                <w:rFonts w:eastAsia="Times New Roman"/>
                <w:sz w:val="20"/>
                <w:szCs w:val="20"/>
              </w:rPr>
            </w:pPr>
          </w:p>
        </w:tc>
      </w:tr>
      <w:tr w:rsidR="00000000" w14:paraId="1C358E08" w14:textId="77777777">
        <w:trPr>
          <w:divId w:val="1733581559"/>
          <w:trHeight w:val="300"/>
        </w:trPr>
        <w:tc>
          <w:tcPr>
            <w:tcW w:w="0" w:type="auto"/>
            <w:gridSpan w:val="3"/>
            <w:shd w:val="clear" w:color="auto" w:fill="CCEEFF"/>
            <w:tcMar>
              <w:top w:w="0" w:type="dxa"/>
              <w:left w:w="20" w:type="dxa"/>
              <w:bottom w:w="0" w:type="dxa"/>
              <w:right w:w="20" w:type="dxa"/>
            </w:tcMar>
            <w:vAlign w:val="center"/>
            <w:hideMark/>
          </w:tcPr>
          <w:p w14:paraId="74C031FC"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4A7B0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E4D0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BCDF3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B9E70"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8A12A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FA034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5BC11D" w14:textId="77777777" w:rsidR="00000000" w:rsidRDefault="001A570A">
            <w:pPr>
              <w:rPr>
                <w:rFonts w:eastAsia="Times New Roman"/>
                <w:sz w:val="20"/>
                <w:szCs w:val="20"/>
              </w:rPr>
            </w:pPr>
          </w:p>
        </w:tc>
        <w:tc>
          <w:tcPr>
            <w:tcW w:w="0" w:type="auto"/>
            <w:vAlign w:val="center"/>
            <w:hideMark/>
          </w:tcPr>
          <w:p w14:paraId="720C299C" w14:textId="77777777" w:rsidR="00000000" w:rsidRDefault="001A570A">
            <w:pPr>
              <w:rPr>
                <w:rFonts w:eastAsia="Times New Roman"/>
                <w:sz w:val="20"/>
                <w:szCs w:val="20"/>
              </w:rPr>
            </w:pPr>
          </w:p>
        </w:tc>
        <w:tc>
          <w:tcPr>
            <w:tcW w:w="0" w:type="auto"/>
            <w:vAlign w:val="center"/>
            <w:hideMark/>
          </w:tcPr>
          <w:p w14:paraId="57A528BA" w14:textId="77777777" w:rsidR="00000000" w:rsidRDefault="001A570A">
            <w:pPr>
              <w:rPr>
                <w:rFonts w:eastAsia="Times New Roman"/>
                <w:sz w:val="20"/>
                <w:szCs w:val="20"/>
              </w:rPr>
            </w:pPr>
          </w:p>
        </w:tc>
        <w:tc>
          <w:tcPr>
            <w:tcW w:w="0" w:type="auto"/>
            <w:gridSpan w:val="3"/>
            <w:vAlign w:val="center"/>
            <w:hideMark/>
          </w:tcPr>
          <w:p w14:paraId="76184680" w14:textId="77777777" w:rsidR="00000000" w:rsidRDefault="001A570A">
            <w:pPr>
              <w:rPr>
                <w:rFonts w:eastAsia="Times New Roman"/>
                <w:sz w:val="20"/>
                <w:szCs w:val="20"/>
              </w:rPr>
            </w:pPr>
          </w:p>
        </w:tc>
        <w:tc>
          <w:tcPr>
            <w:tcW w:w="0" w:type="auto"/>
            <w:gridSpan w:val="3"/>
            <w:vAlign w:val="center"/>
            <w:hideMark/>
          </w:tcPr>
          <w:p w14:paraId="1C55A206" w14:textId="77777777" w:rsidR="00000000" w:rsidRDefault="001A570A">
            <w:pPr>
              <w:rPr>
                <w:rFonts w:eastAsia="Times New Roman"/>
                <w:sz w:val="20"/>
                <w:szCs w:val="20"/>
              </w:rPr>
            </w:pPr>
          </w:p>
        </w:tc>
      </w:tr>
      <w:tr w:rsidR="00000000" w14:paraId="32293349" w14:textId="77777777">
        <w:trPr>
          <w:divId w:val="1733581559"/>
        </w:trPr>
        <w:tc>
          <w:tcPr>
            <w:tcW w:w="0" w:type="auto"/>
            <w:gridSpan w:val="3"/>
            <w:shd w:val="clear" w:color="auto" w:fill="FFFFFF"/>
            <w:tcMar>
              <w:top w:w="30" w:type="dxa"/>
              <w:left w:w="20" w:type="dxa"/>
              <w:bottom w:w="30" w:type="dxa"/>
              <w:right w:w="20" w:type="dxa"/>
            </w:tcMar>
            <w:hideMark/>
          </w:tcPr>
          <w:p w14:paraId="4D96982E" w14:textId="77777777" w:rsidR="00000000" w:rsidRDefault="001A570A">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14:paraId="2558FD4C"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A054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874B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93669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D40A0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1471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239EA" w14:textId="77777777" w:rsidR="00000000" w:rsidRDefault="001A570A">
            <w:pPr>
              <w:rPr>
                <w:rFonts w:eastAsia="Times New Roman"/>
                <w:sz w:val="20"/>
                <w:szCs w:val="20"/>
              </w:rPr>
            </w:pPr>
          </w:p>
        </w:tc>
        <w:tc>
          <w:tcPr>
            <w:tcW w:w="0" w:type="auto"/>
            <w:vAlign w:val="center"/>
            <w:hideMark/>
          </w:tcPr>
          <w:p w14:paraId="1D54B50E" w14:textId="77777777" w:rsidR="00000000" w:rsidRDefault="001A570A">
            <w:pPr>
              <w:rPr>
                <w:rFonts w:eastAsia="Times New Roman"/>
                <w:sz w:val="20"/>
                <w:szCs w:val="20"/>
              </w:rPr>
            </w:pPr>
          </w:p>
        </w:tc>
        <w:tc>
          <w:tcPr>
            <w:tcW w:w="0" w:type="auto"/>
            <w:vAlign w:val="center"/>
            <w:hideMark/>
          </w:tcPr>
          <w:p w14:paraId="55B294E7" w14:textId="77777777" w:rsidR="00000000" w:rsidRDefault="001A570A">
            <w:pPr>
              <w:rPr>
                <w:rFonts w:eastAsia="Times New Roman"/>
                <w:sz w:val="20"/>
                <w:szCs w:val="20"/>
              </w:rPr>
            </w:pPr>
          </w:p>
        </w:tc>
        <w:tc>
          <w:tcPr>
            <w:tcW w:w="0" w:type="auto"/>
            <w:gridSpan w:val="3"/>
            <w:vAlign w:val="center"/>
            <w:hideMark/>
          </w:tcPr>
          <w:p w14:paraId="3F075250" w14:textId="77777777" w:rsidR="00000000" w:rsidRDefault="001A570A">
            <w:pPr>
              <w:rPr>
                <w:rFonts w:eastAsia="Times New Roman"/>
                <w:sz w:val="20"/>
                <w:szCs w:val="20"/>
              </w:rPr>
            </w:pPr>
          </w:p>
        </w:tc>
        <w:tc>
          <w:tcPr>
            <w:tcW w:w="0" w:type="auto"/>
            <w:gridSpan w:val="3"/>
            <w:vAlign w:val="center"/>
            <w:hideMark/>
          </w:tcPr>
          <w:p w14:paraId="16ED8C39" w14:textId="77777777" w:rsidR="00000000" w:rsidRDefault="001A570A">
            <w:pPr>
              <w:rPr>
                <w:rFonts w:eastAsia="Times New Roman"/>
                <w:sz w:val="20"/>
                <w:szCs w:val="20"/>
              </w:rPr>
            </w:pPr>
          </w:p>
        </w:tc>
      </w:tr>
      <w:tr w:rsidR="00000000" w14:paraId="27B22F27" w14:textId="77777777">
        <w:trPr>
          <w:divId w:val="1733581559"/>
        </w:trPr>
        <w:tc>
          <w:tcPr>
            <w:tcW w:w="0" w:type="auto"/>
            <w:gridSpan w:val="3"/>
            <w:shd w:val="clear" w:color="auto" w:fill="CCEEFF"/>
            <w:tcMar>
              <w:top w:w="30" w:type="dxa"/>
              <w:left w:w="20" w:type="dxa"/>
              <w:bottom w:w="30" w:type="dxa"/>
              <w:right w:w="20" w:type="dxa"/>
            </w:tcMar>
            <w:hideMark/>
          </w:tcPr>
          <w:p w14:paraId="71A1436B" w14:textId="77777777" w:rsidR="00000000" w:rsidRDefault="001A570A">
            <w:pPr>
              <w:divId w:val="254674192"/>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2A46026"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96A7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456CB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67442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AF3A9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71D7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E39A41" w14:textId="77777777" w:rsidR="00000000" w:rsidRDefault="001A570A">
            <w:pPr>
              <w:rPr>
                <w:rFonts w:eastAsia="Times New Roman"/>
                <w:sz w:val="20"/>
                <w:szCs w:val="20"/>
              </w:rPr>
            </w:pPr>
          </w:p>
        </w:tc>
        <w:tc>
          <w:tcPr>
            <w:tcW w:w="0" w:type="auto"/>
            <w:vAlign w:val="center"/>
            <w:hideMark/>
          </w:tcPr>
          <w:p w14:paraId="3AA1990A" w14:textId="77777777" w:rsidR="00000000" w:rsidRDefault="001A570A">
            <w:pPr>
              <w:rPr>
                <w:rFonts w:eastAsia="Times New Roman"/>
                <w:sz w:val="20"/>
                <w:szCs w:val="20"/>
              </w:rPr>
            </w:pPr>
          </w:p>
        </w:tc>
        <w:tc>
          <w:tcPr>
            <w:tcW w:w="0" w:type="auto"/>
            <w:vAlign w:val="center"/>
            <w:hideMark/>
          </w:tcPr>
          <w:p w14:paraId="6478DDE9" w14:textId="77777777" w:rsidR="00000000" w:rsidRDefault="001A570A">
            <w:pPr>
              <w:rPr>
                <w:rFonts w:eastAsia="Times New Roman"/>
                <w:sz w:val="20"/>
                <w:szCs w:val="20"/>
              </w:rPr>
            </w:pPr>
          </w:p>
        </w:tc>
        <w:tc>
          <w:tcPr>
            <w:tcW w:w="0" w:type="auto"/>
            <w:gridSpan w:val="3"/>
            <w:vAlign w:val="center"/>
            <w:hideMark/>
          </w:tcPr>
          <w:p w14:paraId="0BE62637" w14:textId="77777777" w:rsidR="00000000" w:rsidRDefault="001A570A">
            <w:pPr>
              <w:rPr>
                <w:rFonts w:eastAsia="Times New Roman"/>
                <w:sz w:val="20"/>
                <w:szCs w:val="20"/>
              </w:rPr>
            </w:pPr>
          </w:p>
        </w:tc>
        <w:tc>
          <w:tcPr>
            <w:tcW w:w="0" w:type="auto"/>
            <w:gridSpan w:val="3"/>
            <w:vAlign w:val="center"/>
            <w:hideMark/>
          </w:tcPr>
          <w:p w14:paraId="1754B50B" w14:textId="77777777" w:rsidR="00000000" w:rsidRDefault="001A570A">
            <w:pPr>
              <w:rPr>
                <w:rFonts w:eastAsia="Times New Roman"/>
                <w:sz w:val="20"/>
                <w:szCs w:val="20"/>
              </w:rPr>
            </w:pPr>
          </w:p>
        </w:tc>
      </w:tr>
      <w:tr w:rsidR="00000000" w14:paraId="4B66BD14" w14:textId="77777777">
        <w:trPr>
          <w:divId w:val="1733581559"/>
        </w:trPr>
        <w:tc>
          <w:tcPr>
            <w:tcW w:w="0" w:type="auto"/>
            <w:gridSpan w:val="3"/>
            <w:shd w:val="clear" w:color="auto" w:fill="FFFFFF"/>
            <w:tcMar>
              <w:top w:w="30" w:type="dxa"/>
              <w:left w:w="380" w:type="dxa"/>
              <w:bottom w:w="30" w:type="dxa"/>
              <w:right w:w="20" w:type="dxa"/>
            </w:tcMar>
            <w:hideMark/>
          </w:tcPr>
          <w:p w14:paraId="79C7C1EF" w14:textId="77777777" w:rsidR="00000000" w:rsidRDefault="001A570A">
            <w:pPr>
              <w:rPr>
                <w:rFonts w:eastAsia="Times New Roman"/>
              </w:rPr>
            </w:pPr>
            <w:r>
              <w:rPr>
                <w:rFonts w:eastAsia="Times New Roman"/>
                <w:color w:val="00000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14:paraId="7F67D4B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57C000"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A6DAC4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6BEF7"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88D2C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0B46AF"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9A35D0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3900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29643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F75020"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4C9BF0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3576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2DB42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6642C6"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71C555C" w14:textId="77777777" w:rsidR="00000000" w:rsidRDefault="001A570A">
            <w:pPr>
              <w:jc w:val="right"/>
              <w:rPr>
                <w:rFonts w:eastAsia="Times New Roman"/>
              </w:rPr>
            </w:pPr>
          </w:p>
        </w:tc>
        <w:tc>
          <w:tcPr>
            <w:tcW w:w="0" w:type="auto"/>
            <w:vAlign w:val="center"/>
            <w:hideMark/>
          </w:tcPr>
          <w:p w14:paraId="05038371" w14:textId="77777777" w:rsidR="00000000" w:rsidRDefault="001A570A">
            <w:pPr>
              <w:jc w:val="right"/>
              <w:rPr>
                <w:rFonts w:eastAsia="Times New Roman"/>
                <w:sz w:val="20"/>
                <w:szCs w:val="20"/>
              </w:rPr>
            </w:pPr>
          </w:p>
        </w:tc>
        <w:tc>
          <w:tcPr>
            <w:tcW w:w="0" w:type="auto"/>
            <w:vAlign w:val="center"/>
            <w:hideMark/>
          </w:tcPr>
          <w:p w14:paraId="72D6316E" w14:textId="77777777" w:rsidR="00000000" w:rsidRDefault="001A570A">
            <w:pPr>
              <w:rPr>
                <w:rFonts w:eastAsia="Times New Roman"/>
                <w:sz w:val="20"/>
                <w:szCs w:val="20"/>
              </w:rPr>
            </w:pPr>
          </w:p>
        </w:tc>
        <w:tc>
          <w:tcPr>
            <w:tcW w:w="0" w:type="auto"/>
            <w:gridSpan w:val="3"/>
            <w:vAlign w:val="center"/>
            <w:hideMark/>
          </w:tcPr>
          <w:p w14:paraId="1E334FAF" w14:textId="77777777" w:rsidR="00000000" w:rsidRDefault="001A570A">
            <w:pPr>
              <w:rPr>
                <w:rFonts w:eastAsia="Times New Roman"/>
                <w:sz w:val="20"/>
                <w:szCs w:val="20"/>
              </w:rPr>
            </w:pPr>
          </w:p>
        </w:tc>
        <w:tc>
          <w:tcPr>
            <w:tcW w:w="0" w:type="auto"/>
            <w:gridSpan w:val="3"/>
            <w:vAlign w:val="center"/>
            <w:hideMark/>
          </w:tcPr>
          <w:p w14:paraId="3184B6D4" w14:textId="77777777" w:rsidR="00000000" w:rsidRDefault="001A570A">
            <w:pPr>
              <w:rPr>
                <w:rFonts w:eastAsia="Times New Roman"/>
                <w:sz w:val="20"/>
                <w:szCs w:val="20"/>
              </w:rPr>
            </w:pPr>
          </w:p>
        </w:tc>
      </w:tr>
      <w:tr w:rsidR="00000000" w14:paraId="15BB1A7C" w14:textId="77777777">
        <w:trPr>
          <w:divId w:val="1733581559"/>
        </w:trPr>
        <w:tc>
          <w:tcPr>
            <w:tcW w:w="0" w:type="auto"/>
            <w:gridSpan w:val="3"/>
            <w:shd w:val="clear" w:color="auto" w:fill="CCEEFF"/>
            <w:tcMar>
              <w:top w:w="30" w:type="dxa"/>
              <w:left w:w="380" w:type="dxa"/>
              <w:bottom w:w="30" w:type="dxa"/>
              <w:right w:w="20" w:type="dxa"/>
            </w:tcMar>
            <w:hideMark/>
          </w:tcPr>
          <w:p w14:paraId="3F708ED8" w14:textId="77777777" w:rsidR="00000000" w:rsidRDefault="001A570A">
            <w:pPr>
              <w:rPr>
                <w:rFonts w:eastAsia="Times New Roman"/>
              </w:rPr>
            </w:pPr>
            <w:r>
              <w:rPr>
                <w:rFonts w:eastAsia="Times New Roman"/>
                <w:color w:val="000000"/>
                <w:sz w:val="20"/>
                <w:szCs w:val="20"/>
              </w:rPr>
              <w:t>Investments measured at NAV:</w:t>
            </w:r>
          </w:p>
        </w:tc>
        <w:tc>
          <w:tcPr>
            <w:tcW w:w="0" w:type="auto"/>
            <w:gridSpan w:val="3"/>
            <w:shd w:val="clear" w:color="auto" w:fill="CCEEFF"/>
            <w:tcMar>
              <w:top w:w="0" w:type="dxa"/>
              <w:left w:w="20" w:type="dxa"/>
              <w:bottom w:w="0" w:type="dxa"/>
              <w:right w:w="20" w:type="dxa"/>
            </w:tcMar>
            <w:vAlign w:val="center"/>
            <w:hideMark/>
          </w:tcPr>
          <w:p w14:paraId="5C24C17E"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FF47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3209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36687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52AA1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4472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A038B" w14:textId="77777777" w:rsidR="00000000" w:rsidRDefault="001A570A">
            <w:pPr>
              <w:rPr>
                <w:rFonts w:eastAsia="Times New Roman"/>
                <w:sz w:val="20"/>
                <w:szCs w:val="20"/>
              </w:rPr>
            </w:pPr>
          </w:p>
        </w:tc>
        <w:tc>
          <w:tcPr>
            <w:tcW w:w="0" w:type="auto"/>
            <w:vAlign w:val="center"/>
            <w:hideMark/>
          </w:tcPr>
          <w:p w14:paraId="6FA6F908" w14:textId="77777777" w:rsidR="00000000" w:rsidRDefault="001A570A">
            <w:pPr>
              <w:rPr>
                <w:rFonts w:eastAsia="Times New Roman"/>
                <w:sz w:val="20"/>
                <w:szCs w:val="20"/>
              </w:rPr>
            </w:pPr>
          </w:p>
        </w:tc>
        <w:tc>
          <w:tcPr>
            <w:tcW w:w="0" w:type="auto"/>
            <w:vAlign w:val="center"/>
            <w:hideMark/>
          </w:tcPr>
          <w:p w14:paraId="73ACACC0" w14:textId="77777777" w:rsidR="00000000" w:rsidRDefault="001A570A">
            <w:pPr>
              <w:rPr>
                <w:rFonts w:eastAsia="Times New Roman"/>
                <w:sz w:val="20"/>
                <w:szCs w:val="20"/>
              </w:rPr>
            </w:pPr>
          </w:p>
        </w:tc>
        <w:tc>
          <w:tcPr>
            <w:tcW w:w="0" w:type="auto"/>
            <w:gridSpan w:val="3"/>
            <w:vAlign w:val="center"/>
            <w:hideMark/>
          </w:tcPr>
          <w:p w14:paraId="426C43E7" w14:textId="77777777" w:rsidR="00000000" w:rsidRDefault="001A570A">
            <w:pPr>
              <w:rPr>
                <w:rFonts w:eastAsia="Times New Roman"/>
                <w:sz w:val="20"/>
                <w:szCs w:val="20"/>
              </w:rPr>
            </w:pPr>
          </w:p>
        </w:tc>
        <w:tc>
          <w:tcPr>
            <w:tcW w:w="0" w:type="auto"/>
            <w:gridSpan w:val="3"/>
            <w:vAlign w:val="center"/>
            <w:hideMark/>
          </w:tcPr>
          <w:p w14:paraId="4E75BC06" w14:textId="77777777" w:rsidR="00000000" w:rsidRDefault="001A570A">
            <w:pPr>
              <w:rPr>
                <w:rFonts w:eastAsia="Times New Roman"/>
                <w:sz w:val="20"/>
                <w:szCs w:val="20"/>
              </w:rPr>
            </w:pPr>
          </w:p>
        </w:tc>
      </w:tr>
      <w:tr w:rsidR="00000000" w14:paraId="033509CE" w14:textId="77777777">
        <w:trPr>
          <w:divId w:val="1733581559"/>
        </w:trPr>
        <w:tc>
          <w:tcPr>
            <w:tcW w:w="0" w:type="auto"/>
            <w:gridSpan w:val="3"/>
            <w:shd w:val="clear" w:color="auto" w:fill="FFFFFF"/>
            <w:tcMar>
              <w:top w:w="30" w:type="dxa"/>
              <w:left w:w="635" w:type="dxa"/>
              <w:bottom w:w="30" w:type="dxa"/>
              <w:right w:w="20" w:type="dxa"/>
            </w:tcMar>
            <w:hideMark/>
          </w:tcPr>
          <w:p w14:paraId="45F3B487" w14:textId="77777777" w:rsidR="00000000" w:rsidRDefault="001A570A">
            <w:pPr>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14:paraId="316182B3" w14:textId="77777777" w:rsidR="00000000" w:rsidRDefault="001A570A">
            <w:pPr>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04DFD6D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18000"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D8329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19228B"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4F12FA" w14:textId="77777777" w:rsidR="00000000" w:rsidRDefault="001A570A">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14:paraId="1197CA8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252E0"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721213" w14:textId="77777777" w:rsidR="00000000" w:rsidRDefault="001A570A">
            <w:pPr>
              <w:rPr>
                <w:rFonts w:eastAsia="Times New Roman"/>
                <w:sz w:val="20"/>
                <w:szCs w:val="20"/>
              </w:rPr>
            </w:pPr>
          </w:p>
        </w:tc>
        <w:tc>
          <w:tcPr>
            <w:tcW w:w="0" w:type="auto"/>
            <w:vAlign w:val="center"/>
            <w:hideMark/>
          </w:tcPr>
          <w:p w14:paraId="312C2D4F" w14:textId="77777777" w:rsidR="00000000" w:rsidRDefault="001A570A">
            <w:pPr>
              <w:rPr>
                <w:rFonts w:eastAsia="Times New Roman"/>
                <w:sz w:val="20"/>
                <w:szCs w:val="20"/>
              </w:rPr>
            </w:pPr>
          </w:p>
        </w:tc>
        <w:tc>
          <w:tcPr>
            <w:tcW w:w="0" w:type="auto"/>
            <w:vAlign w:val="center"/>
            <w:hideMark/>
          </w:tcPr>
          <w:p w14:paraId="06D2F157" w14:textId="77777777" w:rsidR="00000000" w:rsidRDefault="001A570A">
            <w:pPr>
              <w:rPr>
                <w:rFonts w:eastAsia="Times New Roman"/>
                <w:sz w:val="20"/>
                <w:szCs w:val="20"/>
              </w:rPr>
            </w:pPr>
          </w:p>
        </w:tc>
        <w:tc>
          <w:tcPr>
            <w:tcW w:w="0" w:type="auto"/>
            <w:gridSpan w:val="3"/>
            <w:vAlign w:val="center"/>
            <w:hideMark/>
          </w:tcPr>
          <w:p w14:paraId="65814E93" w14:textId="77777777" w:rsidR="00000000" w:rsidRDefault="001A570A">
            <w:pPr>
              <w:rPr>
                <w:rFonts w:eastAsia="Times New Roman"/>
                <w:sz w:val="20"/>
                <w:szCs w:val="20"/>
              </w:rPr>
            </w:pPr>
          </w:p>
        </w:tc>
        <w:tc>
          <w:tcPr>
            <w:tcW w:w="0" w:type="auto"/>
            <w:gridSpan w:val="3"/>
            <w:vAlign w:val="center"/>
            <w:hideMark/>
          </w:tcPr>
          <w:p w14:paraId="2CB0518B" w14:textId="77777777" w:rsidR="00000000" w:rsidRDefault="001A570A">
            <w:pPr>
              <w:rPr>
                <w:rFonts w:eastAsia="Times New Roman"/>
                <w:sz w:val="20"/>
                <w:szCs w:val="20"/>
              </w:rPr>
            </w:pPr>
          </w:p>
        </w:tc>
      </w:tr>
      <w:tr w:rsidR="00000000" w14:paraId="2BD0A33F" w14:textId="77777777">
        <w:trPr>
          <w:divId w:val="1733581559"/>
        </w:trPr>
        <w:tc>
          <w:tcPr>
            <w:tcW w:w="0" w:type="auto"/>
            <w:gridSpan w:val="3"/>
            <w:shd w:val="clear" w:color="auto" w:fill="CCEEFF"/>
            <w:tcMar>
              <w:top w:w="30" w:type="dxa"/>
              <w:left w:w="185" w:type="dxa"/>
              <w:bottom w:w="30" w:type="dxa"/>
              <w:right w:w="20" w:type="dxa"/>
            </w:tcMar>
            <w:hideMark/>
          </w:tcPr>
          <w:p w14:paraId="24C5E22E" w14:textId="77777777" w:rsidR="00000000" w:rsidRDefault="001A570A">
            <w:pPr>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82B6F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B2BBD5" w14:textId="77777777" w:rsidR="00000000" w:rsidRDefault="001A570A">
            <w:pPr>
              <w:jc w:val="right"/>
              <w:rPr>
                <w:rFonts w:eastAsia="Times New Roman"/>
              </w:rPr>
            </w:pPr>
            <w:r>
              <w:rPr>
                <w:rFonts w:eastAsia="Times New Roman"/>
                <w:color w:val="000000"/>
                <w:sz w:val="20"/>
                <w:szCs w:val="20"/>
              </w:rPr>
              <w:t>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DCD5D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53FF3"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731DC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492BBC"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1FB51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7345D6" w14:textId="77777777" w:rsidR="00000000" w:rsidRDefault="001A570A">
            <w:pPr>
              <w:jc w:val="right"/>
              <w:rPr>
                <w:rFonts w:eastAsia="Times New Roman"/>
              </w:rPr>
            </w:pPr>
            <w:r>
              <w:rPr>
                <w:rFonts w:eastAsia="Times New Roman"/>
                <w:color w:val="000000"/>
                <w:sz w:val="20"/>
                <w:szCs w:val="20"/>
              </w:rPr>
              <w:t>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4B271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688A0"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5426AF" w14:textId="77777777" w:rsidR="00000000" w:rsidRDefault="001A570A">
            <w:pPr>
              <w:rPr>
                <w:rFonts w:eastAsia="Times New Roman"/>
                <w:sz w:val="20"/>
                <w:szCs w:val="20"/>
              </w:rPr>
            </w:pPr>
          </w:p>
        </w:tc>
        <w:tc>
          <w:tcPr>
            <w:tcW w:w="0" w:type="auto"/>
            <w:vAlign w:val="center"/>
            <w:hideMark/>
          </w:tcPr>
          <w:p w14:paraId="245CE922" w14:textId="77777777" w:rsidR="00000000" w:rsidRDefault="001A570A">
            <w:pPr>
              <w:rPr>
                <w:rFonts w:eastAsia="Times New Roman"/>
                <w:sz w:val="20"/>
                <w:szCs w:val="20"/>
              </w:rPr>
            </w:pPr>
          </w:p>
        </w:tc>
        <w:tc>
          <w:tcPr>
            <w:tcW w:w="0" w:type="auto"/>
            <w:vAlign w:val="center"/>
            <w:hideMark/>
          </w:tcPr>
          <w:p w14:paraId="1B6883DD" w14:textId="77777777" w:rsidR="00000000" w:rsidRDefault="001A570A">
            <w:pPr>
              <w:rPr>
                <w:rFonts w:eastAsia="Times New Roman"/>
                <w:sz w:val="20"/>
                <w:szCs w:val="20"/>
              </w:rPr>
            </w:pPr>
          </w:p>
        </w:tc>
        <w:tc>
          <w:tcPr>
            <w:tcW w:w="0" w:type="auto"/>
            <w:gridSpan w:val="3"/>
            <w:vAlign w:val="center"/>
            <w:hideMark/>
          </w:tcPr>
          <w:p w14:paraId="139765D7" w14:textId="77777777" w:rsidR="00000000" w:rsidRDefault="001A570A">
            <w:pPr>
              <w:rPr>
                <w:rFonts w:eastAsia="Times New Roman"/>
                <w:sz w:val="20"/>
                <w:szCs w:val="20"/>
              </w:rPr>
            </w:pPr>
          </w:p>
        </w:tc>
        <w:tc>
          <w:tcPr>
            <w:tcW w:w="0" w:type="auto"/>
            <w:gridSpan w:val="3"/>
            <w:vAlign w:val="center"/>
            <w:hideMark/>
          </w:tcPr>
          <w:p w14:paraId="322AB78E" w14:textId="77777777" w:rsidR="00000000" w:rsidRDefault="001A570A">
            <w:pPr>
              <w:rPr>
                <w:rFonts w:eastAsia="Times New Roman"/>
                <w:sz w:val="20"/>
                <w:szCs w:val="20"/>
              </w:rPr>
            </w:pPr>
          </w:p>
        </w:tc>
      </w:tr>
    </w:tbl>
    <w:p w14:paraId="7E13677F" w14:textId="77777777" w:rsidR="00000000" w:rsidRDefault="001A570A">
      <w:pPr>
        <w:divId w:val="1650553823"/>
        <w:rPr>
          <w:rFonts w:eastAsia="Times New Roman"/>
        </w:rPr>
      </w:pPr>
      <w:r>
        <w:rPr>
          <w:rFonts w:eastAsia="Times New Roman"/>
          <w:color w:val="000000"/>
          <w:sz w:val="16"/>
          <w:szCs w:val="16"/>
        </w:rPr>
        <w:t>_______________</w:t>
      </w:r>
    </w:p>
    <w:p w14:paraId="49767B82" w14:textId="77777777" w:rsidR="00000000" w:rsidRDefault="001A570A">
      <w:pPr>
        <w:ind w:hanging="360"/>
        <w:divId w:val="1513759060"/>
        <w:rPr>
          <w:rFonts w:eastAsia="Times New Roman"/>
        </w:rPr>
      </w:pPr>
      <w:r>
        <w:rPr>
          <w:rFonts w:eastAsia="Times New Roman"/>
          <w:color w:val="000000"/>
          <w:sz w:val="16"/>
          <w:szCs w:val="16"/>
        </w:rPr>
        <w:t xml:space="preserve">(1)Represents diversified assets held in a “rabbi trust” </w:t>
      </w:r>
      <w:r>
        <w:rPr>
          <w:rFonts w:eastAsia="Times New Roman"/>
          <w:color w:val="000000"/>
          <w:sz w:val="16"/>
          <w:szCs w:val="16"/>
        </w:rPr>
        <w:t>associated with our non-qualified deferred compensation plans, which we include in the “Other current</w:t>
      </w:r>
    </w:p>
    <w:p w14:paraId="616CF42E" w14:textId="77777777" w:rsidR="00000000" w:rsidRDefault="001A570A">
      <w:pPr>
        <w:divId w:val="732964681"/>
        <w:rPr>
          <w:rFonts w:eastAsia="Times New Roman"/>
        </w:rPr>
      </w:pPr>
      <w:r>
        <w:rPr>
          <w:rFonts w:eastAsia="Times New Roman"/>
          <w:color w:val="000000"/>
          <w:sz w:val="16"/>
          <w:szCs w:val="16"/>
        </w:rPr>
        <w:t>assets” and “Other non-current assets” line items in our Consolidated Balance Sheet, and which are measured at fair value.</w:t>
      </w:r>
    </w:p>
    <w:p w14:paraId="2BE06D44" w14:textId="77777777" w:rsidR="00000000" w:rsidRDefault="001A570A">
      <w:pPr>
        <w:ind w:hanging="360"/>
        <w:divId w:val="721290285"/>
        <w:rPr>
          <w:rFonts w:eastAsia="Times New Roman"/>
        </w:rPr>
      </w:pPr>
      <w:r>
        <w:rPr>
          <w:rFonts w:eastAsia="Times New Roman"/>
          <w:color w:val="000000"/>
          <w:sz w:val="16"/>
          <w:szCs w:val="16"/>
        </w:rPr>
        <w:t>(2)Primarily represents obligat</w:t>
      </w:r>
      <w:r>
        <w:rPr>
          <w:rFonts w:eastAsia="Times New Roman"/>
          <w:color w:val="000000"/>
          <w:sz w:val="16"/>
          <w:szCs w:val="16"/>
        </w:rPr>
        <w:t>ions to pay benefits under certain non-qualified deferred compensation plans, which we include in the “Compensation and</w:t>
      </w:r>
    </w:p>
    <w:p w14:paraId="5BCC9A66" w14:textId="77777777" w:rsidR="00000000" w:rsidRDefault="001A570A">
      <w:pPr>
        <w:divId w:val="1176118014"/>
        <w:rPr>
          <w:rFonts w:eastAsia="Times New Roman"/>
        </w:rPr>
      </w:pPr>
      <w:r>
        <w:rPr>
          <w:rFonts w:eastAsia="Times New Roman"/>
          <w:color w:val="000000"/>
          <w:sz w:val="16"/>
          <w:szCs w:val="16"/>
        </w:rPr>
        <w:t>benefits” and “Other long-term liabilities” line items in our Consolidated Balance Sheet. Under these plans, participants designate</w:t>
      </w:r>
    </w:p>
    <w:p w14:paraId="534C2CF2" w14:textId="77777777" w:rsidR="00000000" w:rsidRDefault="001A570A">
      <w:pPr>
        <w:divId w:val="1937707285"/>
        <w:rPr>
          <w:rFonts w:eastAsia="Times New Roman"/>
        </w:rPr>
      </w:pPr>
      <w:r>
        <w:rPr>
          <w:rFonts w:eastAsia="Times New Roman"/>
          <w:color w:val="000000"/>
          <w:sz w:val="16"/>
          <w:szCs w:val="16"/>
        </w:rPr>
        <w:t>inve</w:t>
      </w:r>
      <w:r>
        <w:rPr>
          <w:rFonts w:eastAsia="Times New Roman"/>
          <w:color w:val="000000"/>
          <w:sz w:val="16"/>
          <w:szCs w:val="16"/>
        </w:rPr>
        <w:t>stment options (including stock and fixed-income funds), which serve as the basis for measurement of the notional value of their accounts.</w:t>
      </w:r>
    </w:p>
    <w:p w14:paraId="2C651D5A" w14:textId="77777777" w:rsidR="00000000" w:rsidRDefault="001A570A">
      <w:pPr>
        <w:ind w:firstLine="450"/>
        <w:jc w:val="center"/>
        <w:divId w:val="1312756607"/>
        <w:rPr>
          <w:rFonts w:eastAsia="Times New Roman"/>
        </w:rPr>
      </w:pPr>
      <w:r>
        <w:rPr>
          <w:rFonts w:eastAsia="Times New Roman"/>
          <w:color w:val="000000"/>
          <w:sz w:val="20"/>
          <w:szCs w:val="20"/>
        </w:rPr>
        <w:t>105</w:t>
      </w:r>
    </w:p>
    <w:p w14:paraId="3E23CC94" w14:textId="77777777" w:rsidR="00000000" w:rsidRDefault="001A570A">
      <w:pPr>
        <w:rPr>
          <w:rFonts w:eastAsia="Times New Roman"/>
        </w:rPr>
      </w:pPr>
      <w:r>
        <w:rPr>
          <w:rFonts w:eastAsia="Times New Roman"/>
        </w:rPr>
        <w:pict w14:anchorId="700606E1">
          <v:rect id="_x0000_i1133" style="width:0;height:1.5pt" o:hralign="center" o:hrstd="t" o:hr="t" fillcolor="#a0a0a0" stroked="f"/>
        </w:pict>
      </w:r>
    </w:p>
    <w:p w14:paraId="7E6C1D28" w14:textId="77777777" w:rsidR="00000000" w:rsidRDefault="001A570A">
      <w:pPr>
        <w:ind w:firstLine="450"/>
        <w:divId w:val="2049648384"/>
        <w:rPr>
          <w:rFonts w:eastAsia="Times New Roman"/>
        </w:rPr>
      </w:pPr>
    </w:p>
    <w:p w14:paraId="14A78E1B" w14:textId="77777777" w:rsidR="00000000" w:rsidRDefault="001A570A">
      <w:pPr>
        <w:divId w:val="99761300"/>
        <w:rPr>
          <w:rFonts w:eastAsia="Times New Roman"/>
        </w:rPr>
      </w:pPr>
      <w:r>
        <w:rPr>
          <w:rFonts w:eastAsia="Times New Roman"/>
          <w:b/>
          <w:bCs/>
          <w:color w:val="000000"/>
          <w:sz w:val="20"/>
          <w:szCs w:val="20"/>
        </w:rPr>
        <w:t>Defined Benefit Plans</w:t>
      </w:r>
    </w:p>
    <w:p w14:paraId="7B035DF9" w14:textId="77777777" w:rsidR="00000000" w:rsidRDefault="001A570A">
      <w:pPr>
        <w:ind w:firstLine="450"/>
        <w:divId w:val="363016551"/>
        <w:rPr>
          <w:rFonts w:eastAsia="Times New Roman"/>
        </w:rPr>
      </w:pPr>
      <w:r>
        <w:rPr>
          <w:rFonts w:eastAsia="Times New Roman"/>
          <w:color w:val="000000"/>
          <w:sz w:val="20"/>
          <w:szCs w:val="20"/>
        </w:rPr>
        <w:t>We sponsor numerous defined benefit pension plans fo</w:t>
      </w:r>
      <w:r>
        <w:rPr>
          <w:rFonts w:eastAsia="Times New Roman"/>
          <w:color w:val="000000"/>
          <w:sz w:val="20"/>
          <w:szCs w:val="20"/>
        </w:rPr>
        <w:t>r eligible employees. Benefits for most participants under the terms of these plans are based on the employee’s years of service and compensation. We fund these plans as required by statutory regulations and through voluntary contributions. Some of our emp</w:t>
      </w:r>
      <w:r>
        <w:rPr>
          <w:rFonts w:eastAsia="Times New Roman"/>
          <w:color w:val="000000"/>
          <w:sz w:val="20"/>
          <w:szCs w:val="20"/>
        </w:rPr>
        <w:t>loyees also participate in other postretirement defined benefit plans such as health care and life insurance plans.</w:t>
      </w:r>
    </w:p>
    <w:p w14:paraId="4B391430" w14:textId="77777777" w:rsidR="00000000" w:rsidRDefault="001A570A">
      <w:pPr>
        <w:ind w:firstLine="450"/>
        <w:divId w:val="1330868791"/>
        <w:rPr>
          <w:rFonts w:eastAsia="Times New Roman"/>
        </w:rPr>
      </w:pPr>
      <w:r>
        <w:rPr>
          <w:rFonts w:eastAsia="Times New Roman"/>
          <w:color w:val="000000"/>
          <w:sz w:val="20"/>
          <w:szCs w:val="20"/>
        </w:rPr>
        <w:t>Our Salaried Pension Plan (“SPP”) is our largest defined benefit pension plan, with assets valued at $7.9 billion and a projected benefit ob</w:t>
      </w:r>
      <w:r>
        <w:rPr>
          <w:rFonts w:eastAsia="Times New Roman"/>
          <w:color w:val="000000"/>
          <w:sz w:val="20"/>
          <w:szCs w:val="20"/>
        </w:rPr>
        <w:t>ligation of $9.4 billion as of January 1, 2021. Effective December 31, 2020, several U.S. defined benefit pension plans that we sponsor were merged into the SPP.</w:t>
      </w:r>
    </w:p>
    <w:p w14:paraId="67C863A8" w14:textId="77777777" w:rsidR="00000000" w:rsidRDefault="001A570A">
      <w:pPr>
        <w:divId w:val="1589847186"/>
        <w:rPr>
          <w:rFonts w:eastAsia="Times New Roman"/>
        </w:rPr>
      </w:pPr>
      <w:r>
        <w:rPr>
          <w:rFonts w:eastAsia="Times New Roman"/>
          <w:b/>
          <w:bCs/>
          <w:color w:val="000000"/>
          <w:sz w:val="20"/>
          <w:szCs w:val="20"/>
        </w:rPr>
        <w:t>Balance Sheet Information</w:t>
      </w:r>
    </w:p>
    <w:p w14:paraId="0DA4054B" w14:textId="77777777" w:rsidR="00000000" w:rsidRDefault="001A570A">
      <w:pPr>
        <w:ind w:firstLine="450"/>
        <w:divId w:val="2000499708"/>
        <w:rPr>
          <w:rFonts w:eastAsia="Times New Roman"/>
        </w:rPr>
      </w:pPr>
      <w:r>
        <w:rPr>
          <w:rFonts w:eastAsia="Times New Roman"/>
          <w:color w:val="000000"/>
          <w:sz w:val="20"/>
          <w:szCs w:val="20"/>
        </w:rPr>
        <w:t>Amounts recognized in our Consolidated Balance Sheet for defined ben</w:t>
      </w:r>
      <w:r>
        <w:rPr>
          <w:rFonts w:eastAsia="Times New Roman"/>
          <w:color w:val="000000"/>
          <w:sz w:val="20"/>
          <w:szCs w:val="20"/>
        </w:rPr>
        <w:t xml:space="preserve">efit pension plans and other postretirement defined benefit plans (collectively, “defined benefit plans”) reflect the funded status of our plans. The following table provides a summary of the funded status of our defined benefit plans and the presentation </w:t>
      </w:r>
      <w:r>
        <w:rPr>
          <w:rFonts w:eastAsia="Times New Roman"/>
          <w:color w:val="000000"/>
          <w:sz w:val="20"/>
          <w:szCs w:val="20"/>
        </w:rPr>
        <w:t>of such balances within our Consolidated Balance Sheet:</w:t>
      </w:r>
    </w:p>
    <w:tbl>
      <w:tblPr>
        <w:tblW w:w="4971" w:type="pct"/>
        <w:tblCellMar>
          <w:top w:w="15" w:type="dxa"/>
          <w:left w:w="15" w:type="dxa"/>
          <w:bottom w:w="15" w:type="dxa"/>
          <w:right w:w="15" w:type="dxa"/>
        </w:tblCellMar>
        <w:tblLook w:val="04A0" w:firstRow="1" w:lastRow="0" w:firstColumn="1" w:lastColumn="0" w:noHBand="0" w:noVBand="1"/>
      </w:tblPr>
      <w:tblGrid>
        <w:gridCol w:w="39"/>
        <w:gridCol w:w="2792"/>
        <w:gridCol w:w="38"/>
        <w:gridCol w:w="120"/>
        <w:gridCol w:w="592"/>
        <w:gridCol w:w="36"/>
        <w:gridCol w:w="36"/>
        <w:gridCol w:w="36"/>
        <w:gridCol w:w="36"/>
        <w:gridCol w:w="121"/>
        <w:gridCol w:w="539"/>
        <w:gridCol w:w="36"/>
        <w:gridCol w:w="36"/>
        <w:gridCol w:w="36"/>
        <w:gridCol w:w="36"/>
        <w:gridCol w:w="120"/>
        <w:gridCol w:w="584"/>
        <w:gridCol w:w="36"/>
        <w:gridCol w:w="36"/>
        <w:gridCol w:w="36"/>
        <w:gridCol w:w="36"/>
        <w:gridCol w:w="120"/>
        <w:gridCol w:w="584"/>
        <w:gridCol w:w="36"/>
        <w:gridCol w:w="36"/>
        <w:gridCol w:w="36"/>
        <w:gridCol w:w="36"/>
        <w:gridCol w:w="121"/>
        <w:gridCol w:w="524"/>
        <w:gridCol w:w="36"/>
        <w:gridCol w:w="36"/>
        <w:gridCol w:w="36"/>
        <w:gridCol w:w="36"/>
        <w:gridCol w:w="120"/>
        <w:gridCol w:w="584"/>
        <w:gridCol w:w="36"/>
        <w:gridCol w:w="36"/>
        <w:gridCol w:w="36"/>
        <w:gridCol w:w="36"/>
        <w:gridCol w:w="36"/>
        <w:gridCol w:w="36"/>
        <w:gridCol w:w="36"/>
        <w:gridCol w:w="36"/>
        <w:gridCol w:w="36"/>
        <w:gridCol w:w="36"/>
        <w:gridCol w:w="36"/>
        <w:gridCol w:w="36"/>
        <w:gridCol w:w="36"/>
        <w:gridCol w:w="36"/>
        <w:gridCol w:w="36"/>
      </w:tblGrid>
      <w:tr w:rsidR="00000000" w14:paraId="109E851A" w14:textId="77777777">
        <w:trPr>
          <w:divId w:val="1742478915"/>
        </w:trPr>
        <w:tc>
          <w:tcPr>
            <w:tcW w:w="50" w:type="pct"/>
            <w:vAlign w:val="center"/>
            <w:hideMark/>
          </w:tcPr>
          <w:p w14:paraId="686BB8E1" w14:textId="77777777" w:rsidR="00000000" w:rsidRDefault="001A570A">
            <w:pPr>
              <w:ind w:firstLine="450"/>
              <w:rPr>
                <w:rFonts w:eastAsia="Times New Roman"/>
              </w:rPr>
            </w:pPr>
          </w:p>
        </w:tc>
        <w:tc>
          <w:tcPr>
            <w:tcW w:w="1859" w:type="pct"/>
            <w:vAlign w:val="center"/>
            <w:hideMark/>
          </w:tcPr>
          <w:p w14:paraId="07A07725" w14:textId="77777777" w:rsidR="00000000" w:rsidRDefault="001A570A">
            <w:pPr>
              <w:rPr>
                <w:rFonts w:eastAsia="Times New Roman"/>
                <w:sz w:val="20"/>
                <w:szCs w:val="20"/>
              </w:rPr>
            </w:pPr>
          </w:p>
        </w:tc>
        <w:tc>
          <w:tcPr>
            <w:tcW w:w="5" w:type="pct"/>
            <w:vAlign w:val="center"/>
            <w:hideMark/>
          </w:tcPr>
          <w:p w14:paraId="32076D08" w14:textId="77777777" w:rsidR="00000000" w:rsidRDefault="001A570A">
            <w:pPr>
              <w:rPr>
                <w:rFonts w:eastAsia="Times New Roman"/>
                <w:sz w:val="20"/>
                <w:szCs w:val="20"/>
              </w:rPr>
            </w:pPr>
          </w:p>
        </w:tc>
        <w:tc>
          <w:tcPr>
            <w:tcW w:w="50" w:type="pct"/>
            <w:vAlign w:val="center"/>
            <w:hideMark/>
          </w:tcPr>
          <w:p w14:paraId="61EE9449" w14:textId="77777777" w:rsidR="00000000" w:rsidRDefault="001A570A">
            <w:pPr>
              <w:rPr>
                <w:rFonts w:eastAsia="Times New Roman"/>
                <w:sz w:val="20"/>
                <w:szCs w:val="20"/>
              </w:rPr>
            </w:pPr>
          </w:p>
        </w:tc>
        <w:tc>
          <w:tcPr>
            <w:tcW w:w="429" w:type="pct"/>
            <w:vAlign w:val="center"/>
            <w:hideMark/>
          </w:tcPr>
          <w:p w14:paraId="18BBA032" w14:textId="77777777" w:rsidR="00000000" w:rsidRDefault="001A570A">
            <w:pPr>
              <w:rPr>
                <w:rFonts w:eastAsia="Times New Roman"/>
                <w:sz w:val="20"/>
                <w:szCs w:val="20"/>
              </w:rPr>
            </w:pPr>
          </w:p>
        </w:tc>
        <w:tc>
          <w:tcPr>
            <w:tcW w:w="5" w:type="pct"/>
            <w:vAlign w:val="center"/>
            <w:hideMark/>
          </w:tcPr>
          <w:p w14:paraId="70FD5250" w14:textId="77777777" w:rsidR="00000000" w:rsidRDefault="001A570A">
            <w:pPr>
              <w:rPr>
                <w:rFonts w:eastAsia="Times New Roman"/>
                <w:sz w:val="20"/>
                <w:szCs w:val="20"/>
              </w:rPr>
            </w:pPr>
          </w:p>
        </w:tc>
        <w:tc>
          <w:tcPr>
            <w:tcW w:w="5" w:type="pct"/>
            <w:vAlign w:val="center"/>
            <w:hideMark/>
          </w:tcPr>
          <w:p w14:paraId="414BB116" w14:textId="77777777" w:rsidR="00000000" w:rsidRDefault="001A570A">
            <w:pPr>
              <w:rPr>
                <w:rFonts w:eastAsia="Times New Roman"/>
                <w:sz w:val="20"/>
                <w:szCs w:val="20"/>
              </w:rPr>
            </w:pPr>
          </w:p>
        </w:tc>
        <w:tc>
          <w:tcPr>
            <w:tcW w:w="26" w:type="pct"/>
            <w:vAlign w:val="center"/>
            <w:hideMark/>
          </w:tcPr>
          <w:p w14:paraId="0FD573BC" w14:textId="77777777" w:rsidR="00000000" w:rsidRDefault="001A570A">
            <w:pPr>
              <w:rPr>
                <w:rFonts w:eastAsia="Times New Roman"/>
                <w:sz w:val="20"/>
                <w:szCs w:val="20"/>
              </w:rPr>
            </w:pPr>
          </w:p>
        </w:tc>
        <w:tc>
          <w:tcPr>
            <w:tcW w:w="5" w:type="pct"/>
            <w:vAlign w:val="center"/>
            <w:hideMark/>
          </w:tcPr>
          <w:p w14:paraId="0AC5A581" w14:textId="77777777" w:rsidR="00000000" w:rsidRDefault="001A570A">
            <w:pPr>
              <w:rPr>
                <w:rFonts w:eastAsia="Times New Roman"/>
                <w:sz w:val="20"/>
                <w:szCs w:val="20"/>
              </w:rPr>
            </w:pPr>
          </w:p>
        </w:tc>
        <w:tc>
          <w:tcPr>
            <w:tcW w:w="50" w:type="pct"/>
            <w:vAlign w:val="center"/>
            <w:hideMark/>
          </w:tcPr>
          <w:p w14:paraId="5B6AEDCC" w14:textId="77777777" w:rsidR="00000000" w:rsidRDefault="001A570A">
            <w:pPr>
              <w:rPr>
                <w:rFonts w:eastAsia="Times New Roman"/>
                <w:sz w:val="20"/>
                <w:szCs w:val="20"/>
              </w:rPr>
            </w:pPr>
          </w:p>
        </w:tc>
        <w:tc>
          <w:tcPr>
            <w:tcW w:w="429" w:type="pct"/>
            <w:vAlign w:val="center"/>
            <w:hideMark/>
          </w:tcPr>
          <w:p w14:paraId="3031A432" w14:textId="77777777" w:rsidR="00000000" w:rsidRDefault="001A570A">
            <w:pPr>
              <w:rPr>
                <w:rFonts w:eastAsia="Times New Roman"/>
                <w:sz w:val="20"/>
                <w:szCs w:val="20"/>
              </w:rPr>
            </w:pPr>
          </w:p>
        </w:tc>
        <w:tc>
          <w:tcPr>
            <w:tcW w:w="5" w:type="pct"/>
            <w:vAlign w:val="center"/>
            <w:hideMark/>
          </w:tcPr>
          <w:p w14:paraId="7B74DA04" w14:textId="77777777" w:rsidR="00000000" w:rsidRDefault="001A570A">
            <w:pPr>
              <w:rPr>
                <w:rFonts w:eastAsia="Times New Roman"/>
                <w:sz w:val="20"/>
                <w:szCs w:val="20"/>
              </w:rPr>
            </w:pPr>
          </w:p>
        </w:tc>
        <w:tc>
          <w:tcPr>
            <w:tcW w:w="5" w:type="pct"/>
            <w:vAlign w:val="center"/>
            <w:hideMark/>
          </w:tcPr>
          <w:p w14:paraId="4CDCD313" w14:textId="77777777" w:rsidR="00000000" w:rsidRDefault="001A570A">
            <w:pPr>
              <w:rPr>
                <w:rFonts w:eastAsia="Times New Roman"/>
                <w:sz w:val="20"/>
                <w:szCs w:val="20"/>
              </w:rPr>
            </w:pPr>
          </w:p>
        </w:tc>
        <w:tc>
          <w:tcPr>
            <w:tcW w:w="26" w:type="pct"/>
            <w:vAlign w:val="center"/>
            <w:hideMark/>
          </w:tcPr>
          <w:p w14:paraId="4E9A510D" w14:textId="77777777" w:rsidR="00000000" w:rsidRDefault="001A570A">
            <w:pPr>
              <w:rPr>
                <w:rFonts w:eastAsia="Times New Roman"/>
                <w:sz w:val="20"/>
                <w:szCs w:val="20"/>
              </w:rPr>
            </w:pPr>
          </w:p>
        </w:tc>
        <w:tc>
          <w:tcPr>
            <w:tcW w:w="5" w:type="pct"/>
            <w:vAlign w:val="center"/>
            <w:hideMark/>
          </w:tcPr>
          <w:p w14:paraId="11242EB3" w14:textId="77777777" w:rsidR="00000000" w:rsidRDefault="001A570A">
            <w:pPr>
              <w:rPr>
                <w:rFonts w:eastAsia="Times New Roman"/>
                <w:sz w:val="20"/>
                <w:szCs w:val="20"/>
              </w:rPr>
            </w:pPr>
          </w:p>
        </w:tc>
        <w:tc>
          <w:tcPr>
            <w:tcW w:w="50" w:type="pct"/>
            <w:vAlign w:val="center"/>
            <w:hideMark/>
          </w:tcPr>
          <w:p w14:paraId="34204DBD" w14:textId="77777777" w:rsidR="00000000" w:rsidRDefault="001A570A">
            <w:pPr>
              <w:rPr>
                <w:rFonts w:eastAsia="Times New Roman"/>
                <w:sz w:val="20"/>
                <w:szCs w:val="20"/>
              </w:rPr>
            </w:pPr>
          </w:p>
        </w:tc>
        <w:tc>
          <w:tcPr>
            <w:tcW w:w="429" w:type="pct"/>
            <w:vAlign w:val="center"/>
            <w:hideMark/>
          </w:tcPr>
          <w:p w14:paraId="565314CA" w14:textId="77777777" w:rsidR="00000000" w:rsidRDefault="001A570A">
            <w:pPr>
              <w:rPr>
                <w:rFonts w:eastAsia="Times New Roman"/>
                <w:sz w:val="20"/>
                <w:szCs w:val="20"/>
              </w:rPr>
            </w:pPr>
          </w:p>
        </w:tc>
        <w:tc>
          <w:tcPr>
            <w:tcW w:w="5" w:type="pct"/>
            <w:vAlign w:val="center"/>
            <w:hideMark/>
          </w:tcPr>
          <w:p w14:paraId="4C516E03" w14:textId="77777777" w:rsidR="00000000" w:rsidRDefault="001A570A">
            <w:pPr>
              <w:rPr>
                <w:rFonts w:eastAsia="Times New Roman"/>
                <w:sz w:val="20"/>
                <w:szCs w:val="20"/>
              </w:rPr>
            </w:pPr>
          </w:p>
        </w:tc>
        <w:tc>
          <w:tcPr>
            <w:tcW w:w="5" w:type="pct"/>
            <w:vAlign w:val="center"/>
            <w:hideMark/>
          </w:tcPr>
          <w:p w14:paraId="6AF640C1" w14:textId="77777777" w:rsidR="00000000" w:rsidRDefault="001A570A">
            <w:pPr>
              <w:rPr>
                <w:rFonts w:eastAsia="Times New Roman"/>
                <w:sz w:val="20"/>
                <w:szCs w:val="20"/>
              </w:rPr>
            </w:pPr>
          </w:p>
        </w:tc>
        <w:tc>
          <w:tcPr>
            <w:tcW w:w="26" w:type="pct"/>
            <w:vAlign w:val="center"/>
            <w:hideMark/>
          </w:tcPr>
          <w:p w14:paraId="041F19E3" w14:textId="77777777" w:rsidR="00000000" w:rsidRDefault="001A570A">
            <w:pPr>
              <w:rPr>
                <w:rFonts w:eastAsia="Times New Roman"/>
                <w:sz w:val="20"/>
                <w:szCs w:val="20"/>
              </w:rPr>
            </w:pPr>
          </w:p>
        </w:tc>
        <w:tc>
          <w:tcPr>
            <w:tcW w:w="5" w:type="pct"/>
            <w:vAlign w:val="center"/>
            <w:hideMark/>
          </w:tcPr>
          <w:p w14:paraId="3830D0FD" w14:textId="77777777" w:rsidR="00000000" w:rsidRDefault="001A570A">
            <w:pPr>
              <w:rPr>
                <w:rFonts w:eastAsia="Times New Roman"/>
                <w:sz w:val="20"/>
                <w:szCs w:val="20"/>
              </w:rPr>
            </w:pPr>
          </w:p>
        </w:tc>
        <w:tc>
          <w:tcPr>
            <w:tcW w:w="50" w:type="pct"/>
            <w:vAlign w:val="center"/>
            <w:hideMark/>
          </w:tcPr>
          <w:p w14:paraId="43CE443D" w14:textId="77777777" w:rsidR="00000000" w:rsidRDefault="001A570A">
            <w:pPr>
              <w:rPr>
                <w:rFonts w:eastAsia="Times New Roman"/>
                <w:sz w:val="20"/>
                <w:szCs w:val="20"/>
              </w:rPr>
            </w:pPr>
          </w:p>
        </w:tc>
        <w:tc>
          <w:tcPr>
            <w:tcW w:w="429" w:type="pct"/>
            <w:vAlign w:val="center"/>
            <w:hideMark/>
          </w:tcPr>
          <w:p w14:paraId="5B1CB931" w14:textId="77777777" w:rsidR="00000000" w:rsidRDefault="001A570A">
            <w:pPr>
              <w:rPr>
                <w:rFonts w:eastAsia="Times New Roman"/>
                <w:sz w:val="20"/>
                <w:szCs w:val="20"/>
              </w:rPr>
            </w:pPr>
          </w:p>
        </w:tc>
        <w:tc>
          <w:tcPr>
            <w:tcW w:w="5" w:type="pct"/>
            <w:vAlign w:val="center"/>
            <w:hideMark/>
          </w:tcPr>
          <w:p w14:paraId="77F96F41" w14:textId="77777777" w:rsidR="00000000" w:rsidRDefault="001A570A">
            <w:pPr>
              <w:rPr>
                <w:rFonts w:eastAsia="Times New Roman"/>
                <w:sz w:val="20"/>
                <w:szCs w:val="20"/>
              </w:rPr>
            </w:pPr>
          </w:p>
        </w:tc>
        <w:tc>
          <w:tcPr>
            <w:tcW w:w="5" w:type="pct"/>
            <w:vAlign w:val="center"/>
            <w:hideMark/>
          </w:tcPr>
          <w:p w14:paraId="372E0461" w14:textId="77777777" w:rsidR="00000000" w:rsidRDefault="001A570A">
            <w:pPr>
              <w:rPr>
                <w:rFonts w:eastAsia="Times New Roman"/>
                <w:sz w:val="20"/>
                <w:szCs w:val="20"/>
              </w:rPr>
            </w:pPr>
          </w:p>
        </w:tc>
        <w:tc>
          <w:tcPr>
            <w:tcW w:w="26" w:type="pct"/>
            <w:vAlign w:val="center"/>
            <w:hideMark/>
          </w:tcPr>
          <w:p w14:paraId="7B6AC923" w14:textId="77777777" w:rsidR="00000000" w:rsidRDefault="001A570A">
            <w:pPr>
              <w:rPr>
                <w:rFonts w:eastAsia="Times New Roman"/>
                <w:sz w:val="20"/>
                <w:szCs w:val="20"/>
              </w:rPr>
            </w:pPr>
          </w:p>
        </w:tc>
        <w:tc>
          <w:tcPr>
            <w:tcW w:w="5" w:type="pct"/>
            <w:vAlign w:val="center"/>
            <w:hideMark/>
          </w:tcPr>
          <w:p w14:paraId="4AB343FE" w14:textId="77777777" w:rsidR="00000000" w:rsidRDefault="001A570A">
            <w:pPr>
              <w:rPr>
                <w:rFonts w:eastAsia="Times New Roman"/>
                <w:sz w:val="20"/>
                <w:szCs w:val="20"/>
              </w:rPr>
            </w:pPr>
          </w:p>
        </w:tc>
        <w:tc>
          <w:tcPr>
            <w:tcW w:w="50" w:type="pct"/>
            <w:vAlign w:val="center"/>
            <w:hideMark/>
          </w:tcPr>
          <w:p w14:paraId="5A443FEA" w14:textId="77777777" w:rsidR="00000000" w:rsidRDefault="001A570A">
            <w:pPr>
              <w:rPr>
                <w:rFonts w:eastAsia="Times New Roman"/>
                <w:sz w:val="20"/>
                <w:szCs w:val="20"/>
              </w:rPr>
            </w:pPr>
          </w:p>
        </w:tc>
        <w:tc>
          <w:tcPr>
            <w:tcW w:w="429" w:type="pct"/>
            <w:vAlign w:val="center"/>
            <w:hideMark/>
          </w:tcPr>
          <w:p w14:paraId="0754C948" w14:textId="77777777" w:rsidR="00000000" w:rsidRDefault="001A570A">
            <w:pPr>
              <w:rPr>
                <w:rFonts w:eastAsia="Times New Roman"/>
                <w:sz w:val="20"/>
                <w:szCs w:val="20"/>
              </w:rPr>
            </w:pPr>
          </w:p>
        </w:tc>
        <w:tc>
          <w:tcPr>
            <w:tcW w:w="5" w:type="pct"/>
            <w:vAlign w:val="center"/>
            <w:hideMark/>
          </w:tcPr>
          <w:p w14:paraId="5ABA7764" w14:textId="77777777" w:rsidR="00000000" w:rsidRDefault="001A570A">
            <w:pPr>
              <w:rPr>
                <w:rFonts w:eastAsia="Times New Roman"/>
                <w:sz w:val="20"/>
                <w:szCs w:val="20"/>
              </w:rPr>
            </w:pPr>
          </w:p>
        </w:tc>
        <w:tc>
          <w:tcPr>
            <w:tcW w:w="5" w:type="pct"/>
            <w:vAlign w:val="center"/>
            <w:hideMark/>
          </w:tcPr>
          <w:p w14:paraId="3E8325EC" w14:textId="77777777" w:rsidR="00000000" w:rsidRDefault="001A570A">
            <w:pPr>
              <w:rPr>
                <w:rFonts w:eastAsia="Times New Roman"/>
                <w:sz w:val="20"/>
                <w:szCs w:val="20"/>
              </w:rPr>
            </w:pPr>
          </w:p>
        </w:tc>
        <w:tc>
          <w:tcPr>
            <w:tcW w:w="26" w:type="pct"/>
            <w:vAlign w:val="center"/>
            <w:hideMark/>
          </w:tcPr>
          <w:p w14:paraId="4852AC78" w14:textId="77777777" w:rsidR="00000000" w:rsidRDefault="001A570A">
            <w:pPr>
              <w:rPr>
                <w:rFonts w:eastAsia="Times New Roman"/>
                <w:sz w:val="20"/>
                <w:szCs w:val="20"/>
              </w:rPr>
            </w:pPr>
          </w:p>
        </w:tc>
        <w:tc>
          <w:tcPr>
            <w:tcW w:w="5" w:type="pct"/>
            <w:vAlign w:val="center"/>
            <w:hideMark/>
          </w:tcPr>
          <w:p w14:paraId="26AF5A5A" w14:textId="77777777" w:rsidR="00000000" w:rsidRDefault="001A570A">
            <w:pPr>
              <w:rPr>
                <w:rFonts w:eastAsia="Times New Roman"/>
                <w:sz w:val="20"/>
                <w:szCs w:val="20"/>
              </w:rPr>
            </w:pPr>
          </w:p>
        </w:tc>
        <w:tc>
          <w:tcPr>
            <w:tcW w:w="50" w:type="pct"/>
            <w:vAlign w:val="center"/>
            <w:hideMark/>
          </w:tcPr>
          <w:p w14:paraId="3029F19C" w14:textId="77777777" w:rsidR="00000000" w:rsidRDefault="001A570A">
            <w:pPr>
              <w:rPr>
                <w:rFonts w:eastAsia="Times New Roman"/>
                <w:sz w:val="20"/>
                <w:szCs w:val="20"/>
              </w:rPr>
            </w:pPr>
          </w:p>
        </w:tc>
        <w:tc>
          <w:tcPr>
            <w:tcW w:w="429" w:type="pct"/>
            <w:vAlign w:val="center"/>
            <w:hideMark/>
          </w:tcPr>
          <w:p w14:paraId="5426A904" w14:textId="77777777" w:rsidR="00000000" w:rsidRDefault="001A570A">
            <w:pPr>
              <w:rPr>
                <w:rFonts w:eastAsia="Times New Roman"/>
                <w:sz w:val="20"/>
                <w:szCs w:val="20"/>
              </w:rPr>
            </w:pPr>
          </w:p>
        </w:tc>
        <w:tc>
          <w:tcPr>
            <w:tcW w:w="5" w:type="pct"/>
            <w:vAlign w:val="center"/>
            <w:hideMark/>
          </w:tcPr>
          <w:p w14:paraId="6A2ED2E5" w14:textId="77777777" w:rsidR="00000000" w:rsidRDefault="001A570A">
            <w:pPr>
              <w:rPr>
                <w:rFonts w:eastAsia="Times New Roman"/>
                <w:sz w:val="20"/>
                <w:szCs w:val="20"/>
              </w:rPr>
            </w:pPr>
          </w:p>
        </w:tc>
        <w:tc>
          <w:tcPr>
            <w:tcW w:w="0" w:type="auto"/>
            <w:vAlign w:val="center"/>
            <w:hideMark/>
          </w:tcPr>
          <w:p w14:paraId="215D903B" w14:textId="77777777" w:rsidR="00000000" w:rsidRDefault="001A570A">
            <w:pPr>
              <w:rPr>
                <w:rFonts w:eastAsia="Times New Roman"/>
                <w:sz w:val="20"/>
                <w:szCs w:val="20"/>
              </w:rPr>
            </w:pPr>
          </w:p>
        </w:tc>
        <w:tc>
          <w:tcPr>
            <w:tcW w:w="0" w:type="auto"/>
            <w:vAlign w:val="center"/>
            <w:hideMark/>
          </w:tcPr>
          <w:p w14:paraId="1D72F6A3" w14:textId="77777777" w:rsidR="00000000" w:rsidRDefault="001A570A">
            <w:pPr>
              <w:rPr>
                <w:rFonts w:eastAsia="Times New Roman"/>
                <w:sz w:val="20"/>
                <w:szCs w:val="20"/>
              </w:rPr>
            </w:pPr>
          </w:p>
        </w:tc>
        <w:tc>
          <w:tcPr>
            <w:tcW w:w="0" w:type="auto"/>
            <w:gridSpan w:val="3"/>
            <w:vAlign w:val="center"/>
            <w:hideMark/>
          </w:tcPr>
          <w:p w14:paraId="5E6C7E77" w14:textId="77777777" w:rsidR="00000000" w:rsidRDefault="001A570A">
            <w:pPr>
              <w:rPr>
                <w:rFonts w:eastAsia="Times New Roman"/>
                <w:sz w:val="20"/>
                <w:szCs w:val="20"/>
              </w:rPr>
            </w:pPr>
          </w:p>
        </w:tc>
        <w:tc>
          <w:tcPr>
            <w:tcW w:w="0" w:type="auto"/>
            <w:gridSpan w:val="3"/>
            <w:vAlign w:val="center"/>
            <w:hideMark/>
          </w:tcPr>
          <w:p w14:paraId="033C7E5D" w14:textId="77777777" w:rsidR="00000000" w:rsidRDefault="001A570A">
            <w:pPr>
              <w:rPr>
                <w:rFonts w:eastAsia="Times New Roman"/>
                <w:sz w:val="20"/>
                <w:szCs w:val="20"/>
              </w:rPr>
            </w:pPr>
          </w:p>
        </w:tc>
        <w:tc>
          <w:tcPr>
            <w:tcW w:w="0" w:type="auto"/>
            <w:gridSpan w:val="3"/>
            <w:vAlign w:val="center"/>
            <w:hideMark/>
          </w:tcPr>
          <w:p w14:paraId="42C8752D" w14:textId="77777777" w:rsidR="00000000" w:rsidRDefault="001A570A">
            <w:pPr>
              <w:rPr>
                <w:rFonts w:eastAsia="Times New Roman"/>
                <w:sz w:val="20"/>
                <w:szCs w:val="20"/>
              </w:rPr>
            </w:pPr>
          </w:p>
        </w:tc>
        <w:tc>
          <w:tcPr>
            <w:tcW w:w="0" w:type="auto"/>
            <w:gridSpan w:val="3"/>
            <w:vAlign w:val="center"/>
            <w:hideMark/>
          </w:tcPr>
          <w:p w14:paraId="1F440C74" w14:textId="77777777" w:rsidR="00000000" w:rsidRDefault="001A570A">
            <w:pPr>
              <w:rPr>
                <w:rFonts w:eastAsia="Times New Roman"/>
                <w:sz w:val="20"/>
                <w:szCs w:val="20"/>
              </w:rPr>
            </w:pPr>
          </w:p>
        </w:tc>
      </w:tr>
      <w:tr w:rsidR="00000000" w14:paraId="55AC13E0" w14:textId="77777777">
        <w:trPr>
          <w:divId w:val="1742478915"/>
        </w:trPr>
        <w:tc>
          <w:tcPr>
            <w:tcW w:w="0" w:type="auto"/>
            <w:gridSpan w:val="3"/>
            <w:tcMar>
              <w:top w:w="30" w:type="dxa"/>
              <w:left w:w="20" w:type="dxa"/>
              <w:bottom w:w="30" w:type="dxa"/>
              <w:right w:w="20" w:type="dxa"/>
            </w:tcMar>
            <w:vAlign w:val="bottom"/>
            <w:hideMark/>
          </w:tcPr>
          <w:p w14:paraId="2C64EA72" w14:textId="77777777" w:rsidR="00000000" w:rsidRDefault="001A570A">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3682F380"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8C45867"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7F805EA0"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7ABB1FF3" w14:textId="77777777" w:rsidR="00000000" w:rsidRDefault="001A570A">
            <w:pPr>
              <w:jc w:val="center"/>
              <w:rPr>
                <w:rFonts w:eastAsia="Times New Roman"/>
              </w:rPr>
            </w:pPr>
          </w:p>
        </w:tc>
        <w:tc>
          <w:tcPr>
            <w:tcW w:w="0" w:type="auto"/>
            <w:vAlign w:val="center"/>
            <w:hideMark/>
          </w:tcPr>
          <w:p w14:paraId="77C5A8FB" w14:textId="77777777" w:rsidR="00000000" w:rsidRDefault="001A570A">
            <w:pPr>
              <w:rPr>
                <w:rFonts w:eastAsia="Times New Roman"/>
                <w:sz w:val="20"/>
                <w:szCs w:val="20"/>
              </w:rPr>
            </w:pPr>
          </w:p>
        </w:tc>
        <w:tc>
          <w:tcPr>
            <w:tcW w:w="0" w:type="auto"/>
            <w:vAlign w:val="center"/>
            <w:hideMark/>
          </w:tcPr>
          <w:p w14:paraId="74F0A130" w14:textId="77777777" w:rsidR="00000000" w:rsidRDefault="001A570A">
            <w:pPr>
              <w:rPr>
                <w:rFonts w:eastAsia="Times New Roman"/>
                <w:sz w:val="20"/>
                <w:szCs w:val="20"/>
              </w:rPr>
            </w:pPr>
          </w:p>
        </w:tc>
        <w:tc>
          <w:tcPr>
            <w:tcW w:w="0" w:type="auto"/>
            <w:vAlign w:val="center"/>
            <w:hideMark/>
          </w:tcPr>
          <w:p w14:paraId="4E649FF4" w14:textId="77777777" w:rsidR="00000000" w:rsidRDefault="001A570A">
            <w:pPr>
              <w:rPr>
                <w:rFonts w:eastAsia="Times New Roman"/>
                <w:sz w:val="20"/>
                <w:szCs w:val="20"/>
              </w:rPr>
            </w:pPr>
          </w:p>
        </w:tc>
        <w:tc>
          <w:tcPr>
            <w:tcW w:w="0" w:type="auto"/>
            <w:vAlign w:val="center"/>
            <w:hideMark/>
          </w:tcPr>
          <w:p w14:paraId="055934AD" w14:textId="77777777" w:rsidR="00000000" w:rsidRDefault="001A570A">
            <w:pPr>
              <w:rPr>
                <w:rFonts w:eastAsia="Times New Roman"/>
                <w:sz w:val="20"/>
                <w:szCs w:val="20"/>
              </w:rPr>
            </w:pPr>
          </w:p>
        </w:tc>
        <w:tc>
          <w:tcPr>
            <w:tcW w:w="0" w:type="auto"/>
            <w:vAlign w:val="center"/>
            <w:hideMark/>
          </w:tcPr>
          <w:p w14:paraId="4A468CF1" w14:textId="77777777" w:rsidR="00000000" w:rsidRDefault="001A570A">
            <w:pPr>
              <w:rPr>
                <w:rFonts w:eastAsia="Times New Roman"/>
                <w:sz w:val="20"/>
                <w:szCs w:val="20"/>
              </w:rPr>
            </w:pPr>
          </w:p>
        </w:tc>
        <w:tc>
          <w:tcPr>
            <w:tcW w:w="0" w:type="auto"/>
            <w:vAlign w:val="center"/>
            <w:hideMark/>
          </w:tcPr>
          <w:p w14:paraId="0F99C6F4" w14:textId="77777777" w:rsidR="00000000" w:rsidRDefault="001A570A">
            <w:pPr>
              <w:rPr>
                <w:rFonts w:eastAsia="Times New Roman"/>
                <w:sz w:val="20"/>
                <w:szCs w:val="20"/>
              </w:rPr>
            </w:pPr>
          </w:p>
        </w:tc>
        <w:tc>
          <w:tcPr>
            <w:tcW w:w="0" w:type="auto"/>
            <w:vAlign w:val="center"/>
            <w:hideMark/>
          </w:tcPr>
          <w:p w14:paraId="19724A79" w14:textId="77777777" w:rsidR="00000000" w:rsidRDefault="001A570A">
            <w:pPr>
              <w:rPr>
                <w:rFonts w:eastAsia="Times New Roman"/>
                <w:sz w:val="20"/>
                <w:szCs w:val="20"/>
              </w:rPr>
            </w:pPr>
          </w:p>
        </w:tc>
        <w:tc>
          <w:tcPr>
            <w:tcW w:w="0" w:type="auto"/>
            <w:vAlign w:val="center"/>
            <w:hideMark/>
          </w:tcPr>
          <w:p w14:paraId="509FB08A" w14:textId="77777777" w:rsidR="00000000" w:rsidRDefault="001A570A">
            <w:pPr>
              <w:rPr>
                <w:rFonts w:eastAsia="Times New Roman"/>
                <w:sz w:val="20"/>
                <w:szCs w:val="20"/>
              </w:rPr>
            </w:pPr>
          </w:p>
        </w:tc>
        <w:tc>
          <w:tcPr>
            <w:tcW w:w="0" w:type="auto"/>
            <w:vAlign w:val="center"/>
            <w:hideMark/>
          </w:tcPr>
          <w:p w14:paraId="19447AE6" w14:textId="77777777" w:rsidR="00000000" w:rsidRDefault="001A570A">
            <w:pPr>
              <w:rPr>
                <w:rFonts w:eastAsia="Times New Roman"/>
                <w:sz w:val="20"/>
                <w:szCs w:val="20"/>
              </w:rPr>
            </w:pPr>
          </w:p>
        </w:tc>
        <w:tc>
          <w:tcPr>
            <w:tcW w:w="0" w:type="auto"/>
            <w:vAlign w:val="center"/>
            <w:hideMark/>
          </w:tcPr>
          <w:p w14:paraId="732B7815" w14:textId="77777777" w:rsidR="00000000" w:rsidRDefault="001A570A">
            <w:pPr>
              <w:rPr>
                <w:rFonts w:eastAsia="Times New Roman"/>
                <w:sz w:val="20"/>
                <w:szCs w:val="20"/>
              </w:rPr>
            </w:pPr>
          </w:p>
        </w:tc>
        <w:tc>
          <w:tcPr>
            <w:tcW w:w="0" w:type="auto"/>
            <w:vAlign w:val="center"/>
            <w:hideMark/>
          </w:tcPr>
          <w:p w14:paraId="65AAB61D" w14:textId="77777777" w:rsidR="00000000" w:rsidRDefault="001A570A">
            <w:pPr>
              <w:rPr>
                <w:rFonts w:eastAsia="Times New Roman"/>
                <w:sz w:val="20"/>
                <w:szCs w:val="20"/>
              </w:rPr>
            </w:pPr>
          </w:p>
        </w:tc>
        <w:tc>
          <w:tcPr>
            <w:tcW w:w="0" w:type="auto"/>
            <w:vAlign w:val="center"/>
            <w:hideMark/>
          </w:tcPr>
          <w:p w14:paraId="6119535F" w14:textId="77777777" w:rsidR="00000000" w:rsidRDefault="001A570A">
            <w:pPr>
              <w:rPr>
                <w:rFonts w:eastAsia="Times New Roman"/>
                <w:sz w:val="20"/>
                <w:szCs w:val="20"/>
              </w:rPr>
            </w:pPr>
          </w:p>
        </w:tc>
        <w:tc>
          <w:tcPr>
            <w:tcW w:w="0" w:type="auto"/>
            <w:vAlign w:val="center"/>
            <w:hideMark/>
          </w:tcPr>
          <w:p w14:paraId="23A03F60" w14:textId="77777777" w:rsidR="00000000" w:rsidRDefault="001A570A">
            <w:pPr>
              <w:rPr>
                <w:rFonts w:eastAsia="Times New Roman"/>
                <w:sz w:val="20"/>
                <w:szCs w:val="20"/>
              </w:rPr>
            </w:pPr>
          </w:p>
        </w:tc>
      </w:tr>
      <w:tr w:rsidR="00000000" w14:paraId="7111A952" w14:textId="77777777">
        <w:trPr>
          <w:divId w:val="1742478915"/>
        </w:trPr>
        <w:tc>
          <w:tcPr>
            <w:tcW w:w="0" w:type="auto"/>
            <w:gridSpan w:val="3"/>
            <w:tcMar>
              <w:top w:w="30" w:type="dxa"/>
              <w:left w:w="20" w:type="dxa"/>
              <w:bottom w:w="30" w:type="dxa"/>
              <w:right w:w="20" w:type="dxa"/>
            </w:tcMar>
            <w:vAlign w:val="bottom"/>
            <w:hideMark/>
          </w:tcPr>
          <w:p w14:paraId="45835596"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A7733D5"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2A0C522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B7E7CD"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6B446A3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AB38B7"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5AB86A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592A54"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67B9AFC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9A6320"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12D9B50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03287C" w14:textId="77777777" w:rsidR="00000000" w:rsidRDefault="001A570A">
            <w:pPr>
              <w:jc w:val="center"/>
              <w:rPr>
                <w:rFonts w:eastAsia="Times New Roman"/>
              </w:rPr>
            </w:pPr>
            <w:r>
              <w:rPr>
                <w:rFonts w:eastAsia="Times New Roman"/>
                <w:b/>
                <w:bCs/>
                <w:color w:val="000000"/>
                <w:sz w:val="16"/>
                <w:szCs w:val="16"/>
              </w:rPr>
              <w:t>Total</w:t>
            </w:r>
          </w:p>
        </w:tc>
        <w:tc>
          <w:tcPr>
            <w:tcW w:w="0" w:type="auto"/>
            <w:vAlign w:val="center"/>
            <w:hideMark/>
          </w:tcPr>
          <w:p w14:paraId="2534ED72" w14:textId="77777777" w:rsidR="00000000" w:rsidRDefault="001A570A">
            <w:pPr>
              <w:jc w:val="center"/>
              <w:rPr>
                <w:rFonts w:eastAsia="Times New Roman"/>
              </w:rPr>
            </w:pPr>
          </w:p>
        </w:tc>
        <w:tc>
          <w:tcPr>
            <w:tcW w:w="0" w:type="auto"/>
            <w:vAlign w:val="center"/>
            <w:hideMark/>
          </w:tcPr>
          <w:p w14:paraId="7A86046E" w14:textId="77777777" w:rsidR="00000000" w:rsidRDefault="001A570A">
            <w:pPr>
              <w:rPr>
                <w:rFonts w:eastAsia="Times New Roman"/>
                <w:sz w:val="20"/>
                <w:szCs w:val="20"/>
              </w:rPr>
            </w:pPr>
          </w:p>
        </w:tc>
        <w:tc>
          <w:tcPr>
            <w:tcW w:w="0" w:type="auto"/>
            <w:gridSpan w:val="3"/>
            <w:vAlign w:val="center"/>
            <w:hideMark/>
          </w:tcPr>
          <w:p w14:paraId="0264DDE3" w14:textId="77777777" w:rsidR="00000000" w:rsidRDefault="001A570A">
            <w:pPr>
              <w:rPr>
                <w:rFonts w:eastAsia="Times New Roman"/>
                <w:sz w:val="20"/>
                <w:szCs w:val="20"/>
              </w:rPr>
            </w:pPr>
          </w:p>
        </w:tc>
        <w:tc>
          <w:tcPr>
            <w:tcW w:w="0" w:type="auto"/>
            <w:gridSpan w:val="3"/>
            <w:vAlign w:val="center"/>
            <w:hideMark/>
          </w:tcPr>
          <w:p w14:paraId="72A0EC8F" w14:textId="77777777" w:rsidR="00000000" w:rsidRDefault="001A570A">
            <w:pPr>
              <w:rPr>
                <w:rFonts w:eastAsia="Times New Roman"/>
                <w:sz w:val="20"/>
                <w:szCs w:val="20"/>
              </w:rPr>
            </w:pPr>
          </w:p>
        </w:tc>
        <w:tc>
          <w:tcPr>
            <w:tcW w:w="0" w:type="auto"/>
            <w:gridSpan w:val="3"/>
            <w:vAlign w:val="center"/>
            <w:hideMark/>
          </w:tcPr>
          <w:p w14:paraId="22A01267" w14:textId="77777777" w:rsidR="00000000" w:rsidRDefault="001A570A">
            <w:pPr>
              <w:rPr>
                <w:rFonts w:eastAsia="Times New Roman"/>
                <w:sz w:val="20"/>
                <w:szCs w:val="20"/>
              </w:rPr>
            </w:pPr>
          </w:p>
        </w:tc>
        <w:tc>
          <w:tcPr>
            <w:tcW w:w="0" w:type="auto"/>
            <w:gridSpan w:val="3"/>
            <w:vAlign w:val="center"/>
            <w:hideMark/>
          </w:tcPr>
          <w:p w14:paraId="71EECBE9" w14:textId="77777777" w:rsidR="00000000" w:rsidRDefault="001A570A">
            <w:pPr>
              <w:rPr>
                <w:rFonts w:eastAsia="Times New Roman"/>
                <w:sz w:val="20"/>
                <w:szCs w:val="20"/>
              </w:rPr>
            </w:pPr>
          </w:p>
        </w:tc>
      </w:tr>
      <w:tr w:rsidR="00000000" w14:paraId="2A0ED6A3" w14:textId="77777777">
        <w:trPr>
          <w:divId w:val="1742478915"/>
          <w:trHeight w:val="60"/>
        </w:trPr>
        <w:tc>
          <w:tcPr>
            <w:tcW w:w="0" w:type="auto"/>
            <w:gridSpan w:val="3"/>
            <w:tcMar>
              <w:top w:w="0" w:type="dxa"/>
              <w:left w:w="20" w:type="dxa"/>
              <w:bottom w:w="0" w:type="dxa"/>
              <w:right w:w="20" w:type="dxa"/>
            </w:tcMar>
            <w:vAlign w:val="center"/>
            <w:hideMark/>
          </w:tcPr>
          <w:p w14:paraId="4D999C6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12381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AFEC34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96CE2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6700AD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5C649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A8C058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BD75A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758089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4EA98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FC97E2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F8574F" w14:textId="77777777" w:rsidR="00000000" w:rsidRDefault="001A570A">
            <w:pPr>
              <w:rPr>
                <w:rFonts w:eastAsia="Times New Roman"/>
                <w:sz w:val="20"/>
                <w:szCs w:val="20"/>
              </w:rPr>
            </w:pPr>
          </w:p>
        </w:tc>
        <w:tc>
          <w:tcPr>
            <w:tcW w:w="0" w:type="auto"/>
            <w:vAlign w:val="center"/>
            <w:hideMark/>
          </w:tcPr>
          <w:p w14:paraId="553A48B1" w14:textId="77777777" w:rsidR="00000000" w:rsidRDefault="001A570A">
            <w:pPr>
              <w:rPr>
                <w:rFonts w:eastAsia="Times New Roman"/>
                <w:sz w:val="20"/>
                <w:szCs w:val="20"/>
              </w:rPr>
            </w:pPr>
          </w:p>
        </w:tc>
        <w:tc>
          <w:tcPr>
            <w:tcW w:w="0" w:type="auto"/>
            <w:vAlign w:val="center"/>
            <w:hideMark/>
          </w:tcPr>
          <w:p w14:paraId="380383B8" w14:textId="77777777" w:rsidR="00000000" w:rsidRDefault="001A570A">
            <w:pPr>
              <w:rPr>
                <w:rFonts w:eastAsia="Times New Roman"/>
                <w:sz w:val="20"/>
                <w:szCs w:val="20"/>
              </w:rPr>
            </w:pPr>
          </w:p>
        </w:tc>
        <w:tc>
          <w:tcPr>
            <w:tcW w:w="0" w:type="auto"/>
            <w:gridSpan w:val="3"/>
            <w:vAlign w:val="center"/>
            <w:hideMark/>
          </w:tcPr>
          <w:p w14:paraId="79E10661" w14:textId="77777777" w:rsidR="00000000" w:rsidRDefault="001A570A">
            <w:pPr>
              <w:rPr>
                <w:rFonts w:eastAsia="Times New Roman"/>
                <w:sz w:val="20"/>
                <w:szCs w:val="20"/>
              </w:rPr>
            </w:pPr>
          </w:p>
        </w:tc>
        <w:tc>
          <w:tcPr>
            <w:tcW w:w="0" w:type="auto"/>
            <w:gridSpan w:val="3"/>
            <w:vAlign w:val="center"/>
            <w:hideMark/>
          </w:tcPr>
          <w:p w14:paraId="48BE9D97" w14:textId="77777777" w:rsidR="00000000" w:rsidRDefault="001A570A">
            <w:pPr>
              <w:rPr>
                <w:rFonts w:eastAsia="Times New Roman"/>
                <w:sz w:val="20"/>
                <w:szCs w:val="20"/>
              </w:rPr>
            </w:pPr>
          </w:p>
        </w:tc>
        <w:tc>
          <w:tcPr>
            <w:tcW w:w="0" w:type="auto"/>
            <w:gridSpan w:val="3"/>
            <w:vAlign w:val="center"/>
            <w:hideMark/>
          </w:tcPr>
          <w:p w14:paraId="53B0887D" w14:textId="77777777" w:rsidR="00000000" w:rsidRDefault="001A570A">
            <w:pPr>
              <w:rPr>
                <w:rFonts w:eastAsia="Times New Roman"/>
                <w:sz w:val="20"/>
                <w:szCs w:val="20"/>
              </w:rPr>
            </w:pPr>
          </w:p>
        </w:tc>
        <w:tc>
          <w:tcPr>
            <w:tcW w:w="0" w:type="auto"/>
            <w:gridSpan w:val="3"/>
            <w:vAlign w:val="center"/>
            <w:hideMark/>
          </w:tcPr>
          <w:p w14:paraId="36710D0F" w14:textId="77777777" w:rsidR="00000000" w:rsidRDefault="001A570A">
            <w:pPr>
              <w:rPr>
                <w:rFonts w:eastAsia="Times New Roman"/>
                <w:sz w:val="20"/>
                <w:szCs w:val="20"/>
              </w:rPr>
            </w:pPr>
          </w:p>
        </w:tc>
      </w:tr>
      <w:tr w:rsidR="00000000" w14:paraId="27BF5E84" w14:textId="77777777">
        <w:trPr>
          <w:divId w:val="1742478915"/>
        </w:trPr>
        <w:tc>
          <w:tcPr>
            <w:tcW w:w="0" w:type="auto"/>
            <w:gridSpan w:val="3"/>
            <w:shd w:val="clear" w:color="auto" w:fill="CCEEFF"/>
            <w:tcMar>
              <w:top w:w="30" w:type="dxa"/>
              <w:left w:w="20" w:type="dxa"/>
              <w:bottom w:w="30" w:type="dxa"/>
              <w:right w:w="20" w:type="dxa"/>
            </w:tcMar>
            <w:hideMark/>
          </w:tcPr>
          <w:p w14:paraId="164CEB0E" w14:textId="77777777" w:rsidR="00000000" w:rsidRDefault="001A570A">
            <w:pPr>
              <w:rPr>
                <w:rFonts w:eastAsia="Times New Roman"/>
              </w:rPr>
            </w:pPr>
            <w:r>
              <w:rPr>
                <w:rFonts w:eastAsia="Times New Roman"/>
                <w:color w:val="000000"/>
                <w:sz w:val="20"/>
                <w:szCs w:val="20"/>
              </w:rPr>
              <w:t>Fair value of plan assets</w:t>
            </w:r>
          </w:p>
        </w:tc>
        <w:tc>
          <w:tcPr>
            <w:tcW w:w="0" w:type="auto"/>
            <w:shd w:val="clear" w:color="auto" w:fill="CCEEFF"/>
            <w:tcMar>
              <w:top w:w="30" w:type="dxa"/>
              <w:left w:w="20" w:type="dxa"/>
              <w:bottom w:w="30" w:type="dxa"/>
              <w:right w:w="0" w:type="dxa"/>
            </w:tcMar>
            <w:vAlign w:val="bottom"/>
            <w:hideMark/>
          </w:tcPr>
          <w:p w14:paraId="1FE248A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0952CE" w14:textId="77777777" w:rsidR="00000000" w:rsidRDefault="001A570A">
            <w:pPr>
              <w:jc w:val="right"/>
              <w:rPr>
                <w:rFonts w:eastAsia="Times New Roman"/>
              </w:rPr>
            </w:pPr>
            <w:r>
              <w:rPr>
                <w:rFonts w:eastAsia="Times New Roman"/>
                <w:color w:val="000000"/>
                <w:sz w:val="20"/>
                <w:szCs w:val="20"/>
              </w:rPr>
              <w:t>9,301 </w:t>
            </w:r>
          </w:p>
        </w:tc>
        <w:tc>
          <w:tcPr>
            <w:tcW w:w="0" w:type="auto"/>
            <w:shd w:val="clear" w:color="auto" w:fill="CCEEFF"/>
            <w:tcMar>
              <w:top w:w="30" w:type="dxa"/>
              <w:left w:w="0" w:type="dxa"/>
              <w:bottom w:w="30" w:type="dxa"/>
              <w:right w:w="20" w:type="dxa"/>
            </w:tcMar>
            <w:vAlign w:val="bottom"/>
            <w:hideMark/>
          </w:tcPr>
          <w:p w14:paraId="4BBA8E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A241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473A6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997104" w14:textId="77777777" w:rsidR="00000000" w:rsidRDefault="001A570A">
            <w:pPr>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14:paraId="799185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7061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72C77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5B6299" w14:textId="77777777" w:rsidR="00000000" w:rsidRDefault="001A570A">
            <w:pPr>
              <w:jc w:val="right"/>
              <w:rPr>
                <w:rFonts w:eastAsia="Times New Roman"/>
              </w:rPr>
            </w:pPr>
            <w:r>
              <w:rPr>
                <w:rFonts w:eastAsia="Times New Roman"/>
                <w:color w:val="000000"/>
                <w:sz w:val="20"/>
                <w:szCs w:val="20"/>
              </w:rPr>
              <w:t>9,600 </w:t>
            </w:r>
          </w:p>
        </w:tc>
        <w:tc>
          <w:tcPr>
            <w:tcW w:w="0" w:type="auto"/>
            <w:shd w:val="clear" w:color="auto" w:fill="CCEEFF"/>
            <w:tcMar>
              <w:top w:w="30" w:type="dxa"/>
              <w:left w:w="0" w:type="dxa"/>
              <w:bottom w:w="30" w:type="dxa"/>
              <w:right w:w="20" w:type="dxa"/>
            </w:tcMar>
            <w:vAlign w:val="bottom"/>
            <w:hideMark/>
          </w:tcPr>
          <w:p w14:paraId="40E241C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3347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0138C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ED4D24" w14:textId="77777777" w:rsidR="00000000" w:rsidRDefault="001A570A">
            <w:pPr>
              <w:jc w:val="right"/>
              <w:rPr>
                <w:rFonts w:eastAsia="Times New Roman"/>
              </w:rPr>
            </w:pPr>
            <w:r>
              <w:rPr>
                <w:rFonts w:eastAsia="Times New Roman"/>
                <w:color w:val="000000"/>
                <w:sz w:val="20"/>
                <w:szCs w:val="20"/>
              </w:rPr>
              <w:t>8,618 </w:t>
            </w:r>
          </w:p>
        </w:tc>
        <w:tc>
          <w:tcPr>
            <w:tcW w:w="0" w:type="auto"/>
            <w:shd w:val="clear" w:color="auto" w:fill="CCEEFF"/>
            <w:tcMar>
              <w:top w:w="30" w:type="dxa"/>
              <w:left w:w="0" w:type="dxa"/>
              <w:bottom w:w="30" w:type="dxa"/>
              <w:right w:w="20" w:type="dxa"/>
            </w:tcMar>
            <w:vAlign w:val="bottom"/>
            <w:hideMark/>
          </w:tcPr>
          <w:p w14:paraId="44B546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6EB3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8A5E6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541232" w14:textId="77777777" w:rsidR="00000000" w:rsidRDefault="001A570A">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14:paraId="154AE9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3E57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E7DC0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F1D170" w14:textId="77777777" w:rsidR="00000000" w:rsidRDefault="001A570A">
            <w:pPr>
              <w:jc w:val="right"/>
              <w:rPr>
                <w:rFonts w:eastAsia="Times New Roman"/>
              </w:rPr>
            </w:pPr>
            <w:r>
              <w:rPr>
                <w:rFonts w:eastAsia="Times New Roman"/>
                <w:color w:val="000000"/>
                <w:sz w:val="20"/>
                <w:szCs w:val="20"/>
              </w:rPr>
              <w:t>8,892 </w:t>
            </w:r>
          </w:p>
        </w:tc>
        <w:tc>
          <w:tcPr>
            <w:tcW w:w="0" w:type="auto"/>
            <w:shd w:val="clear" w:color="auto" w:fill="CCEEFF"/>
            <w:tcMar>
              <w:top w:w="30" w:type="dxa"/>
              <w:left w:w="0" w:type="dxa"/>
              <w:bottom w:w="30" w:type="dxa"/>
              <w:right w:w="20" w:type="dxa"/>
            </w:tcMar>
            <w:vAlign w:val="bottom"/>
            <w:hideMark/>
          </w:tcPr>
          <w:p w14:paraId="7EFC930B" w14:textId="77777777" w:rsidR="00000000" w:rsidRDefault="001A570A">
            <w:pPr>
              <w:jc w:val="right"/>
              <w:rPr>
                <w:rFonts w:eastAsia="Times New Roman"/>
              </w:rPr>
            </w:pPr>
          </w:p>
        </w:tc>
        <w:tc>
          <w:tcPr>
            <w:tcW w:w="0" w:type="auto"/>
            <w:vAlign w:val="center"/>
            <w:hideMark/>
          </w:tcPr>
          <w:p w14:paraId="3AA219A3" w14:textId="77777777" w:rsidR="00000000" w:rsidRDefault="001A570A">
            <w:pPr>
              <w:jc w:val="right"/>
              <w:rPr>
                <w:rFonts w:eastAsia="Times New Roman"/>
                <w:sz w:val="20"/>
                <w:szCs w:val="20"/>
              </w:rPr>
            </w:pPr>
          </w:p>
        </w:tc>
        <w:tc>
          <w:tcPr>
            <w:tcW w:w="0" w:type="auto"/>
            <w:vAlign w:val="center"/>
            <w:hideMark/>
          </w:tcPr>
          <w:p w14:paraId="77BE59CE" w14:textId="77777777" w:rsidR="00000000" w:rsidRDefault="001A570A">
            <w:pPr>
              <w:rPr>
                <w:rFonts w:eastAsia="Times New Roman"/>
                <w:sz w:val="20"/>
                <w:szCs w:val="20"/>
              </w:rPr>
            </w:pPr>
          </w:p>
        </w:tc>
        <w:tc>
          <w:tcPr>
            <w:tcW w:w="0" w:type="auto"/>
            <w:gridSpan w:val="3"/>
            <w:vAlign w:val="center"/>
            <w:hideMark/>
          </w:tcPr>
          <w:p w14:paraId="5C881AA3" w14:textId="77777777" w:rsidR="00000000" w:rsidRDefault="001A570A">
            <w:pPr>
              <w:rPr>
                <w:rFonts w:eastAsia="Times New Roman"/>
                <w:sz w:val="20"/>
                <w:szCs w:val="20"/>
              </w:rPr>
            </w:pPr>
          </w:p>
        </w:tc>
        <w:tc>
          <w:tcPr>
            <w:tcW w:w="0" w:type="auto"/>
            <w:gridSpan w:val="3"/>
            <w:vAlign w:val="center"/>
            <w:hideMark/>
          </w:tcPr>
          <w:p w14:paraId="6C72C125" w14:textId="77777777" w:rsidR="00000000" w:rsidRDefault="001A570A">
            <w:pPr>
              <w:rPr>
                <w:rFonts w:eastAsia="Times New Roman"/>
                <w:sz w:val="20"/>
                <w:szCs w:val="20"/>
              </w:rPr>
            </w:pPr>
          </w:p>
        </w:tc>
        <w:tc>
          <w:tcPr>
            <w:tcW w:w="0" w:type="auto"/>
            <w:gridSpan w:val="3"/>
            <w:vAlign w:val="center"/>
            <w:hideMark/>
          </w:tcPr>
          <w:p w14:paraId="096891CB" w14:textId="77777777" w:rsidR="00000000" w:rsidRDefault="001A570A">
            <w:pPr>
              <w:rPr>
                <w:rFonts w:eastAsia="Times New Roman"/>
                <w:sz w:val="20"/>
                <w:szCs w:val="20"/>
              </w:rPr>
            </w:pPr>
          </w:p>
        </w:tc>
        <w:tc>
          <w:tcPr>
            <w:tcW w:w="0" w:type="auto"/>
            <w:gridSpan w:val="3"/>
            <w:vAlign w:val="center"/>
            <w:hideMark/>
          </w:tcPr>
          <w:p w14:paraId="0BADDB36" w14:textId="77777777" w:rsidR="00000000" w:rsidRDefault="001A570A">
            <w:pPr>
              <w:rPr>
                <w:rFonts w:eastAsia="Times New Roman"/>
                <w:sz w:val="20"/>
                <w:szCs w:val="20"/>
              </w:rPr>
            </w:pPr>
          </w:p>
        </w:tc>
      </w:tr>
      <w:tr w:rsidR="00000000" w14:paraId="36B67016" w14:textId="77777777">
        <w:trPr>
          <w:divId w:val="1742478915"/>
        </w:trPr>
        <w:tc>
          <w:tcPr>
            <w:tcW w:w="0" w:type="auto"/>
            <w:gridSpan w:val="3"/>
            <w:shd w:val="clear" w:color="auto" w:fill="FFFFFF"/>
            <w:tcMar>
              <w:top w:w="30" w:type="dxa"/>
              <w:left w:w="20" w:type="dxa"/>
              <w:bottom w:w="30" w:type="dxa"/>
              <w:right w:w="20" w:type="dxa"/>
            </w:tcMar>
            <w:hideMark/>
          </w:tcPr>
          <w:p w14:paraId="7399B4C2" w14:textId="77777777" w:rsidR="00000000" w:rsidRDefault="001A570A">
            <w:pPr>
              <w:rPr>
                <w:rFonts w:eastAsia="Times New Roman"/>
              </w:rPr>
            </w:pPr>
            <w:r>
              <w:rPr>
                <w:rFonts w:eastAsia="Times New Roman"/>
                <w:color w:val="000000"/>
                <w:sz w:val="20"/>
                <w:szCs w:val="20"/>
              </w:rPr>
              <w:t>Projected benefit obligation</w:t>
            </w:r>
          </w:p>
        </w:tc>
        <w:tc>
          <w:tcPr>
            <w:tcW w:w="0" w:type="auto"/>
            <w:gridSpan w:val="2"/>
            <w:shd w:val="clear" w:color="auto" w:fill="FFFFFF"/>
            <w:tcMar>
              <w:top w:w="30" w:type="dxa"/>
              <w:left w:w="20" w:type="dxa"/>
              <w:bottom w:w="30" w:type="dxa"/>
              <w:right w:w="0" w:type="dxa"/>
            </w:tcMar>
            <w:vAlign w:val="bottom"/>
            <w:hideMark/>
          </w:tcPr>
          <w:p w14:paraId="6AB86944" w14:textId="77777777" w:rsidR="00000000" w:rsidRDefault="001A570A">
            <w:pPr>
              <w:jc w:val="right"/>
              <w:rPr>
                <w:rFonts w:eastAsia="Times New Roman"/>
              </w:rPr>
            </w:pPr>
            <w:r>
              <w:rPr>
                <w:rFonts w:eastAsia="Times New Roman"/>
                <w:color w:val="000000"/>
                <w:sz w:val="20"/>
                <w:szCs w:val="20"/>
              </w:rPr>
              <w:t>(11,045)</w:t>
            </w:r>
          </w:p>
        </w:tc>
        <w:tc>
          <w:tcPr>
            <w:tcW w:w="0" w:type="auto"/>
            <w:shd w:val="clear" w:color="auto" w:fill="FFFFFF"/>
            <w:tcMar>
              <w:top w:w="30" w:type="dxa"/>
              <w:left w:w="0" w:type="dxa"/>
              <w:bottom w:w="30" w:type="dxa"/>
              <w:right w:w="20" w:type="dxa"/>
            </w:tcMar>
            <w:vAlign w:val="bottom"/>
            <w:hideMark/>
          </w:tcPr>
          <w:p w14:paraId="3FAB3A0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E271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D68B4" w14:textId="77777777" w:rsidR="00000000" w:rsidRDefault="001A570A">
            <w:pPr>
              <w:jc w:val="right"/>
              <w:rPr>
                <w:rFonts w:eastAsia="Times New Roman"/>
              </w:rPr>
            </w:pPr>
            <w:r>
              <w:rPr>
                <w:rFonts w:eastAsia="Times New Roman"/>
                <w:color w:val="000000"/>
                <w:sz w:val="20"/>
                <w:szCs w:val="20"/>
              </w:rPr>
              <w:t>(387)</w:t>
            </w:r>
          </w:p>
        </w:tc>
        <w:tc>
          <w:tcPr>
            <w:tcW w:w="0" w:type="auto"/>
            <w:shd w:val="clear" w:color="auto" w:fill="FFFFFF"/>
            <w:tcMar>
              <w:top w:w="30" w:type="dxa"/>
              <w:left w:w="0" w:type="dxa"/>
              <w:bottom w:w="30" w:type="dxa"/>
              <w:right w:w="20" w:type="dxa"/>
            </w:tcMar>
            <w:vAlign w:val="bottom"/>
            <w:hideMark/>
          </w:tcPr>
          <w:p w14:paraId="52F69DB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CD3D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7A397" w14:textId="77777777" w:rsidR="00000000" w:rsidRDefault="001A570A">
            <w:pPr>
              <w:jc w:val="right"/>
              <w:rPr>
                <w:rFonts w:eastAsia="Times New Roman"/>
              </w:rPr>
            </w:pPr>
            <w:r>
              <w:rPr>
                <w:rFonts w:eastAsia="Times New Roman"/>
                <w:color w:val="000000"/>
                <w:sz w:val="20"/>
                <w:szCs w:val="20"/>
              </w:rPr>
              <w:t>(11,432)</w:t>
            </w:r>
          </w:p>
        </w:tc>
        <w:tc>
          <w:tcPr>
            <w:tcW w:w="0" w:type="auto"/>
            <w:shd w:val="clear" w:color="auto" w:fill="FFFFFF"/>
            <w:tcMar>
              <w:top w:w="30" w:type="dxa"/>
              <w:left w:w="0" w:type="dxa"/>
              <w:bottom w:w="30" w:type="dxa"/>
              <w:right w:w="20" w:type="dxa"/>
            </w:tcMar>
            <w:vAlign w:val="bottom"/>
            <w:hideMark/>
          </w:tcPr>
          <w:p w14:paraId="40BBB27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98A0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19E8B" w14:textId="77777777" w:rsidR="00000000" w:rsidRDefault="001A570A">
            <w:pPr>
              <w:jc w:val="right"/>
              <w:rPr>
                <w:rFonts w:eastAsia="Times New Roman"/>
              </w:rPr>
            </w:pPr>
            <w:r>
              <w:rPr>
                <w:rFonts w:eastAsia="Times New Roman"/>
                <w:color w:val="000000"/>
                <w:sz w:val="20"/>
                <w:szCs w:val="20"/>
              </w:rPr>
              <w:t>(10,268)</w:t>
            </w:r>
          </w:p>
        </w:tc>
        <w:tc>
          <w:tcPr>
            <w:tcW w:w="0" w:type="auto"/>
            <w:shd w:val="clear" w:color="auto" w:fill="FFFFFF"/>
            <w:tcMar>
              <w:top w:w="30" w:type="dxa"/>
              <w:left w:w="0" w:type="dxa"/>
              <w:bottom w:w="30" w:type="dxa"/>
              <w:right w:w="20" w:type="dxa"/>
            </w:tcMar>
            <w:vAlign w:val="bottom"/>
            <w:hideMark/>
          </w:tcPr>
          <w:p w14:paraId="2B5BE62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A489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DF35BF" w14:textId="77777777" w:rsidR="00000000" w:rsidRDefault="001A570A">
            <w:pPr>
              <w:jc w:val="right"/>
              <w:rPr>
                <w:rFonts w:eastAsia="Times New Roman"/>
              </w:rPr>
            </w:pPr>
            <w:r>
              <w:rPr>
                <w:rFonts w:eastAsia="Times New Roman"/>
                <w:color w:val="000000"/>
                <w:sz w:val="20"/>
                <w:szCs w:val="20"/>
              </w:rPr>
              <w:t>(369)</w:t>
            </w:r>
          </w:p>
        </w:tc>
        <w:tc>
          <w:tcPr>
            <w:tcW w:w="0" w:type="auto"/>
            <w:shd w:val="clear" w:color="auto" w:fill="FFFFFF"/>
            <w:tcMar>
              <w:top w:w="30" w:type="dxa"/>
              <w:left w:w="0" w:type="dxa"/>
              <w:bottom w:w="30" w:type="dxa"/>
              <w:right w:w="20" w:type="dxa"/>
            </w:tcMar>
            <w:vAlign w:val="bottom"/>
            <w:hideMark/>
          </w:tcPr>
          <w:p w14:paraId="7A1DD47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C277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35C26" w14:textId="77777777" w:rsidR="00000000" w:rsidRDefault="001A570A">
            <w:pPr>
              <w:jc w:val="right"/>
              <w:rPr>
                <w:rFonts w:eastAsia="Times New Roman"/>
              </w:rPr>
            </w:pPr>
            <w:r>
              <w:rPr>
                <w:rFonts w:eastAsia="Times New Roman"/>
                <w:color w:val="000000"/>
                <w:sz w:val="20"/>
                <w:szCs w:val="20"/>
              </w:rPr>
              <w:t>(10,637)</w:t>
            </w:r>
          </w:p>
        </w:tc>
        <w:tc>
          <w:tcPr>
            <w:tcW w:w="0" w:type="auto"/>
            <w:shd w:val="clear" w:color="auto" w:fill="FFFFFF"/>
            <w:tcMar>
              <w:top w:w="30" w:type="dxa"/>
              <w:left w:w="0" w:type="dxa"/>
              <w:bottom w:w="30" w:type="dxa"/>
              <w:right w:w="20" w:type="dxa"/>
            </w:tcMar>
            <w:vAlign w:val="bottom"/>
            <w:hideMark/>
          </w:tcPr>
          <w:p w14:paraId="2A62D5B4" w14:textId="77777777" w:rsidR="00000000" w:rsidRDefault="001A570A">
            <w:pPr>
              <w:jc w:val="right"/>
              <w:rPr>
                <w:rFonts w:eastAsia="Times New Roman"/>
              </w:rPr>
            </w:pPr>
          </w:p>
        </w:tc>
        <w:tc>
          <w:tcPr>
            <w:tcW w:w="0" w:type="auto"/>
            <w:vAlign w:val="center"/>
            <w:hideMark/>
          </w:tcPr>
          <w:p w14:paraId="2CAD2133" w14:textId="77777777" w:rsidR="00000000" w:rsidRDefault="001A570A">
            <w:pPr>
              <w:jc w:val="right"/>
              <w:rPr>
                <w:rFonts w:eastAsia="Times New Roman"/>
                <w:sz w:val="20"/>
                <w:szCs w:val="20"/>
              </w:rPr>
            </w:pPr>
          </w:p>
        </w:tc>
        <w:tc>
          <w:tcPr>
            <w:tcW w:w="0" w:type="auto"/>
            <w:vAlign w:val="center"/>
            <w:hideMark/>
          </w:tcPr>
          <w:p w14:paraId="08DF7976" w14:textId="77777777" w:rsidR="00000000" w:rsidRDefault="001A570A">
            <w:pPr>
              <w:rPr>
                <w:rFonts w:eastAsia="Times New Roman"/>
                <w:sz w:val="20"/>
                <w:szCs w:val="20"/>
              </w:rPr>
            </w:pPr>
          </w:p>
        </w:tc>
        <w:tc>
          <w:tcPr>
            <w:tcW w:w="0" w:type="auto"/>
            <w:gridSpan w:val="3"/>
            <w:vAlign w:val="center"/>
            <w:hideMark/>
          </w:tcPr>
          <w:p w14:paraId="00434A1F" w14:textId="77777777" w:rsidR="00000000" w:rsidRDefault="001A570A">
            <w:pPr>
              <w:rPr>
                <w:rFonts w:eastAsia="Times New Roman"/>
                <w:sz w:val="20"/>
                <w:szCs w:val="20"/>
              </w:rPr>
            </w:pPr>
          </w:p>
        </w:tc>
        <w:tc>
          <w:tcPr>
            <w:tcW w:w="0" w:type="auto"/>
            <w:gridSpan w:val="3"/>
            <w:vAlign w:val="center"/>
            <w:hideMark/>
          </w:tcPr>
          <w:p w14:paraId="307F4378" w14:textId="77777777" w:rsidR="00000000" w:rsidRDefault="001A570A">
            <w:pPr>
              <w:rPr>
                <w:rFonts w:eastAsia="Times New Roman"/>
                <w:sz w:val="20"/>
                <w:szCs w:val="20"/>
              </w:rPr>
            </w:pPr>
          </w:p>
        </w:tc>
        <w:tc>
          <w:tcPr>
            <w:tcW w:w="0" w:type="auto"/>
            <w:gridSpan w:val="3"/>
            <w:vAlign w:val="center"/>
            <w:hideMark/>
          </w:tcPr>
          <w:p w14:paraId="1D4C1745" w14:textId="77777777" w:rsidR="00000000" w:rsidRDefault="001A570A">
            <w:pPr>
              <w:rPr>
                <w:rFonts w:eastAsia="Times New Roman"/>
                <w:sz w:val="20"/>
                <w:szCs w:val="20"/>
              </w:rPr>
            </w:pPr>
          </w:p>
        </w:tc>
        <w:tc>
          <w:tcPr>
            <w:tcW w:w="0" w:type="auto"/>
            <w:gridSpan w:val="3"/>
            <w:vAlign w:val="center"/>
            <w:hideMark/>
          </w:tcPr>
          <w:p w14:paraId="0B2572EC" w14:textId="77777777" w:rsidR="00000000" w:rsidRDefault="001A570A">
            <w:pPr>
              <w:rPr>
                <w:rFonts w:eastAsia="Times New Roman"/>
                <w:sz w:val="20"/>
                <w:szCs w:val="20"/>
              </w:rPr>
            </w:pPr>
          </w:p>
        </w:tc>
      </w:tr>
      <w:tr w:rsidR="00000000" w14:paraId="18295320" w14:textId="77777777">
        <w:trPr>
          <w:divId w:val="1742478915"/>
        </w:trPr>
        <w:tc>
          <w:tcPr>
            <w:tcW w:w="0" w:type="auto"/>
            <w:gridSpan w:val="3"/>
            <w:shd w:val="clear" w:color="auto" w:fill="CCEEFF"/>
            <w:tcMar>
              <w:top w:w="30" w:type="dxa"/>
              <w:left w:w="20" w:type="dxa"/>
              <w:bottom w:w="30" w:type="dxa"/>
              <w:right w:w="20" w:type="dxa"/>
            </w:tcMar>
            <w:hideMark/>
          </w:tcPr>
          <w:p w14:paraId="0FF6BB7F" w14:textId="77777777" w:rsidR="00000000" w:rsidRDefault="001A570A">
            <w:pPr>
              <w:rPr>
                <w:rFonts w:eastAsia="Times New Roman"/>
              </w:rPr>
            </w:pPr>
            <w:r>
              <w:rPr>
                <w:rFonts w:eastAsia="Times New Roman"/>
                <w:color w:val="000000"/>
                <w:sz w:val="20"/>
                <w:szCs w:val="20"/>
              </w:rPr>
              <w:t>Funded status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83BB7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BBDD9B" w14:textId="77777777" w:rsidR="00000000" w:rsidRDefault="001A570A">
            <w:pPr>
              <w:jc w:val="right"/>
              <w:rPr>
                <w:rFonts w:eastAsia="Times New Roman"/>
              </w:rPr>
            </w:pPr>
            <w:r>
              <w:rPr>
                <w:rFonts w:eastAsia="Times New Roman"/>
                <w:color w:val="000000"/>
                <w:sz w:val="20"/>
                <w:szCs w:val="20"/>
              </w:rPr>
              <w:t>(1,744)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317C8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3B64A"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F50DE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23024C" w14:textId="77777777" w:rsidR="00000000" w:rsidRDefault="001A570A">
            <w:pPr>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1C24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A9B2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0E416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F06616" w14:textId="77777777" w:rsidR="00000000" w:rsidRDefault="001A570A">
            <w:pPr>
              <w:jc w:val="right"/>
              <w:rPr>
                <w:rFonts w:eastAsia="Times New Roman"/>
              </w:rPr>
            </w:pPr>
            <w:r>
              <w:rPr>
                <w:rFonts w:eastAsia="Times New Roman"/>
                <w:color w:val="000000"/>
                <w:sz w:val="20"/>
                <w:szCs w:val="20"/>
              </w:rPr>
              <w:t>(1,832)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89271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D9A0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FB2EB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3B645E" w14:textId="77777777" w:rsidR="00000000" w:rsidRDefault="001A570A">
            <w:pPr>
              <w:jc w:val="right"/>
              <w:rPr>
                <w:rFonts w:eastAsia="Times New Roman"/>
              </w:rPr>
            </w:pPr>
            <w:r>
              <w:rPr>
                <w:rFonts w:eastAsia="Times New Roman"/>
                <w:color w:val="000000"/>
                <w:sz w:val="20"/>
                <w:szCs w:val="20"/>
              </w:rPr>
              <w:t>(1,650)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862DB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558F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83DDF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E82B53" w14:textId="77777777" w:rsidR="00000000" w:rsidRDefault="001A570A">
            <w:pPr>
              <w:jc w:val="right"/>
              <w:rPr>
                <w:rFonts w:eastAsia="Times New Roman"/>
              </w:rPr>
            </w:pPr>
            <w:r>
              <w:rPr>
                <w:rFonts w:eastAsia="Times New Roman"/>
                <w:color w:val="000000"/>
                <w:sz w:val="20"/>
                <w:szCs w:val="20"/>
              </w:rPr>
              <w:t>(95)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D2BEB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BF2E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D1B7F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8B8634" w14:textId="77777777" w:rsidR="00000000" w:rsidRDefault="001A570A">
            <w:pPr>
              <w:jc w:val="right"/>
              <w:rPr>
                <w:rFonts w:eastAsia="Times New Roman"/>
              </w:rPr>
            </w:pPr>
            <w:r>
              <w:rPr>
                <w:rFonts w:eastAsia="Times New Roman"/>
                <w:color w:val="000000"/>
                <w:sz w:val="20"/>
                <w:szCs w:val="20"/>
              </w:rPr>
              <w:t>(1,745)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A83BF4" w14:textId="77777777" w:rsidR="00000000" w:rsidRDefault="001A570A">
            <w:pPr>
              <w:jc w:val="right"/>
              <w:rPr>
                <w:rFonts w:eastAsia="Times New Roman"/>
              </w:rPr>
            </w:pPr>
          </w:p>
        </w:tc>
        <w:tc>
          <w:tcPr>
            <w:tcW w:w="0" w:type="auto"/>
            <w:vAlign w:val="center"/>
            <w:hideMark/>
          </w:tcPr>
          <w:p w14:paraId="0A10C8ED" w14:textId="77777777" w:rsidR="00000000" w:rsidRDefault="001A570A">
            <w:pPr>
              <w:jc w:val="right"/>
              <w:rPr>
                <w:rFonts w:eastAsia="Times New Roman"/>
                <w:sz w:val="20"/>
                <w:szCs w:val="20"/>
              </w:rPr>
            </w:pPr>
          </w:p>
        </w:tc>
        <w:tc>
          <w:tcPr>
            <w:tcW w:w="0" w:type="auto"/>
            <w:vAlign w:val="center"/>
            <w:hideMark/>
          </w:tcPr>
          <w:p w14:paraId="40F8D1F0" w14:textId="77777777" w:rsidR="00000000" w:rsidRDefault="001A570A">
            <w:pPr>
              <w:rPr>
                <w:rFonts w:eastAsia="Times New Roman"/>
                <w:sz w:val="20"/>
                <w:szCs w:val="20"/>
              </w:rPr>
            </w:pPr>
          </w:p>
        </w:tc>
        <w:tc>
          <w:tcPr>
            <w:tcW w:w="0" w:type="auto"/>
            <w:gridSpan w:val="3"/>
            <w:vAlign w:val="center"/>
            <w:hideMark/>
          </w:tcPr>
          <w:p w14:paraId="249AB39D" w14:textId="77777777" w:rsidR="00000000" w:rsidRDefault="001A570A">
            <w:pPr>
              <w:rPr>
                <w:rFonts w:eastAsia="Times New Roman"/>
                <w:sz w:val="20"/>
                <w:szCs w:val="20"/>
              </w:rPr>
            </w:pPr>
          </w:p>
        </w:tc>
        <w:tc>
          <w:tcPr>
            <w:tcW w:w="0" w:type="auto"/>
            <w:gridSpan w:val="3"/>
            <w:vAlign w:val="center"/>
            <w:hideMark/>
          </w:tcPr>
          <w:p w14:paraId="5DE95631" w14:textId="77777777" w:rsidR="00000000" w:rsidRDefault="001A570A">
            <w:pPr>
              <w:rPr>
                <w:rFonts w:eastAsia="Times New Roman"/>
                <w:sz w:val="20"/>
                <w:szCs w:val="20"/>
              </w:rPr>
            </w:pPr>
          </w:p>
        </w:tc>
        <w:tc>
          <w:tcPr>
            <w:tcW w:w="0" w:type="auto"/>
            <w:gridSpan w:val="3"/>
            <w:vAlign w:val="center"/>
            <w:hideMark/>
          </w:tcPr>
          <w:p w14:paraId="5B9C6C91" w14:textId="77777777" w:rsidR="00000000" w:rsidRDefault="001A570A">
            <w:pPr>
              <w:rPr>
                <w:rFonts w:eastAsia="Times New Roman"/>
                <w:sz w:val="20"/>
                <w:szCs w:val="20"/>
              </w:rPr>
            </w:pPr>
          </w:p>
        </w:tc>
        <w:tc>
          <w:tcPr>
            <w:tcW w:w="0" w:type="auto"/>
            <w:gridSpan w:val="3"/>
            <w:vAlign w:val="center"/>
            <w:hideMark/>
          </w:tcPr>
          <w:p w14:paraId="1AFDDD8E" w14:textId="77777777" w:rsidR="00000000" w:rsidRDefault="001A570A">
            <w:pPr>
              <w:rPr>
                <w:rFonts w:eastAsia="Times New Roman"/>
                <w:sz w:val="20"/>
                <w:szCs w:val="20"/>
              </w:rPr>
            </w:pPr>
          </w:p>
        </w:tc>
      </w:tr>
      <w:tr w:rsidR="00000000" w14:paraId="7B3F13A7" w14:textId="77777777">
        <w:trPr>
          <w:divId w:val="1742478915"/>
        </w:trPr>
        <w:tc>
          <w:tcPr>
            <w:tcW w:w="0" w:type="auto"/>
            <w:gridSpan w:val="36"/>
            <w:shd w:val="clear" w:color="auto" w:fill="FFFFFF"/>
            <w:tcMar>
              <w:top w:w="30" w:type="dxa"/>
              <w:left w:w="20" w:type="dxa"/>
              <w:bottom w:w="30" w:type="dxa"/>
              <w:right w:w="20" w:type="dxa"/>
            </w:tcMar>
            <w:hideMark/>
          </w:tcPr>
          <w:p w14:paraId="0466B17E" w14:textId="77777777" w:rsidR="00000000" w:rsidRDefault="001A570A">
            <w:pPr>
              <w:rPr>
                <w:rFonts w:eastAsia="Times New Roman"/>
              </w:rPr>
            </w:pPr>
            <w:r>
              <w:rPr>
                <w:rFonts w:eastAsia="Times New Roman"/>
                <w:i/>
                <w:iCs/>
                <w:color w:val="000000"/>
                <w:sz w:val="20"/>
                <w:szCs w:val="20"/>
              </w:rPr>
              <w:t>Consolidated Balance Sheet line item amounts:</w:t>
            </w:r>
          </w:p>
        </w:tc>
        <w:tc>
          <w:tcPr>
            <w:tcW w:w="0" w:type="auto"/>
            <w:vAlign w:val="center"/>
            <w:hideMark/>
          </w:tcPr>
          <w:p w14:paraId="72B3F175" w14:textId="77777777" w:rsidR="00000000" w:rsidRDefault="001A570A">
            <w:pPr>
              <w:rPr>
                <w:rFonts w:eastAsia="Times New Roman"/>
              </w:rPr>
            </w:pPr>
          </w:p>
        </w:tc>
        <w:tc>
          <w:tcPr>
            <w:tcW w:w="0" w:type="auto"/>
            <w:vAlign w:val="center"/>
            <w:hideMark/>
          </w:tcPr>
          <w:p w14:paraId="7C4308AA" w14:textId="77777777" w:rsidR="00000000" w:rsidRDefault="001A570A">
            <w:pPr>
              <w:rPr>
                <w:rFonts w:eastAsia="Times New Roman"/>
                <w:sz w:val="20"/>
                <w:szCs w:val="20"/>
              </w:rPr>
            </w:pPr>
          </w:p>
        </w:tc>
        <w:tc>
          <w:tcPr>
            <w:tcW w:w="0" w:type="auto"/>
            <w:vAlign w:val="center"/>
            <w:hideMark/>
          </w:tcPr>
          <w:p w14:paraId="32B06901" w14:textId="77777777" w:rsidR="00000000" w:rsidRDefault="001A570A">
            <w:pPr>
              <w:rPr>
                <w:rFonts w:eastAsia="Times New Roman"/>
                <w:sz w:val="20"/>
                <w:szCs w:val="20"/>
              </w:rPr>
            </w:pPr>
          </w:p>
        </w:tc>
        <w:tc>
          <w:tcPr>
            <w:tcW w:w="0" w:type="auto"/>
            <w:vAlign w:val="center"/>
            <w:hideMark/>
          </w:tcPr>
          <w:p w14:paraId="34B91FF5" w14:textId="77777777" w:rsidR="00000000" w:rsidRDefault="001A570A">
            <w:pPr>
              <w:rPr>
                <w:rFonts w:eastAsia="Times New Roman"/>
                <w:sz w:val="20"/>
                <w:szCs w:val="20"/>
              </w:rPr>
            </w:pPr>
          </w:p>
        </w:tc>
        <w:tc>
          <w:tcPr>
            <w:tcW w:w="0" w:type="auto"/>
            <w:vAlign w:val="center"/>
            <w:hideMark/>
          </w:tcPr>
          <w:p w14:paraId="3D0BD69E" w14:textId="77777777" w:rsidR="00000000" w:rsidRDefault="001A570A">
            <w:pPr>
              <w:rPr>
                <w:rFonts w:eastAsia="Times New Roman"/>
                <w:sz w:val="20"/>
                <w:szCs w:val="20"/>
              </w:rPr>
            </w:pPr>
          </w:p>
        </w:tc>
        <w:tc>
          <w:tcPr>
            <w:tcW w:w="0" w:type="auto"/>
            <w:vAlign w:val="center"/>
            <w:hideMark/>
          </w:tcPr>
          <w:p w14:paraId="0A35325C" w14:textId="77777777" w:rsidR="00000000" w:rsidRDefault="001A570A">
            <w:pPr>
              <w:rPr>
                <w:rFonts w:eastAsia="Times New Roman"/>
                <w:sz w:val="20"/>
                <w:szCs w:val="20"/>
              </w:rPr>
            </w:pPr>
          </w:p>
        </w:tc>
        <w:tc>
          <w:tcPr>
            <w:tcW w:w="0" w:type="auto"/>
            <w:vAlign w:val="center"/>
            <w:hideMark/>
          </w:tcPr>
          <w:p w14:paraId="35D9A76C" w14:textId="77777777" w:rsidR="00000000" w:rsidRDefault="001A570A">
            <w:pPr>
              <w:rPr>
                <w:rFonts w:eastAsia="Times New Roman"/>
                <w:sz w:val="20"/>
                <w:szCs w:val="20"/>
              </w:rPr>
            </w:pPr>
          </w:p>
        </w:tc>
        <w:tc>
          <w:tcPr>
            <w:tcW w:w="0" w:type="auto"/>
            <w:vAlign w:val="center"/>
            <w:hideMark/>
          </w:tcPr>
          <w:p w14:paraId="79F8B651" w14:textId="77777777" w:rsidR="00000000" w:rsidRDefault="001A570A">
            <w:pPr>
              <w:rPr>
                <w:rFonts w:eastAsia="Times New Roman"/>
                <w:sz w:val="20"/>
                <w:szCs w:val="20"/>
              </w:rPr>
            </w:pPr>
          </w:p>
        </w:tc>
        <w:tc>
          <w:tcPr>
            <w:tcW w:w="0" w:type="auto"/>
            <w:vAlign w:val="center"/>
            <w:hideMark/>
          </w:tcPr>
          <w:p w14:paraId="55774AB2" w14:textId="77777777" w:rsidR="00000000" w:rsidRDefault="001A570A">
            <w:pPr>
              <w:rPr>
                <w:rFonts w:eastAsia="Times New Roman"/>
                <w:sz w:val="20"/>
                <w:szCs w:val="20"/>
              </w:rPr>
            </w:pPr>
          </w:p>
        </w:tc>
        <w:tc>
          <w:tcPr>
            <w:tcW w:w="0" w:type="auto"/>
            <w:vAlign w:val="center"/>
            <w:hideMark/>
          </w:tcPr>
          <w:p w14:paraId="5C795F83" w14:textId="77777777" w:rsidR="00000000" w:rsidRDefault="001A570A">
            <w:pPr>
              <w:rPr>
                <w:rFonts w:eastAsia="Times New Roman"/>
                <w:sz w:val="20"/>
                <w:szCs w:val="20"/>
              </w:rPr>
            </w:pPr>
          </w:p>
        </w:tc>
        <w:tc>
          <w:tcPr>
            <w:tcW w:w="0" w:type="auto"/>
            <w:vAlign w:val="center"/>
            <w:hideMark/>
          </w:tcPr>
          <w:p w14:paraId="3751FE0E" w14:textId="77777777" w:rsidR="00000000" w:rsidRDefault="001A570A">
            <w:pPr>
              <w:rPr>
                <w:rFonts w:eastAsia="Times New Roman"/>
                <w:sz w:val="20"/>
                <w:szCs w:val="20"/>
              </w:rPr>
            </w:pPr>
          </w:p>
        </w:tc>
        <w:tc>
          <w:tcPr>
            <w:tcW w:w="0" w:type="auto"/>
            <w:vAlign w:val="center"/>
            <w:hideMark/>
          </w:tcPr>
          <w:p w14:paraId="5F8C3447" w14:textId="77777777" w:rsidR="00000000" w:rsidRDefault="001A570A">
            <w:pPr>
              <w:rPr>
                <w:rFonts w:eastAsia="Times New Roman"/>
                <w:sz w:val="20"/>
                <w:szCs w:val="20"/>
              </w:rPr>
            </w:pPr>
          </w:p>
        </w:tc>
        <w:tc>
          <w:tcPr>
            <w:tcW w:w="0" w:type="auto"/>
            <w:vAlign w:val="center"/>
            <w:hideMark/>
          </w:tcPr>
          <w:p w14:paraId="20BE75CA" w14:textId="77777777" w:rsidR="00000000" w:rsidRDefault="001A570A">
            <w:pPr>
              <w:rPr>
                <w:rFonts w:eastAsia="Times New Roman"/>
                <w:sz w:val="20"/>
                <w:szCs w:val="20"/>
              </w:rPr>
            </w:pPr>
          </w:p>
        </w:tc>
        <w:tc>
          <w:tcPr>
            <w:tcW w:w="0" w:type="auto"/>
            <w:vAlign w:val="center"/>
            <w:hideMark/>
          </w:tcPr>
          <w:p w14:paraId="45B992BC" w14:textId="77777777" w:rsidR="00000000" w:rsidRDefault="001A570A">
            <w:pPr>
              <w:rPr>
                <w:rFonts w:eastAsia="Times New Roman"/>
                <w:sz w:val="20"/>
                <w:szCs w:val="20"/>
              </w:rPr>
            </w:pPr>
          </w:p>
        </w:tc>
      </w:tr>
      <w:tr w:rsidR="00000000" w14:paraId="08912127" w14:textId="77777777">
        <w:trPr>
          <w:divId w:val="1742478915"/>
        </w:trPr>
        <w:tc>
          <w:tcPr>
            <w:tcW w:w="0" w:type="auto"/>
            <w:gridSpan w:val="3"/>
            <w:shd w:val="clear" w:color="auto" w:fill="CCEEFF"/>
            <w:tcMar>
              <w:top w:w="30" w:type="dxa"/>
              <w:left w:w="155" w:type="dxa"/>
              <w:bottom w:w="30" w:type="dxa"/>
              <w:right w:w="20" w:type="dxa"/>
            </w:tcMar>
            <w:hideMark/>
          </w:tcPr>
          <w:p w14:paraId="3DE1FA4F" w14:textId="77777777" w:rsidR="00000000" w:rsidRDefault="001A570A">
            <w:pPr>
              <w:rPr>
                <w:rFonts w:eastAsia="Times New Roman"/>
              </w:rPr>
            </w:pPr>
            <w:r>
              <w:rPr>
                <w:rFonts w:eastAsia="Times New Roman"/>
                <w:color w:val="000000"/>
                <w:sz w:val="20"/>
                <w:szCs w:val="20"/>
              </w:rPr>
              <w:t>Other non-current assets</w:t>
            </w:r>
          </w:p>
        </w:tc>
        <w:tc>
          <w:tcPr>
            <w:tcW w:w="0" w:type="auto"/>
            <w:shd w:val="clear" w:color="auto" w:fill="CCEEFF"/>
            <w:tcMar>
              <w:top w:w="30" w:type="dxa"/>
              <w:left w:w="20" w:type="dxa"/>
              <w:bottom w:w="30" w:type="dxa"/>
              <w:right w:w="0" w:type="dxa"/>
            </w:tcMar>
            <w:vAlign w:val="bottom"/>
            <w:hideMark/>
          </w:tcPr>
          <w:p w14:paraId="214C804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E27DB0" w14:textId="77777777" w:rsidR="00000000" w:rsidRDefault="001A570A">
            <w:pPr>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14:paraId="21FC848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4323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B72A4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DE4FA5"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73A242F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F9EE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B0AF8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4BC309" w14:textId="77777777" w:rsidR="00000000" w:rsidRDefault="001A570A">
            <w:pPr>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14:paraId="6B86120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F583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97E13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A7CD68" w14:textId="77777777" w:rsidR="00000000" w:rsidRDefault="001A570A">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14:paraId="787FBAC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CBC9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4B6FC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0C025A"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6C3277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DC1F1"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961FD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50DE37" w14:textId="77777777" w:rsidR="00000000" w:rsidRDefault="001A570A">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7E69ACA8" w14:textId="77777777" w:rsidR="00000000" w:rsidRDefault="001A570A">
            <w:pPr>
              <w:jc w:val="right"/>
              <w:rPr>
                <w:rFonts w:eastAsia="Times New Roman"/>
              </w:rPr>
            </w:pPr>
          </w:p>
        </w:tc>
        <w:tc>
          <w:tcPr>
            <w:tcW w:w="0" w:type="auto"/>
            <w:vAlign w:val="center"/>
            <w:hideMark/>
          </w:tcPr>
          <w:p w14:paraId="3711B094" w14:textId="77777777" w:rsidR="00000000" w:rsidRDefault="001A570A">
            <w:pPr>
              <w:jc w:val="right"/>
              <w:rPr>
                <w:rFonts w:eastAsia="Times New Roman"/>
                <w:sz w:val="20"/>
                <w:szCs w:val="20"/>
              </w:rPr>
            </w:pPr>
          </w:p>
        </w:tc>
        <w:tc>
          <w:tcPr>
            <w:tcW w:w="0" w:type="auto"/>
            <w:vAlign w:val="center"/>
            <w:hideMark/>
          </w:tcPr>
          <w:p w14:paraId="3CAFE7DF" w14:textId="77777777" w:rsidR="00000000" w:rsidRDefault="001A570A">
            <w:pPr>
              <w:rPr>
                <w:rFonts w:eastAsia="Times New Roman"/>
                <w:sz w:val="20"/>
                <w:szCs w:val="20"/>
              </w:rPr>
            </w:pPr>
          </w:p>
        </w:tc>
        <w:tc>
          <w:tcPr>
            <w:tcW w:w="0" w:type="auto"/>
            <w:gridSpan w:val="3"/>
            <w:vAlign w:val="center"/>
            <w:hideMark/>
          </w:tcPr>
          <w:p w14:paraId="435F2224" w14:textId="77777777" w:rsidR="00000000" w:rsidRDefault="001A570A">
            <w:pPr>
              <w:rPr>
                <w:rFonts w:eastAsia="Times New Roman"/>
                <w:sz w:val="20"/>
                <w:szCs w:val="20"/>
              </w:rPr>
            </w:pPr>
          </w:p>
        </w:tc>
        <w:tc>
          <w:tcPr>
            <w:tcW w:w="0" w:type="auto"/>
            <w:gridSpan w:val="3"/>
            <w:vAlign w:val="center"/>
            <w:hideMark/>
          </w:tcPr>
          <w:p w14:paraId="33AD8789" w14:textId="77777777" w:rsidR="00000000" w:rsidRDefault="001A570A">
            <w:pPr>
              <w:rPr>
                <w:rFonts w:eastAsia="Times New Roman"/>
                <w:sz w:val="20"/>
                <w:szCs w:val="20"/>
              </w:rPr>
            </w:pPr>
          </w:p>
        </w:tc>
        <w:tc>
          <w:tcPr>
            <w:tcW w:w="0" w:type="auto"/>
            <w:gridSpan w:val="3"/>
            <w:vAlign w:val="center"/>
            <w:hideMark/>
          </w:tcPr>
          <w:p w14:paraId="23355F0C" w14:textId="77777777" w:rsidR="00000000" w:rsidRDefault="001A570A">
            <w:pPr>
              <w:rPr>
                <w:rFonts w:eastAsia="Times New Roman"/>
                <w:sz w:val="20"/>
                <w:szCs w:val="20"/>
              </w:rPr>
            </w:pPr>
          </w:p>
        </w:tc>
        <w:tc>
          <w:tcPr>
            <w:tcW w:w="0" w:type="auto"/>
            <w:gridSpan w:val="3"/>
            <w:vAlign w:val="center"/>
            <w:hideMark/>
          </w:tcPr>
          <w:p w14:paraId="518C25C0" w14:textId="77777777" w:rsidR="00000000" w:rsidRDefault="001A570A">
            <w:pPr>
              <w:rPr>
                <w:rFonts w:eastAsia="Times New Roman"/>
                <w:sz w:val="20"/>
                <w:szCs w:val="20"/>
              </w:rPr>
            </w:pPr>
          </w:p>
        </w:tc>
      </w:tr>
      <w:tr w:rsidR="00000000" w14:paraId="763ED8CE" w14:textId="77777777">
        <w:trPr>
          <w:divId w:val="1742478915"/>
        </w:trPr>
        <w:tc>
          <w:tcPr>
            <w:tcW w:w="0" w:type="auto"/>
            <w:gridSpan w:val="3"/>
            <w:shd w:val="clear" w:color="auto" w:fill="FFFFFF"/>
            <w:tcMar>
              <w:top w:w="30" w:type="dxa"/>
              <w:left w:w="155" w:type="dxa"/>
              <w:bottom w:w="30" w:type="dxa"/>
              <w:right w:w="20" w:type="dxa"/>
            </w:tcMar>
            <w:hideMark/>
          </w:tcPr>
          <w:p w14:paraId="42B185F2" w14:textId="77777777" w:rsidR="00000000" w:rsidRDefault="001A570A">
            <w:pPr>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14:paraId="2F6C7845"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6F4EC35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9878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C0F71E"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12D539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D6AF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CBC73"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16D66F4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6E48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A2007"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7A1B989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9AFD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BED53"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35EC6CA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14B4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812834"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39F004B8" w14:textId="77777777" w:rsidR="00000000" w:rsidRDefault="001A570A">
            <w:pPr>
              <w:jc w:val="right"/>
              <w:rPr>
                <w:rFonts w:eastAsia="Times New Roman"/>
              </w:rPr>
            </w:pPr>
          </w:p>
        </w:tc>
        <w:tc>
          <w:tcPr>
            <w:tcW w:w="0" w:type="auto"/>
            <w:vAlign w:val="center"/>
            <w:hideMark/>
          </w:tcPr>
          <w:p w14:paraId="47F1D8AA" w14:textId="77777777" w:rsidR="00000000" w:rsidRDefault="001A570A">
            <w:pPr>
              <w:jc w:val="right"/>
              <w:rPr>
                <w:rFonts w:eastAsia="Times New Roman"/>
                <w:sz w:val="20"/>
                <w:szCs w:val="20"/>
              </w:rPr>
            </w:pPr>
          </w:p>
        </w:tc>
        <w:tc>
          <w:tcPr>
            <w:tcW w:w="0" w:type="auto"/>
            <w:vAlign w:val="center"/>
            <w:hideMark/>
          </w:tcPr>
          <w:p w14:paraId="2411D916" w14:textId="77777777" w:rsidR="00000000" w:rsidRDefault="001A570A">
            <w:pPr>
              <w:rPr>
                <w:rFonts w:eastAsia="Times New Roman"/>
                <w:sz w:val="20"/>
                <w:szCs w:val="20"/>
              </w:rPr>
            </w:pPr>
          </w:p>
        </w:tc>
        <w:tc>
          <w:tcPr>
            <w:tcW w:w="0" w:type="auto"/>
            <w:gridSpan w:val="3"/>
            <w:vAlign w:val="center"/>
            <w:hideMark/>
          </w:tcPr>
          <w:p w14:paraId="5BC1E6F9" w14:textId="77777777" w:rsidR="00000000" w:rsidRDefault="001A570A">
            <w:pPr>
              <w:rPr>
                <w:rFonts w:eastAsia="Times New Roman"/>
                <w:sz w:val="20"/>
                <w:szCs w:val="20"/>
              </w:rPr>
            </w:pPr>
          </w:p>
        </w:tc>
        <w:tc>
          <w:tcPr>
            <w:tcW w:w="0" w:type="auto"/>
            <w:gridSpan w:val="3"/>
            <w:vAlign w:val="center"/>
            <w:hideMark/>
          </w:tcPr>
          <w:p w14:paraId="38C6D153" w14:textId="77777777" w:rsidR="00000000" w:rsidRDefault="001A570A">
            <w:pPr>
              <w:rPr>
                <w:rFonts w:eastAsia="Times New Roman"/>
                <w:sz w:val="20"/>
                <w:szCs w:val="20"/>
              </w:rPr>
            </w:pPr>
          </w:p>
        </w:tc>
        <w:tc>
          <w:tcPr>
            <w:tcW w:w="0" w:type="auto"/>
            <w:gridSpan w:val="3"/>
            <w:vAlign w:val="center"/>
            <w:hideMark/>
          </w:tcPr>
          <w:p w14:paraId="3E592216" w14:textId="77777777" w:rsidR="00000000" w:rsidRDefault="001A570A">
            <w:pPr>
              <w:rPr>
                <w:rFonts w:eastAsia="Times New Roman"/>
                <w:sz w:val="20"/>
                <w:szCs w:val="20"/>
              </w:rPr>
            </w:pPr>
          </w:p>
        </w:tc>
        <w:tc>
          <w:tcPr>
            <w:tcW w:w="0" w:type="auto"/>
            <w:gridSpan w:val="3"/>
            <w:vAlign w:val="center"/>
            <w:hideMark/>
          </w:tcPr>
          <w:p w14:paraId="7C7D8406" w14:textId="77777777" w:rsidR="00000000" w:rsidRDefault="001A570A">
            <w:pPr>
              <w:rPr>
                <w:rFonts w:eastAsia="Times New Roman"/>
                <w:sz w:val="20"/>
                <w:szCs w:val="20"/>
              </w:rPr>
            </w:pPr>
          </w:p>
        </w:tc>
      </w:tr>
      <w:tr w:rsidR="00000000" w14:paraId="4FBD54D6" w14:textId="77777777">
        <w:trPr>
          <w:divId w:val="1742478915"/>
        </w:trPr>
        <w:tc>
          <w:tcPr>
            <w:tcW w:w="0" w:type="auto"/>
            <w:gridSpan w:val="3"/>
            <w:shd w:val="clear" w:color="auto" w:fill="CCEEFF"/>
            <w:tcMar>
              <w:top w:w="30" w:type="dxa"/>
              <w:left w:w="155" w:type="dxa"/>
              <w:bottom w:w="30" w:type="dxa"/>
              <w:right w:w="20" w:type="dxa"/>
            </w:tcMar>
            <w:hideMark/>
          </w:tcPr>
          <w:p w14:paraId="64105623" w14:textId="77777777" w:rsidR="00000000" w:rsidRDefault="001A570A">
            <w:pPr>
              <w:rPr>
                <w:rFonts w:eastAsia="Times New Roman"/>
              </w:rPr>
            </w:pPr>
            <w:r>
              <w:rPr>
                <w:rFonts w:eastAsia="Times New Roman"/>
                <w:color w:val="000000"/>
                <w:sz w:val="20"/>
                <w:szCs w:val="20"/>
              </w:rPr>
              <w:t>Liabilities of disposal group held for sale</w:t>
            </w:r>
          </w:p>
        </w:tc>
        <w:tc>
          <w:tcPr>
            <w:tcW w:w="0" w:type="auto"/>
            <w:gridSpan w:val="2"/>
            <w:shd w:val="clear" w:color="auto" w:fill="CCEEFF"/>
            <w:tcMar>
              <w:top w:w="30" w:type="dxa"/>
              <w:left w:w="20" w:type="dxa"/>
              <w:bottom w:w="30" w:type="dxa"/>
              <w:right w:w="0" w:type="dxa"/>
            </w:tcMar>
            <w:vAlign w:val="bottom"/>
            <w:hideMark/>
          </w:tcPr>
          <w:p w14:paraId="61C56DEE"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6E172EE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F664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B29BB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0C75A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9532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85C82"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4B91B06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A578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6DDC8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B0BBE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600A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F4288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C3109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14DD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540F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CB606F" w14:textId="77777777" w:rsidR="00000000" w:rsidRDefault="001A570A">
            <w:pPr>
              <w:jc w:val="right"/>
              <w:rPr>
                <w:rFonts w:eastAsia="Times New Roman"/>
              </w:rPr>
            </w:pPr>
          </w:p>
        </w:tc>
        <w:tc>
          <w:tcPr>
            <w:tcW w:w="0" w:type="auto"/>
            <w:vAlign w:val="center"/>
            <w:hideMark/>
          </w:tcPr>
          <w:p w14:paraId="003F6E73" w14:textId="77777777" w:rsidR="00000000" w:rsidRDefault="001A570A">
            <w:pPr>
              <w:jc w:val="right"/>
              <w:rPr>
                <w:rFonts w:eastAsia="Times New Roman"/>
                <w:sz w:val="20"/>
                <w:szCs w:val="20"/>
              </w:rPr>
            </w:pPr>
          </w:p>
        </w:tc>
        <w:tc>
          <w:tcPr>
            <w:tcW w:w="0" w:type="auto"/>
            <w:vAlign w:val="center"/>
            <w:hideMark/>
          </w:tcPr>
          <w:p w14:paraId="1C7CE960" w14:textId="77777777" w:rsidR="00000000" w:rsidRDefault="001A570A">
            <w:pPr>
              <w:rPr>
                <w:rFonts w:eastAsia="Times New Roman"/>
                <w:sz w:val="20"/>
                <w:szCs w:val="20"/>
              </w:rPr>
            </w:pPr>
          </w:p>
        </w:tc>
        <w:tc>
          <w:tcPr>
            <w:tcW w:w="0" w:type="auto"/>
            <w:gridSpan w:val="3"/>
            <w:vAlign w:val="center"/>
            <w:hideMark/>
          </w:tcPr>
          <w:p w14:paraId="7F11D92C" w14:textId="77777777" w:rsidR="00000000" w:rsidRDefault="001A570A">
            <w:pPr>
              <w:rPr>
                <w:rFonts w:eastAsia="Times New Roman"/>
                <w:sz w:val="20"/>
                <w:szCs w:val="20"/>
              </w:rPr>
            </w:pPr>
          </w:p>
        </w:tc>
        <w:tc>
          <w:tcPr>
            <w:tcW w:w="0" w:type="auto"/>
            <w:gridSpan w:val="3"/>
            <w:vAlign w:val="center"/>
            <w:hideMark/>
          </w:tcPr>
          <w:p w14:paraId="6AC55848" w14:textId="77777777" w:rsidR="00000000" w:rsidRDefault="001A570A">
            <w:pPr>
              <w:rPr>
                <w:rFonts w:eastAsia="Times New Roman"/>
                <w:sz w:val="20"/>
                <w:szCs w:val="20"/>
              </w:rPr>
            </w:pPr>
          </w:p>
        </w:tc>
        <w:tc>
          <w:tcPr>
            <w:tcW w:w="0" w:type="auto"/>
            <w:gridSpan w:val="3"/>
            <w:vAlign w:val="center"/>
            <w:hideMark/>
          </w:tcPr>
          <w:p w14:paraId="2FD8A031" w14:textId="77777777" w:rsidR="00000000" w:rsidRDefault="001A570A">
            <w:pPr>
              <w:rPr>
                <w:rFonts w:eastAsia="Times New Roman"/>
                <w:sz w:val="20"/>
                <w:szCs w:val="20"/>
              </w:rPr>
            </w:pPr>
          </w:p>
        </w:tc>
        <w:tc>
          <w:tcPr>
            <w:tcW w:w="0" w:type="auto"/>
            <w:gridSpan w:val="3"/>
            <w:vAlign w:val="center"/>
            <w:hideMark/>
          </w:tcPr>
          <w:p w14:paraId="24865025" w14:textId="77777777" w:rsidR="00000000" w:rsidRDefault="001A570A">
            <w:pPr>
              <w:rPr>
                <w:rFonts w:eastAsia="Times New Roman"/>
                <w:sz w:val="20"/>
                <w:szCs w:val="20"/>
              </w:rPr>
            </w:pPr>
          </w:p>
        </w:tc>
      </w:tr>
      <w:tr w:rsidR="00000000" w14:paraId="45C3AF48" w14:textId="77777777">
        <w:trPr>
          <w:divId w:val="1742478915"/>
        </w:trPr>
        <w:tc>
          <w:tcPr>
            <w:tcW w:w="0" w:type="auto"/>
            <w:gridSpan w:val="3"/>
            <w:shd w:val="clear" w:color="auto" w:fill="FFFFFF"/>
            <w:tcMar>
              <w:top w:w="30" w:type="dxa"/>
              <w:left w:w="155" w:type="dxa"/>
              <w:bottom w:w="30" w:type="dxa"/>
              <w:right w:w="20" w:type="dxa"/>
            </w:tcMar>
            <w:hideMark/>
          </w:tcPr>
          <w:p w14:paraId="2D6C74D4" w14:textId="77777777" w:rsidR="00000000" w:rsidRDefault="001A570A">
            <w:pPr>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14:paraId="34CAAFC0" w14:textId="77777777" w:rsidR="00000000" w:rsidRDefault="001A570A">
            <w:pPr>
              <w:jc w:val="right"/>
              <w:rPr>
                <w:rFonts w:eastAsia="Times New Roman"/>
              </w:rPr>
            </w:pPr>
            <w:r>
              <w:rPr>
                <w:rFonts w:eastAsia="Times New Roman"/>
                <w:color w:val="000000"/>
                <w:sz w:val="20"/>
                <w:szCs w:val="20"/>
              </w:rPr>
              <w:t>(1,818)</w:t>
            </w:r>
          </w:p>
        </w:tc>
        <w:tc>
          <w:tcPr>
            <w:tcW w:w="0" w:type="auto"/>
            <w:shd w:val="clear" w:color="auto" w:fill="FFFFFF"/>
            <w:tcMar>
              <w:top w:w="30" w:type="dxa"/>
              <w:left w:w="0" w:type="dxa"/>
              <w:bottom w:w="30" w:type="dxa"/>
              <w:right w:w="20" w:type="dxa"/>
            </w:tcMar>
            <w:vAlign w:val="bottom"/>
            <w:hideMark/>
          </w:tcPr>
          <w:p w14:paraId="5EC51E3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4BFB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B3E2C" w14:textId="77777777" w:rsidR="00000000" w:rsidRDefault="001A570A">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14:paraId="04ECF96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8889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0D983F" w14:textId="77777777" w:rsidR="00000000" w:rsidRDefault="001A570A">
            <w:pPr>
              <w:jc w:val="right"/>
              <w:rPr>
                <w:rFonts w:eastAsia="Times New Roman"/>
              </w:rPr>
            </w:pPr>
            <w:r>
              <w:rPr>
                <w:rFonts w:eastAsia="Times New Roman"/>
                <w:color w:val="000000"/>
                <w:sz w:val="20"/>
                <w:szCs w:val="20"/>
              </w:rPr>
              <w:t>(1,906)</w:t>
            </w:r>
          </w:p>
        </w:tc>
        <w:tc>
          <w:tcPr>
            <w:tcW w:w="0" w:type="auto"/>
            <w:shd w:val="clear" w:color="auto" w:fill="FFFFFF"/>
            <w:tcMar>
              <w:top w:w="30" w:type="dxa"/>
              <w:left w:w="0" w:type="dxa"/>
              <w:bottom w:w="30" w:type="dxa"/>
              <w:right w:w="20" w:type="dxa"/>
            </w:tcMar>
            <w:vAlign w:val="bottom"/>
            <w:hideMark/>
          </w:tcPr>
          <w:p w14:paraId="7C967EF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231B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9D461" w14:textId="77777777" w:rsidR="00000000" w:rsidRDefault="001A570A">
            <w:pPr>
              <w:jc w:val="right"/>
              <w:rPr>
                <w:rFonts w:eastAsia="Times New Roman"/>
              </w:rPr>
            </w:pPr>
            <w:r>
              <w:rPr>
                <w:rFonts w:eastAsia="Times New Roman"/>
                <w:color w:val="000000"/>
                <w:sz w:val="20"/>
                <w:szCs w:val="20"/>
              </w:rPr>
              <w:t>(1,731)</w:t>
            </w:r>
          </w:p>
        </w:tc>
        <w:tc>
          <w:tcPr>
            <w:tcW w:w="0" w:type="auto"/>
            <w:shd w:val="clear" w:color="auto" w:fill="FFFFFF"/>
            <w:tcMar>
              <w:top w:w="30" w:type="dxa"/>
              <w:left w:w="0" w:type="dxa"/>
              <w:bottom w:w="30" w:type="dxa"/>
              <w:right w:w="20" w:type="dxa"/>
            </w:tcMar>
            <w:vAlign w:val="bottom"/>
            <w:hideMark/>
          </w:tcPr>
          <w:p w14:paraId="2DA56F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3CE1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681E1" w14:textId="77777777" w:rsidR="00000000" w:rsidRDefault="001A570A">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14:paraId="395164B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0868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850982" w14:textId="77777777" w:rsidR="00000000" w:rsidRDefault="001A570A">
            <w:pPr>
              <w:jc w:val="right"/>
              <w:rPr>
                <w:rFonts w:eastAsia="Times New Roman"/>
              </w:rPr>
            </w:pPr>
            <w:r>
              <w:rPr>
                <w:rFonts w:eastAsia="Times New Roman"/>
                <w:color w:val="000000"/>
                <w:sz w:val="20"/>
                <w:szCs w:val="20"/>
              </w:rPr>
              <w:t>(1,819)</w:t>
            </w:r>
          </w:p>
        </w:tc>
        <w:tc>
          <w:tcPr>
            <w:tcW w:w="0" w:type="auto"/>
            <w:shd w:val="clear" w:color="auto" w:fill="FFFFFF"/>
            <w:tcMar>
              <w:top w:w="30" w:type="dxa"/>
              <w:left w:w="0" w:type="dxa"/>
              <w:bottom w:w="30" w:type="dxa"/>
              <w:right w:w="20" w:type="dxa"/>
            </w:tcMar>
            <w:vAlign w:val="bottom"/>
            <w:hideMark/>
          </w:tcPr>
          <w:p w14:paraId="73CAA9BA" w14:textId="77777777" w:rsidR="00000000" w:rsidRDefault="001A570A">
            <w:pPr>
              <w:jc w:val="right"/>
              <w:rPr>
                <w:rFonts w:eastAsia="Times New Roman"/>
              </w:rPr>
            </w:pPr>
          </w:p>
        </w:tc>
        <w:tc>
          <w:tcPr>
            <w:tcW w:w="0" w:type="auto"/>
            <w:vAlign w:val="center"/>
            <w:hideMark/>
          </w:tcPr>
          <w:p w14:paraId="40DE2BE6" w14:textId="77777777" w:rsidR="00000000" w:rsidRDefault="001A570A">
            <w:pPr>
              <w:jc w:val="right"/>
              <w:rPr>
                <w:rFonts w:eastAsia="Times New Roman"/>
                <w:sz w:val="20"/>
                <w:szCs w:val="20"/>
              </w:rPr>
            </w:pPr>
          </w:p>
        </w:tc>
        <w:tc>
          <w:tcPr>
            <w:tcW w:w="0" w:type="auto"/>
            <w:vAlign w:val="center"/>
            <w:hideMark/>
          </w:tcPr>
          <w:p w14:paraId="2646DC9D" w14:textId="77777777" w:rsidR="00000000" w:rsidRDefault="001A570A">
            <w:pPr>
              <w:rPr>
                <w:rFonts w:eastAsia="Times New Roman"/>
                <w:sz w:val="20"/>
                <w:szCs w:val="20"/>
              </w:rPr>
            </w:pPr>
          </w:p>
        </w:tc>
        <w:tc>
          <w:tcPr>
            <w:tcW w:w="0" w:type="auto"/>
            <w:gridSpan w:val="3"/>
            <w:vAlign w:val="center"/>
            <w:hideMark/>
          </w:tcPr>
          <w:p w14:paraId="078A4682" w14:textId="77777777" w:rsidR="00000000" w:rsidRDefault="001A570A">
            <w:pPr>
              <w:rPr>
                <w:rFonts w:eastAsia="Times New Roman"/>
                <w:sz w:val="20"/>
                <w:szCs w:val="20"/>
              </w:rPr>
            </w:pPr>
          </w:p>
        </w:tc>
        <w:tc>
          <w:tcPr>
            <w:tcW w:w="0" w:type="auto"/>
            <w:gridSpan w:val="3"/>
            <w:vAlign w:val="center"/>
            <w:hideMark/>
          </w:tcPr>
          <w:p w14:paraId="5EBFAA0A" w14:textId="77777777" w:rsidR="00000000" w:rsidRDefault="001A570A">
            <w:pPr>
              <w:rPr>
                <w:rFonts w:eastAsia="Times New Roman"/>
                <w:sz w:val="20"/>
                <w:szCs w:val="20"/>
              </w:rPr>
            </w:pPr>
          </w:p>
        </w:tc>
        <w:tc>
          <w:tcPr>
            <w:tcW w:w="0" w:type="auto"/>
            <w:gridSpan w:val="3"/>
            <w:vAlign w:val="center"/>
            <w:hideMark/>
          </w:tcPr>
          <w:p w14:paraId="79EB200A" w14:textId="77777777" w:rsidR="00000000" w:rsidRDefault="001A570A">
            <w:pPr>
              <w:rPr>
                <w:rFonts w:eastAsia="Times New Roman"/>
                <w:sz w:val="20"/>
                <w:szCs w:val="20"/>
              </w:rPr>
            </w:pPr>
          </w:p>
        </w:tc>
        <w:tc>
          <w:tcPr>
            <w:tcW w:w="0" w:type="auto"/>
            <w:gridSpan w:val="3"/>
            <w:vAlign w:val="center"/>
            <w:hideMark/>
          </w:tcPr>
          <w:p w14:paraId="4C391ABD" w14:textId="77777777" w:rsidR="00000000" w:rsidRDefault="001A570A">
            <w:pPr>
              <w:rPr>
                <w:rFonts w:eastAsia="Times New Roman"/>
                <w:sz w:val="20"/>
                <w:szCs w:val="20"/>
              </w:rPr>
            </w:pPr>
          </w:p>
        </w:tc>
      </w:tr>
    </w:tbl>
    <w:p w14:paraId="7F284933" w14:textId="77777777" w:rsidR="00000000" w:rsidRDefault="001A570A">
      <w:pPr>
        <w:ind w:firstLine="450"/>
        <w:divId w:val="2126389559"/>
        <w:rPr>
          <w:rFonts w:eastAsia="Times New Roman"/>
        </w:rPr>
      </w:pPr>
      <w:r>
        <w:rPr>
          <w:rFonts w:eastAsia="Times New Roman"/>
          <w:color w:val="000000"/>
          <w:sz w:val="20"/>
          <w:szCs w:val="20"/>
        </w:rPr>
        <w:t>A portion of our projected benefit obligation includes amounts that have not yet been recognized as expense (or reductions of expense) in our results of operatio</w:t>
      </w:r>
      <w:r>
        <w:rPr>
          <w:rFonts w:eastAsia="Times New Roman"/>
          <w:color w:val="000000"/>
          <w:sz w:val="20"/>
          <w:szCs w:val="20"/>
        </w:rPr>
        <w:t>ns. Such amounts are recorded within accumulated other comprehensive loss until they are amortized as a component of net periodic benefit cost. The following table provides a summary of pre-tax amounts recorded within accumulated other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2859"/>
        <w:gridCol w:w="37"/>
        <w:gridCol w:w="120"/>
        <w:gridCol w:w="609"/>
        <w:gridCol w:w="36"/>
        <w:gridCol w:w="36"/>
        <w:gridCol w:w="36"/>
        <w:gridCol w:w="36"/>
        <w:gridCol w:w="121"/>
        <w:gridCol w:w="556"/>
        <w:gridCol w:w="36"/>
        <w:gridCol w:w="36"/>
        <w:gridCol w:w="36"/>
        <w:gridCol w:w="36"/>
        <w:gridCol w:w="120"/>
        <w:gridCol w:w="556"/>
        <w:gridCol w:w="36"/>
        <w:gridCol w:w="36"/>
        <w:gridCol w:w="36"/>
        <w:gridCol w:w="36"/>
        <w:gridCol w:w="121"/>
        <w:gridCol w:w="556"/>
        <w:gridCol w:w="36"/>
        <w:gridCol w:w="36"/>
        <w:gridCol w:w="36"/>
        <w:gridCol w:w="36"/>
        <w:gridCol w:w="121"/>
        <w:gridCol w:w="556"/>
        <w:gridCol w:w="36"/>
        <w:gridCol w:w="36"/>
        <w:gridCol w:w="36"/>
        <w:gridCol w:w="36"/>
        <w:gridCol w:w="120"/>
        <w:gridCol w:w="556"/>
        <w:gridCol w:w="36"/>
        <w:gridCol w:w="36"/>
        <w:gridCol w:w="36"/>
        <w:gridCol w:w="36"/>
        <w:gridCol w:w="36"/>
        <w:gridCol w:w="36"/>
        <w:gridCol w:w="36"/>
        <w:gridCol w:w="36"/>
        <w:gridCol w:w="36"/>
        <w:gridCol w:w="36"/>
        <w:gridCol w:w="36"/>
        <w:gridCol w:w="36"/>
        <w:gridCol w:w="36"/>
        <w:gridCol w:w="36"/>
        <w:gridCol w:w="36"/>
      </w:tblGrid>
      <w:tr w:rsidR="00000000" w14:paraId="3B91665B" w14:textId="77777777">
        <w:trPr>
          <w:divId w:val="763764217"/>
        </w:trPr>
        <w:tc>
          <w:tcPr>
            <w:tcW w:w="50" w:type="pct"/>
            <w:vAlign w:val="center"/>
            <w:hideMark/>
          </w:tcPr>
          <w:p w14:paraId="478D26E2" w14:textId="77777777" w:rsidR="00000000" w:rsidRDefault="001A570A">
            <w:pPr>
              <w:ind w:firstLine="450"/>
              <w:rPr>
                <w:rFonts w:eastAsia="Times New Roman"/>
              </w:rPr>
            </w:pPr>
          </w:p>
        </w:tc>
        <w:tc>
          <w:tcPr>
            <w:tcW w:w="1877" w:type="pct"/>
            <w:vAlign w:val="center"/>
            <w:hideMark/>
          </w:tcPr>
          <w:p w14:paraId="0D198199" w14:textId="77777777" w:rsidR="00000000" w:rsidRDefault="001A570A">
            <w:pPr>
              <w:rPr>
                <w:rFonts w:eastAsia="Times New Roman"/>
                <w:sz w:val="20"/>
                <w:szCs w:val="20"/>
              </w:rPr>
            </w:pPr>
          </w:p>
        </w:tc>
        <w:tc>
          <w:tcPr>
            <w:tcW w:w="5" w:type="pct"/>
            <w:vAlign w:val="center"/>
            <w:hideMark/>
          </w:tcPr>
          <w:p w14:paraId="268D87BA" w14:textId="77777777" w:rsidR="00000000" w:rsidRDefault="001A570A">
            <w:pPr>
              <w:rPr>
                <w:rFonts w:eastAsia="Times New Roman"/>
                <w:sz w:val="20"/>
                <w:szCs w:val="20"/>
              </w:rPr>
            </w:pPr>
          </w:p>
        </w:tc>
        <w:tc>
          <w:tcPr>
            <w:tcW w:w="50" w:type="pct"/>
            <w:vAlign w:val="center"/>
            <w:hideMark/>
          </w:tcPr>
          <w:p w14:paraId="1E9CA671" w14:textId="77777777" w:rsidR="00000000" w:rsidRDefault="001A570A">
            <w:pPr>
              <w:rPr>
                <w:rFonts w:eastAsia="Times New Roman"/>
                <w:sz w:val="20"/>
                <w:szCs w:val="20"/>
              </w:rPr>
            </w:pPr>
          </w:p>
        </w:tc>
        <w:tc>
          <w:tcPr>
            <w:tcW w:w="426" w:type="pct"/>
            <w:vAlign w:val="center"/>
            <w:hideMark/>
          </w:tcPr>
          <w:p w14:paraId="7AA9F58B" w14:textId="77777777" w:rsidR="00000000" w:rsidRDefault="001A570A">
            <w:pPr>
              <w:rPr>
                <w:rFonts w:eastAsia="Times New Roman"/>
                <w:sz w:val="20"/>
                <w:szCs w:val="20"/>
              </w:rPr>
            </w:pPr>
          </w:p>
        </w:tc>
        <w:tc>
          <w:tcPr>
            <w:tcW w:w="5" w:type="pct"/>
            <w:vAlign w:val="center"/>
            <w:hideMark/>
          </w:tcPr>
          <w:p w14:paraId="653DD40C" w14:textId="77777777" w:rsidR="00000000" w:rsidRDefault="001A570A">
            <w:pPr>
              <w:rPr>
                <w:rFonts w:eastAsia="Times New Roman"/>
                <w:sz w:val="20"/>
                <w:szCs w:val="20"/>
              </w:rPr>
            </w:pPr>
          </w:p>
        </w:tc>
        <w:tc>
          <w:tcPr>
            <w:tcW w:w="5" w:type="pct"/>
            <w:vAlign w:val="center"/>
            <w:hideMark/>
          </w:tcPr>
          <w:p w14:paraId="0FFCC89F" w14:textId="77777777" w:rsidR="00000000" w:rsidRDefault="001A570A">
            <w:pPr>
              <w:rPr>
                <w:rFonts w:eastAsia="Times New Roman"/>
                <w:sz w:val="20"/>
                <w:szCs w:val="20"/>
              </w:rPr>
            </w:pPr>
          </w:p>
        </w:tc>
        <w:tc>
          <w:tcPr>
            <w:tcW w:w="25" w:type="pct"/>
            <w:vAlign w:val="center"/>
            <w:hideMark/>
          </w:tcPr>
          <w:p w14:paraId="6FA943B1" w14:textId="77777777" w:rsidR="00000000" w:rsidRDefault="001A570A">
            <w:pPr>
              <w:rPr>
                <w:rFonts w:eastAsia="Times New Roman"/>
                <w:sz w:val="20"/>
                <w:szCs w:val="20"/>
              </w:rPr>
            </w:pPr>
          </w:p>
        </w:tc>
        <w:tc>
          <w:tcPr>
            <w:tcW w:w="5" w:type="pct"/>
            <w:vAlign w:val="center"/>
            <w:hideMark/>
          </w:tcPr>
          <w:p w14:paraId="4B96C587" w14:textId="77777777" w:rsidR="00000000" w:rsidRDefault="001A570A">
            <w:pPr>
              <w:rPr>
                <w:rFonts w:eastAsia="Times New Roman"/>
                <w:sz w:val="20"/>
                <w:szCs w:val="20"/>
              </w:rPr>
            </w:pPr>
          </w:p>
        </w:tc>
        <w:tc>
          <w:tcPr>
            <w:tcW w:w="50" w:type="pct"/>
            <w:vAlign w:val="center"/>
            <w:hideMark/>
          </w:tcPr>
          <w:p w14:paraId="722498FE" w14:textId="77777777" w:rsidR="00000000" w:rsidRDefault="001A570A">
            <w:pPr>
              <w:rPr>
                <w:rFonts w:eastAsia="Times New Roman"/>
                <w:sz w:val="20"/>
                <w:szCs w:val="20"/>
              </w:rPr>
            </w:pPr>
          </w:p>
        </w:tc>
        <w:tc>
          <w:tcPr>
            <w:tcW w:w="426" w:type="pct"/>
            <w:vAlign w:val="center"/>
            <w:hideMark/>
          </w:tcPr>
          <w:p w14:paraId="010E3706" w14:textId="77777777" w:rsidR="00000000" w:rsidRDefault="001A570A">
            <w:pPr>
              <w:rPr>
                <w:rFonts w:eastAsia="Times New Roman"/>
                <w:sz w:val="20"/>
                <w:szCs w:val="20"/>
              </w:rPr>
            </w:pPr>
          </w:p>
        </w:tc>
        <w:tc>
          <w:tcPr>
            <w:tcW w:w="5" w:type="pct"/>
            <w:vAlign w:val="center"/>
            <w:hideMark/>
          </w:tcPr>
          <w:p w14:paraId="19618047" w14:textId="77777777" w:rsidR="00000000" w:rsidRDefault="001A570A">
            <w:pPr>
              <w:rPr>
                <w:rFonts w:eastAsia="Times New Roman"/>
                <w:sz w:val="20"/>
                <w:szCs w:val="20"/>
              </w:rPr>
            </w:pPr>
          </w:p>
        </w:tc>
        <w:tc>
          <w:tcPr>
            <w:tcW w:w="5" w:type="pct"/>
            <w:vAlign w:val="center"/>
            <w:hideMark/>
          </w:tcPr>
          <w:p w14:paraId="4C82E5E1" w14:textId="77777777" w:rsidR="00000000" w:rsidRDefault="001A570A">
            <w:pPr>
              <w:rPr>
                <w:rFonts w:eastAsia="Times New Roman"/>
                <w:sz w:val="20"/>
                <w:szCs w:val="20"/>
              </w:rPr>
            </w:pPr>
          </w:p>
        </w:tc>
        <w:tc>
          <w:tcPr>
            <w:tcW w:w="25" w:type="pct"/>
            <w:vAlign w:val="center"/>
            <w:hideMark/>
          </w:tcPr>
          <w:p w14:paraId="54B9D605" w14:textId="77777777" w:rsidR="00000000" w:rsidRDefault="001A570A">
            <w:pPr>
              <w:rPr>
                <w:rFonts w:eastAsia="Times New Roman"/>
                <w:sz w:val="20"/>
                <w:szCs w:val="20"/>
              </w:rPr>
            </w:pPr>
          </w:p>
        </w:tc>
        <w:tc>
          <w:tcPr>
            <w:tcW w:w="5" w:type="pct"/>
            <w:vAlign w:val="center"/>
            <w:hideMark/>
          </w:tcPr>
          <w:p w14:paraId="785467E9" w14:textId="77777777" w:rsidR="00000000" w:rsidRDefault="001A570A">
            <w:pPr>
              <w:rPr>
                <w:rFonts w:eastAsia="Times New Roman"/>
                <w:sz w:val="20"/>
                <w:szCs w:val="20"/>
              </w:rPr>
            </w:pPr>
          </w:p>
        </w:tc>
        <w:tc>
          <w:tcPr>
            <w:tcW w:w="50" w:type="pct"/>
            <w:vAlign w:val="center"/>
            <w:hideMark/>
          </w:tcPr>
          <w:p w14:paraId="59235DA3" w14:textId="77777777" w:rsidR="00000000" w:rsidRDefault="001A570A">
            <w:pPr>
              <w:rPr>
                <w:rFonts w:eastAsia="Times New Roman"/>
                <w:sz w:val="20"/>
                <w:szCs w:val="20"/>
              </w:rPr>
            </w:pPr>
          </w:p>
        </w:tc>
        <w:tc>
          <w:tcPr>
            <w:tcW w:w="426" w:type="pct"/>
            <w:vAlign w:val="center"/>
            <w:hideMark/>
          </w:tcPr>
          <w:p w14:paraId="3CCC2A21" w14:textId="77777777" w:rsidR="00000000" w:rsidRDefault="001A570A">
            <w:pPr>
              <w:rPr>
                <w:rFonts w:eastAsia="Times New Roman"/>
                <w:sz w:val="20"/>
                <w:szCs w:val="20"/>
              </w:rPr>
            </w:pPr>
          </w:p>
        </w:tc>
        <w:tc>
          <w:tcPr>
            <w:tcW w:w="5" w:type="pct"/>
            <w:vAlign w:val="center"/>
            <w:hideMark/>
          </w:tcPr>
          <w:p w14:paraId="7F790DC0" w14:textId="77777777" w:rsidR="00000000" w:rsidRDefault="001A570A">
            <w:pPr>
              <w:rPr>
                <w:rFonts w:eastAsia="Times New Roman"/>
                <w:sz w:val="20"/>
                <w:szCs w:val="20"/>
              </w:rPr>
            </w:pPr>
          </w:p>
        </w:tc>
        <w:tc>
          <w:tcPr>
            <w:tcW w:w="5" w:type="pct"/>
            <w:vAlign w:val="center"/>
            <w:hideMark/>
          </w:tcPr>
          <w:p w14:paraId="62116FD1" w14:textId="77777777" w:rsidR="00000000" w:rsidRDefault="001A570A">
            <w:pPr>
              <w:rPr>
                <w:rFonts w:eastAsia="Times New Roman"/>
                <w:sz w:val="20"/>
                <w:szCs w:val="20"/>
              </w:rPr>
            </w:pPr>
          </w:p>
        </w:tc>
        <w:tc>
          <w:tcPr>
            <w:tcW w:w="25" w:type="pct"/>
            <w:vAlign w:val="center"/>
            <w:hideMark/>
          </w:tcPr>
          <w:p w14:paraId="51FB8283" w14:textId="77777777" w:rsidR="00000000" w:rsidRDefault="001A570A">
            <w:pPr>
              <w:rPr>
                <w:rFonts w:eastAsia="Times New Roman"/>
                <w:sz w:val="20"/>
                <w:szCs w:val="20"/>
              </w:rPr>
            </w:pPr>
          </w:p>
        </w:tc>
        <w:tc>
          <w:tcPr>
            <w:tcW w:w="5" w:type="pct"/>
            <w:vAlign w:val="center"/>
            <w:hideMark/>
          </w:tcPr>
          <w:p w14:paraId="38CAB069" w14:textId="77777777" w:rsidR="00000000" w:rsidRDefault="001A570A">
            <w:pPr>
              <w:rPr>
                <w:rFonts w:eastAsia="Times New Roman"/>
                <w:sz w:val="20"/>
                <w:szCs w:val="20"/>
              </w:rPr>
            </w:pPr>
          </w:p>
        </w:tc>
        <w:tc>
          <w:tcPr>
            <w:tcW w:w="50" w:type="pct"/>
            <w:vAlign w:val="center"/>
            <w:hideMark/>
          </w:tcPr>
          <w:p w14:paraId="52DE774C" w14:textId="77777777" w:rsidR="00000000" w:rsidRDefault="001A570A">
            <w:pPr>
              <w:rPr>
                <w:rFonts w:eastAsia="Times New Roman"/>
                <w:sz w:val="20"/>
                <w:szCs w:val="20"/>
              </w:rPr>
            </w:pPr>
          </w:p>
        </w:tc>
        <w:tc>
          <w:tcPr>
            <w:tcW w:w="426" w:type="pct"/>
            <w:vAlign w:val="center"/>
            <w:hideMark/>
          </w:tcPr>
          <w:p w14:paraId="3B937F91" w14:textId="77777777" w:rsidR="00000000" w:rsidRDefault="001A570A">
            <w:pPr>
              <w:rPr>
                <w:rFonts w:eastAsia="Times New Roman"/>
                <w:sz w:val="20"/>
                <w:szCs w:val="20"/>
              </w:rPr>
            </w:pPr>
          </w:p>
        </w:tc>
        <w:tc>
          <w:tcPr>
            <w:tcW w:w="5" w:type="pct"/>
            <w:vAlign w:val="center"/>
            <w:hideMark/>
          </w:tcPr>
          <w:p w14:paraId="2491B92A" w14:textId="77777777" w:rsidR="00000000" w:rsidRDefault="001A570A">
            <w:pPr>
              <w:rPr>
                <w:rFonts w:eastAsia="Times New Roman"/>
                <w:sz w:val="20"/>
                <w:szCs w:val="20"/>
              </w:rPr>
            </w:pPr>
          </w:p>
        </w:tc>
        <w:tc>
          <w:tcPr>
            <w:tcW w:w="5" w:type="pct"/>
            <w:vAlign w:val="center"/>
            <w:hideMark/>
          </w:tcPr>
          <w:p w14:paraId="057951C9" w14:textId="77777777" w:rsidR="00000000" w:rsidRDefault="001A570A">
            <w:pPr>
              <w:rPr>
                <w:rFonts w:eastAsia="Times New Roman"/>
                <w:sz w:val="20"/>
                <w:szCs w:val="20"/>
              </w:rPr>
            </w:pPr>
          </w:p>
        </w:tc>
        <w:tc>
          <w:tcPr>
            <w:tcW w:w="25" w:type="pct"/>
            <w:vAlign w:val="center"/>
            <w:hideMark/>
          </w:tcPr>
          <w:p w14:paraId="1A43311D" w14:textId="77777777" w:rsidR="00000000" w:rsidRDefault="001A570A">
            <w:pPr>
              <w:rPr>
                <w:rFonts w:eastAsia="Times New Roman"/>
                <w:sz w:val="20"/>
                <w:szCs w:val="20"/>
              </w:rPr>
            </w:pPr>
          </w:p>
        </w:tc>
        <w:tc>
          <w:tcPr>
            <w:tcW w:w="5" w:type="pct"/>
            <w:vAlign w:val="center"/>
            <w:hideMark/>
          </w:tcPr>
          <w:p w14:paraId="1EBFD5A4" w14:textId="77777777" w:rsidR="00000000" w:rsidRDefault="001A570A">
            <w:pPr>
              <w:rPr>
                <w:rFonts w:eastAsia="Times New Roman"/>
                <w:sz w:val="20"/>
                <w:szCs w:val="20"/>
              </w:rPr>
            </w:pPr>
          </w:p>
        </w:tc>
        <w:tc>
          <w:tcPr>
            <w:tcW w:w="50" w:type="pct"/>
            <w:vAlign w:val="center"/>
            <w:hideMark/>
          </w:tcPr>
          <w:p w14:paraId="4073BF95" w14:textId="77777777" w:rsidR="00000000" w:rsidRDefault="001A570A">
            <w:pPr>
              <w:rPr>
                <w:rFonts w:eastAsia="Times New Roman"/>
                <w:sz w:val="20"/>
                <w:szCs w:val="20"/>
              </w:rPr>
            </w:pPr>
          </w:p>
        </w:tc>
        <w:tc>
          <w:tcPr>
            <w:tcW w:w="426" w:type="pct"/>
            <w:vAlign w:val="center"/>
            <w:hideMark/>
          </w:tcPr>
          <w:p w14:paraId="33898A27" w14:textId="77777777" w:rsidR="00000000" w:rsidRDefault="001A570A">
            <w:pPr>
              <w:rPr>
                <w:rFonts w:eastAsia="Times New Roman"/>
                <w:sz w:val="20"/>
                <w:szCs w:val="20"/>
              </w:rPr>
            </w:pPr>
          </w:p>
        </w:tc>
        <w:tc>
          <w:tcPr>
            <w:tcW w:w="5" w:type="pct"/>
            <w:vAlign w:val="center"/>
            <w:hideMark/>
          </w:tcPr>
          <w:p w14:paraId="3E85B789" w14:textId="77777777" w:rsidR="00000000" w:rsidRDefault="001A570A">
            <w:pPr>
              <w:rPr>
                <w:rFonts w:eastAsia="Times New Roman"/>
                <w:sz w:val="20"/>
                <w:szCs w:val="20"/>
              </w:rPr>
            </w:pPr>
          </w:p>
        </w:tc>
        <w:tc>
          <w:tcPr>
            <w:tcW w:w="5" w:type="pct"/>
            <w:vAlign w:val="center"/>
            <w:hideMark/>
          </w:tcPr>
          <w:p w14:paraId="2ADED38B" w14:textId="77777777" w:rsidR="00000000" w:rsidRDefault="001A570A">
            <w:pPr>
              <w:rPr>
                <w:rFonts w:eastAsia="Times New Roman"/>
                <w:sz w:val="20"/>
                <w:szCs w:val="20"/>
              </w:rPr>
            </w:pPr>
          </w:p>
        </w:tc>
        <w:tc>
          <w:tcPr>
            <w:tcW w:w="25" w:type="pct"/>
            <w:vAlign w:val="center"/>
            <w:hideMark/>
          </w:tcPr>
          <w:p w14:paraId="41664DFE" w14:textId="77777777" w:rsidR="00000000" w:rsidRDefault="001A570A">
            <w:pPr>
              <w:rPr>
                <w:rFonts w:eastAsia="Times New Roman"/>
                <w:sz w:val="20"/>
                <w:szCs w:val="20"/>
              </w:rPr>
            </w:pPr>
          </w:p>
        </w:tc>
        <w:tc>
          <w:tcPr>
            <w:tcW w:w="5" w:type="pct"/>
            <w:vAlign w:val="center"/>
            <w:hideMark/>
          </w:tcPr>
          <w:p w14:paraId="0CCAE297" w14:textId="77777777" w:rsidR="00000000" w:rsidRDefault="001A570A">
            <w:pPr>
              <w:rPr>
                <w:rFonts w:eastAsia="Times New Roman"/>
                <w:sz w:val="20"/>
                <w:szCs w:val="20"/>
              </w:rPr>
            </w:pPr>
          </w:p>
        </w:tc>
        <w:tc>
          <w:tcPr>
            <w:tcW w:w="50" w:type="pct"/>
            <w:vAlign w:val="center"/>
            <w:hideMark/>
          </w:tcPr>
          <w:p w14:paraId="5E63821C" w14:textId="77777777" w:rsidR="00000000" w:rsidRDefault="001A570A">
            <w:pPr>
              <w:rPr>
                <w:rFonts w:eastAsia="Times New Roman"/>
                <w:sz w:val="20"/>
                <w:szCs w:val="20"/>
              </w:rPr>
            </w:pPr>
          </w:p>
        </w:tc>
        <w:tc>
          <w:tcPr>
            <w:tcW w:w="426" w:type="pct"/>
            <w:vAlign w:val="center"/>
            <w:hideMark/>
          </w:tcPr>
          <w:p w14:paraId="2A836269" w14:textId="77777777" w:rsidR="00000000" w:rsidRDefault="001A570A">
            <w:pPr>
              <w:rPr>
                <w:rFonts w:eastAsia="Times New Roman"/>
                <w:sz w:val="20"/>
                <w:szCs w:val="20"/>
              </w:rPr>
            </w:pPr>
          </w:p>
        </w:tc>
        <w:tc>
          <w:tcPr>
            <w:tcW w:w="5" w:type="pct"/>
            <w:vAlign w:val="center"/>
            <w:hideMark/>
          </w:tcPr>
          <w:p w14:paraId="0D6321C0" w14:textId="77777777" w:rsidR="00000000" w:rsidRDefault="001A570A">
            <w:pPr>
              <w:rPr>
                <w:rFonts w:eastAsia="Times New Roman"/>
                <w:sz w:val="20"/>
                <w:szCs w:val="20"/>
              </w:rPr>
            </w:pPr>
          </w:p>
        </w:tc>
        <w:tc>
          <w:tcPr>
            <w:tcW w:w="0" w:type="auto"/>
            <w:vAlign w:val="center"/>
            <w:hideMark/>
          </w:tcPr>
          <w:p w14:paraId="2F1280CB" w14:textId="77777777" w:rsidR="00000000" w:rsidRDefault="001A570A">
            <w:pPr>
              <w:rPr>
                <w:rFonts w:eastAsia="Times New Roman"/>
                <w:sz w:val="20"/>
                <w:szCs w:val="20"/>
              </w:rPr>
            </w:pPr>
          </w:p>
        </w:tc>
        <w:tc>
          <w:tcPr>
            <w:tcW w:w="0" w:type="auto"/>
            <w:vAlign w:val="center"/>
            <w:hideMark/>
          </w:tcPr>
          <w:p w14:paraId="73E3AE81" w14:textId="77777777" w:rsidR="00000000" w:rsidRDefault="001A570A">
            <w:pPr>
              <w:rPr>
                <w:rFonts w:eastAsia="Times New Roman"/>
                <w:sz w:val="20"/>
                <w:szCs w:val="20"/>
              </w:rPr>
            </w:pPr>
          </w:p>
        </w:tc>
        <w:tc>
          <w:tcPr>
            <w:tcW w:w="0" w:type="auto"/>
            <w:gridSpan w:val="3"/>
            <w:vAlign w:val="center"/>
            <w:hideMark/>
          </w:tcPr>
          <w:p w14:paraId="00AA8500" w14:textId="77777777" w:rsidR="00000000" w:rsidRDefault="001A570A">
            <w:pPr>
              <w:rPr>
                <w:rFonts w:eastAsia="Times New Roman"/>
                <w:sz w:val="20"/>
                <w:szCs w:val="20"/>
              </w:rPr>
            </w:pPr>
          </w:p>
        </w:tc>
        <w:tc>
          <w:tcPr>
            <w:tcW w:w="0" w:type="auto"/>
            <w:gridSpan w:val="3"/>
            <w:vAlign w:val="center"/>
            <w:hideMark/>
          </w:tcPr>
          <w:p w14:paraId="28BD077A" w14:textId="77777777" w:rsidR="00000000" w:rsidRDefault="001A570A">
            <w:pPr>
              <w:rPr>
                <w:rFonts w:eastAsia="Times New Roman"/>
                <w:sz w:val="20"/>
                <w:szCs w:val="20"/>
              </w:rPr>
            </w:pPr>
          </w:p>
        </w:tc>
        <w:tc>
          <w:tcPr>
            <w:tcW w:w="0" w:type="auto"/>
            <w:gridSpan w:val="3"/>
            <w:vAlign w:val="center"/>
            <w:hideMark/>
          </w:tcPr>
          <w:p w14:paraId="76D488D1" w14:textId="77777777" w:rsidR="00000000" w:rsidRDefault="001A570A">
            <w:pPr>
              <w:rPr>
                <w:rFonts w:eastAsia="Times New Roman"/>
                <w:sz w:val="20"/>
                <w:szCs w:val="20"/>
              </w:rPr>
            </w:pPr>
          </w:p>
        </w:tc>
        <w:tc>
          <w:tcPr>
            <w:tcW w:w="0" w:type="auto"/>
            <w:gridSpan w:val="3"/>
            <w:vAlign w:val="center"/>
            <w:hideMark/>
          </w:tcPr>
          <w:p w14:paraId="5291B9CA" w14:textId="77777777" w:rsidR="00000000" w:rsidRDefault="001A570A">
            <w:pPr>
              <w:rPr>
                <w:rFonts w:eastAsia="Times New Roman"/>
                <w:sz w:val="20"/>
                <w:szCs w:val="20"/>
              </w:rPr>
            </w:pPr>
          </w:p>
        </w:tc>
      </w:tr>
      <w:tr w:rsidR="00000000" w14:paraId="7EC1DDAC" w14:textId="77777777">
        <w:trPr>
          <w:divId w:val="763764217"/>
        </w:trPr>
        <w:tc>
          <w:tcPr>
            <w:tcW w:w="0" w:type="auto"/>
            <w:gridSpan w:val="3"/>
            <w:tcMar>
              <w:top w:w="30" w:type="dxa"/>
              <w:left w:w="20" w:type="dxa"/>
              <w:bottom w:w="30" w:type="dxa"/>
              <w:right w:w="20" w:type="dxa"/>
            </w:tcMar>
            <w:vAlign w:val="bottom"/>
            <w:hideMark/>
          </w:tcPr>
          <w:p w14:paraId="54108115" w14:textId="77777777" w:rsidR="00000000" w:rsidRDefault="001A570A">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1834DC2C"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3EEF39C9"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7A889787"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652A0922" w14:textId="77777777" w:rsidR="00000000" w:rsidRDefault="001A570A">
            <w:pPr>
              <w:jc w:val="center"/>
              <w:rPr>
                <w:rFonts w:eastAsia="Times New Roman"/>
              </w:rPr>
            </w:pPr>
          </w:p>
        </w:tc>
        <w:tc>
          <w:tcPr>
            <w:tcW w:w="0" w:type="auto"/>
            <w:vAlign w:val="center"/>
            <w:hideMark/>
          </w:tcPr>
          <w:p w14:paraId="18AD3731" w14:textId="77777777" w:rsidR="00000000" w:rsidRDefault="001A570A">
            <w:pPr>
              <w:rPr>
                <w:rFonts w:eastAsia="Times New Roman"/>
                <w:sz w:val="20"/>
                <w:szCs w:val="20"/>
              </w:rPr>
            </w:pPr>
          </w:p>
        </w:tc>
        <w:tc>
          <w:tcPr>
            <w:tcW w:w="0" w:type="auto"/>
            <w:vAlign w:val="center"/>
            <w:hideMark/>
          </w:tcPr>
          <w:p w14:paraId="482B2479" w14:textId="77777777" w:rsidR="00000000" w:rsidRDefault="001A570A">
            <w:pPr>
              <w:rPr>
                <w:rFonts w:eastAsia="Times New Roman"/>
                <w:sz w:val="20"/>
                <w:szCs w:val="20"/>
              </w:rPr>
            </w:pPr>
          </w:p>
        </w:tc>
        <w:tc>
          <w:tcPr>
            <w:tcW w:w="0" w:type="auto"/>
            <w:vAlign w:val="center"/>
            <w:hideMark/>
          </w:tcPr>
          <w:p w14:paraId="3A230F59" w14:textId="77777777" w:rsidR="00000000" w:rsidRDefault="001A570A">
            <w:pPr>
              <w:rPr>
                <w:rFonts w:eastAsia="Times New Roman"/>
                <w:sz w:val="20"/>
                <w:szCs w:val="20"/>
              </w:rPr>
            </w:pPr>
          </w:p>
        </w:tc>
        <w:tc>
          <w:tcPr>
            <w:tcW w:w="0" w:type="auto"/>
            <w:vAlign w:val="center"/>
            <w:hideMark/>
          </w:tcPr>
          <w:p w14:paraId="6E10978E" w14:textId="77777777" w:rsidR="00000000" w:rsidRDefault="001A570A">
            <w:pPr>
              <w:rPr>
                <w:rFonts w:eastAsia="Times New Roman"/>
                <w:sz w:val="20"/>
                <w:szCs w:val="20"/>
              </w:rPr>
            </w:pPr>
          </w:p>
        </w:tc>
        <w:tc>
          <w:tcPr>
            <w:tcW w:w="0" w:type="auto"/>
            <w:vAlign w:val="center"/>
            <w:hideMark/>
          </w:tcPr>
          <w:p w14:paraId="0D9314B5" w14:textId="77777777" w:rsidR="00000000" w:rsidRDefault="001A570A">
            <w:pPr>
              <w:rPr>
                <w:rFonts w:eastAsia="Times New Roman"/>
                <w:sz w:val="20"/>
                <w:szCs w:val="20"/>
              </w:rPr>
            </w:pPr>
          </w:p>
        </w:tc>
        <w:tc>
          <w:tcPr>
            <w:tcW w:w="0" w:type="auto"/>
            <w:vAlign w:val="center"/>
            <w:hideMark/>
          </w:tcPr>
          <w:p w14:paraId="5E8E0971" w14:textId="77777777" w:rsidR="00000000" w:rsidRDefault="001A570A">
            <w:pPr>
              <w:rPr>
                <w:rFonts w:eastAsia="Times New Roman"/>
                <w:sz w:val="20"/>
                <w:szCs w:val="20"/>
              </w:rPr>
            </w:pPr>
          </w:p>
        </w:tc>
        <w:tc>
          <w:tcPr>
            <w:tcW w:w="0" w:type="auto"/>
            <w:vAlign w:val="center"/>
            <w:hideMark/>
          </w:tcPr>
          <w:p w14:paraId="0A0D1BE8" w14:textId="77777777" w:rsidR="00000000" w:rsidRDefault="001A570A">
            <w:pPr>
              <w:rPr>
                <w:rFonts w:eastAsia="Times New Roman"/>
                <w:sz w:val="20"/>
                <w:szCs w:val="20"/>
              </w:rPr>
            </w:pPr>
          </w:p>
        </w:tc>
        <w:tc>
          <w:tcPr>
            <w:tcW w:w="0" w:type="auto"/>
            <w:vAlign w:val="center"/>
            <w:hideMark/>
          </w:tcPr>
          <w:p w14:paraId="33F43D51" w14:textId="77777777" w:rsidR="00000000" w:rsidRDefault="001A570A">
            <w:pPr>
              <w:rPr>
                <w:rFonts w:eastAsia="Times New Roman"/>
                <w:sz w:val="20"/>
                <w:szCs w:val="20"/>
              </w:rPr>
            </w:pPr>
          </w:p>
        </w:tc>
        <w:tc>
          <w:tcPr>
            <w:tcW w:w="0" w:type="auto"/>
            <w:vAlign w:val="center"/>
            <w:hideMark/>
          </w:tcPr>
          <w:p w14:paraId="3BE12272" w14:textId="77777777" w:rsidR="00000000" w:rsidRDefault="001A570A">
            <w:pPr>
              <w:rPr>
                <w:rFonts w:eastAsia="Times New Roman"/>
                <w:sz w:val="20"/>
                <w:szCs w:val="20"/>
              </w:rPr>
            </w:pPr>
          </w:p>
        </w:tc>
        <w:tc>
          <w:tcPr>
            <w:tcW w:w="0" w:type="auto"/>
            <w:vAlign w:val="center"/>
            <w:hideMark/>
          </w:tcPr>
          <w:p w14:paraId="46F336F8" w14:textId="77777777" w:rsidR="00000000" w:rsidRDefault="001A570A">
            <w:pPr>
              <w:rPr>
                <w:rFonts w:eastAsia="Times New Roman"/>
                <w:sz w:val="20"/>
                <w:szCs w:val="20"/>
              </w:rPr>
            </w:pPr>
          </w:p>
        </w:tc>
        <w:tc>
          <w:tcPr>
            <w:tcW w:w="0" w:type="auto"/>
            <w:vAlign w:val="center"/>
            <w:hideMark/>
          </w:tcPr>
          <w:p w14:paraId="7B90B3D6" w14:textId="77777777" w:rsidR="00000000" w:rsidRDefault="001A570A">
            <w:pPr>
              <w:rPr>
                <w:rFonts w:eastAsia="Times New Roman"/>
                <w:sz w:val="20"/>
                <w:szCs w:val="20"/>
              </w:rPr>
            </w:pPr>
          </w:p>
        </w:tc>
        <w:tc>
          <w:tcPr>
            <w:tcW w:w="0" w:type="auto"/>
            <w:vAlign w:val="center"/>
            <w:hideMark/>
          </w:tcPr>
          <w:p w14:paraId="79502096" w14:textId="77777777" w:rsidR="00000000" w:rsidRDefault="001A570A">
            <w:pPr>
              <w:rPr>
                <w:rFonts w:eastAsia="Times New Roman"/>
                <w:sz w:val="20"/>
                <w:szCs w:val="20"/>
              </w:rPr>
            </w:pPr>
          </w:p>
        </w:tc>
        <w:tc>
          <w:tcPr>
            <w:tcW w:w="0" w:type="auto"/>
            <w:vAlign w:val="center"/>
            <w:hideMark/>
          </w:tcPr>
          <w:p w14:paraId="11FF0079" w14:textId="77777777" w:rsidR="00000000" w:rsidRDefault="001A570A">
            <w:pPr>
              <w:rPr>
                <w:rFonts w:eastAsia="Times New Roman"/>
                <w:sz w:val="20"/>
                <w:szCs w:val="20"/>
              </w:rPr>
            </w:pPr>
          </w:p>
        </w:tc>
      </w:tr>
      <w:tr w:rsidR="00000000" w14:paraId="779E2AB1" w14:textId="77777777">
        <w:trPr>
          <w:divId w:val="763764217"/>
        </w:trPr>
        <w:tc>
          <w:tcPr>
            <w:tcW w:w="0" w:type="auto"/>
            <w:gridSpan w:val="3"/>
            <w:tcMar>
              <w:top w:w="30" w:type="dxa"/>
              <w:left w:w="20" w:type="dxa"/>
              <w:bottom w:w="30" w:type="dxa"/>
              <w:right w:w="20" w:type="dxa"/>
            </w:tcMar>
            <w:vAlign w:val="bottom"/>
            <w:hideMark/>
          </w:tcPr>
          <w:p w14:paraId="6E6206C5"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1AA9400"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47FC952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F2A1C8"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5A353A5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0CF147"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691156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EFA7E7"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0309105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C41DF7"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37BE501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137E84" w14:textId="77777777" w:rsidR="00000000" w:rsidRDefault="001A570A">
            <w:pPr>
              <w:jc w:val="center"/>
              <w:rPr>
                <w:rFonts w:eastAsia="Times New Roman"/>
              </w:rPr>
            </w:pPr>
            <w:r>
              <w:rPr>
                <w:rFonts w:eastAsia="Times New Roman"/>
                <w:b/>
                <w:bCs/>
                <w:color w:val="000000"/>
                <w:sz w:val="16"/>
                <w:szCs w:val="16"/>
              </w:rPr>
              <w:t>Total</w:t>
            </w:r>
          </w:p>
        </w:tc>
        <w:tc>
          <w:tcPr>
            <w:tcW w:w="0" w:type="auto"/>
            <w:vAlign w:val="center"/>
            <w:hideMark/>
          </w:tcPr>
          <w:p w14:paraId="55E9409B" w14:textId="77777777" w:rsidR="00000000" w:rsidRDefault="001A570A">
            <w:pPr>
              <w:jc w:val="center"/>
              <w:rPr>
                <w:rFonts w:eastAsia="Times New Roman"/>
              </w:rPr>
            </w:pPr>
          </w:p>
        </w:tc>
        <w:tc>
          <w:tcPr>
            <w:tcW w:w="0" w:type="auto"/>
            <w:vAlign w:val="center"/>
            <w:hideMark/>
          </w:tcPr>
          <w:p w14:paraId="70604C0D" w14:textId="77777777" w:rsidR="00000000" w:rsidRDefault="001A570A">
            <w:pPr>
              <w:rPr>
                <w:rFonts w:eastAsia="Times New Roman"/>
                <w:sz w:val="20"/>
                <w:szCs w:val="20"/>
              </w:rPr>
            </w:pPr>
          </w:p>
        </w:tc>
        <w:tc>
          <w:tcPr>
            <w:tcW w:w="0" w:type="auto"/>
            <w:gridSpan w:val="3"/>
            <w:vAlign w:val="center"/>
            <w:hideMark/>
          </w:tcPr>
          <w:p w14:paraId="39529572" w14:textId="77777777" w:rsidR="00000000" w:rsidRDefault="001A570A">
            <w:pPr>
              <w:rPr>
                <w:rFonts w:eastAsia="Times New Roman"/>
                <w:sz w:val="20"/>
                <w:szCs w:val="20"/>
              </w:rPr>
            </w:pPr>
          </w:p>
        </w:tc>
        <w:tc>
          <w:tcPr>
            <w:tcW w:w="0" w:type="auto"/>
            <w:gridSpan w:val="3"/>
            <w:vAlign w:val="center"/>
            <w:hideMark/>
          </w:tcPr>
          <w:p w14:paraId="303C00AB" w14:textId="77777777" w:rsidR="00000000" w:rsidRDefault="001A570A">
            <w:pPr>
              <w:rPr>
                <w:rFonts w:eastAsia="Times New Roman"/>
                <w:sz w:val="20"/>
                <w:szCs w:val="20"/>
              </w:rPr>
            </w:pPr>
          </w:p>
        </w:tc>
        <w:tc>
          <w:tcPr>
            <w:tcW w:w="0" w:type="auto"/>
            <w:gridSpan w:val="3"/>
            <w:vAlign w:val="center"/>
            <w:hideMark/>
          </w:tcPr>
          <w:p w14:paraId="08F27A30" w14:textId="77777777" w:rsidR="00000000" w:rsidRDefault="001A570A">
            <w:pPr>
              <w:rPr>
                <w:rFonts w:eastAsia="Times New Roman"/>
                <w:sz w:val="20"/>
                <w:szCs w:val="20"/>
              </w:rPr>
            </w:pPr>
          </w:p>
        </w:tc>
        <w:tc>
          <w:tcPr>
            <w:tcW w:w="0" w:type="auto"/>
            <w:gridSpan w:val="3"/>
            <w:vAlign w:val="center"/>
            <w:hideMark/>
          </w:tcPr>
          <w:p w14:paraId="594643A6" w14:textId="77777777" w:rsidR="00000000" w:rsidRDefault="001A570A">
            <w:pPr>
              <w:rPr>
                <w:rFonts w:eastAsia="Times New Roman"/>
                <w:sz w:val="20"/>
                <w:szCs w:val="20"/>
              </w:rPr>
            </w:pPr>
          </w:p>
        </w:tc>
      </w:tr>
      <w:tr w:rsidR="00000000" w14:paraId="0882C436" w14:textId="77777777">
        <w:trPr>
          <w:divId w:val="763764217"/>
          <w:trHeight w:val="60"/>
        </w:trPr>
        <w:tc>
          <w:tcPr>
            <w:tcW w:w="0" w:type="auto"/>
            <w:gridSpan w:val="3"/>
            <w:tcMar>
              <w:top w:w="0" w:type="dxa"/>
              <w:left w:w="20" w:type="dxa"/>
              <w:bottom w:w="0" w:type="dxa"/>
              <w:right w:w="20" w:type="dxa"/>
            </w:tcMar>
            <w:vAlign w:val="center"/>
            <w:hideMark/>
          </w:tcPr>
          <w:p w14:paraId="09D8BE0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FE60B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BD12E5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EB7B9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EF26FA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B170C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340040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E6EE1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B498E2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DF29D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F53DA8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F2DE81" w14:textId="77777777" w:rsidR="00000000" w:rsidRDefault="001A570A">
            <w:pPr>
              <w:rPr>
                <w:rFonts w:eastAsia="Times New Roman"/>
                <w:sz w:val="20"/>
                <w:szCs w:val="20"/>
              </w:rPr>
            </w:pPr>
          </w:p>
        </w:tc>
        <w:tc>
          <w:tcPr>
            <w:tcW w:w="0" w:type="auto"/>
            <w:vAlign w:val="center"/>
            <w:hideMark/>
          </w:tcPr>
          <w:p w14:paraId="764EF1EC" w14:textId="77777777" w:rsidR="00000000" w:rsidRDefault="001A570A">
            <w:pPr>
              <w:rPr>
                <w:rFonts w:eastAsia="Times New Roman"/>
                <w:sz w:val="20"/>
                <w:szCs w:val="20"/>
              </w:rPr>
            </w:pPr>
          </w:p>
        </w:tc>
        <w:tc>
          <w:tcPr>
            <w:tcW w:w="0" w:type="auto"/>
            <w:vAlign w:val="center"/>
            <w:hideMark/>
          </w:tcPr>
          <w:p w14:paraId="4DA3DCB3" w14:textId="77777777" w:rsidR="00000000" w:rsidRDefault="001A570A">
            <w:pPr>
              <w:rPr>
                <w:rFonts w:eastAsia="Times New Roman"/>
                <w:sz w:val="20"/>
                <w:szCs w:val="20"/>
              </w:rPr>
            </w:pPr>
          </w:p>
        </w:tc>
        <w:tc>
          <w:tcPr>
            <w:tcW w:w="0" w:type="auto"/>
            <w:gridSpan w:val="3"/>
            <w:vAlign w:val="center"/>
            <w:hideMark/>
          </w:tcPr>
          <w:p w14:paraId="2256A382" w14:textId="77777777" w:rsidR="00000000" w:rsidRDefault="001A570A">
            <w:pPr>
              <w:rPr>
                <w:rFonts w:eastAsia="Times New Roman"/>
                <w:sz w:val="20"/>
                <w:szCs w:val="20"/>
              </w:rPr>
            </w:pPr>
          </w:p>
        </w:tc>
        <w:tc>
          <w:tcPr>
            <w:tcW w:w="0" w:type="auto"/>
            <w:gridSpan w:val="3"/>
            <w:vAlign w:val="center"/>
            <w:hideMark/>
          </w:tcPr>
          <w:p w14:paraId="70CB7BF4" w14:textId="77777777" w:rsidR="00000000" w:rsidRDefault="001A570A">
            <w:pPr>
              <w:rPr>
                <w:rFonts w:eastAsia="Times New Roman"/>
                <w:sz w:val="20"/>
                <w:szCs w:val="20"/>
              </w:rPr>
            </w:pPr>
          </w:p>
        </w:tc>
        <w:tc>
          <w:tcPr>
            <w:tcW w:w="0" w:type="auto"/>
            <w:gridSpan w:val="3"/>
            <w:vAlign w:val="center"/>
            <w:hideMark/>
          </w:tcPr>
          <w:p w14:paraId="495F35A7" w14:textId="77777777" w:rsidR="00000000" w:rsidRDefault="001A570A">
            <w:pPr>
              <w:rPr>
                <w:rFonts w:eastAsia="Times New Roman"/>
                <w:sz w:val="20"/>
                <w:szCs w:val="20"/>
              </w:rPr>
            </w:pPr>
          </w:p>
        </w:tc>
        <w:tc>
          <w:tcPr>
            <w:tcW w:w="0" w:type="auto"/>
            <w:gridSpan w:val="3"/>
            <w:vAlign w:val="center"/>
            <w:hideMark/>
          </w:tcPr>
          <w:p w14:paraId="649A24CD" w14:textId="77777777" w:rsidR="00000000" w:rsidRDefault="001A570A">
            <w:pPr>
              <w:rPr>
                <w:rFonts w:eastAsia="Times New Roman"/>
                <w:sz w:val="20"/>
                <w:szCs w:val="20"/>
              </w:rPr>
            </w:pPr>
          </w:p>
        </w:tc>
      </w:tr>
      <w:tr w:rsidR="00000000" w14:paraId="3D83DC6C" w14:textId="77777777">
        <w:trPr>
          <w:divId w:val="763764217"/>
        </w:trPr>
        <w:tc>
          <w:tcPr>
            <w:tcW w:w="0" w:type="auto"/>
            <w:gridSpan w:val="3"/>
            <w:shd w:val="clear" w:color="auto" w:fill="CCEEFF"/>
            <w:tcMar>
              <w:top w:w="30" w:type="dxa"/>
              <w:left w:w="20" w:type="dxa"/>
              <w:bottom w:w="30" w:type="dxa"/>
              <w:right w:w="20" w:type="dxa"/>
            </w:tcMar>
            <w:hideMark/>
          </w:tcPr>
          <w:p w14:paraId="1BAE0923" w14:textId="77777777" w:rsidR="00000000" w:rsidRDefault="001A570A">
            <w:pPr>
              <w:rPr>
                <w:rFonts w:eastAsia="Times New Roman"/>
              </w:rPr>
            </w:pPr>
            <w:r>
              <w:rPr>
                <w:rFonts w:eastAsia="Times New Roman"/>
                <w:color w:val="000000"/>
                <w:sz w:val="20"/>
                <w:szCs w:val="20"/>
              </w:rPr>
              <w:t>Net actuarial loss (gain)</w:t>
            </w:r>
          </w:p>
        </w:tc>
        <w:tc>
          <w:tcPr>
            <w:tcW w:w="0" w:type="auto"/>
            <w:shd w:val="clear" w:color="auto" w:fill="CCEEFF"/>
            <w:tcMar>
              <w:top w:w="30" w:type="dxa"/>
              <w:left w:w="20" w:type="dxa"/>
              <w:bottom w:w="30" w:type="dxa"/>
              <w:right w:w="0" w:type="dxa"/>
            </w:tcMar>
            <w:vAlign w:val="bottom"/>
            <w:hideMark/>
          </w:tcPr>
          <w:p w14:paraId="7EA13C0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89FC12" w14:textId="77777777" w:rsidR="00000000" w:rsidRDefault="001A570A">
            <w:pPr>
              <w:jc w:val="right"/>
              <w:rPr>
                <w:rFonts w:eastAsia="Times New Roman"/>
              </w:rPr>
            </w:pPr>
            <w:r>
              <w:rPr>
                <w:rFonts w:eastAsia="Times New Roman"/>
                <w:color w:val="000000"/>
                <w:sz w:val="20"/>
                <w:szCs w:val="20"/>
              </w:rPr>
              <w:t>1,215 </w:t>
            </w:r>
          </w:p>
        </w:tc>
        <w:tc>
          <w:tcPr>
            <w:tcW w:w="0" w:type="auto"/>
            <w:shd w:val="clear" w:color="auto" w:fill="CCEEFF"/>
            <w:tcMar>
              <w:top w:w="30" w:type="dxa"/>
              <w:left w:w="0" w:type="dxa"/>
              <w:bottom w:w="30" w:type="dxa"/>
              <w:right w:w="20" w:type="dxa"/>
            </w:tcMar>
            <w:vAlign w:val="bottom"/>
            <w:hideMark/>
          </w:tcPr>
          <w:p w14:paraId="6A97F2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7D49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E42D9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B5567D"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05C3DD7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2FE5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B3EB4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54F76D" w14:textId="77777777" w:rsidR="00000000" w:rsidRDefault="001A570A">
            <w:pPr>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14:paraId="2CA4F02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D128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DCBE8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851F34" w14:textId="77777777" w:rsidR="00000000" w:rsidRDefault="001A570A">
            <w:pPr>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14:paraId="6B0AB42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F1B9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C2047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31FAD5" w14:textId="77777777" w:rsidR="00000000" w:rsidRDefault="001A570A">
            <w:pPr>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4A70A0A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040B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4FBE1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33B693F" w14:textId="77777777" w:rsidR="00000000" w:rsidRDefault="001A570A">
            <w:pPr>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14:paraId="39414BE9" w14:textId="77777777" w:rsidR="00000000" w:rsidRDefault="001A570A">
            <w:pPr>
              <w:jc w:val="right"/>
              <w:rPr>
                <w:rFonts w:eastAsia="Times New Roman"/>
              </w:rPr>
            </w:pPr>
          </w:p>
        </w:tc>
        <w:tc>
          <w:tcPr>
            <w:tcW w:w="0" w:type="auto"/>
            <w:vAlign w:val="center"/>
            <w:hideMark/>
          </w:tcPr>
          <w:p w14:paraId="190A0210" w14:textId="77777777" w:rsidR="00000000" w:rsidRDefault="001A570A">
            <w:pPr>
              <w:jc w:val="right"/>
              <w:rPr>
                <w:rFonts w:eastAsia="Times New Roman"/>
                <w:sz w:val="20"/>
                <w:szCs w:val="20"/>
              </w:rPr>
            </w:pPr>
          </w:p>
        </w:tc>
        <w:tc>
          <w:tcPr>
            <w:tcW w:w="0" w:type="auto"/>
            <w:vAlign w:val="center"/>
            <w:hideMark/>
          </w:tcPr>
          <w:p w14:paraId="2FFDE02D" w14:textId="77777777" w:rsidR="00000000" w:rsidRDefault="001A570A">
            <w:pPr>
              <w:rPr>
                <w:rFonts w:eastAsia="Times New Roman"/>
                <w:sz w:val="20"/>
                <w:szCs w:val="20"/>
              </w:rPr>
            </w:pPr>
          </w:p>
        </w:tc>
        <w:tc>
          <w:tcPr>
            <w:tcW w:w="0" w:type="auto"/>
            <w:gridSpan w:val="3"/>
            <w:vAlign w:val="center"/>
            <w:hideMark/>
          </w:tcPr>
          <w:p w14:paraId="398DF950" w14:textId="77777777" w:rsidR="00000000" w:rsidRDefault="001A570A">
            <w:pPr>
              <w:rPr>
                <w:rFonts w:eastAsia="Times New Roman"/>
                <w:sz w:val="20"/>
                <w:szCs w:val="20"/>
              </w:rPr>
            </w:pPr>
          </w:p>
        </w:tc>
        <w:tc>
          <w:tcPr>
            <w:tcW w:w="0" w:type="auto"/>
            <w:gridSpan w:val="3"/>
            <w:vAlign w:val="center"/>
            <w:hideMark/>
          </w:tcPr>
          <w:p w14:paraId="16A2392C" w14:textId="77777777" w:rsidR="00000000" w:rsidRDefault="001A570A">
            <w:pPr>
              <w:rPr>
                <w:rFonts w:eastAsia="Times New Roman"/>
                <w:sz w:val="20"/>
                <w:szCs w:val="20"/>
              </w:rPr>
            </w:pPr>
          </w:p>
        </w:tc>
        <w:tc>
          <w:tcPr>
            <w:tcW w:w="0" w:type="auto"/>
            <w:gridSpan w:val="3"/>
            <w:vAlign w:val="center"/>
            <w:hideMark/>
          </w:tcPr>
          <w:p w14:paraId="68780EEB" w14:textId="77777777" w:rsidR="00000000" w:rsidRDefault="001A570A">
            <w:pPr>
              <w:rPr>
                <w:rFonts w:eastAsia="Times New Roman"/>
                <w:sz w:val="20"/>
                <w:szCs w:val="20"/>
              </w:rPr>
            </w:pPr>
          </w:p>
        </w:tc>
        <w:tc>
          <w:tcPr>
            <w:tcW w:w="0" w:type="auto"/>
            <w:gridSpan w:val="3"/>
            <w:vAlign w:val="center"/>
            <w:hideMark/>
          </w:tcPr>
          <w:p w14:paraId="60E14794" w14:textId="77777777" w:rsidR="00000000" w:rsidRDefault="001A570A">
            <w:pPr>
              <w:rPr>
                <w:rFonts w:eastAsia="Times New Roman"/>
                <w:sz w:val="20"/>
                <w:szCs w:val="20"/>
              </w:rPr>
            </w:pPr>
          </w:p>
        </w:tc>
      </w:tr>
      <w:tr w:rsidR="00000000" w14:paraId="19DD8FA6" w14:textId="77777777">
        <w:trPr>
          <w:divId w:val="763764217"/>
        </w:trPr>
        <w:tc>
          <w:tcPr>
            <w:tcW w:w="0" w:type="auto"/>
            <w:gridSpan w:val="3"/>
            <w:shd w:val="clear" w:color="auto" w:fill="FFFFFF"/>
            <w:tcMar>
              <w:top w:w="30" w:type="dxa"/>
              <w:left w:w="20" w:type="dxa"/>
              <w:bottom w:w="30" w:type="dxa"/>
              <w:right w:w="20" w:type="dxa"/>
            </w:tcMar>
            <w:hideMark/>
          </w:tcPr>
          <w:p w14:paraId="06ABE50B" w14:textId="77777777" w:rsidR="00000000" w:rsidRDefault="001A570A">
            <w:pPr>
              <w:rPr>
                <w:rFonts w:eastAsia="Times New Roman"/>
              </w:rPr>
            </w:pPr>
            <w:r>
              <w:rPr>
                <w:rFonts w:eastAsia="Times New Roman"/>
                <w:color w:val="000000"/>
                <w:sz w:val="20"/>
                <w:szCs w:val="20"/>
              </w:rPr>
              <w:t>Net prior service (credit) cost</w:t>
            </w:r>
          </w:p>
        </w:tc>
        <w:tc>
          <w:tcPr>
            <w:tcW w:w="0" w:type="auto"/>
            <w:gridSpan w:val="2"/>
            <w:shd w:val="clear" w:color="auto" w:fill="FFFFFF"/>
            <w:tcMar>
              <w:top w:w="30" w:type="dxa"/>
              <w:left w:w="20" w:type="dxa"/>
              <w:bottom w:w="30" w:type="dxa"/>
              <w:right w:w="0" w:type="dxa"/>
            </w:tcMar>
            <w:vAlign w:val="bottom"/>
            <w:hideMark/>
          </w:tcPr>
          <w:p w14:paraId="0B7E8741" w14:textId="77777777" w:rsidR="00000000" w:rsidRDefault="001A570A">
            <w:pPr>
              <w:jc w:val="right"/>
              <w:rPr>
                <w:rFonts w:eastAsia="Times New Roman"/>
              </w:rPr>
            </w:pPr>
            <w:r>
              <w:rPr>
                <w:rFonts w:eastAsia="Times New Roman"/>
                <w:color w:val="000000"/>
                <w:sz w:val="20"/>
                <w:szCs w:val="20"/>
              </w:rPr>
              <w:t>(253)</w:t>
            </w:r>
          </w:p>
        </w:tc>
        <w:tc>
          <w:tcPr>
            <w:tcW w:w="0" w:type="auto"/>
            <w:shd w:val="clear" w:color="auto" w:fill="FFFFFF"/>
            <w:tcMar>
              <w:top w:w="30" w:type="dxa"/>
              <w:left w:w="0" w:type="dxa"/>
              <w:bottom w:w="30" w:type="dxa"/>
              <w:right w:w="20" w:type="dxa"/>
            </w:tcMar>
            <w:vAlign w:val="bottom"/>
            <w:hideMark/>
          </w:tcPr>
          <w:p w14:paraId="10177B3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DD19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DFF3F"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32F5DDB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6A5E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80150" w14:textId="77777777" w:rsidR="00000000" w:rsidRDefault="001A570A">
            <w:pPr>
              <w:jc w:val="right"/>
              <w:rPr>
                <w:rFonts w:eastAsia="Times New Roman"/>
              </w:rPr>
            </w:pPr>
            <w:r>
              <w:rPr>
                <w:rFonts w:eastAsia="Times New Roman"/>
                <w:color w:val="000000"/>
                <w:sz w:val="20"/>
                <w:szCs w:val="20"/>
              </w:rPr>
              <w:t>(246)</w:t>
            </w:r>
          </w:p>
        </w:tc>
        <w:tc>
          <w:tcPr>
            <w:tcW w:w="0" w:type="auto"/>
            <w:shd w:val="clear" w:color="auto" w:fill="FFFFFF"/>
            <w:tcMar>
              <w:top w:w="30" w:type="dxa"/>
              <w:left w:w="0" w:type="dxa"/>
              <w:bottom w:w="30" w:type="dxa"/>
              <w:right w:w="20" w:type="dxa"/>
            </w:tcMar>
            <w:vAlign w:val="bottom"/>
            <w:hideMark/>
          </w:tcPr>
          <w:p w14:paraId="5D3724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D309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DB438" w14:textId="77777777" w:rsidR="00000000" w:rsidRDefault="001A570A">
            <w:pPr>
              <w:jc w:val="right"/>
              <w:rPr>
                <w:rFonts w:eastAsia="Times New Roman"/>
              </w:rPr>
            </w:pPr>
            <w:r>
              <w:rPr>
                <w:rFonts w:eastAsia="Times New Roman"/>
                <w:color w:val="000000"/>
                <w:sz w:val="20"/>
                <w:szCs w:val="20"/>
              </w:rPr>
              <w:t>(282)</w:t>
            </w:r>
          </w:p>
        </w:tc>
        <w:tc>
          <w:tcPr>
            <w:tcW w:w="0" w:type="auto"/>
            <w:shd w:val="clear" w:color="auto" w:fill="FFFFFF"/>
            <w:tcMar>
              <w:top w:w="30" w:type="dxa"/>
              <w:left w:w="0" w:type="dxa"/>
              <w:bottom w:w="30" w:type="dxa"/>
              <w:right w:w="20" w:type="dxa"/>
            </w:tcMar>
            <w:vAlign w:val="bottom"/>
            <w:hideMark/>
          </w:tcPr>
          <w:p w14:paraId="4D47BE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E863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EFD89"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66154A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9430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CBAB6" w14:textId="77777777" w:rsidR="00000000" w:rsidRDefault="001A570A">
            <w:pPr>
              <w:jc w:val="right"/>
              <w:rPr>
                <w:rFonts w:eastAsia="Times New Roman"/>
              </w:rPr>
            </w:pPr>
            <w:r>
              <w:rPr>
                <w:rFonts w:eastAsia="Times New Roman"/>
                <w:color w:val="000000"/>
                <w:sz w:val="20"/>
                <w:szCs w:val="20"/>
              </w:rPr>
              <w:t>(283)</w:t>
            </w:r>
          </w:p>
        </w:tc>
        <w:tc>
          <w:tcPr>
            <w:tcW w:w="0" w:type="auto"/>
            <w:shd w:val="clear" w:color="auto" w:fill="FFFFFF"/>
            <w:tcMar>
              <w:top w:w="30" w:type="dxa"/>
              <w:left w:w="0" w:type="dxa"/>
              <w:bottom w:w="30" w:type="dxa"/>
              <w:right w:w="20" w:type="dxa"/>
            </w:tcMar>
            <w:vAlign w:val="bottom"/>
            <w:hideMark/>
          </w:tcPr>
          <w:p w14:paraId="30E38BD2" w14:textId="77777777" w:rsidR="00000000" w:rsidRDefault="001A570A">
            <w:pPr>
              <w:jc w:val="right"/>
              <w:rPr>
                <w:rFonts w:eastAsia="Times New Roman"/>
              </w:rPr>
            </w:pPr>
          </w:p>
        </w:tc>
        <w:tc>
          <w:tcPr>
            <w:tcW w:w="0" w:type="auto"/>
            <w:vAlign w:val="center"/>
            <w:hideMark/>
          </w:tcPr>
          <w:p w14:paraId="2477B781" w14:textId="77777777" w:rsidR="00000000" w:rsidRDefault="001A570A">
            <w:pPr>
              <w:jc w:val="right"/>
              <w:rPr>
                <w:rFonts w:eastAsia="Times New Roman"/>
                <w:sz w:val="20"/>
                <w:szCs w:val="20"/>
              </w:rPr>
            </w:pPr>
          </w:p>
        </w:tc>
        <w:tc>
          <w:tcPr>
            <w:tcW w:w="0" w:type="auto"/>
            <w:vAlign w:val="center"/>
            <w:hideMark/>
          </w:tcPr>
          <w:p w14:paraId="1FC79CE4" w14:textId="77777777" w:rsidR="00000000" w:rsidRDefault="001A570A">
            <w:pPr>
              <w:rPr>
                <w:rFonts w:eastAsia="Times New Roman"/>
                <w:sz w:val="20"/>
                <w:szCs w:val="20"/>
              </w:rPr>
            </w:pPr>
          </w:p>
        </w:tc>
        <w:tc>
          <w:tcPr>
            <w:tcW w:w="0" w:type="auto"/>
            <w:gridSpan w:val="3"/>
            <w:vAlign w:val="center"/>
            <w:hideMark/>
          </w:tcPr>
          <w:p w14:paraId="47DAA62D" w14:textId="77777777" w:rsidR="00000000" w:rsidRDefault="001A570A">
            <w:pPr>
              <w:rPr>
                <w:rFonts w:eastAsia="Times New Roman"/>
                <w:sz w:val="20"/>
                <w:szCs w:val="20"/>
              </w:rPr>
            </w:pPr>
          </w:p>
        </w:tc>
        <w:tc>
          <w:tcPr>
            <w:tcW w:w="0" w:type="auto"/>
            <w:gridSpan w:val="3"/>
            <w:vAlign w:val="center"/>
            <w:hideMark/>
          </w:tcPr>
          <w:p w14:paraId="2A25F3E6" w14:textId="77777777" w:rsidR="00000000" w:rsidRDefault="001A570A">
            <w:pPr>
              <w:rPr>
                <w:rFonts w:eastAsia="Times New Roman"/>
                <w:sz w:val="20"/>
                <w:szCs w:val="20"/>
              </w:rPr>
            </w:pPr>
          </w:p>
        </w:tc>
        <w:tc>
          <w:tcPr>
            <w:tcW w:w="0" w:type="auto"/>
            <w:gridSpan w:val="3"/>
            <w:vAlign w:val="center"/>
            <w:hideMark/>
          </w:tcPr>
          <w:p w14:paraId="0D0A9972" w14:textId="77777777" w:rsidR="00000000" w:rsidRDefault="001A570A">
            <w:pPr>
              <w:rPr>
                <w:rFonts w:eastAsia="Times New Roman"/>
                <w:sz w:val="20"/>
                <w:szCs w:val="20"/>
              </w:rPr>
            </w:pPr>
          </w:p>
        </w:tc>
        <w:tc>
          <w:tcPr>
            <w:tcW w:w="0" w:type="auto"/>
            <w:gridSpan w:val="3"/>
            <w:vAlign w:val="center"/>
            <w:hideMark/>
          </w:tcPr>
          <w:p w14:paraId="6AAD6A8D" w14:textId="77777777" w:rsidR="00000000" w:rsidRDefault="001A570A">
            <w:pPr>
              <w:rPr>
                <w:rFonts w:eastAsia="Times New Roman"/>
                <w:sz w:val="20"/>
                <w:szCs w:val="20"/>
              </w:rPr>
            </w:pPr>
          </w:p>
        </w:tc>
      </w:tr>
      <w:tr w:rsidR="00000000" w14:paraId="283426D2" w14:textId="77777777">
        <w:trPr>
          <w:divId w:val="763764217"/>
        </w:trPr>
        <w:tc>
          <w:tcPr>
            <w:tcW w:w="0" w:type="auto"/>
            <w:gridSpan w:val="3"/>
            <w:shd w:val="clear" w:color="auto" w:fill="CCEEFF"/>
            <w:tcMar>
              <w:top w:w="0" w:type="dxa"/>
              <w:left w:w="20" w:type="dxa"/>
              <w:bottom w:w="0" w:type="dxa"/>
              <w:right w:w="20" w:type="dxa"/>
            </w:tcMar>
            <w:vAlign w:val="center"/>
            <w:hideMark/>
          </w:tcPr>
          <w:p w14:paraId="63DC8069"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37235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52DF32" w14:textId="77777777" w:rsidR="00000000" w:rsidRDefault="001A570A">
            <w:pPr>
              <w:jc w:val="right"/>
              <w:rPr>
                <w:rFonts w:eastAsia="Times New Roman"/>
              </w:rPr>
            </w:pPr>
            <w:r>
              <w:rPr>
                <w:rFonts w:eastAsia="Times New Roman"/>
                <w:color w:val="000000"/>
                <w:sz w:val="20"/>
                <w:szCs w:val="20"/>
              </w:rPr>
              <w:t>962 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497C4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14D9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7B654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E8A464" w14:textId="77777777" w:rsidR="00000000" w:rsidRDefault="001A570A">
            <w:pPr>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F75D2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C9BC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B1AEA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866329" w14:textId="77777777" w:rsidR="00000000" w:rsidRDefault="001A570A">
            <w:pPr>
              <w:jc w:val="right"/>
              <w:rPr>
                <w:rFonts w:eastAsia="Times New Roman"/>
              </w:rPr>
            </w:pPr>
            <w:r>
              <w:rPr>
                <w:rFonts w:eastAsia="Times New Roman"/>
                <w:color w:val="000000"/>
                <w:sz w:val="20"/>
                <w:szCs w:val="20"/>
              </w:rPr>
              <w:t>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6E6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F18D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088F5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703FB8" w14:textId="77777777" w:rsidR="00000000" w:rsidRDefault="001A570A">
            <w:pPr>
              <w:jc w:val="right"/>
              <w:rPr>
                <w:rFonts w:eastAsia="Times New Roman"/>
              </w:rPr>
            </w:pPr>
            <w:r>
              <w:rPr>
                <w:rFonts w:eastAsia="Times New Roman"/>
                <w:color w:val="000000"/>
                <w:sz w:val="20"/>
                <w:szCs w:val="20"/>
              </w:rPr>
              <w:t>537 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494F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73EC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AFA8B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E84135" w14:textId="77777777" w:rsidR="00000000" w:rsidRDefault="001A570A">
            <w:pPr>
              <w:jc w:val="right"/>
              <w:rPr>
                <w:rFonts w:eastAsia="Times New Roman"/>
              </w:rPr>
            </w:pPr>
            <w:r>
              <w:rPr>
                <w:rFonts w:eastAsia="Times New Roman"/>
                <w:color w:val="000000"/>
                <w:sz w:val="20"/>
                <w:szCs w:val="20"/>
              </w:rPr>
              <w:t>(35)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1A681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8326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51FFB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CC0412" w14:textId="77777777" w:rsidR="00000000" w:rsidRDefault="001A570A">
            <w:pPr>
              <w:jc w:val="right"/>
              <w:rPr>
                <w:rFonts w:eastAsia="Times New Roman"/>
              </w:rPr>
            </w:pPr>
            <w:r>
              <w:rPr>
                <w:rFonts w:eastAsia="Times New Roman"/>
                <w:color w:val="000000"/>
                <w:sz w:val="20"/>
                <w:szCs w:val="20"/>
              </w:rPr>
              <w:t>502 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C4F24B" w14:textId="77777777" w:rsidR="00000000" w:rsidRDefault="001A570A">
            <w:pPr>
              <w:jc w:val="right"/>
              <w:rPr>
                <w:rFonts w:eastAsia="Times New Roman"/>
              </w:rPr>
            </w:pPr>
          </w:p>
        </w:tc>
        <w:tc>
          <w:tcPr>
            <w:tcW w:w="0" w:type="auto"/>
            <w:vAlign w:val="center"/>
            <w:hideMark/>
          </w:tcPr>
          <w:p w14:paraId="5F8FF339" w14:textId="77777777" w:rsidR="00000000" w:rsidRDefault="001A570A">
            <w:pPr>
              <w:jc w:val="right"/>
              <w:rPr>
                <w:rFonts w:eastAsia="Times New Roman"/>
                <w:sz w:val="20"/>
                <w:szCs w:val="20"/>
              </w:rPr>
            </w:pPr>
          </w:p>
        </w:tc>
        <w:tc>
          <w:tcPr>
            <w:tcW w:w="0" w:type="auto"/>
            <w:vAlign w:val="center"/>
            <w:hideMark/>
          </w:tcPr>
          <w:p w14:paraId="3072B297" w14:textId="77777777" w:rsidR="00000000" w:rsidRDefault="001A570A">
            <w:pPr>
              <w:rPr>
                <w:rFonts w:eastAsia="Times New Roman"/>
                <w:sz w:val="20"/>
                <w:szCs w:val="20"/>
              </w:rPr>
            </w:pPr>
          </w:p>
        </w:tc>
        <w:tc>
          <w:tcPr>
            <w:tcW w:w="0" w:type="auto"/>
            <w:gridSpan w:val="3"/>
            <w:vAlign w:val="center"/>
            <w:hideMark/>
          </w:tcPr>
          <w:p w14:paraId="3B3A1F60" w14:textId="77777777" w:rsidR="00000000" w:rsidRDefault="001A570A">
            <w:pPr>
              <w:rPr>
                <w:rFonts w:eastAsia="Times New Roman"/>
                <w:sz w:val="20"/>
                <w:szCs w:val="20"/>
              </w:rPr>
            </w:pPr>
          </w:p>
        </w:tc>
        <w:tc>
          <w:tcPr>
            <w:tcW w:w="0" w:type="auto"/>
            <w:gridSpan w:val="3"/>
            <w:vAlign w:val="center"/>
            <w:hideMark/>
          </w:tcPr>
          <w:p w14:paraId="3FD27B85" w14:textId="77777777" w:rsidR="00000000" w:rsidRDefault="001A570A">
            <w:pPr>
              <w:rPr>
                <w:rFonts w:eastAsia="Times New Roman"/>
                <w:sz w:val="20"/>
                <w:szCs w:val="20"/>
              </w:rPr>
            </w:pPr>
          </w:p>
        </w:tc>
        <w:tc>
          <w:tcPr>
            <w:tcW w:w="0" w:type="auto"/>
            <w:gridSpan w:val="3"/>
            <w:vAlign w:val="center"/>
            <w:hideMark/>
          </w:tcPr>
          <w:p w14:paraId="08D96866" w14:textId="77777777" w:rsidR="00000000" w:rsidRDefault="001A570A">
            <w:pPr>
              <w:rPr>
                <w:rFonts w:eastAsia="Times New Roman"/>
                <w:sz w:val="20"/>
                <w:szCs w:val="20"/>
              </w:rPr>
            </w:pPr>
          </w:p>
        </w:tc>
        <w:tc>
          <w:tcPr>
            <w:tcW w:w="0" w:type="auto"/>
            <w:gridSpan w:val="3"/>
            <w:vAlign w:val="center"/>
            <w:hideMark/>
          </w:tcPr>
          <w:p w14:paraId="1786C4AF" w14:textId="77777777" w:rsidR="00000000" w:rsidRDefault="001A570A">
            <w:pPr>
              <w:rPr>
                <w:rFonts w:eastAsia="Times New Roman"/>
                <w:sz w:val="20"/>
                <w:szCs w:val="20"/>
              </w:rPr>
            </w:pPr>
          </w:p>
        </w:tc>
      </w:tr>
    </w:tbl>
    <w:p w14:paraId="73C2176F" w14:textId="77777777" w:rsidR="00000000" w:rsidRDefault="001A570A">
      <w:pPr>
        <w:ind w:firstLine="450"/>
        <w:jc w:val="center"/>
        <w:divId w:val="1709717731"/>
        <w:rPr>
          <w:rFonts w:eastAsia="Times New Roman"/>
        </w:rPr>
      </w:pPr>
      <w:r>
        <w:rPr>
          <w:rFonts w:eastAsia="Times New Roman"/>
          <w:color w:val="000000"/>
          <w:sz w:val="20"/>
          <w:szCs w:val="20"/>
        </w:rPr>
        <w:t>106</w:t>
      </w:r>
    </w:p>
    <w:p w14:paraId="7809F2A9" w14:textId="77777777" w:rsidR="00000000" w:rsidRDefault="001A570A">
      <w:pPr>
        <w:rPr>
          <w:rFonts w:eastAsia="Times New Roman"/>
        </w:rPr>
      </w:pPr>
      <w:r>
        <w:rPr>
          <w:rFonts w:eastAsia="Times New Roman"/>
        </w:rPr>
        <w:pict w14:anchorId="3242CD37">
          <v:rect id="_x0000_i1134" style="width:0;height:1.5pt" o:hralign="center" o:hrstd="t" o:hr="t" fillcolor="#a0a0a0" stroked="f"/>
        </w:pict>
      </w:r>
    </w:p>
    <w:p w14:paraId="30AF289E" w14:textId="77777777" w:rsidR="00000000" w:rsidRDefault="001A570A">
      <w:pPr>
        <w:ind w:firstLine="450"/>
        <w:divId w:val="294727223"/>
        <w:rPr>
          <w:rFonts w:eastAsia="Times New Roman"/>
        </w:rPr>
      </w:pPr>
    </w:p>
    <w:p w14:paraId="4AB60C8A" w14:textId="77777777" w:rsidR="00000000" w:rsidRDefault="001A570A">
      <w:pPr>
        <w:ind w:firstLine="450"/>
        <w:divId w:val="1972976298"/>
        <w:rPr>
          <w:rFonts w:eastAsia="Times New Roman"/>
        </w:rPr>
      </w:pPr>
      <w:r>
        <w:rPr>
          <w:rFonts w:eastAsia="Times New Roman"/>
          <w:color w:val="000000"/>
          <w:sz w:val="20"/>
          <w:szCs w:val="20"/>
        </w:rPr>
        <w:t>The following table provides a roll-forward of the projected benefit obligations for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00"/>
        <w:gridCol w:w="37"/>
        <w:gridCol w:w="120"/>
        <w:gridCol w:w="600"/>
        <w:gridCol w:w="36"/>
        <w:gridCol w:w="36"/>
        <w:gridCol w:w="36"/>
        <w:gridCol w:w="36"/>
        <w:gridCol w:w="121"/>
        <w:gridCol w:w="524"/>
        <w:gridCol w:w="36"/>
        <w:gridCol w:w="36"/>
        <w:gridCol w:w="36"/>
        <w:gridCol w:w="36"/>
        <w:gridCol w:w="120"/>
        <w:gridCol w:w="600"/>
        <w:gridCol w:w="36"/>
        <w:gridCol w:w="36"/>
        <w:gridCol w:w="36"/>
        <w:gridCol w:w="36"/>
        <w:gridCol w:w="120"/>
        <w:gridCol w:w="600"/>
        <w:gridCol w:w="36"/>
        <w:gridCol w:w="36"/>
        <w:gridCol w:w="36"/>
        <w:gridCol w:w="36"/>
        <w:gridCol w:w="121"/>
        <w:gridCol w:w="524"/>
        <w:gridCol w:w="36"/>
        <w:gridCol w:w="36"/>
        <w:gridCol w:w="36"/>
        <w:gridCol w:w="36"/>
        <w:gridCol w:w="120"/>
        <w:gridCol w:w="600"/>
        <w:gridCol w:w="36"/>
        <w:gridCol w:w="36"/>
        <w:gridCol w:w="36"/>
        <w:gridCol w:w="36"/>
        <w:gridCol w:w="36"/>
        <w:gridCol w:w="36"/>
        <w:gridCol w:w="36"/>
        <w:gridCol w:w="36"/>
        <w:gridCol w:w="36"/>
        <w:gridCol w:w="36"/>
        <w:gridCol w:w="36"/>
        <w:gridCol w:w="36"/>
        <w:gridCol w:w="36"/>
        <w:gridCol w:w="36"/>
        <w:gridCol w:w="36"/>
      </w:tblGrid>
      <w:tr w:rsidR="00000000" w14:paraId="055188BF" w14:textId="77777777">
        <w:trPr>
          <w:divId w:val="1516581015"/>
        </w:trPr>
        <w:tc>
          <w:tcPr>
            <w:tcW w:w="50" w:type="pct"/>
            <w:vAlign w:val="center"/>
            <w:hideMark/>
          </w:tcPr>
          <w:p w14:paraId="450BED7D" w14:textId="77777777" w:rsidR="00000000" w:rsidRDefault="001A570A">
            <w:pPr>
              <w:ind w:firstLine="450"/>
              <w:rPr>
                <w:rFonts w:eastAsia="Times New Roman"/>
              </w:rPr>
            </w:pPr>
          </w:p>
        </w:tc>
        <w:tc>
          <w:tcPr>
            <w:tcW w:w="1877" w:type="pct"/>
            <w:vAlign w:val="center"/>
            <w:hideMark/>
          </w:tcPr>
          <w:p w14:paraId="75A2A8B4" w14:textId="77777777" w:rsidR="00000000" w:rsidRDefault="001A570A">
            <w:pPr>
              <w:rPr>
                <w:rFonts w:eastAsia="Times New Roman"/>
                <w:sz w:val="20"/>
                <w:szCs w:val="20"/>
              </w:rPr>
            </w:pPr>
          </w:p>
        </w:tc>
        <w:tc>
          <w:tcPr>
            <w:tcW w:w="5" w:type="pct"/>
            <w:vAlign w:val="center"/>
            <w:hideMark/>
          </w:tcPr>
          <w:p w14:paraId="7C2EE87D" w14:textId="77777777" w:rsidR="00000000" w:rsidRDefault="001A570A">
            <w:pPr>
              <w:rPr>
                <w:rFonts w:eastAsia="Times New Roman"/>
                <w:sz w:val="20"/>
                <w:szCs w:val="20"/>
              </w:rPr>
            </w:pPr>
          </w:p>
        </w:tc>
        <w:tc>
          <w:tcPr>
            <w:tcW w:w="50" w:type="pct"/>
            <w:vAlign w:val="center"/>
            <w:hideMark/>
          </w:tcPr>
          <w:p w14:paraId="2E9A0137" w14:textId="77777777" w:rsidR="00000000" w:rsidRDefault="001A570A">
            <w:pPr>
              <w:rPr>
                <w:rFonts w:eastAsia="Times New Roman"/>
                <w:sz w:val="20"/>
                <w:szCs w:val="20"/>
              </w:rPr>
            </w:pPr>
          </w:p>
        </w:tc>
        <w:tc>
          <w:tcPr>
            <w:tcW w:w="426" w:type="pct"/>
            <w:vAlign w:val="center"/>
            <w:hideMark/>
          </w:tcPr>
          <w:p w14:paraId="652D73EB" w14:textId="77777777" w:rsidR="00000000" w:rsidRDefault="001A570A">
            <w:pPr>
              <w:rPr>
                <w:rFonts w:eastAsia="Times New Roman"/>
                <w:sz w:val="20"/>
                <w:szCs w:val="20"/>
              </w:rPr>
            </w:pPr>
          </w:p>
        </w:tc>
        <w:tc>
          <w:tcPr>
            <w:tcW w:w="5" w:type="pct"/>
            <w:vAlign w:val="center"/>
            <w:hideMark/>
          </w:tcPr>
          <w:p w14:paraId="1BC4EF84" w14:textId="77777777" w:rsidR="00000000" w:rsidRDefault="001A570A">
            <w:pPr>
              <w:rPr>
                <w:rFonts w:eastAsia="Times New Roman"/>
                <w:sz w:val="20"/>
                <w:szCs w:val="20"/>
              </w:rPr>
            </w:pPr>
          </w:p>
        </w:tc>
        <w:tc>
          <w:tcPr>
            <w:tcW w:w="5" w:type="pct"/>
            <w:vAlign w:val="center"/>
            <w:hideMark/>
          </w:tcPr>
          <w:p w14:paraId="6D255911" w14:textId="77777777" w:rsidR="00000000" w:rsidRDefault="001A570A">
            <w:pPr>
              <w:rPr>
                <w:rFonts w:eastAsia="Times New Roman"/>
                <w:sz w:val="20"/>
                <w:szCs w:val="20"/>
              </w:rPr>
            </w:pPr>
          </w:p>
        </w:tc>
        <w:tc>
          <w:tcPr>
            <w:tcW w:w="25" w:type="pct"/>
            <w:vAlign w:val="center"/>
            <w:hideMark/>
          </w:tcPr>
          <w:p w14:paraId="4CD6D145" w14:textId="77777777" w:rsidR="00000000" w:rsidRDefault="001A570A">
            <w:pPr>
              <w:rPr>
                <w:rFonts w:eastAsia="Times New Roman"/>
                <w:sz w:val="20"/>
                <w:szCs w:val="20"/>
              </w:rPr>
            </w:pPr>
          </w:p>
        </w:tc>
        <w:tc>
          <w:tcPr>
            <w:tcW w:w="5" w:type="pct"/>
            <w:vAlign w:val="center"/>
            <w:hideMark/>
          </w:tcPr>
          <w:p w14:paraId="682713B7" w14:textId="77777777" w:rsidR="00000000" w:rsidRDefault="001A570A">
            <w:pPr>
              <w:rPr>
                <w:rFonts w:eastAsia="Times New Roman"/>
                <w:sz w:val="20"/>
                <w:szCs w:val="20"/>
              </w:rPr>
            </w:pPr>
          </w:p>
        </w:tc>
        <w:tc>
          <w:tcPr>
            <w:tcW w:w="50" w:type="pct"/>
            <w:vAlign w:val="center"/>
            <w:hideMark/>
          </w:tcPr>
          <w:p w14:paraId="3E2C308B" w14:textId="77777777" w:rsidR="00000000" w:rsidRDefault="001A570A">
            <w:pPr>
              <w:rPr>
                <w:rFonts w:eastAsia="Times New Roman"/>
                <w:sz w:val="20"/>
                <w:szCs w:val="20"/>
              </w:rPr>
            </w:pPr>
          </w:p>
        </w:tc>
        <w:tc>
          <w:tcPr>
            <w:tcW w:w="426" w:type="pct"/>
            <w:vAlign w:val="center"/>
            <w:hideMark/>
          </w:tcPr>
          <w:p w14:paraId="404F0EE6" w14:textId="77777777" w:rsidR="00000000" w:rsidRDefault="001A570A">
            <w:pPr>
              <w:rPr>
                <w:rFonts w:eastAsia="Times New Roman"/>
                <w:sz w:val="20"/>
                <w:szCs w:val="20"/>
              </w:rPr>
            </w:pPr>
          </w:p>
        </w:tc>
        <w:tc>
          <w:tcPr>
            <w:tcW w:w="5" w:type="pct"/>
            <w:vAlign w:val="center"/>
            <w:hideMark/>
          </w:tcPr>
          <w:p w14:paraId="33FB758E" w14:textId="77777777" w:rsidR="00000000" w:rsidRDefault="001A570A">
            <w:pPr>
              <w:rPr>
                <w:rFonts w:eastAsia="Times New Roman"/>
                <w:sz w:val="20"/>
                <w:szCs w:val="20"/>
              </w:rPr>
            </w:pPr>
          </w:p>
        </w:tc>
        <w:tc>
          <w:tcPr>
            <w:tcW w:w="5" w:type="pct"/>
            <w:vAlign w:val="center"/>
            <w:hideMark/>
          </w:tcPr>
          <w:p w14:paraId="50D9A6EC" w14:textId="77777777" w:rsidR="00000000" w:rsidRDefault="001A570A">
            <w:pPr>
              <w:rPr>
                <w:rFonts w:eastAsia="Times New Roman"/>
                <w:sz w:val="20"/>
                <w:szCs w:val="20"/>
              </w:rPr>
            </w:pPr>
          </w:p>
        </w:tc>
        <w:tc>
          <w:tcPr>
            <w:tcW w:w="25" w:type="pct"/>
            <w:vAlign w:val="center"/>
            <w:hideMark/>
          </w:tcPr>
          <w:p w14:paraId="48E57982" w14:textId="77777777" w:rsidR="00000000" w:rsidRDefault="001A570A">
            <w:pPr>
              <w:rPr>
                <w:rFonts w:eastAsia="Times New Roman"/>
                <w:sz w:val="20"/>
                <w:szCs w:val="20"/>
              </w:rPr>
            </w:pPr>
          </w:p>
        </w:tc>
        <w:tc>
          <w:tcPr>
            <w:tcW w:w="5" w:type="pct"/>
            <w:vAlign w:val="center"/>
            <w:hideMark/>
          </w:tcPr>
          <w:p w14:paraId="26735EE6" w14:textId="77777777" w:rsidR="00000000" w:rsidRDefault="001A570A">
            <w:pPr>
              <w:rPr>
                <w:rFonts w:eastAsia="Times New Roman"/>
                <w:sz w:val="20"/>
                <w:szCs w:val="20"/>
              </w:rPr>
            </w:pPr>
          </w:p>
        </w:tc>
        <w:tc>
          <w:tcPr>
            <w:tcW w:w="50" w:type="pct"/>
            <w:vAlign w:val="center"/>
            <w:hideMark/>
          </w:tcPr>
          <w:p w14:paraId="330C5BE5" w14:textId="77777777" w:rsidR="00000000" w:rsidRDefault="001A570A">
            <w:pPr>
              <w:rPr>
                <w:rFonts w:eastAsia="Times New Roman"/>
                <w:sz w:val="20"/>
                <w:szCs w:val="20"/>
              </w:rPr>
            </w:pPr>
          </w:p>
        </w:tc>
        <w:tc>
          <w:tcPr>
            <w:tcW w:w="426" w:type="pct"/>
            <w:vAlign w:val="center"/>
            <w:hideMark/>
          </w:tcPr>
          <w:p w14:paraId="7C2E3ED3" w14:textId="77777777" w:rsidR="00000000" w:rsidRDefault="001A570A">
            <w:pPr>
              <w:rPr>
                <w:rFonts w:eastAsia="Times New Roman"/>
                <w:sz w:val="20"/>
                <w:szCs w:val="20"/>
              </w:rPr>
            </w:pPr>
          </w:p>
        </w:tc>
        <w:tc>
          <w:tcPr>
            <w:tcW w:w="5" w:type="pct"/>
            <w:vAlign w:val="center"/>
            <w:hideMark/>
          </w:tcPr>
          <w:p w14:paraId="152D0E4E" w14:textId="77777777" w:rsidR="00000000" w:rsidRDefault="001A570A">
            <w:pPr>
              <w:rPr>
                <w:rFonts w:eastAsia="Times New Roman"/>
                <w:sz w:val="20"/>
                <w:szCs w:val="20"/>
              </w:rPr>
            </w:pPr>
          </w:p>
        </w:tc>
        <w:tc>
          <w:tcPr>
            <w:tcW w:w="5" w:type="pct"/>
            <w:vAlign w:val="center"/>
            <w:hideMark/>
          </w:tcPr>
          <w:p w14:paraId="7C8A7E4E" w14:textId="77777777" w:rsidR="00000000" w:rsidRDefault="001A570A">
            <w:pPr>
              <w:rPr>
                <w:rFonts w:eastAsia="Times New Roman"/>
                <w:sz w:val="20"/>
                <w:szCs w:val="20"/>
              </w:rPr>
            </w:pPr>
          </w:p>
        </w:tc>
        <w:tc>
          <w:tcPr>
            <w:tcW w:w="25" w:type="pct"/>
            <w:vAlign w:val="center"/>
            <w:hideMark/>
          </w:tcPr>
          <w:p w14:paraId="681C6A79" w14:textId="77777777" w:rsidR="00000000" w:rsidRDefault="001A570A">
            <w:pPr>
              <w:rPr>
                <w:rFonts w:eastAsia="Times New Roman"/>
                <w:sz w:val="20"/>
                <w:szCs w:val="20"/>
              </w:rPr>
            </w:pPr>
          </w:p>
        </w:tc>
        <w:tc>
          <w:tcPr>
            <w:tcW w:w="5" w:type="pct"/>
            <w:vAlign w:val="center"/>
            <w:hideMark/>
          </w:tcPr>
          <w:p w14:paraId="252D92C7" w14:textId="77777777" w:rsidR="00000000" w:rsidRDefault="001A570A">
            <w:pPr>
              <w:rPr>
                <w:rFonts w:eastAsia="Times New Roman"/>
                <w:sz w:val="20"/>
                <w:szCs w:val="20"/>
              </w:rPr>
            </w:pPr>
          </w:p>
        </w:tc>
        <w:tc>
          <w:tcPr>
            <w:tcW w:w="50" w:type="pct"/>
            <w:vAlign w:val="center"/>
            <w:hideMark/>
          </w:tcPr>
          <w:p w14:paraId="6064A891" w14:textId="77777777" w:rsidR="00000000" w:rsidRDefault="001A570A">
            <w:pPr>
              <w:rPr>
                <w:rFonts w:eastAsia="Times New Roman"/>
                <w:sz w:val="20"/>
                <w:szCs w:val="20"/>
              </w:rPr>
            </w:pPr>
          </w:p>
        </w:tc>
        <w:tc>
          <w:tcPr>
            <w:tcW w:w="426" w:type="pct"/>
            <w:vAlign w:val="center"/>
            <w:hideMark/>
          </w:tcPr>
          <w:p w14:paraId="10A3BF6F" w14:textId="77777777" w:rsidR="00000000" w:rsidRDefault="001A570A">
            <w:pPr>
              <w:rPr>
                <w:rFonts w:eastAsia="Times New Roman"/>
                <w:sz w:val="20"/>
                <w:szCs w:val="20"/>
              </w:rPr>
            </w:pPr>
          </w:p>
        </w:tc>
        <w:tc>
          <w:tcPr>
            <w:tcW w:w="5" w:type="pct"/>
            <w:vAlign w:val="center"/>
            <w:hideMark/>
          </w:tcPr>
          <w:p w14:paraId="74F3C95B" w14:textId="77777777" w:rsidR="00000000" w:rsidRDefault="001A570A">
            <w:pPr>
              <w:rPr>
                <w:rFonts w:eastAsia="Times New Roman"/>
                <w:sz w:val="20"/>
                <w:szCs w:val="20"/>
              </w:rPr>
            </w:pPr>
          </w:p>
        </w:tc>
        <w:tc>
          <w:tcPr>
            <w:tcW w:w="5" w:type="pct"/>
            <w:vAlign w:val="center"/>
            <w:hideMark/>
          </w:tcPr>
          <w:p w14:paraId="4780A590" w14:textId="77777777" w:rsidR="00000000" w:rsidRDefault="001A570A">
            <w:pPr>
              <w:rPr>
                <w:rFonts w:eastAsia="Times New Roman"/>
                <w:sz w:val="20"/>
                <w:szCs w:val="20"/>
              </w:rPr>
            </w:pPr>
          </w:p>
        </w:tc>
        <w:tc>
          <w:tcPr>
            <w:tcW w:w="25" w:type="pct"/>
            <w:vAlign w:val="center"/>
            <w:hideMark/>
          </w:tcPr>
          <w:p w14:paraId="2D5C68BE" w14:textId="77777777" w:rsidR="00000000" w:rsidRDefault="001A570A">
            <w:pPr>
              <w:rPr>
                <w:rFonts w:eastAsia="Times New Roman"/>
                <w:sz w:val="20"/>
                <w:szCs w:val="20"/>
              </w:rPr>
            </w:pPr>
          </w:p>
        </w:tc>
        <w:tc>
          <w:tcPr>
            <w:tcW w:w="5" w:type="pct"/>
            <w:vAlign w:val="center"/>
            <w:hideMark/>
          </w:tcPr>
          <w:p w14:paraId="4D2B1C49" w14:textId="77777777" w:rsidR="00000000" w:rsidRDefault="001A570A">
            <w:pPr>
              <w:rPr>
                <w:rFonts w:eastAsia="Times New Roman"/>
                <w:sz w:val="20"/>
                <w:szCs w:val="20"/>
              </w:rPr>
            </w:pPr>
          </w:p>
        </w:tc>
        <w:tc>
          <w:tcPr>
            <w:tcW w:w="50" w:type="pct"/>
            <w:vAlign w:val="center"/>
            <w:hideMark/>
          </w:tcPr>
          <w:p w14:paraId="09E8FF81" w14:textId="77777777" w:rsidR="00000000" w:rsidRDefault="001A570A">
            <w:pPr>
              <w:rPr>
                <w:rFonts w:eastAsia="Times New Roman"/>
                <w:sz w:val="20"/>
                <w:szCs w:val="20"/>
              </w:rPr>
            </w:pPr>
          </w:p>
        </w:tc>
        <w:tc>
          <w:tcPr>
            <w:tcW w:w="426" w:type="pct"/>
            <w:vAlign w:val="center"/>
            <w:hideMark/>
          </w:tcPr>
          <w:p w14:paraId="4A9EA951" w14:textId="77777777" w:rsidR="00000000" w:rsidRDefault="001A570A">
            <w:pPr>
              <w:rPr>
                <w:rFonts w:eastAsia="Times New Roman"/>
                <w:sz w:val="20"/>
                <w:szCs w:val="20"/>
              </w:rPr>
            </w:pPr>
          </w:p>
        </w:tc>
        <w:tc>
          <w:tcPr>
            <w:tcW w:w="5" w:type="pct"/>
            <w:vAlign w:val="center"/>
            <w:hideMark/>
          </w:tcPr>
          <w:p w14:paraId="43D25DC5" w14:textId="77777777" w:rsidR="00000000" w:rsidRDefault="001A570A">
            <w:pPr>
              <w:rPr>
                <w:rFonts w:eastAsia="Times New Roman"/>
                <w:sz w:val="20"/>
                <w:szCs w:val="20"/>
              </w:rPr>
            </w:pPr>
          </w:p>
        </w:tc>
        <w:tc>
          <w:tcPr>
            <w:tcW w:w="5" w:type="pct"/>
            <w:vAlign w:val="center"/>
            <w:hideMark/>
          </w:tcPr>
          <w:p w14:paraId="78642422" w14:textId="77777777" w:rsidR="00000000" w:rsidRDefault="001A570A">
            <w:pPr>
              <w:rPr>
                <w:rFonts w:eastAsia="Times New Roman"/>
                <w:sz w:val="20"/>
                <w:szCs w:val="20"/>
              </w:rPr>
            </w:pPr>
          </w:p>
        </w:tc>
        <w:tc>
          <w:tcPr>
            <w:tcW w:w="25" w:type="pct"/>
            <w:vAlign w:val="center"/>
            <w:hideMark/>
          </w:tcPr>
          <w:p w14:paraId="34CB16D3" w14:textId="77777777" w:rsidR="00000000" w:rsidRDefault="001A570A">
            <w:pPr>
              <w:rPr>
                <w:rFonts w:eastAsia="Times New Roman"/>
                <w:sz w:val="20"/>
                <w:szCs w:val="20"/>
              </w:rPr>
            </w:pPr>
          </w:p>
        </w:tc>
        <w:tc>
          <w:tcPr>
            <w:tcW w:w="5" w:type="pct"/>
            <w:vAlign w:val="center"/>
            <w:hideMark/>
          </w:tcPr>
          <w:p w14:paraId="6E377AD6" w14:textId="77777777" w:rsidR="00000000" w:rsidRDefault="001A570A">
            <w:pPr>
              <w:rPr>
                <w:rFonts w:eastAsia="Times New Roman"/>
                <w:sz w:val="20"/>
                <w:szCs w:val="20"/>
              </w:rPr>
            </w:pPr>
          </w:p>
        </w:tc>
        <w:tc>
          <w:tcPr>
            <w:tcW w:w="50" w:type="pct"/>
            <w:vAlign w:val="center"/>
            <w:hideMark/>
          </w:tcPr>
          <w:p w14:paraId="617049F1" w14:textId="77777777" w:rsidR="00000000" w:rsidRDefault="001A570A">
            <w:pPr>
              <w:rPr>
                <w:rFonts w:eastAsia="Times New Roman"/>
                <w:sz w:val="20"/>
                <w:szCs w:val="20"/>
              </w:rPr>
            </w:pPr>
          </w:p>
        </w:tc>
        <w:tc>
          <w:tcPr>
            <w:tcW w:w="426" w:type="pct"/>
            <w:vAlign w:val="center"/>
            <w:hideMark/>
          </w:tcPr>
          <w:p w14:paraId="2BD19977" w14:textId="77777777" w:rsidR="00000000" w:rsidRDefault="001A570A">
            <w:pPr>
              <w:rPr>
                <w:rFonts w:eastAsia="Times New Roman"/>
                <w:sz w:val="20"/>
                <w:szCs w:val="20"/>
              </w:rPr>
            </w:pPr>
          </w:p>
        </w:tc>
        <w:tc>
          <w:tcPr>
            <w:tcW w:w="5" w:type="pct"/>
            <w:vAlign w:val="center"/>
            <w:hideMark/>
          </w:tcPr>
          <w:p w14:paraId="22F927D3" w14:textId="77777777" w:rsidR="00000000" w:rsidRDefault="001A570A">
            <w:pPr>
              <w:rPr>
                <w:rFonts w:eastAsia="Times New Roman"/>
                <w:sz w:val="20"/>
                <w:szCs w:val="20"/>
              </w:rPr>
            </w:pPr>
          </w:p>
        </w:tc>
        <w:tc>
          <w:tcPr>
            <w:tcW w:w="0" w:type="auto"/>
            <w:vAlign w:val="center"/>
            <w:hideMark/>
          </w:tcPr>
          <w:p w14:paraId="4B7988F7" w14:textId="77777777" w:rsidR="00000000" w:rsidRDefault="001A570A">
            <w:pPr>
              <w:rPr>
                <w:rFonts w:eastAsia="Times New Roman"/>
                <w:sz w:val="20"/>
                <w:szCs w:val="20"/>
              </w:rPr>
            </w:pPr>
          </w:p>
        </w:tc>
        <w:tc>
          <w:tcPr>
            <w:tcW w:w="0" w:type="auto"/>
            <w:vAlign w:val="center"/>
            <w:hideMark/>
          </w:tcPr>
          <w:p w14:paraId="1088583B" w14:textId="77777777" w:rsidR="00000000" w:rsidRDefault="001A570A">
            <w:pPr>
              <w:rPr>
                <w:rFonts w:eastAsia="Times New Roman"/>
                <w:sz w:val="20"/>
                <w:szCs w:val="20"/>
              </w:rPr>
            </w:pPr>
          </w:p>
        </w:tc>
        <w:tc>
          <w:tcPr>
            <w:tcW w:w="0" w:type="auto"/>
            <w:gridSpan w:val="3"/>
            <w:vAlign w:val="center"/>
            <w:hideMark/>
          </w:tcPr>
          <w:p w14:paraId="59AD8382" w14:textId="77777777" w:rsidR="00000000" w:rsidRDefault="001A570A">
            <w:pPr>
              <w:rPr>
                <w:rFonts w:eastAsia="Times New Roman"/>
                <w:sz w:val="20"/>
                <w:szCs w:val="20"/>
              </w:rPr>
            </w:pPr>
          </w:p>
        </w:tc>
        <w:tc>
          <w:tcPr>
            <w:tcW w:w="0" w:type="auto"/>
            <w:gridSpan w:val="3"/>
            <w:vAlign w:val="center"/>
            <w:hideMark/>
          </w:tcPr>
          <w:p w14:paraId="709AF547" w14:textId="77777777" w:rsidR="00000000" w:rsidRDefault="001A570A">
            <w:pPr>
              <w:rPr>
                <w:rFonts w:eastAsia="Times New Roman"/>
                <w:sz w:val="20"/>
                <w:szCs w:val="20"/>
              </w:rPr>
            </w:pPr>
          </w:p>
        </w:tc>
        <w:tc>
          <w:tcPr>
            <w:tcW w:w="0" w:type="auto"/>
            <w:gridSpan w:val="3"/>
            <w:vAlign w:val="center"/>
            <w:hideMark/>
          </w:tcPr>
          <w:p w14:paraId="03C0A9F2" w14:textId="77777777" w:rsidR="00000000" w:rsidRDefault="001A570A">
            <w:pPr>
              <w:rPr>
                <w:rFonts w:eastAsia="Times New Roman"/>
                <w:sz w:val="20"/>
                <w:szCs w:val="20"/>
              </w:rPr>
            </w:pPr>
          </w:p>
        </w:tc>
        <w:tc>
          <w:tcPr>
            <w:tcW w:w="0" w:type="auto"/>
            <w:gridSpan w:val="3"/>
            <w:vAlign w:val="center"/>
            <w:hideMark/>
          </w:tcPr>
          <w:p w14:paraId="114453DA" w14:textId="77777777" w:rsidR="00000000" w:rsidRDefault="001A570A">
            <w:pPr>
              <w:rPr>
                <w:rFonts w:eastAsia="Times New Roman"/>
                <w:sz w:val="20"/>
                <w:szCs w:val="20"/>
              </w:rPr>
            </w:pPr>
          </w:p>
        </w:tc>
      </w:tr>
      <w:tr w:rsidR="00000000" w14:paraId="0781D6B5" w14:textId="77777777">
        <w:trPr>
          <w:divId w:val="1516581015"/>
        </w:trPr>
        <w:tc>
          <w:tcPr>
            <w:tcW w:w="0" w:type="auto"/>
            <w:gridSpan w:val="3"/>
            <w:tcMar>
              <w:top w:w="30" w:type="dxa"/>
              <w:left w:w="20" w:type="dxa"/>
              <w:bottom w:w="30" w:type="dxa"/>
              <w:right w:w="20" w:type="dxa"/>
            </w:tcMar>
            <w:vAlign w:val="bottom"/>
            <w:hideMark/>
          </w:tcPr>
          <w:p w14:paraId="23F7C3DB" w14:textId="77777777" w:rsidR="00000000" w:rsidRDefault="001A570A">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7321726F"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65301045"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7FED2252"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474A9C46" w14:textId="77777777" w:rsidR="00000000" w:rsidRDefault="001A570A">
            <w:pPr>
              <w:jc w:val="center"/>
              <w:rPr>
                <w:rFonts w:eastAsia="Times New Roman"/>
              </w:rPr>
            </w:pPr>
          </w:p>
        </w:tc>
        <w:tc>
          <w:tcPr>
            <w:tcW w:w="0" w:type="auto"/>
            <w:vAlign w:val="center"/>
            <w:hideMark/>
          </w:tcPr>
          <w:p w14:paraId="145A0645" w14:textId="77777777" w:rsidR="00000000" w:rsidRDefault="001A570A">
            <w:pPr>
              <w:rPr>
                <w:rFonts w:eastAsia="Times New Roman"/>
                <w:sz w:val="20"/>
                <w:szCs w:val="20"/>
              </w:rPr>
            </w:pPr>
          </w:p>
        </w:tc>
        <w:tc>
          <w:tcPr>
            <w:tcW w:w="0" w:type="auto"/>
            <w:vAlign w:val="center"/>
            <w:hideMark/>
          </w:tcPr>
          <w:p w14:paraId="5CAF3A90" w14:textId="77777777" w:rsidR="00000000" w:rsidRDefault="001A570A">
            <w:pPr>
              <w:rPr>
                <w:rFonts w:eastAsia="Times New Roman"/>
                <w:sz w:val="20"/>
                <w:szCs w:val="20"/>
              </w:rPr>
            </w:pPr>
          </w:p>
        </w:tc>
        <w:tc>
          <w:tcPr>
            <w:tcW w:w="0" w:type="auto"/>
            <w:vAlign w:val="center"/>
            <w:hideMark/>
          </w:tcPr>
          <w:p w14:paraId="49669AAD" w14:textId="77777777" w:rsidR="00000000" w:rsidRDefault="001A570A">
            <w:pPr>
              <w:rPr>
                <w:rFonts w:eastAsia="Times New Roman"/>
                <w:sz w:val="20"/>
                <w:szCs w:val="20"/>
              </w:rPr>
            </w:pPr>
          </w:p>
        </w:tc>
        <w:tc>
          <w:tcPr>
            <w:tcW w:w="0" w:type="auto"/>
            <w:vAlign w:val="center"/>
            <w:hideMark/>
          </w:tcPr>
          <w:p w14:paraId="0048BC10" w14:textId="77777777" w:rsidR="00000000" w:rsidRDefault="001A570A">
            <w:pPr>
              <w:rPr>
                <w:rFonts w:eastAsia="Times New Roman"/>
                <w:sz w:val="20"/>
                <w:szCs w:val="20"/>
              </w:rPr>
            </w:pPr>
          </w:p>
        </w:tc>
        <w:tc>
          <w:tcPr>
            <w:tcW w:w="0" w:type="auto"/>
            <w:vAlign w:val="center"/>
            <w:hideMark/>
          </w:tcPr>
          <w:p w14:paraId="016363CB" w14:textId="77777777" w:rsidR="00000000" w:rsidRDefault="001A570A">
            <w:pPr>
              <w:rPr>
                <w:rFonts w:eastAsia="Times New Roman"/>
                <w:sz w:val="20"/>
                <w:szCs w:val="20"/>
              </w:rPr>
            </w:pPr>
          </w:p>
        </w:tc>
        <w:tc>
          <w:tcPr>
            <w:tcW w:w="0" w:type="auto"/>
            <w:vAlign w:val="center"/>
            <w:hideMark/>
          </w:tcPr>
          <w:p w14:paraId="5CF81C24" w14:textId="77777777" w:rsidR="00000000" w:rsidRDefault="001A570A">
            <w:pPr>
              <w:rPr>
                <w:rFonts w:eastAsia="Times New Roman"/>
                <w:sz w:val="20"/>
                <w:szCs w:val="20"/>
              </w:rPr>
            </w:pPr>
          </w:p>
        </w:tc>
        <w:tc>
          <w:tcPr>
            <w:tcW w:w="0" w:type="auto"/>
            <w:vAlign w:val="center"/>
            <w:hideMark/>
          </w:tcPr>
          <w:p w14:paraId="355C7E89" w14:textId="77777777" w:rsidR="00000000" w:rsidRDefault="001A570A">
            <w:pPr>
              <w:rPr>
                <w:rFonts w:eastAsia="Times New Roman"/>
                <w:sz w:val="20"/>
                <w:szCs w:val="20"/>
              </w:rPr>
            </w:pPr>
          </w:p>
        </w:tc>
        <w:tc>
          <w:tcPr>
            <w:tcW w:w="0" w:type="auto"/>
            <w:vAlign w:val="center"/>
            <w:hideMark/>
          </w:tcPr>
          <w:p w14:paraId="386F2AAE" w14:textId="77777777" w:rsidR="00000000" w:rsidRDefault="001A570A">
            <w:pPr>
              <w:rPr>
                <w:rFonts w:eastAsia="Times New Roman"/>
                <w:sz w:val="20"/>
                <w:szCs w:val="20"/>
              </w:rPr>
            </w:pPr>
          </w:p>
        </w:tc>
        <w:tc>
          <w:tcPr>
            <w:tcW w:w="0" w:type="auto"/>
            <w:vAlign w:val="center"/>
            <w:hideMark/>
          </w:tcPr>
          <w:p w14:paraId="1BC5380B" w14:textId="77777777" w:rsidR="00000000" w:rsidRDefault="001A570A">
            <w:pPr>
              <w:rPr>
                <w:rFonts w:eastAsia="Times New Roman"/>
                <w:sz w:val="20"/>
                <w:szCs w:val="20"/>
              </w:rPr>
            </w:pPr>
          </w:p>
        </w:tc>
        <w:tc>
          <w:tcPr>
            <w:tcW w:w="0" w:type="auto"/>
            <w:vAlign w:val="center"/>
            <w:hideMark/>
          </w:tcPr>
          <w:p w14:paraId="7803C7DF" w14:textId="77777777" w:rsidR="00000000" w:rsidRDefault="001A570A">
            <w:pPr>
              <w:rPr>
                <w:rFonts w:eastAsia="Times New Roman"/>
                <w:sz w:val="20"/>
                <w:szCs w:val="20"/>
              </w:rPr>
            </w:pPr>
          </w:p>
        </w:tc>
        <w:tc>
          <w:tcPr>
            <w:tcW w:w="0" w:type="auto"/>
            <w:vAlign w:val="center"/>
            <w:hideMark/>
          </w:tcPr>
          <w:p w14:paraId="4417B9F6" w14:textId="77777777" w:rsidR="00000000" w:rsidRDefault="001A570A">
            <w:pPr>
              <w:rPr>
                <w:rFonts w:eastAsia="Times New Roman"/>
                <w:sz w:val="20"/>
                <w:szCs w:val="20"/>
              </w:rPr>
            </w:pPr>
          </w:p>
        </w:tc>
        <w:tc>
          <w:tcPr>
            <w:tcW w:w="0" w:type="auto"/>
            <w:vAlign w:val="center"/>
            <w:hideMark/>
          </w:tcPr>
          <w:p w14:paraId="5D45E742" w14:textId="77777777" w:rsidR="00000000" w:rsidRDefault="001A570A">
            <w:pPr>
              <w:rPr>
                <w:rFonts w:eastAsia="Times New Roman"/>
                <w:sz w:val="20"/>
                <w:szCs w:val="20"/>
              </w:rPr>
            </w:pPr>
          </w:p>
        </w:tc>
        <w:tc>
          <w:tcPr>
            <w:tcW w:w="0" w:type="auto"/>
            <w:vAlign w:val="center"/>
            <w:hideMark/>
          </w:tcPr>
          <w:p w14:paraId="5DC5C776" w14:textId="77777777" w:rsidR="00000000" w:rsidRDefault="001A570A">
            <w:pPr>
              <w:rPr>
                <w:rFonts w:eastAsia="Times New Roman"/>
                <w:sz w:val="20"/>
                <w:szCs w:val="20"/>
              </w:rPr>
            </w:pPr>
          </w:p>
        </w:tc>
      </w:tr>
      <w:tr w:rsidR="00000000" w14:paraId="498EDC7E" w14:textId="77777777">
        <w:trPr>
          <w:divId w:val="1516581015"/>
        </w:trPr>
        <w:tc>
          <w:tcPr>
            <w:tcW w:w="0" w:type="auto"/>
            <w:gridSpan w:val="3"/>
            <w:tcMar>
              <w:top w:w="30" w:type="dxa"/>
              <w:left w:w="20" w:type="dxa"/>
              <w:bottom w:w="30" w:type="dxa"/>
              <w:right w:w="20" w:type="dxa"/>
            </w:tcMar>
            <w:vAlign w:val="bottom"/>
            <w:hideMark/>
          </w:tcPr>
          <w:p w14:paraId="1B169341"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C1BF29D"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67374E3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C19F3A"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520653D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CACB19"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19DE6B2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C2892C"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36151F1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55D752"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6F32403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D5D571" w14:textId="77777777" w:rsidR="00000000" w:rsidRDefault="001A570A">
            <w:pPr>
              <w:jc w:val="center"/>
              <w:rPr>
                <w:rFonts w:eastAsia="Times New Roman"/>
              </w:rPr>
            </w:pPr>
            <w:r>
              <w:rPr>
                <w:rFonts w:eastAsia="Times New Roman"/>
                <w:b/>
                <w:bCs/>
                <w:color w:val="000000"/>
                <w:sz w:val="16"/>
                <w:szCs w:val="16"/>
              </w:rPr>
              <w:t>Total</w:t>
            </w:r>
          </w:p>
        </w:tc>
        <w:tc>
          <w:tcPr>
            <w:tcW w:w="0" w:type="auto"/>
            <w:vAlign w:val="center"/>
            <w:hideMark/>
          </w:tcPr>
          <w:p w14:paraId="276A4611" w14:textId="77777777" w:rsidR="00000000" w:rsidRDefault="001A570A">
            <w:pPr>
              <w:jc w:val="center"/>
              <w:rPr>
                <w:rFonts w:eastAsia="Times New Roman"/>
              </w:rPr>
            </w:pPr>
          </w:p>
        </w:tc>
        <w:tc>
          <w:tcPr>
            <w:tcW w:w="0" w:type="auto"/>
            <w:vAlign w:val="center"/>
            <w:hideMark/>
          </w:tcPr>
          <w:p w14:paraId="330EB0F3" w14:textId="77777777" w:rsidR="00000000" w:rsidRDefault="001A570A">
            <w:pPr>
              <w:rPr>
                <w:rFonts w:eastAsia="Times New Roman"/>
                <w:sz w:val="20"/>
                <w:szCs w:val="20"/>
              </w:rPr>
            </w:pPr>
          </w:p>
        </w:tc>
        <w:tc>
          <w:tcPr>
            <w:tcW w:w="0" w:type="auto"/>
            <w:gridSpan w:val="3"/>
            <w:vAlign w:val="center"/>
            <w:hideMark/>
          </w:tcPr>
          <w:p w14:paraId="55A72BA6" w14:textId="77777777" w:rsidR="00000000" w:rsidRDefault="001A570A">
            <w:pPr>
              <w:rPr>
                <w:rFonts w:eastAsia="Times New Roman"/>
                <w:sz w:val="20"/>
                <w:szCs w:val="20"/>
              </w:rPr>
            </w:pPr>
          </w:p>
        </w:tc>
        <w:tc>
          <w:tcPr>
            <w:tcW w:w="0" w:type="auto"/>
            <w:gridSpan w:val="3"/>
            <w:vAlign w:val="center"/>
            <w:hideMark/>
          </w:tcPr>
          <w:p w14:paraId="09426330" w14:textId="77777777" w:rsidR="00000000" w:rsidRDefault="001A570A">
            <w:pPr>
              <w:rPr>
                <w:rFonts w:eastAsia="Times New Roman"/>
                <w:sz w:val="20"/>
                <w:szCs w:val="20"/>
              </w:rPr>
            </w:pPr>
          </w:p>
        </w:tc>
        <w:tc>
          <w:tcPr>
            <w:tcW w:w="0" w:type="auto"/>
            <w:gridSpan w:val="3"/>
            <w:vAlign w:val="center"/>
            <w:hideMark/>
          </w:tcPr>
          <w:p w14:paraId="52E3E0C8" w14:textId="77777777" w:rsidR="00000000" w:rsidRDefault="001A570A">
            <w:pPr>
              <w:rPr>
                <w:rFonts w:eastAsia="Times New Roman"/>
                <w:sz w:val="20"/>
                <w:szCs w:val="20"/>
              </w:rPr>
            </w:pPr>
          </w:p>
        </w:tc>
        <w:tc>
          <w:tcPr>
            <w:tcW w:w="0" w:type="auto"/>
            <w:gridSpan w:val="3"/>
            <w:vAlign w:val="center"/>
            <w:hideMark/>
          </w:tcPr>
          <w:p w14:paraId="0B334947" w14:textId="77777777" w:rsidR="00000000" w:rsidRDefault="001A570A">
            <w:pPr>
              <w:rPr>
                <w:rFonts w:eastAsia="Times New Roman"/>
                <w:sz w:val="20"/>
                <w:szCs w:val="20"/>
              </w:rPr>
            </w:pPr>
          </w:p>
        </w:tc>
      </w:tr>
      <w:tr w:rsidR="00000000" w14:paraId="361C4135" w14:textId="77777777">
        <w:trPr>
          <w:divId w:val="1516581015"/>
          <w:trHeight w:val="60"/>
        </w:trPr>
        <w:tc>
          <w:tcPr>
            <w:tcW w:w="0" w:type="auto"/>
            <w:gridSpan w:val="3"/>
            <w:tcMar>
              <w:top w:w="0" w:type="dxa"/>
              <w:left w:w="20" w:type="dxa"/>
              <w:bottom w:w="0" w:type="dxa"/>
              <w:right w:w="20" w:type="dxa"/>
            </w:tcMar>
            <w:vAlign w:val="center"/>
            <w:hideMark/>
          </w:tcPr>
          <w:p w14:paraId="08ADB45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ECADB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4D1618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986C2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579559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D5DB7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95090D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D1353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EF33FC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E32D3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A4B0C2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1DCDDD" w14:textId="77777777" w:rsidR="00000000" w:rsidRDefault="001A570A">
            <w:pPr>
              <w:rPr>
                <w:rFonts w:eastAsia="Times New Roman"/>
                <w:sz w:val="20"/>
                <w:szCs w:val="20"/>
              </w:rPr>
            </w:pPr>
          </w:p>
        </w:tc>
        <w:tc>
          <w:tcPr>
            <w:tcW w:w="0" w:type="auto"/>
            <w:vAlign w:val="center"/>
            <w:hideMark/>
          </w:tcPr>
          <w:p w14:paraId="1E6FA31B" w14:textId="77777777" w:rsidR="00000000" w:rsidRDefault="001A570A">
            <w:pPr>
              <w:rPr>
                <w:rFonts w:eastAsia="Times New Roman"/>
                <w:sz w:val="20"/>
                <w:szCs w:val="20"/>
              </w:rPr>
            </w:pPr>
          </w:p>
        </w:tc>
        <w:tc>
          <w:tcPr>
            <w:tcW w:w="0" w:type="auto"/>
            <w:vAlign w:val="center"/>
            <w:hideMark/>
          </w:tcPr>
          <w:p w14:paraId="3BD0F430" w14:textId="77777777" w:rsidR="00000000" w:rsidRDefault="001A570A">
            <w:pPr>
              <w:rPr>
                <w:rFonts w:eastAsia="Times New Roman"/>
                <w:sz w:val="20"/>
                <w:szCs w:val="20"/>
              </w:rPr>
            </w:pPr>
          </w:p>
        </w:tc>
        <w:tc>
          <w:tcPr>
            <w:tcW w:w="0" w:type="auto"/>
            <w:gridSpan w:val="3"/>
            <w:vAlign w:val="center"/>
            <w:hideMark/>
          </w:tcPr>
          <w:p w14:paraId="5A34A3D0" w14:textId="77777777" w:rsidR="00000000" w:rsidRDefault="001A570A">
            <w:pPr>
              <w:rPr>
                <w:rFonts w:eastAsia="Times New Roman"/>
                <w:sz w:val="20"/>
                <w:szCs w:val="20"/>
              </w:rPr>
            </w:pPr>
          </w:p>
        </w:tc>
        <w:tc>
          <w:tcPr>
            <w:tcW w:w="0" w:type="auto"/>
            <w:gridSpan w:val="3"/>
            <w:vAlign w:val="center"/>
            <w:hideMark/>
          </w:tcPr>
          <w:p w14:paraId="307D3C41" w14:textId="77777777" w:rsidR="00000000" w:rsidRDefault="001A570A">
            <w:pPr>
              <w:rPr>
                <w:rFonts w:eastAsia="Times New Roman"/>
                <w:sz w:val="20"/>
                <w:szCs w:val="20"/>
              </w:rPr>
            </w:pPr>
          </w:p>
        </w:tc>
        <w:tc>
          <w:tcPr>
            <w:tcW w:w="0" w:type="auto"/>
            <w:gridSpan w:val="3"/>
            <w:vAlign w:val="center"/>
            <w:hideMark/>
          </w:tcPr>
          <w:p w14:paraId="4F7D4D59" w14:textId="77777777" w:rsidR="00000000" w:rsidRDefault="001A570A">
            <w:pPr>
              <w:rPr>
                <w:rFonts w:eastAsia="Times New Roman"/>
                <w:sz w:val="20"/>
                <w:szCs w:val="20"/>
              </w:rPr>
            </w:pPr>
          </w:p>
        </w:tc>
        <w:tc>
          <w:tcPr>
            <w:tcW w:w="0" w:type="auto"/>
            <w:gridSpan w:val="3"/>
            <w:vAlign w:val="center"/>
            <w:hideMark/>
          </w:tcPr>
          <w:p w14:paraId="150D30F7" w14:textId="77777777" w:rsidR="00000000" w:rsidRDefault="001A570A">
            <w:pPr>
              <w:rPr>
                <w:rFonts w:eastAsia="Times New Roman"/>
                <w:sz w:val="20"/>
                <w:szCs w:val="20"/>
              </w:rPr>
            </w:pPr>
          </w:p>
        </w:tc>
      </w:tr>
      <w:tr w:rsidR="00000000" w14:paraId="58D9D852" w14:textId="77777777">
        <w:trPr>
          <w:divId w:val="1516581015"/>
        </w:trPr>
        <w:tc>
          <w:tcPr>
            <w:tcW w:w="0" w:type="auto"/>
            <w:gridSpan w:val="3"/>
            <w:shd w:val="clear" w:color="auto" w:fill="CCEEFF"/>
            <w:tcMar>
              <w:top w:w="30" w:type="dxa"/>
              <w:left w:w="20" w:type="dxa"/>
              <w:bottom w:w="30" w:type="dxa"/>
              <w:right w:w="20" w:type="dxa"/>
            </w:tcMar>
            <w:hideMark/>
          </w:tcPr>
          <w:p w14:paraId="74FE610C" w14:textId="77777777" w:rsidR="00000000" w:rsidRDefault="001A570A">
            <w:pPr>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14:paraId="5DDDFE8C"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B1DF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3A910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9DD9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7620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8241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2CA09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A1A8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853B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30161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CCAFF" w14:textId="77777777" w:rsidR="00000000" w:rsidRDefault="001A570A">
            <w:pPr>
              <w:rPr>
                <w:rFonts w:eastAsia="Times New Roman"/>
                <w:sz w:val="20"/>
                <w:szCs w:val="20"/>
              </w:rPr>
            </w:pPr>
          </w:p>
        </w:tc>
        <w:tc>
          <w:tcPr>
            <w:tcW w:w="0" w:type="auto"/>
            <w:vAlign w:val="center"/>
            <w:hideMark/>
          </w:tcPr>
          <w:p w14:paraId="5D947386" w14:textId="77777777" w:rsidR="00000000" w:rsidRDefault="001A570A">
            <w:pPr>
              <w:rPr>
                <w:rFonts w:eastAsia="Times New Roman"/>
                <w:sz w:val="20"/>
                <w:szCs w:val="20"/>
              </w:rPr>
            </w:pPr>
          </w:p>
        </w:tc>
        <w:tc>
          <w:tcPr>
            <w:tcW w:w="0" w:type="auto"/>
            <w:vAlign w:val="center"/>
            <w:hideMark/>
          </w:tcPr>
          <w:p w14:paraId="2320C22F" w14:textId="77777777" w:rsidR="00000000" w:rsidRDefault="001A570A">
            <w:pPr>
              <w:rPr>
                <w:rFonts w:eastAsia="Times New Roman"/>
                <w:sz w:val="20"/>
                <w:szCs w:val="20"/>
              </w:rPr>
            </w:pPr>
          </w:p>
        </w:tc>
        <w:tc>
          <w:tcPr>
            <w:tcW w:w="0" w:type="auto"/>
            <w:gridSpan w:val="3"/>
            <w:vAlign w:val="center"/>
            <w:hideMark/>
          </w:tcPr>
          <w:p w14:paraId="3AC64B22" w14:textId="77777777" w:rsidR="00000000" w:rsidRDefault="001A570A">
            <w:pPr>
              <w:rPr>
                <w:rFonts w:eastAsia="Times New Roman"/>
                <w:sz w:val="20"/>
                <w:szCs w:val="20"/>
              </w:rPr>
            </w:pPr>
          </w:p>
        </w:tc>
        <w:tc>
          <w:tcPr>
            <w:tcW w:w="0" w:type="auto"/>
            <w:gridSpan w:val="3"/>
            <w:vAlign w:val="center"/>
            <w:hideMark/>
          </w:tcPr>
          <w:p w14:paraId="643D2AD2" w14:textId="77777777" w:rsidR="00000000" w:rsidRDefault="001A570A">
            <w:pPr>
              <w:rPr>
                <w:rFonts w:eastAsia="Times New Roman"/>
                <w:sz w:val="20"/>
                <w:szCs w:val="20"/>
              </w:rPr>
            </w:pPr>
          </w:p>
        </w:tc>
        <w:tc>
          <w:tcPr>
            <w:tcW w:w="0" w:type="auto"/>
            <w:gridSpan w:val="3"/>
            <w:vAlign w:val="center"/>
            <w:hideMark/>
          </w:tcPr>
          <w:p w14:paraId="19A0A178" w14:textId="77777777" w:rsidR="00000000" w:rsidRDefault="001A570A">
            <w:pPr>
              <w:rPr>
                <w:rFonts w:eastAsia="Times New Roman"/>
                <w:sz w:val="20"/>
                <w:szCs w:val="20"/>
              </w:rPr>
            </w:pPr>
          </w:p>
        </w:tc>
        <w:tc>
          <w:tcPr>
            <w:tcW w:w="0" w:type="auto"/>
            <w:gridSpan w:val="3"/>
            <w:vAlign w:val="center"/>
            <w:hideMark/>
          </w:tcPr>
          <w:p w14:paraId="425F30A4" w14:textId="77777777" w:rsidR="00000000" w:rsidRDefault="001A570A">
            <w:pPr>
              <w:rPr>
                <w:rFonts w:eastAsia="Times New Roman"/>
                <w:sz w:val="20"/>
                <w:szCs w:val="20"/>
              </w:rPr>
            </w:pPr>
          </w:p>
        </w:tc>
      </w:tr>
      <w:tr w:rsidR="00000000" w14:paraId="1D107DEC" w14:textId="77777777">
        <w:trPr>
          <w:divId w:val="1516581015"/>
        </w:trPr>
        <w:tc>
          <w:tcPr>
            <w:tcW w:w="0" w:type="auto"/>
            <w:gridSpan w:val="3"/>
            <w:shd w:val="clear" w:color="auto" w:fill="FFFFFF"/>
            <w:tcMar>
              <w:top w:w="30" w:type="dxa"/>
              <w:left w:w="20" w:type="dxa"/>
              <w:bottom w:w="30" w:type="dxa"/>
              <w:right w:w="20" w:type="dxa"/>
            </w:tcMar>
            <w:hideMark/>
          </w:tcPr>
          <w:p w14:paraId="384CAC56" w14:textId="77777777" w:rsidR="00000000" w:rsidRDefault="001A570A">
            <w:pPr>
              <w:rPr>
                <w:rFonts w:eastAsia="Times New Roman"/>
              </w:rPr>
            </w:pPr>
            <w:r>
              <w:rPr>
                <w:rFonts w:eastAsia="Times New Roman"/>
                <w:color w:val="000000"/>
                <w:sz w:val="20"/>
                <w:szCs w:val="20"/>
              </w:rPr>
              <w:t>Benefit obligation at beginning of fiscal year</w:t>
            </w:r>
          </w:p>
        </w:tc>
        <w:tc>
          <w:tcPr>
            <w:tcW w:w="0" w:type="auto"/>
            <w:shd w:val="clear" w:color="auto" w:fill="FFFFFF"/>
            <w:tcMar>
              <w:top w:w="30" w:type="dxa"/>
              <w:left w:w="20" w:type="dxa"/>
              <w:bottom w:w="30" w:type="dxa"/>
              <w:right w:w="0" w:type="dxa"/>
            </w:tcMar>
            <w:vAlign w:val="bottom"/>
            <w:hideMark/>
          </w:tcPr>
          <w:p w14:paraId="707C445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55D8E6" w14:textId="77777777" w:rsidR="00000000" w:rsidRDefault="001A570A">
            <w:pPr>
              <w:jc w:val="right"/>
              <w:rPr>
                <w:rFonts w:eastAsia="Times New Roman"/>
              </w:rPr>
            </w:pPr>
            <w:r>
              <w:rPr>
                <w:rFonts w:eastAsia="Times New Roman"/>
                <w:color w:val="000000"/>
                <w:sz w:val="20"/>
                <w:szCs w:val="20"/>
              </w:rPr>
              <w:t>10,268 </w:t>
            </w:r>
          </w:p>
        </w:tc>
        <w:tc>
          <w:tcPr>
            <w:tcW w:w="0" w:type="auto"/>
            <w:shd w:val="clear" w:color="auto" w:fill="FFFFFF"/>
            <w:tcMar>
              <w:top w:w="30" w:type="dxa"/>
              <w:left w:w="0" w:type="dxa"/>
              <w:bottom w:w="30" w:type="dxa"/>
              <w:right w:w="20" w:type="dxa"/>
            </w:tcMar>
            <w:vAlign w:val="bottom"/>
            <w:hideMark/>
          </w:tcPr>
          <w:p w14:paraId="7A6EEAF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8BF6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148D57"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7F2D27" w14:textId="77777777" w:rsidR="00000000" w:rsidRDefault="001A570A">
            <w:pPr>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14:paraId="74F4166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C09B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DE8AF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866133" w14:textId="77777777" w:rsidR="00000000" w:rsidRDefault="001A570A">
            <w:pPr>
              <w:jc w:val="right"/>
              <w:rPr>
                <w:rFonts w:eastAsia="Times New Roman"/>
              </w:rPr>
            </w:pPr>
            <w:r>
              <w:rPr>
                <w:rFonts w:eastAsia="Times New Roman"/>
                <w:color w:val="000000"/>
                <w:sz w:val="20"/>
                <w:szCs w:val="20"/>
              </w:rPr>
              <w:t>10,637 </w:t>
            </w:r>
          </w:p>
        </w:tc>
        <w:tc>
          <w:tcPr>
            <w:tcW w:w="0" w:type="auto"/>
            <w:shd w:val="clear" w:color="auto" w:fill="FFFFFF"/>
            <w:tcMar>
              <w:top w:w="30" w:type="dxa"/>
              <w:left w:w="0" w:type="dxa"/>
              <w:bottom w:w="30" w:type="dxa"/>
              <w:right w:w="20" w:type="dxa"/>
            </w:tcMar>
            <w:vAlign w:val="bottom"/>
            <w:hideMark/>
          </w:tcPr>
          <w:p w14:paraId="294BCD3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BF80A"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3781A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75E4B2" w14:textId="77777777" w:rsidR="00000000" w:rsidRDefault="001A570A">
            <w:pPr>
              <w:jc w:val="right"/>
              <w:rPr>
                <w:rFonts w:eastAsia="Times New Roman"/>
              </w:rPr>
            </w:pPr>
            <w:r>
              <w:rPr>
                <w:rFonts w:eastAsia="Times New Roman"/>
                <w:color w:val="000000"/>
                <w:sz w:val="20"/>
                <w:szCs w:val="20"/>
              </w:rPr>
              <w:t>6,123 </w:t>
            </w:r>
          </w:p>
        </w:tc>
        <w:tc>
          <w:tcPr>
            <w:tcW w:w="0" w:type="auto"/>
            <w:shd w:val="clear" w:color="auto" w:fill="FFFFFF"/>
            <w:tcMar>
              <w:top w:w="30" w:type="dxa"/>
              <w:left w:w="0" w:type="dxa"/>
              <w:bottom w:w="30" w:type="dxa"/>
              <w:right w:w="20" w:type="dxa"/>
            </w:tcMar>
            <w:vAlign w:val="bottom"/>
            <w:hideMark/>
          </w:tcPr>
          <w:p w14:paraId="63D3524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7A6C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95592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8B51D1" w14:textId="77777777" w:rsidR="00000000" w:rsidRDefault="001A570A">
            <w:pPr>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14:paraId="78CE8E6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ABAB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1A1DD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F81B72" w14:textId="77777777" w:rsidR="00000000" w:rsidRDefault="001A570A">
            <w:pPr>
              <w:jc w:val="right"/>
              <w:rPr>
                <w:rFonts w:eastAsia="Times New Roman"/>
              </w:rPr>
            </w:pPr>
            <w:r>
              <w:rPr>
                <w:rFonts w:eastAsia="Times New Roman"/>
                <w:color w:val="000000"/>
                <w:sz w:val="20"/>
                <w:szCs w:val="20"/>
              </w:rPr>
              <w:t>6,344 </w:t>
            </w:r>
          </w:p>
        </w:tc>
        <w:tc>
          <w:tcPr>
            <w:tcW w:w="0" w:type="auto"/>
            <w:shd w:val="clear" w:color="auto" w:fill="FFFFFF"/>
            <w:tcMar>
              <w:top w:w="30" w:type="dxa"/>
              <w:left w:w="0" w:type="dxa"/>
              <w:bottom w:w="30" w:type="dxa"/>
              <w:right w:w="20" w:type="dxa"/>
            </w:tcMar>
            <w:vAlign w:val="bottom"/>
            <w:hideMark/>
          </w:tcPr>
          <w:p w14:paraId="2841C9CB" w14:textId="77777777" w:rsidR="00000000" w:rsidRDefault="001A570A">
            <w:pPr>
              <w:jc w:val="right"/>
              <w:rPr>
                <w:rFonts w:eastAsia="Times New Roman"/>
              </w:rPr>
            </w:pPr>
          </w:p>
        </w:tc>
        <w:tc>
          <w:tcPr>
            <w:tcW w:w="0" w:type="auto"/>
            <w:vAlign w:val="center"/>
            <w:hideMark/>
          </w:tcPr>
          <w:p w14:paraId="7EE74171" w14:textId="77777777" w:rsidR="00000000" w:rsidRDefault="001A570A">
            <w:pPr>
              <w:jc w:val="right"/>
              <w:rPr>
                <w:rFonts w:eastAsia="Times New Roman"/>
                <w:sz w:val="20"/>
                <w:szCs w:val="20"/>
              </w:rPr>
            </w:pPr>
          </w:p>
        </w:tc>
        <w:tc>
          <w:tcPr>
            <w:tcW w:w="0" w:type="auto"/>
            <w:vAlign w:val="center"/>
            <w:hideMark/>
          </w:tcPr>
          <w:p w14:paraId="08C67DF2" w14:textId="77777777" w:rsidR="00000000" w:rsidRDefault="001A570A">
            <w:pPr>
              <w:rPr>
                <w:rFonts w:eastAsia="Times New Roman"/>
                <w:sz w:val="20"/>
                <w:szCs w:val="20"/>
              </w:rPr>
            </w:pPr>
          </w:p>
        </w:tc>
        <w:tc>
          <w:tcPr>
            <w:tcW w:w="0" w:type="auto"/>
            <w:gridSpan w:val="3"/>
            <w:vAlign w:val="center"/>
            <w:hideMark/>
          </w:tcPr>
          <w:p w14:paraId="41DA63FD" w14:textId="77777777" w:rsidR="00000000" w:rsidRDefault="001A570A">
            <w:pPr>
              <w:rPr>
                <w:rFonts w:eastAsia="Times New Roman"/>
                <w:sz w:val="20"/>
                <w:szCs w:val="20"/>
              </w:rPr>
            </w:pPr>
          </w:p>
        </w:tc>
        <w:tc>
          <w:tcPr>
            <w:tcW w:w="0" w:type="auto"/>
            <w:gridSpan w:val="3"/>
            <w:vAlign w:val="center"/>
            <w:hideMark/>
          </w:tcPr>
          <w:p w14:paraId="723AA7CA" w14:textId="77777777" w:rsidR="00000000" w:rsidRDefault="001A570A">
            <w:pPr>
              <w:rPr>
                <w:rFonts w:eastAsia="Times New Roman"/>
                <w:sz w:val="20"/>
                <w:szCs w:val="20"/>
              </w:rPr>
            </w:pPr>
          </w:p>
        </w:tc>
        <w:tc>
          <w:tcPr>
            <w:tcW w:w="0" w:type="auto"/>
            <w:gridSpan w:val="3"/>
            <w:vAlign w:val="center"/>
            <w:hideMark/>
          </w:tcPr>
          <w:p w14:paraId="4F43EA24" w14:textId="77777777" w:rsidR="00000000" w:rsidRDefault="001A570A">
            <w:pPr>
              <w:rPr>
                <w:rFonts w:eastAsia="Times New Roman"/>
                <w:sz w:val="20"/>
                <w:szCs w:val="20"/>
              </w:rPr>
            </w:pPr>
          </w:p>
        </w:tc>
        <w:tc>
          <w:tcPr>
            <w:tcW w:w="0" w:type="auto"/>
            <w:gridSpan w:val="3"/>
            <w:vAlign w:val="center"/>
            <w:hideMark/>
          </w:tcPr>
          <w:p w14:paraId="7B7A475C" w14:textId="77777777" w:rsidR="00000000" w:rsidRDefault="001A570A">
            <w:pPr>
              <w:rPr>
                <w:rFonts w:eastAsia="Times New Roman"/>
                <w:sz w:val="20"/>
                <w:szCs w:val="20"/>
              </w:rPr>
            </w:pPr>
          </w:p>
        </w:tc>
      </w:tr>
      <w:tr w:rsidR="00000000" w14:paraId="13A5AAFC" w14:textId="77777777">
        <w:trPr>
          <w:divId w:val="1516581015"/>
        </w:trPr>
        <w:tc>
          <w:tcPr>
            <w:tcW w:w="0" w:type="auto"/>
            <w:gridSpan w:val="3"/>
            <w:shd w:val="clear" w:color="auto" w:fill="CCEEFF"/>
            <w:tcMar>
              <w:top w:w="30" w:type="dxa"/>
              <w:left w:w="20" w:type="dxa"/>
              <w:bottom w:w="30" w:type="dxa"/>
              <w:right w:w="20" w:type="dxa"/>
            </w:tcMar>
            <w:hideMark/>
          </w:tcPr>
          <w:p w14:paraId="1CBB96FC" w14:textId="77777777" w:rsidR="00000000" w:rsidRDefault="001A570A">
            <w:pPr>
              <w:rPr>
                <w:rFonts w:eastAsia="Times New Roman"/>
              </w:rPr>
            </w:pPr>
            <w:r>
              <w:rPr>
                <w:rFonts w:eastAsia="Times New Roman"/>
                <w:color w:val="000000"/>
                <w:sz w:val="20"/>
                <w:szCs w:val="20"/>
              </w:rPr>
              <w:t>Benefit obligation assumed in L3Harris Merger</w:t>
            </w:r>
          </w:p>
        </w:tc>
        <w:tc>
          <w:tcPr>
            <w:tcW w:w="0" w:type="auto"/>
            <w:gridSpan w:val="2"/>
            <w:shd w:val="clear" w:color="auto" w:fill="CCEEFF"/>
            <w:tcMar>
              <w:top w:w="30" w:type="dxa"/>
              <w:left w:w="20" w:type="dxa"/>
              <w:bottom w:w="30" w:type="dxa"/>
              <w:right w:w="0" w:type="dxa"/>
            </w:tcMar>
            <w:vAlign w:val="bottom"/>
            <w:hideMark/>
          </w:tcPr>
          <w:p w14:paraId="639C09A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2A354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B1C8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1DC7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C41D1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C12D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B404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2EE2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DC79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F2F59" w14:textId="77777777" w:rsidR="00000000" w:rsidRDefault="001A570A">
            <w:pPr>
              <w:jc w:val="right"/>
              <w:rPr>
                <w:rFonts w:eastAsia="Times New Roman"/>
              </w:rPr>
            </w:pPr>
            <w:r>
              <w:rPr>
                <w:rFonts w:eastAsia="Times New Roman"/>
                <w:color w:val="000000"/>
                <w:sz w:val="20"/>
                <w:szCs w:val="20"/>
              </w:rPr>
              <w:t>4,474 </w:t>
            </w:r>
          </w:p>
        </w:tc>
        <w:tc>
          <w:tcPr>
            <w:tcW w:w="0" w:type="auto"/>
            <w:shd w:val="clear" w:color="auto" w:fill="CCEEFF"/>
            <w:tcMar>
              <w:top w:w="30" w:type="dxa"/>
              <w:left w:w="0" w:type="dxa"/>
              <w:bottom w:w="30" w:type="dxa"/>
              <w:right w:w="20" w:type="dxa"/>
            </w:tcMar>
            <w:vAlign w:val="bottom"/>
            <w:hideMark/>
          </w:tcPr>
          <w:p w14:paraId="22E818F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3697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1E5FB" w14:textId="77777777" w:rsidR="00000000" w:rsidRDefault="001A570A">
            <w:pPr>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14:paraId="25A089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034E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95069" w14:textId="77777777" w:rsidR="00000000" w:rsidRDefault="001A570A">
            <w:pPr>
              <w:jc w:val="right"/>
              <w:rPr>
                <w:rFonts w:eastAsia="Times New Roman"/>
              </w:rPr>
            </w:pPr>
            <w:r>
              <w:rPr>
                <w:rFonts w:eastAsia="Times New Roman"/>
                <w:color w:val="000000"/>
                <w:sz w:val="20"/>
                <w:szCs w:val="20"/>
              </w:rPr>
              <w:t>4,630 </w:t>
            </w:r>
          </w:p>
        </w:tc>
        <w:tc>
          <w:tcPr>
            <w:tcW w:w="0" w:type="auto"/>
            <w:shd w:val="clear" w:color="auto" w:fill="CCEEFF"/>
            <w:tcMar>
              <w:top w:w="30" w:type="dxa"/>
              <w:left w:w="0" w:type="dxa"/>
              <w:bottom w:w="30" w:type="dxa"/>
              <w:right w:w="20" w:type="dxa"/>
            </w:tcMar>
            <w:vAlign w:val="bottom"/>
            <w:hideMark/>
          </w:tcPr>
          <w:p w14:paraId="124EC096" w14:textId="77777777" w:rsidR="00000000" w:rsidRDefault="001A570A">
            <w:pPr>
              <w:jc w:val="right"/>
              <w:rPr>
                <w:rFonts w:eastAsia="Times New Roman"/>
              </w:rPr>
            </w:pPr>
          </w:p>
        </w:tc>
        <w:tc>
          <w:tcPr>
            <w:tcW w:w="0" w:type="auto"/>
            <w:vAlign w:val="center"/>
            <w:hideMark/>
          </w:tcPr>
          <w:p w14:paraId="723EF84E" w14:textId="77777777" w:rsidR="00000000" w:rsidRDefault="001A570A">
            <w:pPr>
              <w:jc w:val="right"/>
              <w:rPr>
                <w:rFonts w:eastAsia="Times New Roman"/>
                <w:sz w:val="20"/>
                <w:szCs w:val="20"/>
              </w:rPr>
            </w:pPr>
          </w:p>
        </w:tc>
        <w:tc>
          <w:tcPr>
            <w:tcW w:w="0" w:type="auto"/>
            <w:vAlign w:val="center"/>
            <w:hideMark/>
          </w:tcPr>
          <w:p w14:paraId="74C8C2EA" w14:textId="77777777" w:rsidR="00000000" w:rsidRDefault="001A570A">
            <w:pPr>
              <w:rPr>
                <w:rFonts w:eastAsia="Times New Roman"/>
                <w:sz w:val="20"/>
                <w:szCs w:val="20"/>
              </w:rPr>
            </w:pPr>
          </w:p>
        </w:tc>
        <w:tc>
          <w:tcPr>
            <w:tcW w:w="0" w:type="auto"/>
            <w:gridSpan w:val="3"/>
            <w:vAlign w:val="center"/>
            <w:hideMark/>
          </w:tcPr>
          <w:p w14:paraId="54EA9181" w14:textId="77777777" w:rsidR="00000000" w:rsidRDefault="001A570A">
            <w:pPr>
              <w:rPr>
                <w:rFonts w:eastAsia="Times New Roman"/>
                <w:sz w:val="20"/>
                <w:szCs w:val="20"/>
              </w:rPr>
            </w:pPr>
          </w:p>
        </w:tc>
        <w:tc>
          <w:tcPr>
            <w:tcW w:w="0" w:type="auto"/>
            <w:gridSpan w:val="3"/>
            <w:vAlign w:val="center"/>
            <w:hideMark/>
          </w:tcPr>
          <w:p w14:paraId="45DCDD80" w14:textId="77777777" w:rsidR="00000000" w:rsidRDefault="001A570A">
            <w:pPr>
              <w:rPr>
                <w:rFonts w:eastAsia="Times New Roman"/>
                <w:sz w:val="20"/>
                <w:szCs w:val="20"/>
              </w:rPr>
            </w:pPr>
          </w:p>
        </w:tc>
        <w:tc>
          <w:tcPr>
            <w:tcW w:w="0" w:type="auto"/>
            <w:gridSpan w:val="3"/>
            <w:vAlign w:val="center"/>
            <w:hideMark/>
          </w:tcPr>
          <w:p w14:paraId="452A56F5" w14:textId="77777777" w:rsidR="00000000" w:rsidRDefault="001A570A">
            <w:pPr>
              <w:rPr>
                <w:rFonts w:eastAsia="Times New Roman"/>
                <w:sz w:val="20"/>
                <w:szCs w:val="20"/>
              </w:rPr>
            </w:pPr>
          </w:p>
        </w:tc>
        <w:tc>
          <w:tcPr>
            <w:tcW w:w="0" w:type="auto"/>
            <w:gridSpan w:val="3"/>
            <w:vAlign w:val="center"/>
            <w:hideMark/>
          </w:tcPr>
          <w:p w14:paraId="0456DE95" w14:textId="77777777" w:rsidR="00000000" w:rsidRDefault="001A570A">
            <w:pPr>
              <w:rPr>
                <w:rFonts w:eastAsia="Times New Roman"/>
                <w:sz w:val="20"/>
                <w:szCs w:val="20"/>
              </w:rPr>
            </w:pPr>
          </w:p>
        </w:tc>
      </w:tr>
      <w:tr w:rsidR="00000000" w14:paraId="1F8187E1" w14:textId="77777777">
        <w:trPr>
          <w:divId w:val="1516581015"/>
        </w:trPr>
        <w:tc>
          <w:tcPr>
            <w:tcW w:w="0" w:type="auto"/>
            <w:gridSpan w:val="3"/>
            <w:shd w:val="clear" w:color="auto" w:fill="FFFFFF"/>
            <w:tcMar>
              <w:top w:w="30" w:type="dxa"/>
              <w:left w:w="20" w:type="dxa"/>
              <w:bottom w:w="30" w:type="dxa"/>
              <w:right w:w="20" w:type="dxa"/>
            </w:tcMar>
            <w:hideMark/>
          </w:tcPr>
          <w:p w14:paraId="559D4981" w14:textId="77777777" w:rsidR="00000000" w:rsidRDefault="001A570A">
            <w:pPr>
              <w:rPr>
                <w:rFonts w:eastAsia="Times New Roman"/>
              </w:rPr>
            </w:pPr>
            <w:r>
              <w:rPr>
                <w:rFonts w:eastAsia="Times New Roman"/>
                <w:color w:val="000000"/>
                <w:sz w:val="20"/>
                <w:szCs w:val="20"/>
              </w:rPr>
              <w:t>Service cost</w:t>
            </w:r>
          </w:p>
        </w:tc>
        <w:tc>
          <w:tcPr>
            <w:tcW w:w="0" w:type="auto"/>
            <w:gridSpan w:val="2"/>
            <w:shd w:val="clear" w:color="auto" w:fill="FFFFFF"/>
            <w:tcMar>
              <w:top w:w="30" w:type="dxa"/>
              <w:left w:w="20" w:type="dxa"/>
              <w:bottom w:w="30" w:type="dxa"/>
              <w:right w:w="0" w:type="dxa"/>
            </w:tcMar>
            <w:vAlign w:val="bottom"/>
            <w:hideMark/>
          </w:tcPr>
          <w:p w14:paraId="0E19D067" w14:textId="77777777" w:rsidR="00000000" w:rsidRDefault="001A570A">
            <w:pPr>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0F5CC08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2F55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A5BC7"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5BFA70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87BA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2DB9DF" w14:textId="77777777" w:rsidR="00000000" w:rsidRDefault="001A570A">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6E407CF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82C7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D8A72" w14:textId="77777777" w:rsidR="00000000" w:rsidRDefault="001A570A">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0DD515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1D52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7BD5E5"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0AC9950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6D10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F0A08" w14:textId="77777777" w:rsidR="00000000" w:rsidRDefault="001A570A">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57E0D02A" w14:textId="77777777" w:rsidR="00000000" w:rsidRDefault="001A570A">
            <w:pPr>
              <w:jc w:val="right"/>
              <w:rPr>
                <w:rFonts w:eastAsia="Times New Roman"/>
              </w:rPr>
            </w:pPr>
          </w:p>
        </w:tc>
        <w:tc>
          <w:tcPr>
            <w:tcW w:w="0" w:type="auto"/>
            <w:vAlign w:val="center"/>
            <w:hideMark/>
          </w:tcPr>
          <w:p w14:paraId="669EAD74" w14:textId="77777777" w:rsidR="00000000" w:rsidRDefault="001A570A">
            <w:pPr>
              <w:jc w:val="right"/>
              <w:rPr>
                <w:rFonts w:eastAsia="Times New Roman"/>
                <w:sz w:val="20"/>
                <w:szCs w:val="20"/>
              </w:rPr>
            </w:pPr>
          </w:p>
        </w:tc>
        <w:tc>
          <w:tcPr>
            <w:tcW w:w="0" w:type="auto"/>
            <w:vAlign w:val="center"/>
            <w:hideMark/>
          </w:tcPr>
          <w:p w14:paraId="70711EF1" w14:textId="77777777" w:rsidR="00000000" w:rsidRDefault="001A570A">
            <w:pPr>
              <w:rPr>
                <w:rFonts w:eastAsia="Times New Roman"/>
                <w:sz w:val="20"/>
                <w:szCs w:val="20"/>
              </w:rPr>
            </w:pPr>
          </w:p>
        </w:tc>
        <w:tc>
          <w:tcPr>
            <w:tcW w:w="0" w:type="auto"/>
            <w:gridSpan w:val="3"/>
            <w:vAlign w:val="center"/>
            <w:hideMark/>
          </w:tcPr>
          <w:p w14:paraId="3EBD01A8" w14:textId="77777777" w:rsidR="00000000" w:rsidRDefault="001A570A">
            <w:pPr>
              <w:rPr>
                <w:rFonts w:eastAsia="Times New Roman"/>
                <w:sz w:val="20"/>
                <w:szCs w:val="20"/>
              </w:rPr>
            </w:pPr>
          </w:p>
        </w:tc>
        <w:tc>
          <w:tcPr>
            <w:tcW w:w="0" w:type="auto"/>
            <w:gridSpan w:val="3"/>
            <w:vAlign w:val="center"/>
            <w:hideMark/>
          </w:tcPr>
          <w:p w14:paraId="73F5587A" w14:textId="77777777" w:rsidR="00000000" w:rsidRDefault="001A570A">
            <w:pPr>
              <w:rPr>
                <w:rFonts w:eastAsia="Times New Roman"/>
                <w:sz w:val="20"/>
                <w:szCs w:val="20"/>
              </w:rPr>
            </w:pPr>
          </w:p>
        </w:tc>
        <w:tc>
          <w:tcPr>
            <w:tcW w:w="0" w:type="auto"/>
            <w:gridSpan w:val="3"/>
            <w:vAlign w:val="center"/>
            <w:hideMark/>
          </w:tcPr>
          <w:p w14:paraId="26504758" w14:textId="77777777" w:rsidR="00000000" w:rsidRDefault="001A570A">
            <w:pPr>
              <w:rPr>
                <w:rFonts w:eastAsia="Times New Roman"/>
                <w:sz w:val="20"/>
                <w:szCs w:val="20"/>
              </w:rPr>
            </w:pPr>
          </w:p>
        </w:tc>
        <w:tc>
          <w:tcPr>
            <w:tcW w:w="0" w:type="auto"/>
            <w:gridSpan w:val="3"/>
            <w:vAlign w:val="center"/>
            <w:hideMark/>
          </w:tcPr>
          <w:p w14:paraId="70CDBABB" w14:textId="77777777" w:rsidR="00000000" w:rsidRDefault="001A570A">
            <w:pPr>
              <w:rPr>
                <w:rFonts w:eastAsia="Times New Roman"/>
                <w:sz w:val="20"/>
                <w:szCs w:val="20"/>
              </w:rPr>
            </w:pPr>
          </w:p>
        </w:tc>
      </w:tr>
      <w:tr w:rsidR="00000000" w14:paraId="667E88AA" w14:textId="77777777">
        <w:trPr>
          <w:divId w:val="1516581015"/>
        </w:trPr>
        <w:tc>
          <w:tcPr>
            <w:tcW w:w="0" w:type="auto"/>
            <w:gridSpan w:val="3"/>
            <w:shd w:val="clear" w:color="auto" w:fill="CCEEFF"/>
            <w:tcMar>
              <w:top w:w="30" w:type="dxa"/>
              <w:left w:w="20" w:type="dxa"/>
              <w:bottom w:w="30" w:type="dxa"/>
              <w:right w:w="20" w:type="dxa"/>
            </w:tcMar>
            <w:hideMark/>
          </w:tcPr>
          <w:p w14:paraId="4746849A" w14:textId="77777777" w:rsidR="00000000" w:rsidRDefault="001A570A">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7759D4D2" w14:textId="77777777" w:rsidR="00000000" w:rsidRDefault="001A570A">
            <w:pPr>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14:paraId="4C46641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9A9A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6F5952"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23C261D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0B17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56186" w14:textId="77777777" w:rsidR="00000000" w:rsidRDefault="001A570A">
            <w:pPr>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14:paraId="054B212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4B0D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0D464" w14:textId="77777777" w:rsidR="00000000" w:rsidRDefault="001A570A">
            <w:pPr>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7E20C13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1405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EDA1F"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272A2C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BFC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ECB2C" w14:textId="77777777" w:rsidR="00000000" w:rsidRDefault="001A570A">
            <w:pPr>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14:paraId="37454161" w14:textId="77777777" w:rsidR="00000000" w:rsidRDefault="001A570A">
            <w:pPr>
              <w:jc w:val="right"/>
              <w:rPr>
                <w:rFonts w:eastAsia="Times New Roman"/>
              </w:rPr>
            </w:pPr>
          </w:p>
        </w:tc>
        <w:tc>
          <w:tcPr>
            <w:tcW w:w="0" w:type="auto"/>
            <w:vAlign w:val="center"/>
            <w:hideMark/>
          </w:tcPr>
          <w:p w14:paraId="76E9F5BC" w14:textId="77777777" w:rsidR="00000000" w:rsidRDefault="001A570A">
            <w:pPr>
              <w:jc w:val="right"/>
              <w:rPr>
                <w:rFonts w:eastAsia="Times New Roman"/>
                <w:sz w:val="20"/>
                <w:szCs w:val="20"/>
              </w:rPr>
            </w:pPr>
          </w:p>
        </w:tc>
        <w:tc>
          <w:tcPr>
            <w:tcW w:w="0" w:type="auto"/>
            <w:vAlign w:val="center"/>
            <w:hideMark/>
          </w:tcPr>
          <w:p w14:paraId="088522CA" w14:textId="77777777" w:rsidR="00000000" w:rsidRDefault="001A570A">
            <w:pPr>
              <w:rPr>
                <w:rFonts w:eastAsia="Times New Roman"/>
                <w:sz w:val="20"/>
                <w:szCs w:val="20"/>
              </w:rPr>
            </w:pPr>
          </w:p>
        </w:tc>
        <w:tc>
          <w:tcPr>
            <w:tcW w:w="0" w:type="auto"/>
            <w:gridSpan w:val="3"/>
            <w:vAlign w:val="center"/>
            <w:hideMark/>
          </w:tcPr>
          <w:p w14:paraId="76944BAA" w14:textId="77777777" w:rsidR="00000000" w:rsidRDefault="001A570A">
            <w:pPr>
              <w:rPr>
                <w:rFonts w:eastAsia="Times New Roman"/>
                <w:sz w:val="20"/>
                <w:szCs w:val="20"/>
              </w:rPr>
            </w:pPr>
          </w:p>
        </w:tc>
        <w:tc>
          <w:tcPr>
            <w:tcW w:w="0" w:type="auto"/>
            <w:gridSpan w:val="3"/>
            <w:vAlign w:val="center"/>
            <w:hideMark/>
          </w:tcPr>
          <w:p w14:paraId="3227A003" w14:textId="77777777" w:rsidR="00000000" w:rsidRDefault="001A570A">
            <w:pPr>
              <w:rPr>
                <w:rFonts w:eastAsia="Times New Roman"/>
                <w:sz w:val="20"/>
                <w:szCs w:val="20"/>
              </w:rPr>
            </w:pPr>
          </w:p>
        </w:tc>
        <w:tc>
          <w:tcPr>
            <w:tcW w:w="0" w:type="auto"/>
            <w:gridSpan w:val="3"/>
            <w:vAlign w:val="center"/>
            <w:hideMark/>
          </w:tcPr>
          <w:p w14:paraId="35325241" w14:textId="77777777" w:rsidR="00000000" w:rsidRDefault="001A570A">
            <w:pPr>
              <w:rPr>
                <w:rFonts w:eastAsia="Times New Roman"/>
                <w:sz w:val="20"/>
                <w:szCs w:val="20"/>
              </w:rPr>
            </w:pPr>
          </w:p>
        </w:tc>
        <w:tc>
          <w:tcPr>
            <w:tcW w:w="0" w:type="auto"/>
            <w:gridSpan w:val="3"/>
            <w:vAlign w:val="center"/>
            <w:hideMark/>
          </w:tcPr>
          <w:p w14:paraId="668A662C" w14:textId="77777777" w:rsidR="00000000" w:rsidRDefault="001A570A">
            <w:pPr>
              <w:rPr>
                <w:rFonts w:eastAsia="Times New Roman"/>
                <w:sz w:val="20"/>
                <w:szCs w:val="20"/>
              </w:rPr>
            </w:pPr>
          </w:p>
        </w:tc>
      </w:tr>
      <w:tr w:rsidR="00000000" w14:paraId="73856921" w14:textId="77777777">
        <w:trPr>
          <w:divId w:val="1516581015"/>
        </w:trPr>
        <w:tc>
          <w:tcPr>
            <w:tcW w:w="0" w:type="auto"/>
            <w:gridSpan w:val="3"/>
            <w:shd w:val="clear" w:color="auto" w:fill="FFFFFF"/>
            <w:tcMar>
              <w:top w:w="30" w:type="dxa"/>
              <w:left w:w="20" w:type="dxa"/>
              <w:bottom w:w="30" w:type="dxa"/>
              <w:right w:w="20" w:type="dxa"/>
            </w:tcMar>
            <w:hideMark/>
          </w:tcPr>
          <w:p w14:paraId="1F4DC411" w14:textId="77777777" w:rsidR="00000000" w:rsidRDefault="001A570A">
            <w:pPr>
              <w:rPr>
                <w:rFonts w:eastAsia="Times New Roman"/>
              </w:rPr>
            </w:pPr>
            <w:r>
              <w:rPr>
                <w:rFonts w:eastAsia="Times New Roman"/>
                <w:color w:val="000000"/>
                <w:sz w:val="20"/>
                <w:szCs w:val="20"/>
              </w:rPr>
              <w:t>Actuarial loss</w:t>
            </w:r>
          </w:p>
        </w:tc>
        <w:tc>
          <w:tcPr>
            <w:tcW w:w="0" w:type="auto"/>
            <w:gridSpan w:val="2"/>
            <w:shd w:val="clear" w:color="auto" w:fill="FFFFFF"/>
            <w:tcMar>
              <w:top w:w="30" w:type="dxa"/>
              <w:left w:w="20" w:type="dxa"/>
              <w:bottom w:w="30" w:type="dxa"/>
              <w:right w:w="0" w:type="dxa"/>
            </w:tcMar>
            <w:vAlign w:val="bottom"/>
            <w:hideMark/>
          </w:tcPr>
          <w:p w14:paraId="05677FA5" w14:textId="77777777" w:rsidR="00000000" w:rsidRDefault="001A570A">
            <w:pPr>
              <w:jc w:val="right"/>
              <w:rPr>
                <w:rFonts w:eastAsia="Times New Roman"/>
              </w:rPr>
            </w:pPr>
            <w:r>
              <w:rPr>
                <w:rFonts w:eastAsia="Times New Roman"/>
                <w:color w:val="000000"/>
                <w:sz w:val="20"/>
                <w:szCs w:val="20"/>
              </w:rPr>
              <w:t>1,035 </w:t>
            </w:r>
          </w:p>
        </w:tc>
        <w:tc>
          <w:tcPr>
            <w:tcW w:w="0" w:type="auto"/>
            <w:shd w:val="clear" w:color="auto" w:fill="FFFFFF"/>
            <w:tcMar>
              <w:top w:w="30" w:type="dxa"/>
              <w:left w:w="0" w:type="dxa"/>
              <w:bottom w:w="30" w:type="dxa"/>
              <w:right w:w="20" w:type="dxa"/>
            </w:tcMar>
            <w:vAlign w:val="bottom"/>
            <w:hideMark/>
          </w:tcPr>
          <w:p w14:paraId="6E988AA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BD48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41660"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3E3B660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5C57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5B63B" w14:textId="77777777" w:rsidR="00000000" w:rsidRDefault="001A570A">
            <w:pPr>
              <w:jc w:val="right"/>
              <w:rPr>
                <w:rFonts w:eastAsia="Times New Roman"/>
              </w:rPr>
            </w:pPr>
            <w:r>
              <w:rPr>
                <w:rFonts w:eastAsia="Times New Roman"/>
                <w:color w:val="000000"/>
                <w:sz w:val="20"/>
                <w:szCs w:val="20"/>
              </w:rPr>
              <w:t>1,059 </w:t>
            </w:r>
          </w:p>
        </w:tc>
        <w:tc>
          <w:tcPr>
            <w:tcW w:w="0" w:type="auto"/>
            <w:shd w:val="clear" w:color="auto" w:fill="FFFFFF"/>
            <w:tcMar>
              <w:top w:w="30" w:type="dxa"/>
              <w:left w:w="0" w:type="dxa"/>
              <w:bottom w:w="30" w:type="dxa"/>
              <w:right w:w="20" w:type="dxa"/>
            </w:tcMar>
            <w:vAlign w:val="bottom"/>
            <w:hideMark/>
          </w:tcPr>
          <w:p w14:paraId="2C9CD84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1729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59BB7" w14:textId="77777777" w:rsidR="00000000" w:rsidRDefault="001A570A">
            <w:pPr>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61A3904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3A52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429D94"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18A4389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CD6E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DE730" w14:textId="77777777" w:rsidR="00000000" w:rsidRDefault="001A570A">
            <w:pPr>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14:paraId="534AF2FB" w14:textId="77777777" w:rsidR="00000000" w:rsidRDefault="001A570A">
            <w:pPr>
              <w:jc w:val="right"/>
              <w:rPr>
                <w:rFonts w:eastAsia="Times New Roman"/>
              </w:rPr>
            </w:pPr>
          </w:p>
        </w:tc>
        <w:tc>
          <w:tcPr>
            <w:tcW w:w="0" w:type="auto"/>
            <w:vAlign w:val="center"/>
            <w:hideMark/>
          </w:tcPr>
          <w:p w14:paraId="7D585927" w14:textId="77777777" w:rsidR="00000000" w:rsidRDefault="001A570A">
            <w:pPr>
              <w:jc w:val="right"/>
              <w:rPr>
                <w:rFonts w:eastAsia="Times New Roman"/>
                <w:sz w:val="20"/>
                <w:szCs w:val="20"/>
              </w:rPr>
            </w:pPr>
          </w:p>
        </w:tc>
        <w:tc>
          <w:tcPr>
            <w:tcW w:w="0" w:type="auto"/>
            <w:vAlign w:val="center"/>
            <w:hideMark/>
          </w:tcPr>
          <w:p w14:paraId="4161226E" w14:textId="77777777" w:rsidR="00000000" w:rsidRDefault="001A570A">
            <w:pPr>
              <w:rPr>
                <w:rFonts w:eastAsia="Times New Roman"/>
                <w:sz w:val="20"/>
                <w:szCs w:val="20"/>
              </w:rPr>
            </w:pPr>
          </w:p>
        </w:tc>
        <w:tc>
          <w:tcPr>
            <w:tcW w:w="0" w:type="auto"/>
            <w:gridSpan w:val="3"/>
            <w:vAlign w:val="center"/>
            <w:hideMark/>
          </w:tcPr>
          <w:p w14:paraId="4672BA24" w14:textId="77777777" w:rsidR="00000000" w:rsidRDefault="001A570A">
            <w:pPr>
              <w:rPr>
                <w:rFonts w:eastAsia="Times New Roman"/>
                <w:sz w:val="20"/>
                <w:szCs w:val="20"/>
              </w:rPr>
            </w:pPr>
          </w:p>
        </w:tc>
        <w:tc>
          <w:tcPr>
            <w:tcW w:w="0" w:type="auto"/>
            <w:gridSpan w:val="3"/>
            <w:vAlign w:val="center"/>
            <w:hideMark/>
          </w:tcPr>
          <w:p w14:paraId="3A5BCB4C" w14:textId="77777777" w:rsidR="00000000" w:rsidRDefault="001A570A">
            <w:pPr>
              <w:rPr>
                <w:rFonts w:eastAsia="Times New Roman"/>
                <w:sz w:val="20"/>
                <w:szCs w:val="20"/>
              </w:rPr>
            </w:pPr>
          </w:p>
        </w:tc>
        <w:tc>
          <w:tcPr>
            <w:tcW w:w="0" w:type="auto"/>
            <w:gridSpan w:val="3"/>
            <w:vAlign w:val="center"/>
            <w:hideMark/>
          </w:tcPr>
          <w:p w14:paraId="6E9302BD" w14:textId="77777777" w:rsidR="00000000" w:rsidRDefault="001A570A">
            <w:pPr>
              <w:rPr>
                <w:rFonts w:eastAsia="Times New Roman"/>
                <w:sz w:val="20"/>
                <w:szCs w:val="20"/>
              </w:rPr>
            </w:pPr>
          </w:p>
        </w:tc>
        <w:tc>
          <w:tcPr>
            <w:tcW w:w="0" w:type="auto"/>
            <w:gridSpan w:val="3"/>
            <w:vAlign w:val="center"/>
            <w:hideMark/>
          </w:tcPr>
          <w:p w14:paraId="18DD0E97" w14:textId="77777777" w:rsidR="00000000" w:rsidRDefault="001A570A">
            <w:pPr>
              <w:rPr>
                <w:rFonts w:eastAsia="Times New Roman"/>
                <w:sz w:val="20"/>
                <w:szCs w:val="20"/>
              </w:rPr>
            </w:pPr>
          </w:p>
        </w:tc>
      </w:tr>
      <w:tr w:rsidR="00000000" w14:paraId="2C012447" w14:textId="77777777">
        <w:trPr>
          <w:divId w:val="1516581015"/>
        </w:trPr>
        <w:tc>
          <w:tcPr>
            <w:tcW w:w="0" w:type="auto"/>
            <w:gridSpan w:val="3"/>
            <w:shd w:val="clear" w:color="auto" w:fill="CCEEFF"/>
            <w:tcMar>
              <w:top w:w="30" w:type="dxa"/>
              <w:left w:w="20" w:type="dxa"/>
              <w:bottom w:w="30" w:type="dxa"/>
              <w:right w:w="20" w:type="dxa"/>
            </w:tcMar>
            <w:hideMark/>
          </w:tcPr>
          <w:p w14:paraId="601F129E" w14:textId="77777777" w:rsidR="00000000" w:rsidRDefault="001A570A">
            <w:pPr>
              <w:rPr>
                <w:rFonts w:eastAsia="Times New Roman"/>
              </w:rPr>
            </w:pPr>
            <w:r>
              <w:rPr>
                <w:rFonts w:eastAsia="Times New Roman"/>
                <w:color w:val="000000"/>
                <w:sz w:val="20"/>
                <w:szCs w:val="20"/>
              </w:rPr>
              <w:t>Amendments</w:t>
            </w:r>
          </w:p>
        </w:tc>
        <w:tc>
          <w:tcPr>
            <w:tcW w:w="0" w:type="auto"/>
            <w:gridSpan w:val="2"/>
            <w:shd w:val="clear" w:color="auto" w:fill="CCEEFF"/>
            <w:tcMar>
              <w:top w:w="30" w:type="dxa"/>
              <w:left w:w="20" w:type="dxa"/>
              <w:bottom w:w="30" w:type="dxa"/>
              <w:right w:w="0" w:type="dxa"/>
            </w:tcMar>
            <w:vAlign w:val="bottom"/>
            <w:hideMark/>
          </w:tcPr>
          <w:p w14:paraId="231A2C83"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E2A73C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7AEF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0439A"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305E26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3D86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927F6C"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642F4A6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6D23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AB484" w14:textId="77777777" w:rsidR="00000000" w:rsidRDefault="001A570A">
            <w:pPr>
              <w:jc w:val="right"/>
              <w:rPr>
                <w:rFonts w:eastAsia="Times New Roman"/>
              </w:rPr>
            </w:pPr>
            <w:r>
              <w:rPr>
                <w:rFonts w:eastAsia="Times New Roman"/>
                <w:color w:val="000000"/>
                <w:sz w:val="20"/>
                <w:szCs w:val="20"/>
              </w:rPr>
              <w:t>(292)</w:t>
            </w:r>
          </w:p>
        </w:tc>
        <w:tc>
          <w:tcPr>
            <w:tcW w:w="0" w:type="auto"/>
            <w:shd w:val="clear" w:color="auto" w:fill="CCEEFF"/>
            <w:tcMar>
              <w:top w:w="30" w:type="dxa"/>
              <w:left w:w="0" w:type="dxa"/>
              <w:bottom w:w="30" w:type="dxa"/>
              <w:right w:w="20" w:type="dxa"/>
            </w:tcMar>
            <w:vAlign w:val="bottom"/>
            <w:hideMark/>
          </w:tcPr>
          <w:p w14:paraId="14EBD21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7A7A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78FB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F0C4A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539D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8107E" w14:textId="77777777" w:rsidR="00000000" w:rsidRDefault="001A570A">
            <w:pPr>
              <w:jc w:val="right"/>
              <w:rPr>
                <w:rFonts w:eastAsia="Times New Roman"/>
              </w:rPr>
            </w:pPr>
            <w:r>
              <w:rPr>
                <w:rFonts w:eastAsia="Times New Roman"/>
                <w:color w:val="000000"/>
                <w:sz w:val="20"/>
                <w:szCs w:val="20"/>
              </w:rPr>
              <w:t>(292)</w:t>
            </w:r>
          </w:p>
        </w:tc>
        <w:tc>
          <w:tcPr>
            <w:tcW w:w="0" w:type="auto"/>
            <w:shd w:val="clear" w:color="auto" w:fill="CCEEFF"/>
            <w:tcMar>
              <w:top w:w="30" w:type="dxa"/>
              <w:left w:w="0" w:type="dxa"/>
              <w:bottom w:w="30" w:type="dxa"/>
              <w:right w:w="20" w:type="dxa"/>
            </w:tcMar>
            <w:vAlign w:val="bottom"/>
            <w:hideMark/>
          </w:tcPr>
          <w:p w14:paraId="041D9E80" w14:textId="77777777" w:rsidR="00000000" w:rsidRDefault="001A570A">
            <w:pPr>
              <w:jc w:val="right"/>
              <w:rPr>
                <w:rFonts w:eastAsia="Times New Roman"/>
              </w:rPr>
            </w:pPr>
          </w:p>
        </w:tc>
        <w:tc>
          <w:tcPr>
            <w:tcW w:w="0" w:type="auto"/>
            <w:vAlign w:val="center"/>
            <w:hideMark/>
          </w:tcPr>
          <w:p w14:paraId="7F56371D" w14:textId="77777777" w:rsidR="00000000" w:rsidRDefault="001A570A">
            <w:pPr>
              <w:jc w:val="right"/>
              <w:rPr>
                <w:rFonts w:eastAsia="Times New Roman"/>
                <w:sz w:val="20"/>
                <w:szCs w:val="20"/>
              </w:rPr>
            </w:pPr>
          </w:p>
        </w:tc>
        <w:tc>
          <w:tcPr>
            <w:tcW w:w="0" w:type="auto"/>
            <w:vAlign w:val="center"/>
            <w:hideMark/>
          </w:tcPr>
          <w:p w14:paraId="298D5098" w14:textId="77777777" w:rsidR="00000000" w:rsidRDefault="001A570A">
            <w:pPr>
              <w:rPr>
                <w:rFonts w:eastAsia="Times New Roman"/>
                <w:sz w:val="20"/>
                <w:szCs w:val="20"/>
              </w:rPr>
            </w:pPr>
          </w:p>
        </w:tc>
        <w:tc>
          <w:tcPr>
            <w:tcW w:w="0" w:type="auto"/>
            <w:gridSpan w:val="3"/>
            <w:vAlign w:val="center"/>
            <w:hideMark/>
          </w:tcPr>
          <w:p w14:paraId="2D5990D7" w14:textId="77777777" w:rsidR="00000000" w:rsidRDefault="001A570A">
            <w:pPr>
              <w:rPr>
                <w:rFonts w:eastAsia="Times New Roman"/>
                <w:sz w:val="20"/>
                <w:szCs w:val="20"/>
              </w:rPr>
            </w:pPr>
          </w:p>
        </w:tc>
        <w:tc>
          <w:tcPr>
            <w:tcW w:w="0" w:type="auto"/>
            <w:gridSpan w:val="3"/>
            <w:vAlign w:val="center"/>
            <w:hideMark/>
          </w:tcPr>
          <w:p w14:paraId="601655BB" w14:textId="77777777" w:rsidR="00000000" w:rsidRDefault="001A570A">
            <w:pPr>
              <w:rPr>
                <w:rFonts w:eastAsia="Times New Roman"/>
                <w:sz w:val="20"/>
                <w:szCs w:val="20"/>
              </w:rPr>
            </w:pPr>
          </w:p>
        </w:tc>
        <w:tc>
          <w:tcPr>
            <w:tcW w:w="0" w:type="auto"/>
            <w:gridSpan w:val="3"/>
            <w:vAlign w:val="center"/>
            <w:hideMark/>
          </w:tcPr>
          <w:p w14:paraId="53E3C7AA" w14:textId="77777777" w:rsidR="00000000" w:rsidRDefault="001A570A">
            <w:pPr>
              <w:rPr>
                <w:rFonts w:eastAsia="Times New Roman"/>
                <w:sz w:val="20"/>
                <w:szCs w:val="20"/>
              </w:rPr>
            </w:pPr>
          </w:p>
        </w:tc>
        <w:tc>
          <w:tcPr>
            <w:tcW w:w="0" w:type="auto"/>
            <w:gridSpan w:val="3"/>
            <w:vAlign w:val="center"/>
            <w:hideMark/>
          </w:tcPr>
          <w:p w14:paraId="646FB1B4" w14:textId="77777777" w:rsidR="00000000" w:rsidRDefault="001A570A">
            <w:pPr>
              <w:rPr>
                <w:rFonts w:eastAsia="Times New Roman"/>
                <w:sz w:val="20"/>
                <w:szCs w:val="20"/>
              </w:rPr>
            </w:pPr>
          </w:p>
        </w:tc>
      </w:tr>
      <w:tr w:rsidR="00000000" w14:paraId="6A909BD3" w14:textId="77777777">
        <w:trPr>
          <w:divId w:val="1516581015"/>
        </w:trPr>
        <w:tc>
          <w:tcPr>
            <w:tcW w:w="0" w:type="auto"/>
            <w:gridSpan w:val="3"/>
            <w:shd w:val="clear" w:color="auto" w:fill="FFFFFF"/>
            <w:tcMar>
              <w:top w:w="30" w:type="dxa"/>
              <w:left w:w="20" w:type="dxa"/>
              <w:bottom w:w="30" w:type="dxa"/>
              <w:right w:w="20" w:type="dxa"/>
            </w:tcMar>
            <w:hideMark/>
          </w:tcPr>
          <w:p w14:paraId="42D9821F" w14:textId="77777777" w:rsidR="00000000" w:rsidRDefault="001A570A">
            <w:pPr>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14:paraId="2D61C04C" w14:textId="77777777" w:rsidR="00000000" w:rsidRDefault="001A570A">
            <w:pPr>
              <w:jc w:val="right"/>
              <w:rPr>
                <w:rFonts w:eastAsia="Times New Roman"/>
              </w:rPr>
            </w:pPr>
            <w:r>
              <w:rPr>
                <w:rFonts w:eastAsia="Times New Roman"/>
                <w:color w:val="000000"/>
                <w:sz w:val="20"/>
                <w:szCs w:val="20"/>
              </w:rPr>
              <w:t>(569)</w:t>
            </w:r>
          </w:p>
        </w:tc>
        <w:tc>
          <w:tcPr>
            <w:tcW w:w="0" w:type="auto"/>
            <w:shd w:val="clear" w:color="auto" w:fill="FFFFFF"/>
            <w:tcMar>
              <w:top w:w="30" w:type="dxa"/>
              <w:left w:w="0" w:type="dxa"/>
              <w:bottom w:w="30" w:type="dxa"/>
              <w:right w:w="20" w:type="dxa"/>
            </w:tcMar>
            <w:vAlign w:val="bottom"/>
            <w:hideMark/>
          </w:tcPr>
          <w:p w14:paraId="1A1ADFB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4C9C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E3C94" w14:textId="77777777" w:rsidR="00000000" w:rsidRDefault="001A570A">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1B26A65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8811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0D4A9E" w14:textId="77777777" w:rsidR="00000000" w:rsidRDefault="001A570A">
            <w:pPr>
              <w:jc w:val="right"/>
              <w:rPr>
                <w:rFonts w:eastAsia="Times New Roman"/>
              </w:rPr>
            </w:pPr>
            <w:r>
              <w:rPr>
                <w:rFonts w:eastAsia="Times New Roman"/>
                <w:color w:val="000000"/>
                <w:sz w:val="20"/>
                <w:szCs w:val="20"/>
              </w:rPr>
              <w:t>(595)</w:t>
            </w:r>
          </w:p>
        </w:tc>
        <w:tc>
          <w:tcPr>
            <w:tcW w:w="0" w:type="auto"/>
            <w:shd w:val="clear" w:color="auto" w:fill="FFFFFF"/>
            <w:tcMar>
              <w:top w:w="30" w:type="dxa"/>
              <w:left w:w="0" w:type="dxa"/>
              <w:bottom w:w="30" w:type="dxa"/>
              <w:right w:w="20" w:type="dxa"/>
            </w:tcMar>
            <w:vAlign w:val="bottom"/>
            <w:hideMark/>
          </w:tcPr>
          <w:p w14:paraId="17F43B2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E4A5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7D402" w14:textId="77777777" w:rsidR="00000000" w:rsidRDefault="001A570A">
            <w:pPr>
              <w:jc w:val="right"/>
              <w:rPr>
                <w:rFonts w:eastAsia="Times New Roman"/>
              </w:rPr>
            </w:pPr>
            <w:r>
              <w:rPr>
                <w:rFonts w:eastAsia="Times New Roman"/>
                <w:color w:val="000000"/>
                <w:sz w:val="20"/>
                <w:szCs w:val="20"/>
              </w:rPr>
              <w:t>(342)</w:t>
            </w:r>
          </w:p>
        </w:tc>
        <w:tc>
          <w:tcPr>
            <w:tcW w:w="0" w:type="auto"/>
            <w:shd w:val="clear" w:color="auto" w:fill="FFFFFF"/>
            <w:tcMar>
              <w:top w:w="30" w:type="dxa"/>
              <w:left w:w="0" w:type="dxa"/>
              <w:bottom w:w="30" w:type="dxa"/>
              <w:right w:w="20" w:type="dxa"/>
            </w:tcMar>
            <w:vAlign w:val="bottom"/>
            <w:hideMark/>
          </w:tcPr>
          <w:p w14:paraId="6D1D451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0609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57305" w14:textId="77777777" w:rsidR="00000000" w:rsidRDefault="001A570A">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320A403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E36B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55E20" w14:textId="77777777" w:rsidR="00000000" w:rsidRDefault="001A570A">
            <w:pPr>
              <w:jc w:val="right"/>
              <w:rPr>
                <w:rFonts w:eastAsia="Times New Roman"/>
              </w:rPr>
            </w:pPr>
            <w:r>
              <w:rPr>
                <w:rFonts w:eastAsia="Times New Roman"/>
                <w:color w:val="000000"/>
                <w:sz w:val="20"/>
                <w:szCs w:val="20"/>
              </w:rPr>
              <w:t>(363)</w:t>
            </w:r>
          </w:p>
        </w:tc>
        <w:tc>
          <w:tcPr>
            <w:tcW w:w="0" w:type="auto"/>
            <w:shd w:val="clear" w:color="auto" w:fill="FFFFFF"/>
            <w:tcMar>
              <w:top w:w="30" w:type="dxa"/>
              <w:left w:w="0" w:type="dxa"/>
              <w:bottom w:w="30" w:type="dxa"/>
              <w:right w:w="20" w:type="dxa"/>
            </w:tcMar>
            <w:vAlign w:val="bottom"/>
            <w:hideMark/>
          </w:tcPr>
          <w:p w14:paraId="6248B715" w14:textId="77777777" w:rsidR="00000000" w:rsidRDefault="001A570A">
            <w:pPr>
              <w:jc w:val="right"/>
              <w:rPr>
                <w:rFonts w:eastAsia="Times New Roman"/>
              </w:rPr>
            </w:pPr>
          </w:p>
        </w:tc>
        <w:tc>
          <w:tcPr>
            <w:tcW w:w="0" w:type="auto"/>
            <w:vAlign w:val="center"/>
            <w:hideMark/>
          </w:tcPr>
          <w:p w14:paraId="1AA48915" w14:textId="77777777" w:rsidR="00000000" w:rsidRDefault="001A570A">
            <w:pPr>
              <w:jc w:val="right"/>
              <w:rPr>
                <w:rFonts w:eastAsia="Times New Roman"/>
                <w:sz w:val="20"/>
                <w:szCs w:val="20"/>
              </w:rPr>
            </w:pPr>
          </w:p>
        </w:tc>
        <w:tc>
          <w:tcPr>
            <w:tcW w:w="0" w:type="auto"/>
            <w:vAlign w:val="center"/>
            <w:hideMark/>
          </w:tcPr>
          <w:p w14:paraId="352BA60C" w14:textId="77777777" w:rsidR="00000000" w:rsidRDefault="001A570A">
            <w:pPr>
              <w:rPr>
                <w:rFonts w:eastAsia="Times New Roman"/>
                <w:sz w:val="20"/>
                <w:szCs w:val="20"/>
              </w:rPr>
            </w:pPr>
          </w:p>
        </w:tc>
        <w:tc>
          <w:tcPr>
            <w:tcW w:w="0" w:type="auto"/>
            <w:gridSpan w:val="3"/>
            <w:vAlign w:val="center"/>
            <w:hideMark/>
          </w:tcPr>
          <w:p w14:paraId="668DF5C5" w14:textId="77777777" w:rsidR="00000000" w:rsidRDefault="001A570A">
            <w:pPr>
              <w:rPr>
                <w:rFonts w:eastAsia="Times New Roman"/>
                <w:sz w:val="20"/>
                <w:szCs w:val="20"/>
              </w:rPr>
            </w:pPr>
          </w:p>
        </w:tc>
        <w:tc>
          <w:tcPr>
            <w:tcW w:w="0" w:type="auto"/>
            <w:gridSpan w:val="3"/>
            <w:vAlign w:val="center"/>
            <w:hideMark/>
          </w:tcPr>
          <w:p w14:paraId="6F1A777B" w14:textId="77777777" w:rsidR="00000000" w:rsidRDefault="001A570A">
            <w:pPr>
              <w:rPr>
                <w:rFonts w:eastAsia="Times New Roman"/>
                <w:sz w:val="20"/>
                <w:szCs w:val="20"/>
              </w:rPr>
            </w:pPr>
          </w:p>
        </w:tc>
        <w:tc>
          <w:tcPr>
            <w:tcW w:w="0" w:type="auto"/>
            <w:gridSpan w:val="3"/>
            <w:vAlign w:val="center"/>
            <w:hideMark/>
          </w:tcPr>
          <w:p w14:paraId="65669F9E" w14:textId="77777777" w:rsidR="00000000" w:rsidRDefault="001A570A">
            <w:pPr>
              <w:rPr>
                <w:rFonts w:eastAsia="Times New Roman"/>
                <w:sz w:val="20"/>
                <w:szCs w:val="20"/>
              </w:rPr>
            </w:pPr>
          </w:p>
        </w:tc>
        <w:tc>
          <w:tcPr>
            <w:tcW w:w="0" w:type="auto"/>
            <w:gridSpan w:val="3"/>
            <w:vAlign w:val="center"/>
            <w:hideMark/>
          </w:tcPr>
          <w:p w14:paraId="2D066D01" w14:textId="77777777" w:rsidR="00000000" w:rsidRDefault="001A570A">
            <w:pPr>
              <w:rPr>
                <w:rFonts w:eastAsia="Times New Roman"/>
                <w:sz w:val="20"/>
                <w:szCs w:val="20"/>
              </w:rPr>
            </w:pPr>
          </w:p>
        </w:tc>
      </w:tr>
      <w:tr w:rsidR="00000000" w14:paraId="781E9E6F" w14:textId="77777777">
        <w:trPr>
          <w:divId w:val="1516581015"/>
        </w:trPr>
        <w:tc>
          <w:tcPr>
            <w:tcW w:w="0" w:type="auto"/>
            <w:gridSpan w:val="3"/>
            <w:shd w:val="clear" w:color="auto" w:fill="CCEEFF"/>
            <w:tcMar>
              <w:top w:w="30" w:type="dxa"/>
              <w:left w:w="20" w:type="dxa"/>
              <w:bottom w:w="30" w:type="dxa"/>
              <w:right w:w="20" w:type="dxa"/>
            </w:tcMar>
            <w:hideMark/>
          </w:tcPr>
          <w:p w14:paraId="48B6CD09" w14:textId="77777777" w:rsidR="00000000" w:rsidRDefault="001A570A">
            <w:pPr>
              <w:rPr>
                <w:rFonts w:eastAsia="Times New Roman"/>
              </w:rPr>
            </w:pPr>
            <w:r>
              <w:rPr>
                <w:rFonts w:eastAsia="Times New Roman"/>
                <w:color w:val="000000"/>
                <w:sz w:val="20"/>
                <w:szCs w:val="20"/>
              </w:rPr>
              <w:t xml:space="preserve">Settlements </w:t>
            </w:r>
          </w:p>
        </w:tc>
        <w:tc>
          <w:tcPr>
            <w:tcW w:w="0" w:type="auto"/>
            <w:gridSpan w:val="2"/>
            <w:shd w:val="clear" w:color="auto" w:fill="CCEEFF"/>
            <w:tcMar>
              <w:top w:w="30" w:type="dxa"/>
              <w:left w:w="20" w:type="dxa"/>
              <w:bottom w:w="30" w:type="dxa"/>
              <w:right w:w="0" w:type="dxa"/>
            </w:tcMar>
            <w:vAlign w:val="bottom"/>
            <w:hideMark/>
          </w:tcPr>
          <w:p w14:paraId="27E4B4E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FBD0B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2C01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F1FD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4683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86EF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06692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FBD7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A124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BC22D"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6E84FB6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DB46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EF85F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F298B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96B5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8A22E"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30729EEC" w14:textId="77777777" w:rsidR="00000000" w:rsidRDefault="001A570A">
            <w:pPr>
              <w:jc w:val="right"/>
              <w:rPr>
                <w:rFonts w:eastAsia="Times New Roman"/>
              </w:rPr>
            </w:pPr>
          </w:p>
        </w:tc>
        <w:tc>
          <w:tcPr>
            <w:tcW w:w="0" w:type="auto"/>
            <w:vAlign w:val="center"/>
            <w:hideMark/>
          </w:tcPr>
          <w:p w14:paraId="38477FE7" w14:textId="77777777" w:rsidR="00000000" w:rsidRDefault="001A570A">
            <w:pPr>
              <w:jc w:val="right"/>
              <w:rPr>
                <w:rFonts w:eastAsia="Times New Roman"/>
                <w:sz w:val="20"/>
                <w:szCs w:val="20"/>
              </w:rPr>
            </w:pPr>
          </w:p>
        </w:tc>
        <w:tc>
          <w:tcPr>
            <w:tcW w:w="0" w:type="auto"/>
            <w:vAlign w:val="center"/>
            <w:hideMark/>
          </w:tcPr>
          <w:p w14:paraId="2A02954A" w14:textId="77777777" w:rsidR="00000000" w:rsidRDefault="001A570A">
            <w:pPr>
              <w:rPr>
                <w:rFonts w:eastAsia="Times New Roman"/>
                <w:sz w:val="20"/>
                <w:szCs w:val="20"/>
              </w:rPr>
            </w:pPr>
          </w:p>
        </w:tc>
        <w:tc>
          <w:tcPr>
            <w:tcW w:w="0" w:type="auto"/>
            <w:gridSpan w:val="3"/>
            <w:vAlign w:val="center"/>
            <w:hideMark/>
          </w:tcPr>
          <w:p w14:paraId="4025FF97" w14:textId="77777777" w:rsidR="00000000" w:rsidRDefault="001A570A">
            <w:pPr>
              <w:rPr>
                <w:rFonts w:eastAsia="Times New Roman"/>
                <w:sz w:val="20"/>
                <w:szCs w:val="20"/>
              </w:rPr>
            </w:pPr>
          </w:p>
        </w:tc>
        <w:tc>
          <w:tcPr>
            <w:tcW w:w="0" w:type="auto"/>
            <w:gridSpan w:val="3"/>
            <w:vAlign w:val="center"/>
            <w:hideMark/>
          </w:tcPr>
          <w:p w14:paraId="0CCB172E" w14:textId="77777777" w:rsidR="00000000" w:rsidRDefault="001A570A">
            <w:pPr>
              <w:rPr>
                <w:rFonts w:eastAsia="Times New Roman"/>
                <w:sz w:val="20"/>
                <w:szCs w:val="20"/>
              </w:rPr>
            </w:pPr>
          </w:p>
        </w:tc>
        <w:tc>
          <w:tcPr>
            <w:tcW w:w="0" w:type="auto"/>
            <w:gridSpan w:val="3"/>
            <w:vAlign w:val="center"/>
            <w:hideMark/>
          </w:tcPr>
          <w:p w14:paraId="6644F296" w14:textId="77777777" w:rsidR="00000000" w:rsidRDefault="001A570A">
            <w:pPr>
              <w:rPr>
                <w:rFonts w:eastAsia="Times New Roman"/>
                <w:sz w:val="20"/>
                <w:szCs w:val="20"/>
              </w:rPr>
            </w:pPr>
          </w:p>
        </w:tc>
        <w:tc>
          <w:tcPr>
            <w:tcW w:w="0" w:type="auto"/>
            <w:gridSpan w:val="3"/>
            <w:vAlign w:val="center"/>
            <w:hideMark/>
          </w:tcPr>
          <w:p w14:paraId="7E1B4B24" w14:textId="77777777" w:rsidR="00000000" w:rsidRDefault="001A570A">
            <w:pPr>
              <w:rPr>
                <w:rFonts w:eastAsia="Times New Roman"/>
                <w:sz w:val="20"/>
                <w:szCs w:val="20"/>
              </w:rPr>
            </w:pPr>
          </w:p>
        </w:tc>
      </w:tr>
      <w:tr w:rsidR="00000000" w14:paraId="7019708C" w14:textId="77777777">
        <w:trPr>
          <w:divId w:val="1516581015"/>
        </w:trPr>
        <w:tc>
          <w:tcPr>
            <w:tcW w:w="0" w:type="auto"/>
            <w:gridSpan w:val="3"/>
            <w:shd w:val="clear" w:color="auto" w:fill="FFFFFF"/>
            <w:tcMar>
              <w:top w:w="30" w:type="dxa"/>
              <w:left w:w="20" w:type="dxa"/>
              <w:bottom w:w="30" w:type="dxa"/>
              <w:right w:w="20" w:type="dxa"/>
            </w:tcMar>
            <w:hideMark/>
          </w:tcPr>
          <w:p w14:paraId="49B0F9FD" w14:textId="77777777" w:rsidR="00000000" w:rsidRDefault="001A570A">
            <w:pPr>
              <w:rPr>
                <w:rFonts w:eastAsia="Times New Roman"/>
              </w:rPr>
            </w:pPr>
            <w:r>
              <w:rPr>
                <w:rFonts w:eastAsia="Times New Roman"/>
                <w:color w:val="000000"/>
                <w:sz w:val="20"/>
                <w:szCs w:val="20"/>
              </w:rPr>
              <w:t>Special termination benefits</w:t>
            </w:r>
          </w:p>
        </w:tc>
        <w:tc>
          <w:tcPr>
            <w:tcW w:w="0" w:type="auto"/>
            <w:gridSpan w:val="2"/>
            <w:shd w:val="clear" w:color="auto" w:fill="FFFFFF"/>
            <w:tcMar>
              <w:top w:w="30" w:type="dxa"/>
              <w:left w:w="20" w:type="dxa"/>
              <w:bottom w:w="30" w:type="dxa"/>
              <w:right w:w="0" w:type="dxa"/>
            </w:tcMar>
            <w:vAlign w:val="bottom"/>
            <w:hideMark/>
          </w:tcPr>
          <w:p w14:paraId="25734DE2"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37F8AF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280C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3B08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68218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A327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CE1E6D"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3871FB5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4E85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336D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2C988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4172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59487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3F30B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CAAA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ACDA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5FB651" w14:textId="77777777" w:rsidR="00000000" w:rsidRDefault="001A570A">
            <w:pPr>
              <w:jc w:val="right"/>
              <w:rPr>
                <w:rFonts w:eastAsia="Times New Roman"/>
              </w:rPr>
            </w:pPr>
          </w:p>
        </w:tc>
        <w:tc>
          <w:tcPr>
            <w:tcW w:w="0" w:type="auto"/>
            <w:vAlign w:val="center"/>
            <w:hideMark/>
          </w:tcPr>
          <w:p w14:paraId="05E1FB93" w14:textId="77777777" w:rsidR="00000000" w:rsidRDefault="001A570A">
            <w:pPr>
              <w:jc w:val="right"/>
              <w:rPr>
                <w:rFonts w:eastAsia="Times New Roman"/>
                <w:sz w:val="20"/>
                <w:szCs w:val="20"/>
              </w:rPr>
            </w:pPr>
          </w:p>
        </w:tc>
        <w:tc>
          <w:tcPr>
            <w:tcW w:w="0" w:type="auto"/>
            <w:vAlign w:val="center"/>
            <w:hideMark/>
          </w:tcPr>
          <w:p w14:paraId="497CE814" w14:textId="77777777" w:rsidR="00000000" w:rsidRDefault="001A570A">
            <w:pPr>
              <w:rPr>
                <w:rFonts w:eastAsia="Times New Roman"/>
                <w:sz w:val="20"/>
                <w:szCs w:val="20"/>
              </w:rPr>
            </w:pPr>
          </w:p>
        </w:tc>
        <w:tc>
          <w:tcPr>
            <w:tcW w:w="0" w:type="auto"/>
            <w:gridSpan w:val="3"/>
            <w:vAlign w:val="center"/>
            <w:hideMark/>
          </w:tcPr>
          <w:p w14:paraId="57E03183" w14:textId="77777777" w:rsidR="00000000" w:rsidRDefault="001A570A">
            <w:pPr>
              <w:rPr>
                <w:rFonts w:eastAsia="Times New Roman"/>
                <w:sz w:val="20"/>
                <w:szCs w:val="20"/>
              </w:rPr>
            </w:pPr>
          </w:p>
        </w:tc>
        <w:tc>
          <w:tcPr>
            <w:tcW w:w="0" w:type="auto"/>
            <w:gridSpan w:val="3"/>
            <w:vAlign w:val="center"/>
            <w:hideMark/>
          </w:tcPr>
          <w:p w14:paraId="4ED85E28" w14:textId="77777777" w:rsidR="00000000" w:rsidRDefault="001A570A">
            <w:pPr>
              <w:rPr>
                <w:rFonts w:eastAsia="Times New Roman"/>
                <w:sz w:val="20"/>
                <w:szCs w:val="20"/>
              </w:rPr>
            </w:pPr>
          </w:p>
        </w:tc>
        <w:tc>
          <w:tcPr>
            <w:tcW w:w="0" w:type="auto"/>
            <w:gridSpan w:val="3"/>
            <w:vAlign w:val="center"/>
            <w:hideMark/>
          </w:tcPr>
          <w:p w14:paraId="5DA11020" w14:textId="77777777" w:rsidR="00000000" w:rsidRDefault="001A570A">
            <w:pPr>
              <w:rPr>
                <w:rFonts w:eastAsia="Times New Roman"/>
                <w:sz w:val="20"/>
                <w:szCs w:val="20"/>
              </w:rPr>
            </w:pPr>
          </w:p>
        </w:tc>
        <w:tc>
          <w:tcPr>
            <w:tcW w:w="0" w:type="auto"/>
            <w:gridSpan w:val="3"/>
            <w:vAlign w:val="center"/>
            <w:hideMark/>
          </w:tcPr>
          <w:p w14:paraId="06F4958A" w14:textId="77777777" w:rsidR="00000000" w:rsidRDefault="001A570A">
            <w:pPr>
              <w:rPr>
                <w:rFonts w:eastAsia="Times New Roman"/>
                <w:sz w:val="20"/>
                <w:szCs w:val="20"/>
              </w:rPr>
            </w:pPr>
          </w:p>
        </w:tc>
      </w:tr>
      <w:tr w:rsidR="00000000" w14:paraId="446E2132" w14:textId="77777777">
        <w:trPr>
          <w:divId w:val="1516581015"/>
        </w:trPr>
        <w:tc>
          <w:tcPr>
            <w:tcW w:w="0" w:type="auto"/>
            <w:gridSpan w:val="3"/>
            <w:shd w:val="clear" w:color="auto" w:fill="CCEEFF"/>
            <w:tcMar>
              <w:top w:w="30" w:type="dxa"/>
              <w:left w:w="20" w:type="dxa"/>
              <w:bottom w:w="30" w:type="dxa"/>
              <w:right w:w="20" w:type="dxa"/>
            </w:tcMar>
            <w:hideMark/>
          </w:tcPr>
          <w:p w14:paraId="1AFFAB84" w14:textId="77777777" w:rsidR="00000000" w:rsidRDefault="001A570A">
            <w:pPr>
              <w:rPr>
                <w:rFonts w:eastAsia="Times New Roman"/>
              </w:rPr>
            </w:pPr>
            <w:r>
              <w:rPr>
                <w:rFonts w:eastAsia="Times New Roman"/>
                <w:color w:val="000000"/>
                <w:sz w:val="20"/>
                <w:szCs w:val="20"/>
              </w:rPr>
              <w:t>Expenses paid</w:t>
            </w:r>
          </w:p>
        </w:tc>
        <w:tc>
          <w:tcPr>
            <w:tcW w:w="0" w:type="auto"/>
            <w:gridSpan w:val="2"/>
            <w:shd w:val="clear" w:color="auto" w:fill="CCEEFF"/>
            <w:tcMar>
              <w:top w:w="30" w:type="dxa"/>
              <w:left w:w="20" w:type="dxa"/>
              <w:bottom w:w="30" w:type="dxa"/>
              <w:right w:w="0" w:type="dxa"/>
            </w:tcMar>
            <w:vAlign w:val="bottom"/>
            <w:hideMark/>
          </w:tcPr>
          <w:p w14:paraId="5D6395C8" w14:textId="77777777" w:rsidR="00000000" w:rsidRDefault="001A570A">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14:paraId="507607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05E0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3C32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937BA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A80A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25F369" w14:textId="77777777" w:rsidR="00000000" w:rsidRDefault="001A570A">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14:paraId="66F7E93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A0C2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086EA" w14:textId="77777777" w:rsidR="00000000" w:rsidRDefault="001A570A">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14:paraId="0AF47D9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23D9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81340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B6B60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22C8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23AFF5" w14:textId="77777777" w:rsidR="00000000" w:rsidRDefault="001A570A">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14:paraId="4D220D5D" w14:textId="77777777" w:rsidR="00000000" w:rsidRDefault="001A570A">
            <w:pPr>
              <w:jc w:val="right"/>
              <w:rPr>
                <w:rFonts w:eastAsia="Times New Roman"/>
              </w:rPr>
            </w:pPr>
          </w:p>
        </w:tc>
        <w:tc>
          <w:tcPr>
            <w:tcW w:w="0" w:type="auto"/>
            <w:vAlign w:val="center"/>
            <w:hideMark/>
          </w:tcPr>
          <w:p w14:paraId="2E678DF1" w14:textId="77777777" w:rsidR="00000000" w:rsidRDefault="001A570A">
            <w:pPr>
              <w:jc w:val="right"/>
              <w:rPr>
                <w:rFonts w:eastAsia="Times New Roman"/>
                <w:sz w:val="20"/>
                <w:szCs w:val="20"/>
              </w:rPr>
            </w:pPr>
          </w:p>
        </w:tc>
        <w:tc>
          <w:tcPr>
            <w:tcW w:w="0" w:type="auto"/>
            <w:vAlign w:val="center"/>
            <w:hideMark/>
          </w:tcPr>
          <w:p w14:paraId="55BD1245" w14:textId="77777777" w:rsidR="00000000" w:rsidRDefault="001A570A">
            <w:pPr>
              <w:rPr>
                <w:rFonts w:eastAsia="Times New Roman"/>
                <w:sz w:val="20"/>
                <w:szCs w:val="20"/>
              </w:rPr>
            </w:pPr>
          </w:p>
        </w:tc>
        <w:tc>
          <w:tcPr>
            <w:tcW w:w="0" w:type="auto"/>
            <w:gridSpan w:val="3"/>
            <w:vAlign w:val="center"/>
            <w:hideMark/>
          </w:tcPr>
          <w:p w14:paraId="5172B1FD" w14:textId="77777777" w:rsidR="00000000" w:rsidRDefault="001A570A">
            <w:pPr>
              <w:rPr>
                <w:rFonts w:eastAsia="Times New Roman"/>
                <w:sz w:val="20"/>
                <w:szCs w:val="20"/>
              </w:rPr>
            </w:pPr>
          </w:p>
        </w:tc>
        <w:tc>
          <w:tcPr>
            <w:tcW w:w="0" w:type="auto"/>
            <w:gridSpan w:val="3"/>
            <w:vAlign w:val="center"/>
            <w:hideMark/>
          </w:tcPr>
          <w:p w14:paraId="38231758" w14:textId="77777777" w:rsidR="00000000" w:rsidRDefault="001A570A">
            <w:pPr>
              <w:rPr>
                <w:rFonts w:eastAsia="Times New Roman"/>
                <w:sz w:val="20"/>
                <w:szCs w:val="20"/>
              </w:rPr>
            </w:pPr>
          </w:p>
        </w:tc>
        <w:tc>
          <w:tcPr>
            <w:tcW w:w="0" w:type="auto"/>
            <w:gridSpan w:val="3"/>
            <w:vAlign w:val="center"/>
            <w:hideMark/>
          </w:tcPr>
          <w:p w14:paraId="35435C0B" w14:textId="77777777" w:rsidR="00000000" w:rsidRDefault="001A570A">
            <w:pPr>
              <w:rPr>
                <w:rFonts w:eastAsia="Times New Roman"/>
                <w:sz w:val="20"/>
                <w:szCs w:val="20"/>
              </w:rPr>
            </w:pPr>
          </w:p>
        </w:tc>
        <w:tc>
          <w:tcPr>
            <w:tcW w:w="0" w:type="auto"/>
            <w:gridSpan w:val="3"/>
            <w:vAlign w:val="center"/>
            <w:hideMark/>
          </w:tcPr>
          <w:p w14:paraId="742EDA00" w14:textId="77777777" w:rsidR="00000000" w:rsidRDefault="001A570A">
            <w:pPr>
              <w:rPr>
                <w:rFonts w:eastAsia="Times New Roman"/>
                <w:sz w:val="20"/>
                <w:szCs w:val="20"/>
              </w:rPr>
            </w:pPr>
          </w:p>
        </w:tc>
      </w:tr>
      <w:tr w:rsidR="00000000" w14:paraId="4ACD3AE1" w14:textId="77777777">
        <w:trPr>
          <w:divId w:val="1516581015"/>
        </w:trPr>
        <w:tc>
          <w:tcPr>
            <w:tcW w:w="0" w:type="auto"/>
            <w:gridSpan w:val="3"/>
            <w:shd w:val="clear" w:color="auto" w:fill="FFFFFF"/>
            <w:tcMar>
              <w:top w:w="30" w:type="dxa"/>
              <w:left w:w="20" w:type="dxa"/>
              <w:bottom w:w="30" w:type="dxa"/>
              <w:right w:w="20" w:type="dxa"/>
            </w:tcMar>
            <w:hideMark/>
          </w:tcPr>
          <w:p w14:paraId="4FFC43EB" w14:textId="77777777" w:rsidR="00000000" w:rsidRDefault="001A570A">
            <w:pPr>
              <w:rPr>
                <w:rFonts w:eastAsia="Times New Roman"/>
              </w:rPr>
            </w:pPr>
            <w:r>
              <w:rPr>
                <w:rFonts w:eastAsia="Times New Roman"/>
                <w:color w:val="000000"/>
                <w:sz w:val="20"/>
                <w:szCs w:val="20"/>
              </w:rPr>
              <w:t>Curtailments</w:t>
            </w:r>
          </w:p>
        </w:tc>
        <w:tc>
          <w:tcPr>
            <w:tcW w:w="0" w:type="auto"/>
            <w:gridSpan w:val="2"/>
            <w:shd w:val="clear" w:color="auto" w:fill="FFFFFF"/>
            <w:tcMar>
              <w:top w:w="30" w:type="dxa"/>
              <w:left w:w="20" w:type="dxa"/>
              <w:bottom w:w="30" w:type="dxa"/>
              <w:right w:w="0" w:type="dxa"/>
            </w:tcMar>
            <w:vAlign w:val="bottom"/>
            <w:hideMark/>
          </w:tcPr>
          <w:p w14:paraId="1BC6768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BDB8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F3E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94B6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FDCC4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2022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8730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11682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551C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AED5D8" w14:textId="77777777" w:rsidR="00000000" w:rsidRDefault="001A570A">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4F4EB3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BF0C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8FF32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7108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07F8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811DD" w14:textId="77777777" w:rsidR="00000000" w:rsidRDefault="001A570A">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40122640" w14:textId="77777777" w:rsidR="00000000" w:rsidRDefault="001A570A">
            <w:pPr>
              <w:jc w:val="right"/>
              <w:rPr>
                <w:rFonts w:eastAsia="Times New Roman"/>
              </w:rPr>
            </w:pPr>
          </w:p>
        </w:tc>
        <w:tc>
          <w:tcPr>
            <w:tcW w:w="0" w:type="auto"/>
            <w:vAlign w:val="center"/>
            <w:hideMark/>
          </w:tcPr>
          <w:p w14:paraId="13522C5C" w14:textId="77777777" w:rsidR="00000000" w:rsidRDefault="001A570A">
            <w:pPr>
              <w:jc w:val="right"/>
              <w:rPr>
                <w:rFonts w:eastAsia="Times New Roman"/>
                <w:sz w:val="20"/>
                <w:szCs w:val="20"/>
              </w:rPr>
            </w:pPr>
          </w:p>
        </w:tc>
        <w:tc>
          <w:tcPr>
            <w:tcW w:w="0" w:type="auto"/>
            <w:vAlign w:val="center"/>
            <w:hideMark/>
          </w:tcPr>
          <w:p w14:paraId="527C875C" w14:textId="77777777" w:rsidR="00000000" w:rsidRDefault="001A570A">
            <w:pPr>
              <w:rPr>
                <w:rFonts w:eastAsia="Times New Roman"/>
                <w:sz w:val="20"/>
                <w:szCs w:val="20"/>
              </w:rPr>
            </w:pPr>
          </w:p>
        </w:tc>
        <w:tc>
          <w:tcPr>
            <w:tcW w:w="0" w:type="auto"/>
            <w:gridSpan w:val="3"/>
            <w:vAlign w:val="center"/>
            <w:hideMark/>
          </w:tcPr>
          <w:p w14:paraId="0E61A845" w14:textId="77777777" w:rsidR="00000000" w:rsidRDefault="001A570A">
            <w:pPr>
              <w:rPr>
                <w:rFonts w:eastAsia="Times New Roman"/>
                <w:sz w:val="20"/>
                <w:szCs w:val="20"/>
              </w:rPr>
            </w:pPr>
          </w:p>
        </w:tc>
        <w:tc>
          <w:tcPr>
            <w:tcW w:w="0" w:type="auto"/>
            <w:gridSpan w:val="3"/>
            <w:vAlign w:val="center"/>
            <w:hideMark/>
          </w:tcPr>
          <w:p w14:paraId="53811C5B" w14:textId="77777777" w:rsidR="00000000" w:rsidRDefault="001A570A">
            <w:pPr>
              <w:rPr>
                <w:rFonts w:eastAsia="Times New Roman"/>
                <w:sz w:val="20"/>
                <w:szCs w:val="20"/>
              </w:rPr>
            </w:pPr>
          </w:p>
        </w:tc>
        <w:tc>
          <w:tcPr>
            <w:tcW w:w="0" w:type="auto"/>
            <w:gridSpan w:val="3"/>
            <w:vAlign w:val="center"/>
            <w:hideMark/>
          </w:tcPr>
          <w:p w14:paraId="1B29BF3B" w14:textId="77777777" w:rsidR="00000000" w:rsidRDefault="001A570A">
            <w:pPr>
              <w:rPr>
                <w:rFonts w:eastAsia="Times New Roman"/>
                <w:sz w:val="20"/>
                <w:szCs w:val="20"/>
              </w:rPr>
            </w:pPr>
          </w:p>
        </w:tc>
        <w:tc>
          <w:tcPr>
            <w:tcW w:w="0" w:type="auto"/>
            <w:gridSpan w:val="3"/>
            <w:vAlign w:val="center"/>
            <w:hideMark/>
          </w:tcPr>
          <w:p w14:paraId="2B99EAB0" w14:textId="77777777" w:rsidR="00000000" w:rsidRDefault="001A570A">
            <w:pPr>
              <w:rPr>
                <w:rFonts w:eastAsia="Times New Roman"/>
                <w:sz w:val="20"/>
                <w:szCs w:val="20"/>
              </w:rPr>
            </w:pPr>
          </w:p>
        </w:tc>
      </w:tr>
      <w:tr w:rsidR="00000000" w14:paraId="476B5C26" w14:textId="77777777">
        <w:trPr>
          <w:divId w:val="1516581015"/>
        </w:trPr>
        <w:tc>
          <w:tcPr>
            <w:tcW w:w="0" w:type="auto"/>
            <w:gridSpan w:val="3"/>
            <w:shd w:val="clear" w:color="auto" w:fill="CCEEFF"/>
            <w:tcMar>
              <w:top w:w="30" w:type="dxa"/>
              <w:left w:w="20" w:type="dxa"/>
              <w:bottom w:w="30" w:type="dxa"/>
              <w:right w:w="20" w:type="dxa"/>
            </w:tcMar>
            <w:hideMark/>
          </w:tcPr>
          <w:p w14:paraId="3E589484" w14:textId="77777777" w:rsidR="00000000" w:rsidRDefault="001A570A">
            <w:pPr>
              <w:rPr>
                <w:rFonts w:eastAsia="Times New Roman"/>
              </w:rPr>
            </w:pPr>
            <w:r>
              <w:rPr>
                <w:rFonts w:eastAsia="Times New Roman"/>
                <w:color w:val="000000"/>
                <w:sz w:val="20"/>
                <w:szCs w:val="20"/>
              </w:rPr>
              <w:t>Foreign currency exchange rate changes</w:t>
            </w:r>
          </w:p>
        </w:tc>
        <w:tc>
          <w:tcPr>
            <w:tcW w:w="0" w:type="auto"/>
            <w:gridSpan w:val="2"/>
            <w:shd w:val="clear" w:color="auto" w:fill="CCEEFF"/>
            <w:tcMar>
              <w:top w:w="30" w:type="dxa"/>
              <w:left w:w="20" w:type="dxa"/>
              <w:bottom w:w="30" w:type="dxa"/>
              <w:right w:w="0" w:type="dxa"/>
            </w:tcMar>
            <w:vAlign w:val="bottom"/>
            <w:hideMark/>
          </w:tcPr>
          <w:p w14:paraId="6746706E"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4541C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514B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94D5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D98C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2226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EE52C9"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DEAB78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0371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F821E"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4D4F9B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4DF9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273C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21786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5251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BDD9B"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45B17ABF" w14:textId="77777777" w:rsidR="00000000" w:rsidRDefault="001A570A">
            <w:pPr>
              <w:jc w:val="right"/>
              <w:rPr>
                <w:rFonts w:eastAsia="Times New Roman"/>
              </w:rPr>
            </w:pPr>
          </w:p>
        </w:tc>
        <w:tc>
          <w:tcPr>
            <w:tcW w:w="0" w:type="auto"/>
            <w:vAlign w:val="center"/>
            <w:hideMark/>
          </w:tcPr>
          <w:p w14:paraId="44BEB965" w14:textId="77777777" w:rsidR="00000000" w:rsidRDefault="001A570A">
            <w:pPr>
              <w:jc w:val="right"/>
              <w:rPr>
                <w:rFonts w:eastAsia="Times New Roman"/>
                <w:sz w:val="20"/>
                <w:szCs w:val="20"/>
              </w:rPr>
            </w:pPr>
          </w:p>
        </w:tc>
        <w:tc>
          <w:tcPr>
            <w:tcW w:w="0" w:type="auto"/>
            <w:vAlign w:val="center"/>
            <w:hideMark/>
          </w:tcPr>
          <w:p w14:paraId="63DB2085" w14:textId="77777777" w:rsidR="00000000" w:rsidRDefault="001A570A">
            <w:pPr>
              <w:rPr>
                <w:rFonts w:eastAsia="Times New Roman"/>
                <w:sz w:val="20"/>
                <w:szCs w:val="20"/>
              </w:rPr>
            </w:pPr>
          </w:p>
        </w:tc>
        <w:tc>
          <w:tcPr>
            <w:tcW w:w="0" w:type="auto"/>
            <w:gridSpan w:val="3"/>
            <w:vAlign w:val="center"/>
            <w:hideMark/>
          </w:tcPr>
          <w:p w14:paraId="687B7D6F" w14:textId="77777777" w:rsidR="00000000" w:rsidRDefault="001A570A">
            <w:pPr>
              <w:rPr>
                <w:rFonts w:eastAsia="Times New Roman"/>
                <w:sz w:val="20"/>
                <w:szCs w:val="20"/>
              </w:rPr>
            </w:pPr>
          </w:p>
        </w:tc>
        <w:tc>
          <w:tcPr>
            <w:tcW w:w="0" w:type="auto"/>
            <w:gridSpan w:val="3"/>
            <w:vAlign w:val="center"/>
            <w:hideMark/>
          </w:tcPr>
          <w:p w14:paraId="6487F379" w14:textId="77777777" w:rsidR="00000000" w:rsidRDefault="001A570A">
            <w:pPr>
              <w:rPr>
                <w:rFonts w:eastAsia="Times New Roman"/>
                <w:sz w:val="20"/>
                <w:szCs w:val="20"/>
              </w:rPr>
            </w:pPr>
          </w:p>
        </w:tc>
        <w:tc>
          <w:tcPr>
            <w:tcW w:w="0" w:type="auto"/>
            <w:gridSpan w:val="3"/>
            <w:vAlign w:val="center"/>
            <w:hideMark/>
          </w:tcPr>
          <w:p w14:paraId="4E94553A" w14:textId="77777777" w:rsidR="00000000" w:rsidRDefault="001A570A">
            <w:pPr>
              <w:rPr>
                <w:rFonts w:eastAsia="Times New Roman"/>
                <w:sz w:val="20"/>
                <w:szCs w:val="20"/>
              </w:rPr>
            </w:pPr>
          </w:p>
        </w:tc>
        <w:tc>
          <w:tcPr>
            <w:tcW w:w="0" w:type="auto"/>
            <w:gridSpan w:val="3"/>
            <w:vAlign w:val="center"/>
            <w:hideMark/>
          </w:tcPr>
          <w:p w14:paraId="2B967DF8" w14:textId="77777777" w:rsidR="00000000" w:rsidRDefault="001A570A">
            <w:pPr>
              <w:rPr>
                <w:rFonts w:eastAsia="Times New Roman"/>
                <w:sz w:val="20"/>
                <w:szCs w:val="20"/>
              </w:rPr>
            </w:pPr>
          </w:p>
        </w:tc>
      </w:tr>
      <w:tr w:rsidR="00000000" w14:paraId="0B8E7D7A" w14:textId="77777777">
        <w:trPr>
          <w:divId w:val="1516581015"/>
        </w:trPr>
        <w:tc>
          <w:tcPr>
            <w:tcW w:w="0" w:type="auto"/>
            <w:gridSpan w:val="3"/>
            <w:shd w:val="clear" w:color="auto" w:fill="FFFFFF"/>
            <w:tcMar>
              <w:top w:w="30" w:type="dxa"/>
              <w:left w:w="20" w:type="dxa"/>
              <w:bottom w:w="30" w:type="dxa"/>
              <w:right w:w="20" w:type="dxa"/>
            </w:tcMar>
            <w:hideMark/>
          </w:tcPr>
          <w:p w14:paraId="7CBAFB76" w14:textId="77777777" w:rsidR="00000000" w:rsidRDefault="001A570A">
            <w:pPr>
              <w:rPr>
                <w:rFonts w:eastAsia="Times New Roman"/>
              </w:rPr>
            </w:pPr>
            <w:r>
              <w:rPr>
                <w:rFonts w:eastAsia="Times New Roman"/>
                <w:color w:val="000000"/>
                <w:sz w:val="20"/>
                <w:szCs w:val="20"/>
              </w:rPr>
              <w:t>Plan participants’ contributions</w:t>
            </w:r>
          </w:p>
        </w:tc>
        <w:tc>
          <w:tcPr>
            <w:tcW w:w="0" w:type="auto"/>
            <w:gridSpan w:val="2"/>
            <w:shd w:val="clear" w:color="auto" w:fill="FFFFFF"/>
            <w:tcMar>
              <w:top w:w="30" w:type="dxa"/>
              <w:left w:w="20" w:type="dxa"/>
              <w:bottom w:w="30" w:type="dxa"/>
              <w:right w:w="0" w:type="dxa"/>
            </w:tcMar>
            <w:vAlign w:val="bottom"/>
            <w:hideMark/>
          </w:tcPr>
          <w:p w14:paraId="2C4DE005"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4297E6E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2D40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0D311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22093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7669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B81EED"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98743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3A16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F41D9F"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A214CD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E3D3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CEF75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F2A8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974C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10C91"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D1C0B90" w14:textId="77777777" w:rsidR="00000000" w:rsidRDefault="001A570A">
            <w:pPr>
              <w:jc w:val="right"/>
              <w:rPr>
                <w:rFonts w:eastAsia="Times New Roman"/>
              </w:rPr>
            </w:pPr>
          </w:p>
        </w:tc>
        <w:tc>
          <w:tcPr>
            <w:tcW w:w="0" w:type="auto"/>
            <w:vAlign w:val="center"/>
            <w:hideMark/>
          </w:tcPr>
          <w:p w14:paraId="47F47AF0" w14:textId="77777777" w:rsidR="00000000" w:rsidRDefault="001A570A">
            <w:pPr>
              <w:jc w:val="right"/>
              <w:rPr>
                <w:rFonts w:eastAsia="Times New Roman"/>
                <w:sz w:val="20"/>
                <w:szCs w:val="20"/>
              </w:rPr>
            </w:pPr>
          </w:p>
        </w:tc>
        <w:tc>
          <w:tcPr>
            <w:tcW w:w="0" w:type="auto"/>
            <w:vAlign w:val="center"/>
            <w:hideMark/>
          </w:tcPr>
          <w:p w14:paraId="091D2B0C" w14:textId="77777777" w:rsidR="00000000" w:rsidRDefault="001A570A">
            <w:pPr>
              <w:rPr>
                <w:rFonts w:eastAsia="Times New Roman"/>
                <w:sz w:val="20"/>
                <w:szCs w:val="20"/>
              </w:rPr>
            </w:pPr>
          </w:p>
        </w:tc>
        <w:tc>
          <w:tcPr>
            <w:tcW w:w="0" w:type="auto"/>
            <w:gridSpan w:val="3"/>
            <w:vAlign w:val="center"/>
            <w:hideMark/>
          </w:tcPr>
          <w:p w14:paraId="3F092761" w14:textId="77777777" w:rsidR="00000000" w:rsidRDefault="001A570A">
            <w:pPr>
              <w:rPr>
                <w:rFonts w:eastAsia="Times New Roman"/>
                <w:sz w:val="20"/>
                <w:szCs w:val="20"/>
              </w:rPr>
            </w:pPr>
          </w:p>
        </w:tc>
        <w:tc>
          <w:tcPr>
            <w:tcW w:w="0" w:type="auto"/>
            <w:gridSpan w:val="3"/>
            <w:vAlign w:val="center"/>
            <w:hideMark/>
          </w:tcPr>
          <w:p w14:paraId="5D387AAB" w14:textId="77777777" w:rsidR="00000000" w:rsidRDefault="001A570A">
            <w:pPr>
              <w:rPr>
                <w:rFonts w:eastAsia="Times New Roman"/>
                <w:sz w:val="20"/>
                <w:szCs w:val="20"/>
              </w:rPr>
            </w:pPr>
          </w:p>
        </w:tc>
        <w:tc>
          <w:tcPr>
            <w:tcW w:w="0" w:type="auto"/>
            <w:gridSpan w:val="3"/>
            <w:vAlign w:val="center"/>
            <w:hideMark/>
          </w:tcPr>
          <w:p w14:paraId="5AC6E86E" w14:textId="77777777" w:rsidR="00000000" w:rsidRDefault="001A570A">
            <w:pPr>
              <w:rPr>
                <w:rFonts w:eastAsia="Times New Roman"/>
                <w:sz w:val="20"/>
                <w:szCs w:val="20"/>
              </w:rPr>
            </w:pPr>
          </w:p>
        </w:tc>
        <w:tc>
          <w:tcPr>
            <w:tcW w:w="0" w:type="auto"/>
            <w:gridSpan w:val="3"/>
            <w:vAlign w:val="center"/>
            <w:hideMark/>
          </w:tcPr>
          <w:p w14:paraId="1BCFBCE6" w14:textId="77777777" w:rsidR="00000000" w:rsidRDefault="001A570A">
            <w:pPr>
              <w:rPr>
                <w:rFonts w:eastAsia="Times New Roman"/>
                <w:sz w:val="20"/>
                <w:szCs w:val="20"/>
              </w:rPr>
            </w:pPr>
          </w:p>
        </w:tc>
      </w:tr>
      <w:tr w:rsidR="00000000" w14:paraId="1AE0B4E9" w14:textId="77777777">
        <w:trPr>
          <w:divId w:val="1516581015"/>
        </w:trPr>
        <w:tc>
          <w:tcPr>
            <w:tcW w:w="0" w:type="auto"/>
            <w:gridSpan w:val="3"/>
            <w:shd w:val="clear" w:color="auto" w:fill="CCEEFF"/>
            <w:tcMar>
              <w:top w:w="30" w:type="dxa"/>
              <w:left w:w="20" w:type="dxa"/>
              <w:bottom w:w="30" w:type="dxa"/>
              <w:right w:w="20" w:type="dxa"/>
            </w:tcMar>
            <w:vAlign w:val="bottom"/>
            <w:hideMark/>
          </w:tcPr>
          <w:p w14:paraId="74707474" w14:textId="77777777" w:rsidR="00000000" w:rsidRDefault="001A570A">
            <w:pPr>
              <w:rPr>
                <w:rFonts w:eastAsia="Times New Roman"/>
              </w:rPr>
            </w:pPr>
            <w:r>
              <w:rPr>
                <w:rFonts w:eastAsia="Times New Roman"/>
                <w:color w:val="000000"/>
                <w:sz w:val="20"/>
                <w:szCs w:val="20"/>
              </w:rPr>
              <w:t>Divestiture</w:t>
            </w:r>
          </w:p>
        </w:tc>
        <w:tc>
          <w:tcPr>
            <w:tcW w:w="0" w:type="auto"/>
            <w:gridSpan w:val="2"/>
            <w:shd w:val="clear" w:color="auto" w:fill="CCEEFF"/>
            <w:tcMar>
              <w:top w:w="30" w:type="dxa"/>
              <w:left w:w="20" w:type="dxa"/>
              <w:bottom w:w="30" w:type="dxa"/>
              <w:right w:w="0" w:type="dxa"/>
            </w:tcMar>
            <w:vAlign w:val="bottom"/>
            <w:hideMark/>
          </w:tcPr>
          <w:p w14:paraId="19307CC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2EC04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2EDD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BAEB6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E5C5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D2B9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0E766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E0535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ACE6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C56E7" w14:textId="77777777" w:rsidR="00000000" w:rsidRDefault="001A570A">
            <w:pPr>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14:paraId="0D9E927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5C21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2A9B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C4C8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B814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7B98AD" w14:textId="77777777" w:rsidR="00000000" w:rsidRDefault="001A570A">
            <w:pPr>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14:paraId="069CDF72" w14:textId="77777777" w:rsidR="00000000" w:rsidRDefault="001A570A">
            <w:pPr>
              <w:jc w:val="right"/>
              <w:rPr>
                <w:rFonts w:eastAsia="Times New Roman"/>
              </w:rPr>
            </w:pPr>
          </w:p>
        </w:tc>
        <w:tc>
          <w:tcPr>
            <w:tcW w:w="0" w:type="auto"/>
            <w:vAlign w:val="center"/>
            <w:hideMark/>
          </w:tcPr>
          <w:p w14:paraId="4B34CD8A" w14:textId="77777777" w:rsidR="00000000" w:rsidRDefault="001A570A">
            <w:pPr>
              <w:jc w:val="right"/>
              <w:rPr>
                <w:rFonts w:eastAsia="Times New Roman"/>
                <w:sz w:val="20"/>
                <w:szCs w:val="20"/>
              </w:rPr>
            </w:pPr>
          </w:p>
        </w:tc>
        <w:tc>
          <w:tcPr>
            <w:tcW w:w="0" w:type="auto"/>
            <w:vAlign w:val="center"/>
            <w:hideMark/>
          </w:tcPr>
          <w:p w14:paraId="43BDF8A8" w14:textId="77777777" w:rsidR="00000000" w:rsidRDefault="001A570A">
            <w:pPr>
              <w:rPr>
                <w:rFonts w:eastAsia="Times New Roman"/>
                <w:sz w:val="20"/>
                <w:szCs w:val="20"/>
              </w:rPr>
            </w:pPr>
          </w:p>
        </w:tc>
        <w:tc>
          <w:tcPr>
            <w:tcW w:w="0" w:type="auto"/>
            <w:gridSpan w:val="3"/>
            <w:vAlign w:val="center"/>
            <w:hideMark/>
          </w:tcPr>
          <w:p w14:paraId="69F9107B" w14:textId="77777777" w:rsidR="00000000" w:rsidRDefault="001A570A">
            <w:pPr>
              <w:rPr>
                <w:rFonts w:eastAsia="Times New Roman"/>
                <w:sz w:val="20"/>
                <w:szCs w:val="20"/>
              </w:rPr>
            </w:pPr>
          </w:p>
        </w:tc>
        <w:tc>
          <w:tcPr>
            <w:tcW w:w="0" w:type="auto"/>
            <w:gridSpan w:val="3"/>
            <w:vAlign w:val="center"/>
            <w:hideMark/>
          </w:tcPr>
          <w:p w14:paraId="12FA3B84" w14:textId="77777777" w:rsidR="00000000" w:rsidRDefault="001A570A">
            <w:pPr>
              <w:rPr>
                <w:rFonts w:eastAsia="Times New Roman"/>
                <w:sz w:val="20"/>
                <w:szCs w:val="20"/>
              </w:rPr>
            </w:pPr>
          </w:p>
        </w:tc>
        <w:tc>
          <w:tcPr>
            <w:tcW w:w="0" w:type="auto"/>
            <w:gridSpan w:val="3"/>
            <w:vAlign w:val="center"/>
            <w:hideMark/>
          </w:tcPr>
          <w:p w14:paraId="24CA01F5" w14:textId="77777777" w:rsidR="00000000" w:rsidRDefault="001A570A">
            <w:pPr>
              <w:rPr>
                <w:rFonts w:eastAsia="Times New Roman"/>
                <w:sz w:val="20"/>
                <w:szCs w:val="20"/>
              </w:rPr>
            </w:pPr>
          </w:p>
        </w:tc>
        <w:tc>
          <w:tcPr>
            <w:tcW w:w="0" w:type="auto"/>
            <w:gridSpan w:val="3"/>
            <w:vAlign w:val="center"/>
            <w:hideMark/>
          </w:tcPr>
          <w:p w14:paraId="74B9E706" w14:textId="77777777" w:rsidR="00000000" w:rsidRDefault="001A570A">
            <w:pPr>
              <w:rPr>
                <w:rFonts w:eastAsia="Times New Roman"/>
                <w:sz w:val="20"/>
                <w:szCs w:val="20"/>
              </w:rPr>
            </w:pPr>
          </w:p>
        </w:tc>
      </w:tr>
      <w:tr w:rsidR="00000000" w14:paraId="10D10B8A" w14:textId="77777777">
        <w:trPr>
          <w:divId w:val="1516581015"/>
        </w:trPr>
        <w:tc>
          <w:tcPr>
            <w:tcW w:w="0" w:type="auto"/>
            <w:gridSpan w:val="3"/>
            <w:vAlign w:val="center"/>
            <w:hideMark/>
          </w:tcPr>
          <w:p w14:paraId="39891F7E" w14:textId="77777777" w:rsidR="00000000" w:rsidRDefault="001A570A">
            <w:pPr>
              <w:rPr>
                <w:rFonts w:eastAsia="Times New Roman"/>
                <w:sz w:val="20"/>
                <w:szCs w:val="20"/>
              </w:rPr>
            </w:pPr>
          </w:p>
        </w:tc>
        <w:tc>
          <w:tcPr>
            <w:tcW w:w="0" w:type="auto"/>
            <w:gridSpan w:val="3"/>
            <w:vAlign w:val="center"/>
            <w:hideMark/>
          </w:tcPr>
          <w:p w14:paraId="5C89FE3D" w14:textId="77777777" w:rsidR="00000000" w:rsidRDefault="001A570A">
            <w:pPr>
              <w:rPr>
                <w:rFonts w:eastAsia="Times New Roman"/>
                <w:sz w:val="20"/>
                <w:szCs w:val="20"/>
              </w:rPr>
            </w:pPr>
          </w:p>
        </w:tc>
        <w:tc>
          <w:tcPr>
            <w:tcW w:w="0" w:type="auto"/>
            <w:gridSpan w:val="3"/>
            <w:vAlign w:val="center"/>
            <w:hideMark/>
          </w:tcPr>
          <w:p w14:paraId="34EB3F5B" w14:textId="77777777" w:rsidR="00000000" w:rsidRDefault="001A570A">
            <w:pPr>
              <w:rPr>
                <w:rFonts w:eastAsia="Times New Roman"/>
                <w:sz w:val="20"/>
                <w:szCs w:val="20"/>
              </w:rPr>
            </w:pPr>
          </w:p>
        </w:tc>
        <w:tc>
          <w:tcPr>
            <w:tcW w:w="0" w:type="auto"/>
            <w:gridSpan w:val="3"/>
            <w:vAlign w:val="center"/>
            <w:hideMark/>
          </w:tcPr>
          <w:p w14:paraId="3FEA4DB1" w14:textId="77777777" w:rsidR="00000000" w:rsidRDefault="001A570A">
            <w:pPr>
              <w:rPr>
                <w:rFonts w:eastAsia="Times New Roman"/>
                <w:sz w:val="20"/>
                <w:szCs w:val="20"/>
              </w:rPr>
            </w:pPr>
          </w:p>
        </w:tc>
        <w:tc>
          <w:tcPr>
            <w:tcW w:w="0" w:type="auto"/>
            <w:gridSpan w:val="3"/>
            <w:vAlign w:val="center"/>
            <w:hideMark/>
          </w:tcPr>
          <w:p w14:paraId="1AB34BA8" w14:textId="77777777" w:rsidR="00000000" w:rsidRDefault="001A570A">
            <w:pPr>
              <w:rPr>
                <w:rFonts w:eastAsia="Times New Roman"/>
                <w:sz w:val="20"/>
                <w:szCs w:val="20"/>
              </w:rPr>
            </w:pPr>
          </w:p>
        </w:tc>
        <w:tc>
          <w:tcPr>
            <w:tcW w:w="0" w:type="auto"/>
            <w:gridSpan w:val="3"/>
            <w:vAlign w:val="center"/>
            <w:hideMark/>
          </w:tcPr>
          <w:p w14:paraId="6B6A2307" w14:textId="77777777" w:rsidR="00000000" w:rsidRDefault="001A570A">
            <w:pPr>
              <w:rPr>
                <w:rFonts w:eastAsia="Times New Roman"/>
                <w:sz w:val="20"/>
                <w:szCs w:val="20"/>
              </w:rPr>
            </w:pPr>
          </w:p>
        </w:tc>
        <w:tc>
          <w:tcPr>
            <w:tcW w:w="0" w:type="auto"/>
            <w:gridSpan w:val="3"/>
            <w:vAlign w:val="center"/>
            <w:hideMark/>
          </w:tcPr>
          <w:p w14:paraId="61CEA9D1" w14:textId="77777777" w:rsidR="00000000" w:rsidRDefault="001A570A">
            <w:pPr>
              <w:rPr>
                <w:rFonts w:eastAsia="Times New Roman"/>
                <w:sz w:val="20"/>
                <w:szCs w:val="20"/>
              </w:rPr>
            </w:pPr>
          </w:p>
        </w:tc>
        <w:tc>
          <w:tcPr>
            <w:tcW w:w="0" w:type="auto"/>
            <w:gridSpan w:val="3"/>
            <w:vAlign w:val="center"/>
            <w:hideMark/>
          </w:tcPr>
          <w:p w14:paraId="5055B4E1" w14:textId="77777777" w:rsidR="00000000" w:rsidRDefault="001A570A">
            <w:pPr>
              <w:rPr>
                <w:rFonts w:eastAsia="Times New Roman"/>
                <w:sz w:val="20"/>
                <w:szCs w:val="20"/>
              </w:rPr>
            </w:pPr>
          </w:p>
        </w:tc>
        <w:tc>
          <w:tcPr>
            <w:tcW w:w="0" w:type="auto"/>
            <w:gridSpan w:val="3"/>
            <w:vAlign w:val="center"/>
            <w:hideMark/>
          </w:tcPr>
          <w:p w14:paraId="0309028B" w14:textId="77777777" w:rsidR="00000000" w:rsidRDefault="001A570A">
            <w:pPr>
              <w:rPr>
                <w:rFonts w:eastAsia="Times New Roman"/>
                <w:sz w:val="20"/>
                <w:szCs w:val="20"/>
              </w:rPr>
            </w:pPr>
          </w:p>
        </w:tc>
        <w:tc>
          <w:tcPr>
            <w:tcW w:w="0" w:type="auto"/>
            <w:gridSpan w:val="3"/>
            <w:vAlign w:val="center"/>
            <w:hideMark/>
          </w:tcPr>
          <w:p w14:paraId="0BB34A11" w14:textId="77777777" w:rsidR="00000000" w:rsidRDefault="001A570A">
            <w:pPr>
              <w:rPr>
                <w:rFonts w:eastAsia="Times New Roman"/>
                <w:sz w:val="20"/>
                <w:szCs w:val="20"/>
              </w:rPr>
            </w:pPr>
          </w:p>
        </w:tc>
        <w:tc>
          <w:tcPr>
            <w:tcW w:w="0" w:type="auto"/>
            <w:gridSpan w:val="3"/>
            <w:vAlign w:val="center"/>
            <w:hideMark/>
          </w:tcPr>
          <w:p w14:paraId="782D3129" w14:textId="77777777" w:rsidR="00000000" w:rsidRDefault="001A570A">
            <w:pPr>
              <w:rPr>
                <w:rFonts w:eastAsia="Times New Roman"/>
                <w:sz w:val="20"/>
                <w:szCs w:val="20"/>
              </w:rPr>
            </w:pPr>
          </w:p>
        </w:tc>
        <w:tc>
          <w:tcPr>
            <w:tcW w:w="0" w:type="auto"/>
            <w:gridSpan w:val="3"/>
            <w:vAlign w:val="center"/>
            <w:hideMark/>
          </w:tcPr>
          <w:p w14:paraId="78C3F18F" w14:textId="77777777" w:rsidR="00000000" w:rsidRDefault="001A570A">
            <w:pPr>
              <w:rPr>
                <w:rFonts w:eastAsia="Times New Roman"/>
                <w:sz w:val="20"/>
                <w:szCs w:val="20"/>
              </w:rPr>
            </w:pPr>
          </w:p>
        </w:tc>
        <w:tc>
          <w:tcPr>
            <w:tcW w:w="0" w:type="auto"/>
            <w:vAlign w:val="center"/>
            <w:hideMark/>
          </w:tcPr>
          <w:p w14:paraId="1016FFCD" w14:textId="77777777" w:rsidR="00000000" w:rsidRDefault="001A570A">
            <w:pPr>
              <w:rPr>
                <w:rFonts w:eastAsia="Times New Roman"/>
                <w:sz w:val="20"/>
                <w:szCs w:val="20"/>
              </w:rPr>
            </w:pPr>
          </w:p>
        </w:tc>
        <w:tc>
          <w:tcPr>
            <w:tcW w:w="0" w:type="auto"/>
            <w:vAlign w:val="center"/>
            <w:hideMark/>
          </w:tcPr>
          <w:p w14:paraId="5D6010E5" w14:textId="77777777" w:rsidR="00000000" w:rsidRDefault="001A570A">
            <w:pPr>
              <w:rPr>
                <w:rFonts w:eastAsia="Times New Roman"/>
                <w:sz w:val="20"/>
                <w:szCs w:val="20"/>
              </w:rPr>
            </w:pPr>
          </w:p>
        </w:tc>
        <w:tc>
          <w:tcPr>
            <w:tcW w:w="0" w:type="auto"/>
            <w:gridSpan w:val="3"/>
            <w:vAlign w:val="center"/>
            <w:hideMark/>
          </w:tcPr>
          <w:p w14:paraId="49750E96" w14:textId="77777777" w:rsidR="00000000" w:rsidRDefault="001A570A">
            <w:pPr>
              <w:rPr>
                <w:rFonts w:eastAsia="Times New Roman"/>
                <w:sz w:val="20"/>
                <w:szCs w:val="20"/>
              </w:rPr>
            </w:pPr>
          </w:p>
        </w:tc>
        <w:tc>
          <w:tcPr>
            <w:tcW w:w="0" w:type="auto"/>
            <w:gridSpan w:val="3"/>
            <w:vAlign w:val="center"/>
            <w:hideMark/>
          </w:tcPr>
          <w:p w14:paraId="2ABD71D3" w14:textId="77777777" w:rsidR="00000000" w:rsidRDefault="001A570A">
            <w:pPr>
              <w:rPr>
                <w:rFonts w:eastAsia="Times New Roman"/>
                <w:sz w:val="20"/>
                <w:szCs w:val="20"/>
              </w:rPr>
            </w:pPr>
          </w:p>
        </w:tc>
        <w:tc>
          <w:tcPr>
            <w:tcW w:w="0" w:type="auto"/>
            <w:gridSpan w:val="3"/>
            <w:vAlign w:val="center"/>
            <w:hideMark/>
          </w:tcPr>
          <w:p w14:paraId="40C4839E" w14:textId="77777777" w:rsidR="00000000" w:rsidRDefault="001A570A">
            <w:pPr>
              <w:rPr>
                <w:rFonts w:eastAsia="Times New Roman"/>
                <w:sz w:val="20"/>
                <w:szCs w:val="20"/>
              </w:rPr>
            </w:pPr>
          </w:p>
        </w:tc>
        <w:tc>
          <w:tcPr>
            <w:tcW w:w="0" w:type="auto"/>
            <w:gridSpan w:val="3"/>
            <w:vAlign w:val="center"/>
            <w:hideMark/>
          </w:tcPr>
          <w:p w14:paraId="4DFA27AE" w14:textId="77777777" w:rsidR="00000000" w:rsidRDefault="001A570A">
            <w:pPr>
              <w:rPr>
                <w:rFonts w:eastAsia="Times New Roman"/>
                <w:sz w:val="20"/>
                <w:szCs w:val="20"/>
              </w:rPr>
            </w:pPr>
          </w:p>
        </w:tc>
      </w:tr>
      <w:tr w:rsidR="00000000" w14:paraId="00237836" w14:textId="77777777">
        <w:trPr>
          <w:divId w:val="1516581015"/>
        </w:trPr>
        <w:tc>
          <w:tcPr>
            <w:tcW w:w="0" w:type="auto"/>
            <w:gridSpan w:val="3"/>
            <w:shd w:val="clear" w:color="auto" w:fill="FFFFFF"/>
            <w:tcMar>
              <w:top w:w="30" w:type="dxa"/>
              <w:left w:w="35" w:type="dxa"/>
              <w:bottom w:w="30" w:type="dxa"/>
              <w:right w:w="20" w:type="dxa"/>
            </w:tcMar>
            <w:hideMark/>
          </w:tcPr>
          <w:p w14:paraId="3EB471FE" w14:textId="77777777" w:rsidR="00000000" w:rsidRDefault="001A570A">
            <w:pPr>
              <w:rPr>
                <w:rFonts w:eastAsia="Times New Roman"/>
              </w:rPr>
            </w:pPr>
            <w:r>
              <w:rPr>
                <w:rFonts w:eastAsia="Times New Roman"/>
                <w:color w:val="000000"/>
                <w:sz w:val="20"/>
                <w:szCs w:val="20"/>
              </w:rPr>
              <w:t>Benefit obligation at end of fiscal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85F45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FB89FE" w14:textId="77777777" w:rsidR="00000000" w:rsidRDefault="001A570A">
            <w:pPr>
              <w:jc w:val="right"/>
              <w:rPr>
                <w:rFonts w:eastAsia="Times New Roman"/>
              </w:rPr>
            </w:pPr>
            <w:r>
              <w:rPr>
                <w:rFonts w:eastAsia="Times New Roman"/>
                <w:color w:val="000000"/>
                <w:sz w:val="20"/>
                <w:szCs w:val="20"/>
              </w:rPr>
              <w:t>11,045 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E9ADB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91FA9"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0097B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C95B50" w14:textId="77777777" w:rsidR="00000000" w:rsidRDefault="001A570A">
            <w:pPr>
              <w:jc w:val="right"/>
              <w:rPr>
                <w:rFonts w:eastAsia="Times New Roman"/>
              </w:rPr>
            </w:pPr>
            <w:r>
              <w:rPr>
                <w:rFonts w:eastAsia="Times New Roman"/>
                <w:color w:val="000000"/>
                <w:sz w:val="20"/>
                <w:szCs w:val="20"/>
              </w:rPr>
              <w:t>387 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C0F45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B67A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736F3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7E881E" w14:textId="77777777" w:rsidR="00000000" w:rsidRDefault="001A570A">
            <w:pPr>
              <w:jc w:val="right"/>
              <w:rPr>
                <w:rFonts w:eastAsia="Times New Roman"/>
              </w:rPr>
            </w:pPr>
            <w:r>
              <w:rPr>
                <w:rFonts w:eastAsia="Times New Roman"/>
                <w:color w:val="000000"/>
                <w:sz w:val="20"/>
                <w:szCs w:val="20"/>
              </w:rPr>
              <w:t>11,432 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38B9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D3101"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BDE0F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6CF36C" w14:textId="77777777" w:rsidR="00000000" w:rsidRDefault="001A570A">
            <w:pPr>
              <w:jc w:val="right"/>
              <w:rPr>
                <w:rFonts w:eastAsia="Times New Roman"/>
              </w:rPr>
            </w:pPr>
            <w:r>
              <w:rPr>
                <w:rFonts w:eastAsia="Times New Roman"/>
                <w:color w:val="000000"/>
                <w:sz w:val="20"/>
                <w:szCs w:val="20"/>
              </w:rPr>
              <w:t>10,268 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C341D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1932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36DB9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921D72" w14:textId="77777777" w:rsidR="00000000" w:rsidRDefault="001A570A">
            <w:pPr>
              <w:jc w:val="right"/>
              <w:rPr>
                <w:rFonts w:eastAsia="Times New Roman"/>
              </w:rPr>
            </w:pPr>
            <w:r>
              <w:rPr>
                <w:rFonts w:eastAsia="Times New Roman"/>
                <w:color w:val="000000"/>
                <w:sz w:val="20"/>
                <w:szCs w:val="20"/>
              </w:rPr>
              <w:t>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807B1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F625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6DACC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894493" w14:textId="77777777" w:rsidR="00000000" w:rsidRDefault="001A570A">
            <w:pPr>
              <w:jc w:val="right"/>
              <w:rPr>
                <w:rFonts w:eastAsia="Times New Roman"/>
              </w:rPr>
            </w:pPr>
            <w:r>
              <w:rPr>
                <w:rFonts w:eastAsia="Times New Roman"/>
                <w:color w:val="000000"/>
                <w:sz w:val="20"/>
                <w:szCs w:val="20"/>
              </w:rPr>
              <w:t>10,637 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189ACA" w14:textId="77777777" w:rsidR="00000000" w:rsidRDefault="001A570A">
            <w:pPr>
              <w:jc w:val="right"/>
              <w:rPr>
                <w:rFonts w:eastAsia="Times New Roman"/>
              </w:rPr>
            </w:pPr>
          </w:p>
        </w:tc>
        <w:tc>
          <w:tcPr>
            <w:tcW w:w="0" w:type="auto"/>
            <w:vAlign w:val="center"/>
            <w:hideMark/>
          </w:tcPr>
          <w:p w14:paraId="01F6F3B4" w14:textId="77777777" w:rsidR="00000000" w:rsidRDefault="001A570A">
            <w:pPr>
              <w:jc w:val="right"/>
              <w:rPr>
                <w:rFonts w:eastAsia="Times New Roman"/>
                <w:sz w:val="20"/>
                <w:szCs w:val="20"/>
              </w:rPr>
            </w:pPr>
          </w:p>
        </w:tc>
        <w:tc>
          <w:tcPr>
            <w:tcW w:w="0" w:type="auto"/>
            <w:vAlign w:val="center"/>
            <w:hideMark/>
          </w:tcPr>
          <w:p w14:paraId="79EFFC54" w14:textId="77777777" w:rsidR="00000000" w:rsidRDefault="001A570A">
            <w:pPr>
              <w:rPr>
                <w:rFonts w:eastAsia="Times New Roman"/>
                <w:sz w:val="20"/>
                <w:szCs w:val="20"/>
              </w:rPr>
            </w:pPr>
          </w:p>
        </w:tc>
        <w:tc>
          <w:tcPr>
            <w:tcW w:w="0" w:type="auto"/>
            <w:gridSpan w:val="3"/>
            <w:vAlign w:val="center"/>
            <w:hideMark/>
          </w:tcPr>
          <w:p w14:paraId="06B02EB6" w14:textId="77777777" w:rsidR="00000000" w:rsidRDefault="001A570A">
            <w:pPr>
              <w:rPr>
                <w:rFonts w:eastAsia="Times New Roman"/>
                <w:sz w:val="20"/>
                <w:szCs w:val="20"/>
              </w:rPr>
            </w:pPr>
          </w:p>
        </w:tc>
        <w:tc>
          <w:tcPr>
            <w:tcW w:w="0" w:type="auto"/>
            <w:gridSpan w:val="3"/>
            <w:vAlign w:val="center"/>
            <w:hideMark/>
          </w:tcPr>
          <w:p w14:paraId="2FFCC0D4" w14:textId="77777777" w:rsidR="00000000" w:rsidRDefault="001A570A">
            <w:pPr>
              <w:rPr>
                <w:rFonts w:eastAsia="Times New Roman"/>
                <w:sz w:val="20"/>
                <w:szCs w:val="20"/>
              </w:rPr>
            </w:pPr>
          </w:p>
        </w:tc>
        <w:tc>
          <w:tcPr>
            <w:tcW w:w="0" w:type="auto"/>
            <w:gridSpan w:val="3"/>
            <w:vAlign w:val="center"/>
            <w:hideMark/>
          </w:tcPr>
          <w:p w14:paraId="0E7E4E26" w14:textId="77777777" w:rsidR="00000000" w:rsidRDefault="001A570A">
            <w:pPr>
              <w:rPr>
                <w:rFonts w:eastAsia="Times New Roman"/>
                <w:sz w:val="20"/>
                <w:szCs w:val="20"/>
              </w:rPr>
            </w:pPr>
          </w:p>
        </w:tc>
        <w:tc>
          <w:tcPr>
            <w:tcW w:w="0" w:type="auto"/>
            <w:gridSpan w:val="3"/>
            <w:vAlign w:val="center"/>
            <w:hideMark/>
          </w:tcPr>
          <w:p w14:paraId="1E88C613" w14:textId="77777777" w:rsidR="00000000" w:rsidRDefault="001A570A">
            <w:pPr>
              <w:rPr>
                <w:rFonts w:eastAsia="Times New Roman"/>
                <w:sz w:val="20"/>
                <w:szCs w:val="20"/>
              </w:rPr>
            </w:pPr>
          </w:p>
        </w:tc>
      </w:tr>
    </w:tbl>
    <w:p w14:paraId="6BC750A9" w14:textId="77777777" w:rsidR="00000000" w:rsidRDefault="001A570A">
      <w:pPr>
        <w:ind w:firstLine="450"/>
        <w:divId w:val="942343131"/>
        <w:rPr>
          <w:rFonts w:eastAsia="Times New Roman"/>
        </w:rPr>
      </w:pPr>
      <w:r>
        <w:rPr>
          <w:rFonts w:eastAsia="Times New Roman"/>
          <w:color w:val="000000"/>
          <w:sz w:val="20"/>
          <w:szCs w:val="20"/>
        </w:rPr>
        <w:t>Actuarial losses in the projected benefit obligation as of January 1, 2021 and January 3, 2020 were primarily th</w:t>
      </w:r>
      <w:r>
        <w:rPr>
          <w:rFonts w:eastAsia="Times New Roman"/>
          <w:color w:val="000000"/>
          <w:sz w:val="20"/>
          <w:szCs w:val="20"/>
        </w:rPr>
        <w:t xml:space="preserve">e result of the decrease in the discount rate. Other sources of gains and losses such as plan experience, updated census data, mortality updates and minor adjustments to actuarial assumptions generated combined gains and losses of less than 1% of expected </w:t>
      </w:r>
      <w:r>
        <w:rPr>
          <w:rFonts w:eastAsia="Times New Roman"/>
          <w:color w:val="000000"/>
          <w:sz w:val="20"/>
          <w:szCs w:val="20"/>
        </w:rPr>
        <w:t>year end obligations.</w:t>
      </w:r>
    </w:p>
    <w:p w14:paraId="586E4134" w14:textId="77777777" w:rsidR="00000000" w:rsidRDefault="001A570A">
      <w:pPr>
        <w:ind w:firstLine="450"/>
        <w:divId w:val="19093377"/>
        <w:rPr>
          <w:rFonts w:eastAsia="Times New Roman"/>
        </w:rPr>
      </w:pPr>
      <w:r>
        <w:rPr>
          <w:rFonts w:eastAsia="Times New Roman"/>
          <w:color w:val="000000"/>
          <w:sz w:val="20"/>
          <w:szCs w:val="20"/>
        </w:rPr>
        <w:t>The following table provides a roll-forward of the assets and the ending funded status of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40"/>
        <w:gridCol w:w="2838"/>
        <w:gridCol w:w="39"/>
        <w:gridCol w:w="120"/>
        <w:gridCol w:w="592"/>
        <w:gridCol w:w="36"/>
        <w:gridCol w:w="36"/>
        <w:gridCol w:w="36"/>
        <w:gridCol w:w="36"/>
        <w:gridCol w:w="121"/>
        <w:gridCol w:w="539"/>
        <w:gridCol w:w="36"/>
        <w:gridCol w:w="36"/>
        <w:gridCol w:w="36"/>
        <w:gridCol w:w="36"/>
        <w:gridCol w:w="120"/>
        <w:gridCol w:w="584"/>
        <w:gridCol w:w="36"/>
        <w:gridCol w:w="36"/>
        <w:gridCol w:w="36"/>
        <w:gridCol w:w="36"/>
        <w:gridCol w:w="120"/>
        <w:gridCol w:w="584"/>
        <w:gridCol w:w="36"/>
        <w:gridCol w:w="36"/>
        <w:gridCol w:w="36"/>
        <w:gridCol w:w="36"/>
        <w:gridCol w:w="121"/>
        <w:gridCol w:w="524"/>
        <w:gridCol w:w="36"/>
        <w:gridCol w:w="36"/>
        <w:gridCol w:w="36"/>
        <w:gridCol w:w="36"/>
        <w:gridCol w:w="120"/>
        <w:gridCol w:w="584"/>
        <w:gridCol w:w="36"/>
        <w:gridCol w:w="36"/>
        <w:gridCol w:w="36"/>
        <w:gridCol w:w="36"/>
        <w:gridCol w:w="36"/>
        <w:gridCol w:w="36"/>
        <w:gridCol w:w="36"/>
        <w:gridCol w:w="36"/>
        <w:gridCol w:w="36"/>
        <w:gridCol w:w="36"/>
        <w:gridCol w:w="36"/>
        <w:gridCol w:w="36"/>
        <w:gridCol w:w="36"/>
        <w:gridCol w:w="36"/>
        <w:gridCol w:w="36"/>
      </w:tblGrid>
      <w:tr w:rsidR="00000000" w14:paraId="797D58FD" w14:textId="77777777">
        <w:trPr>
          <w:divId w:val="2016490759"/>
        </w:trPr>
        <w:tc>
          <w:tcPr>
            <w:tcW w:w="50" w:type="pct"/>
            <w:vAlign w:val="center"/>
            <w:hideMark/>
          </w:tcPr>
          <w:p w14:paraId="18C86001" w14:textId="77777777" w:rsidR="00000000" w:rsidRDefault="001A570A">
            <w:pPr>
              <w:ind w:firstLine="450"/>
              <w:rPr>
                <w:rFonts w:eastAsia="Times New Roman"/>
              </w:rPr>
            </w:pPr>
          </w:p>
        </w:tc>
        <w:tc>
          <w:tcPr>
            <w:tcW w:w="1877" w:type="pct"/>
            <w:vAlign w:val="center"/>
            <w:hideMark/>
          </w:tcPr>
          <w:p w14:paraId="5A17C05B" w14:textId="77777777" w:rsidR="00000000" w:rsidRDefault="001A570A">
            <w:pPr>
              <w:rPr>
                <w:rFonts w:eastAsia="Times New Roman"/>
                <w:sz w:val="20"/>
                <w:szCs w:val="20"/>
              </w:rPr>
            </w:pPr>
          </w:p>
        </w:tc>
        <w:tc>
          <w:tcPr>
            <w:tcW w:w="5" w:type="pct"/>
            <w:vAlign w:val="center"/>
            <w:hideMark/>
          </w:tcPr>
          <w:p w14:paraId="5C3B5386" w14:textId="77777777" w:rsidR="00000000" w:rsidRDefault="001A570A">
            <w:pPr>
              <w:rPr>
                <w:rFonts w:eastAsia="Times New Roman"/>
                <w:sz w:val="20"/>
                <w:szCs w:val="20"/>
              </w:rPr>
            </w:pPr>
          </w:p>
        </w:tc>
        <w:tc>
          <w:tcPr>
            <w:tcW w:w="50" w:type="pct"/>
            <w:vAlign w:val="center"/>
            <w:hideMark/>
          </w:tcPr>
          <w:p w14:paraId="6B002E2B" w14:textId="77777777" w:rsidR="00000000" w:rsidRDefault="001A570A">
            <w:pPr>
              <w:rPr>
                <w:rFonts w:eastAsia="Times New Roman"/>
                <w:sz w:val="20"/>
                <w:szCs w:val="20"/>
              </w:rPr>
            </w:pPr>
          </w:p>
        </w:tc>
        <w:tc>
          <w:tcPr>
            <w:tcW w:w="426" w:type="pct"/>
            <w:vAlign w:val="center"/>
            <w:hideMark/>
          </w:tcPr>
          <w:p w14:paraId="00F81672" w14:textId="77777777" w:rsidR="00000000" w:rsidRDefault="001A570A">
            <w:pPr>
              <w:rPr>
                <w:rFonts w:eastAsia="Times New Roman"/>
                <w:sz w:val="20"/>
                <w:szCs w:val="20"/>
              </w:rPr>
            </w:pPr>
          </w:p>
        </w:tc>
        <w:tc>
          <w:tcPr>
            <w:tcW w:w="5" w:type="pct"/>
            <w:vAlign w:val="center"/>
            <w:hideMark/>
          </w:tcPr>
          <w:p w14:paraId="4881B967" w14:textId="77777777" w:rsidR="00000000" w:rsidRDefault="001A570A">
            <w:pPr>
              <w:rPr>
                <w:rFonts w:eastAsia="Times New Roman"/>
                <w:sz w:val="20"/>
                <w:szCs w:val="20"/>
              </w:rPr>
            </w:pPr>
          </w:p>
        </w:tc>
        <w:tc>
          <w:tcPr>
            <w:tcW w:w="5" w:type="pct"/>
            <w:vAlign w:val="center"/>
            <w:hideMark/>
          </w:tcPr>
          <w:p w14:paraId="33B281C8" w14:textId="77777777" w:rsidR="00000000" w:rsidRDefault="001A570A">
            <w:pPr>
              <w:rPr>
                <w:rFonts w:eastAsia="Times New Roman"/>
                <w:sz w:val="20"/>
                <w:szCs w:val="20"/>
              </w:rPr>
            </w:pPr>
          </w:p>
        </w:tc>
        <w:tc>
          <w:tcPr>
            <w:tcW w:w="25" w:type="pct"/>
            <w:vAlign w:val="center"/>
            <w:hideMark/>
          </w:tcPr>
          <w:p w14:paraId="6229A108" w14:textId="77777777" w:rsidR="00000000" w:rsidRDefault="001A570A">
            <w:pPr>
              <w:rPr>
                <w:rFonts w:eastAsia="Times New Roman"/>
                <w:sz w:val="20"/>
                <w:szCs w:val="20"/>
              </w:rPr>
            </w:pPr>
          </w:p>
        </w:tc>
        <w:tc>
          <w:tcPr>
            <w:tcW w:w="5" w:type="pct"/>
            <w:vAlign w:val="center"/>
            <w:hideMark/>
          </w:tcPr>
          <w:p w14:paraId="7213A5C4" w14:textId="77777777" w:rsidR="00000000" w:rsidRDefault="001A570A">
            <w:pPr>
              <w:rPr>
                <w:rFonts w:eastAsia="Times New Roman"/>
                <w:sz w:val="20"/>
                <w:szCs w:val="20"/>
              </w:rPr>
            </w:pPr>
          </w:p>
        </w:tc>
        <w:tc>
          <w:tcPr>
            <w:tcW w:w="50" w:type="pct"/>
            <w:vAlign w:val="center"/>
            <w:hideMark/>
          </w:tcPr>
          <w:p w14:paraId="76CB45B0" w14:textId="77777777" w:rsidR="00000000" w:rsidRDefault="001A570A">
            <w:pPr>
              <w:rPr>
                <w:rFonts w:eastAsia="Times New Roman"/>
                <w:sz w:val="20"/>
                <w:szCs w:val="20"/>
              </w:rPr>
            </w:pPr>
          </w:p>
        </w:tc>
        <w:tc>
          <w:tcPr>
            <w:tcW w:w="426" w:type="pct"/>
            <w:vAlign w:val="center"/>
            <w:hideMark/>
          </w:tcPr>
          <w:p w14:paraId="6F3D69F2" w14:textId="77777777" w:rsidR="00000000" w:rsidRDefault="001A570A">
            <w:pPr>
              <w:rPr>
                <w:rFonts w:eastAsia="Times New Roman"/>
                <w:sz w:val="20"/>
                <w:szCs w:val="20"/>
              </w:rPr>
            </w:pPr>
          </w:p>
        </w:tc>
        <w:tc>
          <w:tcPr>
            <w:tcW w:w="5" w:type="pct"/>
            <w:vAlign w:val="center"/>
            <w:hideMark/>
          </w:tcPr>
          <w:p w14:paraId="2216503E" w14:textId="77777777" w:rsidR="00000000" w:rsidRDefault="001A570A">
            <w:pPr>
              <w:rPr>
                <w:rFonts w:eastAsia="Times New Roman"/>
                <w:sz w:val="20"/>
                <w:szCs w:val="20"/>
              </w:rPr>
            </w:pPr>
          </w:p>
        </w:tc>
        <w:tc>
          <w:tcPr>
            <w:tcW w:w="5" w:type="pct"/>
            <w:vAlign w:val="center"/>
            <w:hideMark/>
          </w:tcPr>
          <w:p w14:paraId="4D112095" w14:textId="77777777" w:rsidR="00000000" w:rsidRDefault="001A570A">
            <w:pPr>
              <w:rPr>
                <w:rFonts w:eastAsia="Times New Roman"/>
                <w:sz w:val="20"/>
                <w:szCs w:val="20"/>
              </w:rPr>
            </w:pPr>
          </w:p>
        </w:tc>
        <w:tc>
          <w:tcPr>
            <w:tcW w:w="25" w:type="pct"/>
            <w:vAlign w:val="center"/>
            <w:hideMark/>
          </w:tcPr>
          <w:p w14:paraId="251BC79A" w14:textId="77777777" w:rsidR="00000000" w:rsidRDefault="001A570A">
            <w:pPr>
              <w:rPr>
                <w:rFonts w:eastAsia="Times New Roman"/>
                <w:sz w:val="20"/>
                <w:szCs w:val="20"/>
              </w:rPr>
            </w:pPr>
          </w:p>
        </w:tc>
        <w:tc>
          <w:tcPr>
            <w:tcW w:w="5" w:type="pct"/>
            <w:vAlign w:val="center"/>
            <w:hideMark/>
          </w:tcPr>
          <w:p w14:paraId="35C51FC2" w14:textId="77777777" w:rsidR="00000000" w:rsidRDefault="001A570A">
            <w:pPr>
              <w:rPr>
                <w:rFonts w:eastAsia="Times New Roman"/>
                <w:sz w:val="20"/>
                <w:szCs w:val="20"/>
              </w:rPr>
            </w:pPr>
          </w:p>
        </w:tc>
        <w:tc>
          <w:tcPr>
            <w:tcW w:w="50" w:type="pct"/>
            <w:vAlign w:val="center"/>
            <w:hideMark/>
          </w:tcPr>
          <w:p w14:paraId="666033E2" w14:textId="77777777" w:rsidR="00000000" w:rsidRDefault="001A570A">
            <w:pPr>
              <w:rPr>
                <w:rFonts w:eastAsia="Times New Roman"/>
                <w:sz w:val="20"/>
                <w:szCs w:val="20"/>
              </w:rPr>
            </w:pPr>
          </w:p>
        </w:tc>
        <w:tc>
          <w:tcPr>
            <w:tcW w:w="426" w:type="pct"/>
            <w:vAlign w:val="center"/>
            <w:hideMark/>
          </w:tcPr>
          <w:p w14:paraId="13B36036" w14:textId="77777777" w:rsidR="00000000" w:rsidRDefault="001A570A">
            <w:pPr>
              <w:rPr>
                <w:rFonts w:eastAsia="Times New Roman"/>
                <w:sz w:val="20"/>
                <w:szCs w:val="20"/>
              </w:rPr>
            </w:pPr>
          </w:p>
        </w:tc>
        <w:tc>
          <w:tcPr>
            <w:tcW w:w="5" w:type="pct"/>
            <w:vAlign w:val="center"/>
            <w:hideMark/>
          </w:tcPr>
          <w:p w14:paraId="637EBBCD" w14:textId="77777777" w:rsidR="00000000" w:rsidRDefault="001A570A">
            <w:pPr>
              <w:rPr>
                <w:rFonts w:eastAsia="Times New Roman"/>
                <w:sz w:val="20"/>
                <w:szCs w:val="20"/>
              </w:rPr>
            </w:pPr>
          </w:p>
        </w:tc>
        <w:tc>
          <w:tcPr>
            <w:tcW w:w="5" w:type="pct"/>
            <w:vAlign w:val="center"/>
            <w:hideMark/>
          </w:tcPr>
          <w:p w14:paraId="0FF78C8E" w14:textId="77777777" w:rsidR="00000000" w:rsidRDefault="001A570A">
            <w:pPr>
              <w:rPr>
                <w:rFonts w:eastAsia="Times New Roman"/>
                <w:sz w:val="20"/>
                <w:szCs w:val="20"/>
              </w:rPr>
            </w:pPr>
          </w:p>
        </w:tc>
        <w:tc>
          <w:tcPr>
            <w:tcW w:w="25" w:type="pct"/>
            <w:vAlign w:val="center"/>
            <w:hideMark/>
          </w:tcPr>
          <w:p w14:paraId="26D7D856" w14:textId="77777777" w:rsidR="00000000" w:rsidRDefault="001A570A">
            <w:pPr>
              <w:rPr>
                <w:rFonts w:eastAsia="Times New Roman"/>
                <w:sz w:val="20"/>
                <w:szCs w:val="20"/>
              </w:rPr>
            </w:pPr>
          </w:p>
        </w:tc>
        <w:tc>
          <w:tcPr>
            <w:tcW w:w="5" w:type="pct"/>
            <w:vAlign w:val="center"/>
            <w:hideMark/>
          </w:tcPr>
          <w:p w14:paraId="41933049" w14:textId="77777777" w:rsidR="00000000" w:rsidRDefault="001A570A">
            <w:pPr>
              <w:rPr>
                <w:rFonts w:eastAsia="Times New Roman"/>
                <w:sz w:val="20"/>
                <w:szCs w:val="20"/>
              </w:rPr>
            </w:pPr>
          </w:p>
        </w:tc>
        <w:tc>
          <w:tcPr>
            <w:tcW w:w="50" w:type="pct"/>
            <w:vAlign w:val="center"/>
            <w:hideMark/>
          </w:tcPr>
          <w:p w14:paraId="46B04094" w14:textId="77777777" w:rsidR="00000000" w:rsidRDefault="001A570A">
            <w:pPr>
              <w:rPr>
                <w:rFonts w:eastAsia="Times New Roman"/>
                <w:sz w:val="20"/>
                <w:szCs w:val="20"/>
              </w:rPr>
            </w:pPr>
          </w:p>
        </w:tc>
        <w:tc>
          <w:tcPr>
            <w:tcW w:w="426" w:type="pct"/>
            <w:vAlign w:val="center"/>
            <w:hideMark/>
          </w:tcPr>
          <w:p w14:paraId="72AA425B" w14:textId="77777777" w:rsidR="00000000" w:rsidRDefault="001A570A">
            <w:pPr>
              <w:rPr>
                <w:rFonts w:eastAsia="Times New Roman"/>
                <w:sz w:val="20"/>
                <w:szCs w:val="20"/>
              </w:rPr>
            </w:pPr>
          </w:p>
        </w:tc>
        <w:tc>
          <w:tcPr>
            <w:tcW w:w="5" w:type="pct"/>
            <w:vAlign w:val="center"/>
            <w:hideMark/>
          </w:tcPr>
          <w:p w14:paraId="08C0A009" w14:textId="77777777" w:rsidR="00000000" w:rsidRDefault="001A570A">
            <w:pPr>
              <w:rPr>
                <w:rFonts w:eastAsia="Times New Roman"/>
                <w:sz w:val="20"/>
                <w:szCs w:val="20"/>
              </w:rPr>
            </w:pPr>
          </w:p>
        </w:tc>
        <w:tc>
          <w:tcPr>
            <w:tcW w:w="5" w:type="pct"/>
            <w:vAlign w:val="center"/>
            <w:hideMark/>
          </w:tcPr>
          <w:p w14:paraId="60C8403A" w14:textId="77777777" w:rsidR="00000000" w:rsidRDefault="001A570A">
            <w:pPr>
              <w:rPr>
                <w:rFonts w:eastAsia="Times New Roman"/>
                <w:sz w:val="20"/>
                <w:szCs w:val="20"/>
              </w:rPr>
            </w:pPr>
          </w:p>
        </w:tc>
        <w:tc>
          <w:tcPr>
            <w:tcW w:w="25" w:type="pct"/>
            <w:vAlign w:val="center"/>
            <w:hideMark/>
          </w:tcPr>
          <w:p w14:paraId="7D54CB6E" w14:textId="77777777" w:rsidR="00000000" w:rsidRDefault="001A570A">
            <w:pPr>
              <w:rPr>
                <w:rFonts w:eastAsia="Times New Roman"/>
                <w:sz w:val="20"/>
                <w:szCs w:val="20"/>
              </w:rPr>
            </w:pPr>
          </w:p>
        </w:tc>
        <w:tc>
          <w:tcPr>
            <w:tcW w:w="5" w:type="pct"/>
            <w:vAlign w:val="center"/>
            <w:hideMark/>
          </w:tcPr>
          <w:p w14:paraId="390D3D69" w14:textId="77777777" w:rsidR="00000000" w:rsidRDefault="001A570A">
            <w:pPr>
              <w:rPr>
                <w:rFonts w:eastAsia="Times New Roman"/>
                <w:sz w:val="20"/>
                <w:szCs w:val="20"/>
              </w:rPr>
            </w:pPr>
          </w:p>
        </w:tc>
        <w:tc>
          <w:tcPr>
            <w:tcW w:w="50" w:type="pct"/>
            <w:vAlign w:val="center"/>
            <w:hideMark/>
          </w:tcPr>
          <w:p w14:paraId="4BF9C820" w14:textId="77777777" w:rsidR="00000000" w:rsidRDefault="001A570A">
            <w:pPr>
              <w:rPr>
                <w:rFonts w:eastAsia="Times New Roman"/>
                <w:sz w:val="20"/>
                <w:szCs w:val="20"/>
              </w:rPr>
            </w:pPr>
          </w:p>
        </w:tc>
        <w:tc>
          <w:tcPr>
            <w:tcW w:w="426" w:type="pct"/>
            <w:vAlign w:val="center"/>
            <w:hideMark/>
          </w:tcPr>
          <w:p w14:paraId="487F4B71" w14:textId="77777777" w:rsidR="00000000" w:rsidRDefault="001A570A">
            <w:pPr>
              <w:rPr>
                <w:rFonts w:eastAsia="Times New Roman"/>
                <w:sz w:val="20"/>
                <w:szCs w:val="20"/>
              </w:rPr>
            </w:pPr>
          </w:p>
        </w:tc>
        <w:tc>
          <w:tcPr>
            <w:tcW w:w="5" w:type="pct"/>
            <w:vAlign w:val="center"/>
            <w:hideMark/>
          </w:tcPr>
          <w:p w14:paraId="567E0365" w14:textId="77777777" w:rsidR="00000000" w:rsidRDefault="001A570A">
            <w:pPr>
              <w:rPr>
                <w:rFonts w:eastAsia="Times New Roman"/>
                <w:sz w:val="20"/>
                <w:szCs w:val="20"/>
              </w:rPr>
            </w:pPr>
          </w:p>
        </w:tc>
        <w:tc>
          <w:tcPr>
            <w:tcW w:w="5" w:type="pct"/>
            <w:vAlign w:val="center"/>
            <w:hideMark/>
          </w:tcPr>
          <w:p w14:paraId="3B550F43" w14:textId="77777777" w:rsidR="00000000" w:rsidRDefault="001A570A">
            <w:pPr>
              <w:rPr>
                <w:rFonts w:eastAsia="Times New Roman"/>
                <w:sz w:val="20"/>
                <w:szCs w:val="20"/>
              </w:rPr>
            </w:pPr>
          </w:p>
        </w:tc>
        <w:tc>
          <w:tcPr>
            <w:tcW w:w="25" w:type="pct"/>
            <w:vAlign w:val="center"/>
            <w:hideMark/>
          </w:tcPr>
          <w:p w14:paraId="49374173" w14:textId="77777777" w:rsidR="00000000" w:rsidRDefault="001A570A">
            <w:pPr>
              <w:rPr>
                <w:rFonts w:eastAsia="Times New Roman"/>
                <w:sz w:val="20"/>
                <w:szCs w:val="20"/>
              </w:rPr>
            </w:pPr>
          </w:p>
        </w:tc>
        <w:tc>
          <w:tcPr>
            <w:tcW w:w="5" w:type="pct"/>
            <w:vAlign w:val="center"/>
            <w:hideMark/>
          </w:tcPr>
          <w:p w14:paraId="67D6B6E3" w14:textId="77777777" w:rsidR="00000000" w:rsidRDefault="001A570A">
            <w:pPr>
              <w:rPr>
                <w:rFonts w:eastAsia="Times New Roman"/>
                <w:sz w:val="20"/>
                <w:szCs w:val="20"/>
              </w:rPr>
            </w:pPr>
          </w:p>
        </w:tc>
        <w:tc>
          <w:tcPr>
            <w:tcW w:w="50" w:type="pct"/>
            <w:vAlign w:val="center"/>
            <w:hideMark/>
          </w:tcPr>
          <w:p w14:paraId="333301B3" w14:textId="77777777" w:rsidR="00000000" w:rsidRDefault="001A570A">
            <w:pPr>
              <w:rPr>
                <w:rFonts w:eastAsia="Times New Roman"/>
                <w:sz w:val="20"/>
                <w:szCs w:val="20"/>
              </w:rPr>
            </w:pPr>
          </w:p>
        </w:tc>
        <w:tc>
          <w:tcPr>
            <w:tcW w:w="426" w:type="pct"/>
            <w:vAlign w:val="center"/>
            <w:hideMark/>
          </w:tcPr>
          <w:p w14:paraId="46D504B2" w14:textId="77777777" w:rsidR="00000000" w:rsidRDefault="001A570A">
            <w:pPr>
              <w:rPr>
                <w:rFonts w:eastAsia="Times New Roman"/>
                <w:sz w:val="20"/>
                <w:szCs w:val="20"/>
              </w:rPr>
            </w:pPr>
          </w:p>
        </w:tc>
        <w:tc>
          <w:tcPr>
            <w:tcW w:w="5" w:type="pct"/>
            <w:vAlign w:val="center"/>
            <w:hideMark/>
          </w:tcPr>
          <w:p w14:paraId="7522043E" w14:textId="77777777" w:rsidR="00000000" w:rsidRDefault="001A570A">
            <w:pPr>
              <w:rPr>
                <w:rFonts w:eastAsia="Times New Roman"/>
                <w:sz w:val="20"/>
                <w:szCs w:val="20"/>
              </w:rPr>
            </w:pPr>
          </w:p>
        </w:tc>
        <w:tc>
          <w:tcPr>
            <w:tcW w:w="0" w:type="auto"/>
            <w:vAlign w:val="center"/>
            <w:hideMark/>
          </w:tcPr>
          <w:p w14:paraId="3509A7B9" w14:textId="77777777" w:rsidR="00000000" w:rsidRDefault="001A570A">
            <w:pPr>
              <w:rPr>
                <w:rFonts w:eastAsia="Times New Roman"/>
                <w:sz w:val="20"/>
                <w:szCs w:val="20"/>
              </w:rPr>
            </w:pPr>
          </w:p>
        </w:tc>
        <w:tc>
          <w:tcPr>
            <w:tcW w:w="0" w:type="auto"/>
            <w:vAlign w:val="center"/>
            <w:hideMark/>
          </w:tcPr>
          <w:p w14:paraId="4E743EF2" w14:textId="77777777" w:rsidR="00000000" w:rsidRDefault="001A570A">
            <w:pPr>
              <w:rPr>
                <w:rFonts w:eastAsia="Times New Roman"/>
                <w:sz w:val="20"/>
                <w:szCs w:val="20"/>
              </w:rPr>
            </w:pPr>
          </w:p>
        </w:tc>
        <w:tc>
          <w:tcPr>
            <w:tcW w:w="0" w:type="auto"/>
            <w:gridSpan w:val="3"/>
            <w:vAlign w:val="center"/>
            <w:hideMark/>
          </w:tcPr>
          <w:p w14:paraId="5C9FA27A" w14:textId="77777777" w:rsidR="00000000" w:rsidRDefault="001A570A">
            <w:pPr>
              <w:rPr>
                <w:rFonts w:eastAsia="Times New Roman"/>
                <w:sz w:val="20"/>
                <w:szCs w:val="20"/>
              </w:rPr>
            </w:pPr>
          </w:p>
        </w:tc>
        <w:tc>
          <w:tcPr>
            <w:tcW w:w="0" w:type="auto"/>
            <w:gridSpan w:val="3"/>
            <w:vAlign w:val="center"/>
            <w:hideMark/>
          </w:tcPr>
          <w:p w14:paraId="732916FB" w14:textId="77777777" w:rsidR="00000000" w:rsidRDefault="001A570A">
            <w:pPr>
              <w:rPr>
                <w:rFonts w:eastAsia="Times New Roman"/>
                <w:sz w:val="20"/>
                <w:szCs w:val="20"/>
              </w:rPr>
            </w:pPr>
          </w:p>
        </w:tc>
        <w:tc>
          <w:tcPr>
            <w:tcW w:w="0" w:type="auto"/>
            <w:gridSpan w:val="3"/>
            <w:vAlign w:val="center"/>
            <w:hideMark/>
          </w:tcPr>
          <w:p w14:paraId="0A639445" w14:textId="77777777" w:rsidR="00000000" w:rsidRDefault="001A570A">
            <w:pPr>
              <w:rPr>
                <w:rFonts w:eastAsia="Times New Roman"/>
                <w:sz w:val="20"/>
                <w:szCs w:val="20"/>
              </w:rPr>
            </w:pPr>
          </w:p>
        </w:tc>
        <w:tc>
          <w:tcPr>
            <w:tcW w:w="0" w:type="auto"/>
            <w:gridSpan w:val="3"/>
            <w:vAlign w:val="center"/>
            <w:hideMark/>
          </w:tcPr>
          <w:p w14:paraId="293BE2ED" w14:textId="77777777" w:rsidR="00000000" w:rsidRDefault="001A570A">
            <w:pPr>
              <w:rPr>
                <w:rFonts w:eastAsia="Times New Roman"/>
                <w:sz w:val="20"/>
                <w:szCs w:val="20"/>
              </w:rPr>
            </w:pPr>
          </w:p>
        </w:tc>
      </w:tr>
      <w:tr w:rsidR="00000000" w14:paraId="06CCA5F2" w14:textId="77777777">
        <w:trPr>
          <w:divId w:val="2016490759"/>
        </w:trPr>
        <w:tc>
          <w:tcPr>
            <w:tcW w:w="0" w:type="auto"/>
            <w:gridSpan w:val="3"/>
            <w:tcMar>
              <w:top w:w="30" w:type="dxa"/>
              <w:left w:w="20" w:type="dxa"/>
              <w:bottom w:w="30" w:type="dxa"/>
              <w:right w:w="20" w:type="dxa"/>
            </w:tcMar>
            <w:vAlign w:val="bottom"/>
            <w:hideMark/>
          </w:tcPr>
          <w:p w14:paraId="58CBD945" w14:textId="77777777" w:rsidR="00000000" w:rsidRDefault="001A570A">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1F5B138B"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04098F6B" w14:textId="77777777" w:rsidR="00000000" w:rsidRDefault="001A570A">
            <w:pPr>
              <w:jc w:val="center"/>
              <w:rPr>
                <w:rFonts w:eastAsia="Times New Roman"/>
              </w:rPr>
            </w:pPr>
          </w:p>
        </w:tc>
        <w:tc>
          <w:tcPr>
            <w:tcW w:w="0" w:type="auto"/>
            <w:gridSpan w:val="15"/>
            <w:tcMar>
              <w:top w:w="30" w:type="dxa"/>
              <w:left w:w="20" w:type="dxa"/>
              <w:bottom w:w="30" w:type="dxa"/>
              <w:right w:w="20" w:type="dxa"/>
            </w:tcMar>
            <w:vAlign w:val="bottom"/>
            <w:hideMark/>
          </w:tcPr>
          <w:p w14:paraId="7DCFC021"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260A9E09" w14:textId="77777777" w:rsidR="00000000" w:rsidRDefault="001A570A">
            <w:pPr>
              <w:jc w:val="center"/>
              <w:rPr>
                <w:rFonts w:eastAsia="Times New Roman"/>
              </w:rPr>
            </w:pPr>
          </w:p>
        </w:tc>
        <w:tc>
          <w:tcPr>
            <w:tcW w:w="0" w:type="auto"/>
            <w:vAlign w:val="center"/>
            <w:hideMark/>
          </w:tcPr>
          <w:p w14:paraId="005D966A" w14:textId="77777777" w:rsidR="00000000" w:rsidRDefault="001A570A">
            <w:pPr>
              <w:rPr>
                <w:rFonts w:eastAsia="Times New Roman"/>
                <w:sz w:val="20"/>
                <w:szCs w:val="20"/>
              </w:rPr>
            </w:pPr>
          </w:p>
        </w:tc>
        <w:tc>
          <w:tcPr>
            <w:tcW w:w="0" w:type="auto"/>
            <w:vAlign w:val="center"/>
            <w:hideMark/>
          </w:tcPr>
          <w:p w14:paraId="21601D80" w14:textId="77777777" w:rsidR="00000000" w:rsidRDefault="001A570A">
            <w:pPr>
              <w:rPr>
                <w:rFonts w:eastAsia="Times New Roman"/>
                <w:sz w:val="20"/>
                <w:szCs w:val="20"/>
              </w:rPr>
            </w:pPr>
          </w:p>
        </w:tc>
        <w:tc>
          <w:tcPr>
            <w:tcW w:w="0" w:type="auto"/>
            <w:vAlign w:val="center"/>
            <w:hideMark/>
          </w:tcPr>
          <w:p w14:paraId="7F588BCB" w14:textId="77777777" w:rsidR="00000000" w:rsidRDefault="001A570A">
            <w:pPr>
              <w:rPr>
                <w:rFonts w:eastAsia="Times New Roman"/>
                <w:sz w:val="20"/>
                <w:szCs w:val="20"/>
              </w:rPr>
            </w:pPr>
          </w:p>
        </w:tc>
        <w:tc>
          <w:tcPr>
            <w:tcW w:w="0" w:type="auto"/>
            <w:vAlign w:val="center"/>
            <w:hideMark/>
          </w:tcPr>
          <w:p w14:paraId="02F7E03D" w14:textId="77777777" w:rsidR="00000000" w:rsidRDefault="001A570A">
            <w:pPr>
              <w:rPr>
                <w:rFonts w:eastAsia="Times New Roman"/>
                <w:sz w:val="20"/>
                <w:szCs w:val="20"/>
              </w:rPr>
            </w:pPr>
          </w:p>
        </w:tc>
        <w:tc>
          <w:tcPr>
            <w:tcW w:w="0" w:type="auto"/>
            <w:vAlign w:val="center"/>
            <w:hideMark/>
          </w:tcPr>
          <w:p w14:paraId="7A623071" w14:textId="77777777" w:rsidR="00000000" w:rsidRDefault="001A570A">
            <w:pPr>
              <w:rPr>
                <w:rFonts w:eastAsia="Times New Roman"/>
                <w:sz w:val="20"/>
                <w:szCs w:val="20"/>
              </w:rPr>
            </w:pPr>
          </w:p>
        </w:tc>
        <w:tc>
          <w:tcPr>
            <w:tcW w:w="0" w:type="auto"/>
            <w:vAlign w:val="center"/>
            <w:hideMark/>
          </w:tcPr>
          <w:p w14:paraId="23E9464E" w14:textId="77777777" w:rsidR="00000000" w:rsidRDefault="001A570A">
            <w:pPr>
              <w:rPr>
                <w:rFonts w:eastAsia="Times New Roman"/>
                <w:sz w:val="20"/>
                <w:szCs w:val="20"/>
              </w:rPr>
            </w:pPr>
          </w:p>
        </w:tc>
        <w:tc>
          <w:tcPr>
            <w:tcW w:w="0" w:type="auto"/>
            <w:vAlign w:val="center"/>
            <w:hideMark/>
          </w:tcPr>
          <w:p w14:paraId="473AF46E" w14:textId="77777777" w:rsidR="00000000" w:rsidRDefault="001A570A">
            <w:pPr>
              <w:rPr>
                <w:rFonts w:eastAsia="Times New Roman"/>
                <w:sz w:val="20"/>
                <w:szCs w:val="20"/>
              </w:rPr>
            </w:pPr>
          </w:p>
        </w:tc>
        <w:tc>
          <w:tcPr>
            <w:tcW w:w="0" w:type="auto"/>
            <w:vAlign w:val="center"/>
            <w:hideMark/>
          </w:tcPr>
          <w:p w14:paraId="3BBFEE7D" w14:textId="77777777" w:rsidR="00000000" w:rsidRDefault="001A570A">
            <w:pPr>
              <w:rPr>
                <w:rFonts w:eastAsia="Times New Roman"/>
                <w:sz w:val="20"/>
                <w:szCs w:val="20"/>
              </w:rPr>
            </w:pPr>
          </w:p>
        </w:tc>
        <w:tc>
          <w:tcPr>
            <w:tcW w:w="0" w:type="auto"/>
            <w:vAlign w:val="center"/>
            <w:hideMark/>
          </w:tcPr>
          <w:p w14:paraId="4D2CF2AC" w14:textId="77777777" w:rsidR="00000000" w:rsidRDefault="001A570A">
            <w:pPr>
              <w:rPr>
                <w:rFonts w:eastAsia="Times New Roman"/>
                <w:sz w:val="20"/>
                <w:szCs w:val="20"/>
              </w:rPr>
            </w:pPr>
          </w:p>
        </w:tc>
        <w:tc>
          <w:tcPr>
            <w:tcW w:w="0" w:type="auto"/>
            <w:vAlign w:val="center"/>
            <w:hideMark/>
          </w:tcPr>
          <w:p w14:paraId="50669257" w14:textId="77777777" w:rsidR="00000000" w:rsidRDefault="001A570A">
            <w:pPr>
              <w:rPr>
                <w:rFonts w:eastAsia="Times New Roman"/>
                <w:sz w:val="20"/>
                <w:szCs w:val="20"/>
              </w:rPr>
            </w:pPr>
          </w:p>
        </w:tc>
        <w:tc>
          <w:tcPr>
            <w:tcW w:w="0" w:type="auto"/>
            <w:vAlign w:val="center"/>
            <w:hideMark/>
          </w:tcPr>
          <w:p w14:paraId="0A08F5FD" w14:textId="77777777" w:rsidR="00000000" w:rsidRDefault="001A570A">
            <w:pPr>
              <w:rPr>
                <w:rFonts w:eastAsia="Times New Roman"/>
                <w:sz w:val="20"/>
                <w:szCs w:val="20"/>
              </w:rPr>
            </w:pPr>
          </w:p>
        </w:tc>
        <w:tc>
          <w:tcPr>
            <w:tcW w:w="0" w:type="auto"/>
            <w:vAlign w:val="center"/>
            <w:hideMark/>
          </w:tcPr>
          <w:p w14:paraId="14D1B159" w14:textId="77777777" w:rsidR="00000000" w:rsidRDefault="001A570A">
            <w:pPr>
              <w:rPr>
                <w:rFonts w:eastAsia="Times New Roman"/>
                <w:sz w:val="20"/>
                <w:szCs w:val="20"/>
              </w:rPr>
            </w:pPr>
          </w:p>
        </w:tc>
        <w:tc>
          <w:tcPr>
            <w:tcW w:w="0" w:type="auto"/>
            <w:vAlign w:val="center"/>
            <w:hideMark/>
          </w:tcPr>
          <w:p w14:paraId="4B8D4CEB" w14:textId="77777777" w:rsidR="00000000" w:rsidRDefault="001A570A">
            <w:pPr>
              <w:rPr>
                <w:rFonts w:eastAsia="Times New Roman"/>
                <w:sz w:val="20"/>
                <w:szCs w:val="20"/>
              </w:rPr>
            </w:pPr>
          </w:p>
        </w:tc>
      </w:tr>
      <w:tr w:rsidR="00000000" w14:paraId="23C0EF33" w14:textId="77777777">
        <w:trPr>
          <w:divId w:val="2016490759"/>
        </w:trPr>
        <w:tc>
          <w:tcPr>
            <w:tcW w:w="0" w:type="auto"/>
            <w:gridSpan w:val="3"/>
            <w:tcMar>
              <w:top w:w="30" w:type="dxa"/>
              <w:left w:w="20" w:type="dxa"/>
              <w:bottom w:w="30" w:type="dxa"/>
              <w:right w:w="20" w:type="dxa"/>
            </w:tcMar>
            <w:vAlign w:val="bottom"/>
            <w:hideMark/>
          </w:tcPr>
          <w:p w14:paraId="7406EED5"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9054AE1"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6B1669F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ECD6FD"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7A009E3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C2C348"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3ECA5B3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1A9124"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3A3F007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0104AF"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14:paraId="281D7D4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5CB0A4" w14:textId="77777777" w:rsidR="00000000" w:rsidRDefault="001A570A">
            <w:pPr>
              <w:jc w:val="center"/>
              <w:rPr>
                <w:rFonts w:eastAsia="Times New Roman"/>
              </w:rPr>
            </w:pPr>
            <w:r>
              <w:rPr>
                <w:rFonts w:eastAsia="Times New Roman"/>
                <w:b/>
                <w:bCs/>
                <w:color w:val="000000"/>
                <w:sz w:val="16"/>
                <w:szCs w:val="16"/>
              </w:rPr>
              <w:t>Total</w:t>
            </w:r>
          </w:p>
        </w:tc>
        <w:tc>
          <w:tcPr>
            <w:tcW w:w="0" w:type="auto"/>
            <w:vAlign w:val="center"/>
            <w:hideMark/>
          </w:tcPr>
          <w:p w14:paraId="14F149DD" w14:textId="77777777" w:rsidR="00000000" w:rsidRDefault="001A570A">
            <w:pPr>
              <w:jc w:val="center"/>
              <w:rPr>
                <w:rFonts w:eastAsia="Times New Roman"/>
              </w:rPr>
            </w:pPr>
          </w:p>
        </w:tc>
        <w:tc>
          <w:tcPr>
            <w:tcW w:w="0" w:type="auto"/>
            <w:vAlign w:val="center"/>
            <w:hideMark/>
          </w:tcPr>
          <w:p w14:paraId="07AB654D" w14:textId="77777777" w:rsidR="00000000" w:rsidRDefault="001A570A">
            <w:pPr>
              <w:rPr>
                <w:rFonts w:eastAsia="Times New Roman"/>
                <w:sz w:val="20"/>
                <w:szCs w:val="20"/>
              </w:rPr>
            </w:pPr>
          </w:p>
        </w:tc>
        <w:tc>
          <w:tcPr>
            <w:tcW w:w="0" w:type="auto"/>
            <w:gridSpan w:val="3"/>
            <w:vAlign w:val="center"/>
            <w:hideMark/>
          </w:tcPr>
          <w:p w14:paraId="5559EF6C" w14:textId="77777777" w:rsidR="00000000" w:rsidRDefault="001A570A">
            <w:pPr>
              <w:rPr>
                <w:rFonts w:eastAsia="Times New Roman"/>
                <w:sz w:val="20"/>
                <w:szCs w:val="20"/>
              </w:rPr>
            </w:pPr>
          </w:p>
        </w:tc>
        <w:tc>
          <w:tcPr>
            <w:tcW w:w="0" w:type="auto"/>
            <w:gridSpan w:val="3"/>
            <w:vAlign w:val="center"/>
            <w:hideMark/>
          </w:tcPr>
          <w:p w14:paraId="7642E1C4" w14:textId="77777777" w:rsidR="00000000" w:rsidRDefault="001A570A">
            <w:pPr>
              <w:rPr>
                <w:rFonts w:eastAsia="Times New Roman"/>
                <w:sz w:val="20"/>
                <w:szCs w:val="20"/>
              </w:rPr>
            </w:pPr>
          </w:p>
        </w:tc>
        <w:tc>
          <w:tcPr>
            <w:tcW w:w="0" w:type="auto"/>
            <w:gridSpan w:val="3"/>
            <w:vAlign w:val="center"/>
            <w:hideMark/>
          </w:tcPr>
          <w:p w14:paraId="7EDC0CBE" w14:textId="77777777" w:rsidR="00000000" w:rsidRDefault="001A570A">
            <w:pPr>
              <w:rPr>
                <w:rFonts w:eastAsia="Times New Roman"/>
                <w:sz w:val="20"/>
                <w:szCs w:val="20"/>
              </w:rPr>
            </w:pPr>
          </w:p>
        </w:tc>
        <w:tc>
          <w:tcPr>
            <w:tcW w:w="0" w:type="auto"/>
            <w:gridSpan w:val="3"/>
            <w:vAlign w:val="center"/>
            <w:hideMark/>
          </w:tcPr>
          <w:p w14:paraId="5AE1CEA1" w14:textId="77777777" w:rsidR="00000000" w:rsidRDefault="001A570A">
            <w:pPr>
              <w:rPr>
                <w:rFonts w:eastAsia="Times New Roman"/>
                <w:sz w:val="20"/>
                <w:szCs w:val="20"/>
              </w:rPr>
            </w:pPr>
          </w:p>
        </w:tc>
      </w:tr>
      <w:tr w:rsidR="00000000" w14:paraId="199575B0" w14:textId="77777777">
        <w:trPr>
          <w:divId w:val="2016490759"/>
          <w:trHeight w:val="60"/>
        </w:trPr>
        <w:tc>
          <w:tcPr>
            <w:tcW w:w="0" w:type="auto"/>
            <w:gridSpan w:val="3"/>
            <w:tcMar>
              <w:top w:w="0" w:type="dxa"/>
              <w:left w:w="20" w:type="dxa"/>
              <w:bottom w:w="0" w:type="dxa"/>
              <w:right w:w="20" w:type="dxa"/>
            </w:tcMar>
            <w:vAlign w:val="center"/>
            <w:hideMark/>
          </w:tcPr>
          <w:p w14:paraId="3BA542E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048DC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FC000C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EACB4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186303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F4E01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4457C9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CA897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D083DB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34360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E08716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F30FE6" w14:textId="77777777" w:rsidR="00000000" w:rsidRDefault="001A570A">
            <w:pPr>
              <w:rPr>
                <w:rFonts w:eastAsia="Times New Roman"/>
                <w:sz w:val="20"/>
                <w:szCs w:val="20"/>
              </w:rPr>
            </w:pPr>
          </w:p>
        </w:tc>
        <w:tc>
          <w:tcPr>
            <w:tcW w:w="0" w:type="auto"/>
            <w:vAlign w:val="center"/>
            <w:hideMark/>
          </w:tcPr>
          <w:p w14:paraId="0BB5DB7A" w14:textId="77777777" w:rsidR="00000000" w:rsidRDefault="001A570A">
            <w:pPr>
              <w:rPr>
                <w:rFonts w:eastAsia="Times New Roman"/>
                <w:sz w:val="20"/>
                <w:szCs w:val="20"/>
              </w:rPr>
            </w:pPr>
          </w:p>
        </w:tc>
        <w:tc>
          <w:tcPr>
            <w:tcW w:w="0" w:type="auto"/>
            <w:vAlign w:val="center"/>
            <w:hideMark/>
          </w:tcPr>
          <w:p w14:paraId="5AB18088" w14:textId="77777777" w:rsidR="00000000" w:rsidRDefault="001A570A">
            <w:pPr>
              <w:rPr>
                <w:rFonts w:eastAsia="Times New Roman"/>
                <w:sz w:val="20"/>
                <w:szCs w:val="20"/>
              </w:rPr>
            </w:pPr>
          </w:p>
        </w:tc>
        <w:tc>
          <w:tcPr>
            <w:tcW w:w="0" w:type="auto"/>
            <w:gridSpan w:val="3"/>
            <w:vAlign w:val="center"/>
            <w:hideMark/>
          </w:tcPr>
          <w:p w14:paraId="669CB77F" w14:textId="77777777" w:rsidR="00000000" w:rsidRDefault="001A570A">
            <w:pPr>
              <w:rPr>
                <w:rFonts w:eastAsia="Times New Roman"/>
                <w:sz w:val="20"/>
                <w:szCs w:val="20"/>
              </w:rPr>
            </w:pPr>
          </w:p>
        </w:tc>
        <w:tc>
          <w:tcPr>
            <w:tcW w:w="0" w:type="auto"/>
            <w:gridSpan w:val="3"/>
            <w:vAlign w:val="center"/>
            <w:hideMark/>
          </w:tcPr>
          <w:p w14:paraId="25387807" w14:textId="77777777" w:rsidR="00000000" w:rsidRDefault="001A570A">
            <w:pPr>
              <w:rPr>
                <w:rFonts w:eastAsia="Times New Roman"/>
                <w:sz w:val="20"/>
                <w:szCs w:val="20"/>
              </w:rPr>
            </w:pPr>
          </w:p>
        </w:tc>
        <w:tc>
          <w:tcPr>
            <w:tcW w:w="0" w:type="auto"/>
            <w:gridSpan w:val="3"/>
            <w:vAlign w:val="center"/>
            <w:hideMark/>
          </w:tcPr>
          <w:p w14:paraId="026165CF" w14:textId="77777777" w:rsidR="00000000" w:rsidRDefault="001A570A">
            <w:pPr>
              <w:rPr>
                <w:rFonts w:eastAsia="Times New Roman"/>
                <w:sz w:val="20"/>
                <w:szCs w:val="20"/>
              </w:rPr>
            </w:pPr>
          </w:p>
        </w:tc>
        <w:tc>
          <w:tcPr>
            <w:tcW w:w="0" w:type="auto"/>
            <w:gridSpan w:val="3"/>
            <w:vAlign w:val="center"/>
            <w:hideMark/>
          </w:tcPr>
          <w:p w14:paraId="6D8B71B1" w14:textId="77777777" w:rsidR="00000000" w:rsidRDefault="001A570A">
            <w:pPr>
              <w:rPr>
                <w:rFonts w:eastAsia="Times New Roman"/>
                <w:sz w:val="20"/>
                <w:szCs w:val="20"/>
              </w:rPr>
            </w:pPr>
          </w:p>
        </w:tc>
      </w:tr>
      <w:tr w:rsidR="00000000" w14:paraId="3FC0516A" w14:textId="77777777">
        <w:trPr>
          <w:divId w:val="2016490759"/>
        </w:trPr>
        <w:tc>
          <w:tcPr>
            <w:tcW w:w="0" w:type="auto"/>
            <w:gridSpan w:val="3"/>
            <w:shd w:val="clear" w:color="auto" w:fill="CCEEFF"/>
            <w:tcMar>
              <w:top w:w="30" w:type="dxa"/>
              <w:left w:w="20" w:type="dxa"/>
              <w:bottom w:w="30" w:type="dxa"/>
              <w:right w:w="20" w:type="dxa"/>
            </w:tcMar>
            <w:hideMark/>
          </w:tcPr>
          <w:p w14:paraId="15D09803" w14:textId="77777777" w:rsidR="00000000" w:rsidRDefault="001A570A">
            <w:pPr>
              <w:rPr>
                <w:rFonts w:eastAsia="Times New Roman"/>
              </w:rPr>
            </w:pPr>
            <w:r>
              <w:rPr>
                <w:rFonts w:eastAsia="Times New Roman"/>
                <w:b/>
                <w:bCs/>
                <w:color w:val="000000"/>
                <w:sz w:val="20"/>
                <w:szCs w:val="20"/>
              </w:rPr>
              <w:t>Change in plan assets</w:t>
            </w:r>
          </w:p>
        </w:tc>
        <w:tc>
          <w:tcPr>
            <w:tcW w:w="0" w:type="auto"/>
            <w:gridSpan w:val="3"/>
            <w:shd w:val="clear" w:color="auto" w:fill="CCEEFF"/>
            <w:tcMar>
              <w:top w:w="0" w:type="dxa"/>
              <w:left w:w="20" w:type="dxa"/>
              <w:bottom w:w="0" w:type="dxa"/>
              <w:right w:w="20" w:type="dxa"/>
            </w:tcMar>
            <w:vAlign w:val="center"/>
            <w:hideMark/>
          </w:tcPr>
          <w:p w14:paraId="7E6471F8"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530D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FFB7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BF60E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5086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0681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B6A3F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BDBBA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5165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5E5A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0956B2" w14:textId="77777777" w:rsidR="00000000" w:rsidRDefault="001A570A">
            <w:pPr>
              <w:rPr>
                <w:rFonts w:eastAsia="Times New Roman"/>
                <w:sz w:val="20"/>
                <w:szCs w:val="20"/>
              </w:rPr>
            </w:pPr>
          </w:p>
        </w:tc>
        <w:tc>
          <w:tcPr>
            <w:tcW w:w="0" w:type="auto"/>
            <w:vAlign w:val="center"/>
            <w:hideMark/>
          </w:tcPr>
          <w:p w14:paraId="284FC8A0" w14:textId="77777777" w:rsidR="00000000" w:rsidRDefault="001A570A">
            <w:pPr>
              <w:rPr>
                <w:rFonts w:eastAsia="Times New Roman"/>
                <w:sz w:val="20"/>
                <w:szCs w:val="20"/>
              </w:rPr>
            </w:pPr>
          </w:p>
        </w:tc>
        <w:tc>
          <w:tcPr>
            <w:tcW w:w="0" w:type="auto"/>
            <w:vAlign w:val="center"/>
            <w:hideMark/>
          </w:tcPr>
          <w:p w14:paraId="17D0736D" w14:textId="77777777" w:rsidR="00000000" w:rsidRDefault="001A570A">
            <w:pPr>
              <w:rPr>
                <w:rFonts w:eastAsia="Times New Roman"/>
                <w:sz w:val="20"/>
                <w:szCs w:val="20"/>
              </w:rPr>
            </w:pPr>
          </w:p>
        </w:tc>
        <w:tc>
          <w:tcPr>
            <w:tcW w:w="0" w:type="auto"/>
            <w:gridSpan w:val="3"/>
            <w:vAlign w:val="center"/>
            <w:hideMark/>
          </w:tcPr>
          <w:p w14:paraId="32E8D326" w14:textId="77777777" w:rsidR="00000000" w:rsidRDefault="001A570A">
            <w:pPr>
              <w:rPr>
                <w:rFonts w:eastAsia="Times New Roman"/>
                <w:sz w:val="20"/>
                <w:szCs w:val="20"/>
              </w:rPr>
            </w:pPr>
          </w:p>
        </w:tc>
        <w:tc>
          <w:tcPr>
            <w:tcW w:w="0" w:type="auto"/>
            <w:gridSpan w:val="3"/>
            <w:vAlign w:val="center"/>
            <w:hideMark/>
          </w:tcPr>
          <w:p w14:paraId="28F91546" w14:textId="77777777" w:rsidR="00000000" w:rsidRDefault="001A570A">
            <w:pPr>
              <w:rPr>
                <w:rFonts w:eastAsia="Times New Roman"/>
                <w:sz w:val="20"/>
                <w:szCs w:val="20"/>
              </w:rPr>
            </w:pPr>
          </w:p>
        </w:tc>
        <w:tc>
          <w:tcPr>
            <w:tcW w:w="0" w:type="auto"/>
            <w:gridSpan w:val="3"/>
            <w:vAlign w:val="center"/>
            <w:hideMark/>
          </w:tcPr>
          <w:p w14:paraId="76B1E84E" w14:textId="77777777" w:rsidR="00000000" w:rsidRDefault="001A570A">
            <w:pPr>
              <w:rPr>
                <w:rFonts w:eastAsia="Times New Roman"/>
                <w:sz w:val="20"/>
                <w:szCs w:val="20"/>
              </w:rPr>
            </w:pPr>
          </w:p>
        </w:tc>
        <w:tc>
          <w:tcPr>
            <w:tcW w:w="0" w:type="auto"/>
            <w:gridSpan w:val="3"/>
            <w:vAlign w:val="center"/>
            <w:hideMark/>
          </w:tcPr>
          <w:p w14:paraId="2229FC49" w14:textId="77777777" w:rsidR="00000000" w:rsidRDefault="001A570A">
            <w:pPr>
              <w:rPr>
                <w:rFonts w:eastAsia="Times New Roman"/>
                <w:sz w:val="20"/>
                <w:szCs w:val="20"/>
              </w:rPr>
            </w:pPr>
          </w:p>
        </w:tc>
      </w:tr>
      <w:tr w:rsidR="00000000" w14:paraId="24BA5DC8" w14:textId="77777777">
        <w:trPr>
          <w:divId w:val="2016490759"/>
        </w:trPr>
        <w:tc>
          <w:tcPr>
            <w:tcW w:w="0" w:type="auto"/>
            <w:gridSpan w:val="3"/>
            <w:shd w:val="clear" w:color="auto" w:fill="FFFFFF"/>
            <w:tcMar>
              <w:top w:w="30" w:type="dxa"/>
              <w:left w:w="35" w:type="dxa"/>
              <w:bottom w:w="30" w:type="dxa"/>
              <w:right w:w="20" w:type="dxa"/>
            </w:tcMar>
            <w:hideMark/>
          </w:tcPr>
          <w:p w14:paraId="500021A1" w14:textId="77777777" w:rsidR="00000000" w:rsidRDefault="001A570A">
            <w:pPr>
              <w:rPr>
                <w:rFonts w:eastAsia="Times New Roman"/>
              </w:rPr>
            </w:pPr>
            <w:r>
              <w:rPr>
                <w:rFonts w:eastAsia="Times New Roman"/>
                <w:color w:val="000000"/>
                <w:sz w:val="20"/>
                <w:szCs w:val="20"/>
              </w:rPr>
              <w:t>Plan assets at beginning of fiscal year</w:t>
            </w:r>
          </w:p>
        </w:tc>
        <w:tc>
          <w:tcPr>
            <w:tcW w:w="0" w:type="auto"/>
            <w:shd w:val="clear" w:color="auto" w:fill="FFFFFF"/>
            <w:tcMar>
              <w:top w:w="30" w:type="dxa"/>
              <w:left w:w="20" w:type="dxa"/>
              <w:bottom w:w="30" w:type="dxa"/>
              <w:right w:w="0" w:type="dxa"/>
            </w:tcMar>
            <w:vAlign w:val="bottom"/>
            <w:hideMark/>
          </w:tcPr>
          <w:p w14:paraId="3016FA5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8E1E03" w14:textId="77777777" w:rsidR="00000000" w:rsidRDefault="001A570A">
            <w:pPr>
              <w:jc w:val="right"/>
              <w:rPr>
                <w:rFonts w:eastAsia="Times New Roman"/>
              </w:rPr>
            </w:pPr>
            <w:r>
              <w:rPr>
                <w:rFonts w:eastAsia="Times New Roman"/>
                <w:color w:val="000000"/>
                <w:sz w:val="20"/>
                <w:szCs w:val="20"/>
              </w:rPr>
              <w:t>8,618 </w:t>
            </w:r>
          </w:p>
        </w:tc>
        <w:tc>
          <w:tcPr>
            <w:tcW w:w="0" w:type="auto"/>
            <w:shd w:val="clear" w:color="auto" w:fill="FFFFFF"/>
            <w:tcMar>
              <w:top w:w="30" w:type="dxa"/>
              <w:left w:w="0" w:type="dxa"/>
              <w:bottom w:w="30" w:type="dxa"/>
              <w:right w:w="20" w:type="dxa"/>
            </w:tcMar>
            <w:vAlign w:val="bottom"/>
            <w:hideMark/>
          </w:tcPr>
          <w:p w14:paraId="73224D7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2386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3B8CF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9C5BC9" w14:textId="77777777" w:rsidR="00000000" w:rsidRDefault="001A570A">
            <w:pPr>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14:paraId="227A2F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58FDE" w14:textId="77777777" w:rsidR="00000000" w:rsidRDefault="001A570A">
            <w:pPr>
              <w:jc w:val="right"/>
              <w:rPr>
                <w:rFonts w:eastAsia="Times New Roman"/>
                <w:sz w:val="20"/>
                <w:szCs w:val="20"/>
              </w:rPr>
            </w:pPr>
          </w:p>
        </w:tc>
        <w:tc>
          <w:tcPr>
            <w:tcW w:w="0" w:type="auto"/>
            <w:tcMar>
              <w:top w:w="30" w:type="dxa"/>
              <w:left w:w="20" w:type="dxa"/>
              <w:bottom w:w="30" w:type="dxa"/>
              <w:right w:w="0" w:type="dxa"/>
            </w:tcMar>
            <w:vAlign w:val="bottom"/>
            <w:hideMark/>
          </w:tcPr>
          <w:p w14:paraId="52ED1250" w14:textId="77777777" w:rsidR="00000000" w:rsidRDefault="001A570A">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BE458A8" w14:textId="77777777" w:rsidR="00000000" w:rsidRDefault="001A570A">
            <w:pPr>
              <w:jc w:val="right"/>
              <w:rPr>
                <w:rFonts w:eastAsia="Times New Roman"/>
              </w:rPr>
            </w:pPr>
            <w:r>
              <w:rPr>
                <w:rFonts w:eastAsia="Times New Roman"/>
                <w:color w:val="000000"/>
                <w:sz w:val="20"/>
                <w:szCs w:val="20"/>
              </w:rPr>
              <w:t>8,892 </w:t>
            </w:r>
          </w:p>
        </w:tc>
        <w:tc>
          <w:tcPr>
            <w:tcW w:w="0" w:type="auto"/>
            <w:tcMar>
              <w:top w:w="30" w:type="dxa"/>
              <w:left w:w="0" w:type="dxa"/>
              <w:bottom w:w="30" w:type="dxa"/>
              <w:right w:w="20" w:type="dxa"/>
            </w:tcMar>
            <w:vAlign w:val="bottom"/>
            <w:hideMark/>
          </w:tcPr>
          <w:p w14:paraId="322A1DD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6AD46"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F221C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07D1B2" w14:textId="77777777" w:rsidR="00000000" w:rsidRDefault="001A570A">
            <w:pPr>
              <w:jc w:val="right"/>
              <w:rPr>
                <w:rFonts w:eastAsia="Times New Roman"/>
              </w:rPr>
            </w:pPr>
            <w:r>
              <w:rPr>
                <w:rFonts w:eastAsia="Times New Roman"/>
                <w:color w:val="000000"/>
                <w:sz w:val="20"/>
                <w:szCs w:val="20"/>
              </w:rPr>
              <w:t>4,958 </w:t>
            </w:r>
          </w:p>
        </w:tc>
        <w:tc>
          <w:tcPr>
            <w:tcW w:w="0" w:type="auto"/>
            <w:shd w:val="clear" w:color="auto" w:fill="FFFFFF"/>
            <w:tcMar>
              <w:top w:w="30" w:type="dxa"/>
              <w:left w:w="0" w:type="dxa"/>
              <w:bottom w:w="30" w:type="dxa"/>
              <w:right w:w="20" w:type="dxa"/>
            </w:tcMar>
            <w:vAlign w:val="bottom"/>
            <w:hideMark/>
          </w:tcPr>
          <w:p w14:paraId="5F048F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49DD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571BD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D2DFF1" w14:textId="77777777" w:rsidR="00000000" w:rsidRDefault="001A570A">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14:paraId="53E5F12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20FE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0918D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0AB69E" w14:textId="77777777" w:rsidR="00000000" w:rsidRDefault="001A570A">
            <w:pPr>
              <w:jc w:val="right"/>
              <w:rPr>
                <w:rFonts w:eastAsia="Times New Roman"/>
              </w:rPr>
            </w:pPr>
            <w:r>
              <w:rPr>
                <w:rFonts w:eastAsia="Times New Roman"/>
                <w:color w:val="000000"/>
                <w:sz w:val="20"/>
                <w:szCs w:val="20"/>
              </w:rPr>
              <w:t>5,159 </w:t>
            </w:r>
          </w:p>
        </w:tc>
        <w:tc>
          <w:tcPr>
            <w:tcW w:w="0" w:type="auto"/>
            <w:shd w:val="clear" w:color="auto" w:fill="FFFFFF"/>
            <w:tcMar>
              <w:top w:w="30" w:type="dxa"/>
              <w:left w:w="0" w:type="dxa"/>
              <w:bottom w:w="30" w:type="dxa"/>
              <w:right w:w="20" w:type="dxa"/>
            </w:tcMar>
            <w:vAlign w:val="bottom"/>
            <w:hideMark/>
          </w:tcPr>
          <w:p w14:paraId="560C7BF3" w14:textId="77777777" w:rsidR="00000000" w:rsidRDefault="001A570A">
            <w:pPr>
              <w:jc w:val="right"/>
              <w:rPr>
                <w:rFonts w:eastAsia="Times New Roman"/>
              </w:rPr>
            </w:pPr>
          </w:p>
        </w:tc>
        <w:tc>
          <w:tcPr>
            <w:tcW w:w="0" w:type="auto"/>
            <w:vAlign w:val="center"/>
            <w:hideMark/>
          </w:tcPr>
          <w:p w14:paraId="37FC0E17" w14:textId="77777777" w:rsidR="00000000" w:rsidRDefault="001A570A">
            <w:pPr>
              <w:jc w:val="right"/>
              <w:rPr>
                <w:rFonts w:eastAsia="Times New Roman"/>
                <w:sz w:val="20"/>
                <w:szCs w:val="20"/>
              </w:rPr>
            </w:pPr>
          </w:p>
        </w:tc>
        <w:tc>
          <w:tcPr>
            <w:tcW w:w="0" w:type="auto"/>
            <w:vAlign w:val="center"/>
            <w:hideMark/>
          </w:tcPr>
          <w:p w14:paraId="5BB56903" w14:textId="77777777" w:rsidR="00000000" w:rsidRDefault="001A570A">
            <w:pPr>
              <w:rPr>
                <w:rFonts w:eastAsia="Times New Roman"/>
                <w:sz w:val="20"/>
                <w:szCs w:val="20"/>
              </w:rPr>
            </w:pPr>
          </w:p>
        </w:tc>
        <w:tc>
          <w:tcPr>
            <w:tcW w:w="0" w:type="auto"/>
            <w:gridSpan w:val="3"/>
            <w:vAlign w:val="center"/>
            <w:hideMark/>
          </w:tcPr>
          <w:p w14:paraId="598A7E11" w14:textId="77777777" w:rsidR="00000000" w:rsidRDefault="001A570A">
            <w:pPr>
              <w:rPr>
                <w:rFonts w:eastAsia="Times New Roman"/>
                <w:sz w:val="20"/>
                <w:szCs w:val="20"/>
              </w:rPr>
            </w:pPr>
          </w:p>
        </w:tc>
        <w:tc>
          <w:tcPr>
            <w:tcW w:w="0" w:type="auto"/>
            <w:gridSpan w:val="3"/>
            <w:vAlign w:val="center"/>
            <w:hideMark/>
          </w:tcPr>
          <w:p w14:paraId="3113342F" w14:textId="77777777" w:rsidR="00000000" w:rsidRDefault="001A570A">
            <w:pPr>
              <w:rPr>
                <w:rFonts w:eastAsia="Times New Roman"/>
                <w:sz w:val="20"/>
                <w:szCs w:val="20"/>
              </w:rPr>
            </w:pPr>
          </w:p>
        </w:tc>
        <w:tc>
          <w:tcPr>
            <w:tcW w:w="0" w:type="auto"/>
            <w:gridSpan w:val="3"/>
            <w:vAlign w:val="center"/>
            <w:hideMark/>
          </w:tcPr>
          <w:p w14:paraId="48C5B907" w14:textId="77777777" w:rsidR="00000000" w:rsidRDefault="001A570A">
            <w:pPr>
              <w:rPr>
                <w:rFonts w:eastAsia="Times New Roman"/>
                <w:sz w:val="20"/>
                <w:szCs w:val="20"/>
              </w:rPr>
            </w:pPr>
          </w:p>
        </w:tc>
        <w:tc>
          <w:tcPr>
            <w:tcW w:w="0" w:type="auto"/>
            <w:gridSpan w:val="3"/>
            <w:vAlign w:val="center"/>
            <w:hideMark/>
          </w:tcPr>
          <w:p w14:paraId="64582618" w14:textId="77777777" w:rsidR="00000000" w:rsidRDefault="001A570A">
            <w:pPr>
              <w:rPr>
                <w:rFonts w:eastAsia="Times New Roman"/>
                <w:sz w:val="20"/>
                <w:szCs w:val="20"/>
              </w:rPr>
            </w:pPr>
          </w:p>
        </w:tc>
      </w:tr>
      <w:tr w:rsidR="00000000" w14:paraId="042B568B" w14:textId="77777777">
        <w:trPr>
          <w:divId w:val="2016490759"/>
        </w:trPr>
        <w:tc>
          <w:tcPr>
            <w:tcW w:w="0" w:type="auto"/>
            <w:gridSpan w:val="3"/>
            <w:shd w:val="clear" w:color="auto" w:fill="CCEEFF"/>
            <w:tcMar>
              <w:top w:w="30" w:type="dxa"/>
              <w:left w:w="35" w:type="dxa"/>
              <w:bottom w:w="30" w:type="dxa"/>
              <w:right w:w="20" w:type="dxa"/>
            </w:tcMar>
            <w:hideMark/>
          </w:tcPr>
          <w:p w14:paraId="1CAC8D30" w14:textId="77777777" w:rsidR="00000000" w:rsidRDefault="001A570A">
            <w:pPr>
              <w:rPr>
                <w:rFonts w:eastAsia="Times New Roman"/>
              </w:rPr>
            </w:pPr>
            <w:r>
              <w:rPr>
                <w:rFonts w:eastAsia="Times New Roman"/>
                <w:color w:val="000000"/>
                <w:sz w:val="20"/>
                <w:szCs w:val="20"/>
              </w:rPr>
              <w:t>Plan assets acquired in L3Harris Merger</w:t>
            </w:r>
          </w:p>
        </w:tc>
        <w:tc>
          <w:tcPr>
            <w:tcW w:w="0" w:type="auto"/>
            <w:gridSpan w:val="2"/>
            <w:shd w:val="clear" w:color="auto" w:fill="CCEEFF"/>
            <w:tcMar>
              <w:top w:w="30" w:type="dxa"/>
              <w:left w:w="20" w:type="dxa"/>
              <w:bottom w:w="30" w:type="dxa"/>
              <w:right w:w="0" w:type="dxa"/>
            </w:tcMar>
            <w:vAlign w:val="bottom"/>
            <w:hideMark/>
          </w:tcPr>
          <w:p w14:paraId="22B1218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5F657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4A65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2EAAE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5F50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CF15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B2868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DF6AD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2A1B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364CB" w14:textId="77777777" w:rsidR="00000000" w:rsidRDefault="001A570A">
            <w:pPr>
              <w:jc w:val="right"/>
              <w:rPr>
                <w:rFonts w:eastAsia="Times New Roman"/>
              </w:rPr>
            </w:pPr>
            <w:r>
              <w:rPr>
                <w:rFonts w:eastAsia="Times New Roman"/>
                <w:color w:val="000000"/>
                <w:sz w:val="20"/>
                <w:szCs w:val="20"/>
              </w:rPr>
              <w:t>3,183 </w:t>
            </w:r>
          </w:p>
        </w:tc>
        <w:tc>
          <w:tcPr>
            <w:tcW w:w="0" w:type="auto"/>
            <w:shd w:val="clear" w:color="auto" w:fill="CCEEFF"/>
            <w:tcMar>
              <w:top w:w="30" w:type="dxa"/>
              <w:left w:w="0" w:type="dxa"/>
              <w:bottom w:w="30" w:type="dxa"/>
              <w:right w:w="20" w:type="dxa"/>
            </w:tcMar>
            <w:vAlign w:val="bottom"/>
            <w:hideMark/>
          </w:tcPr>
          <w:p w14:paraId="68CE7BE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4946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6D14F3" w14:textId="77777777" w:rsidR="00000000" w:rsidRDefault="001A570A">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4EC95B3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DE60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ECDED" w14:textId="77777777" w:rsidR="00000000" w:rsidRDefault="001A570A">
            <w:pPr>
              <w:jc w:val="right"/>
              <w:rPr>
                <w:rFonts w:eastAsia="Times New Roman"/>
              </w:rPr>
            </w:pPr>
            <w:r>
              <w:rPr>
                <w:rFonts w:eastAsia="Times New Roman"/>
                <w:color w:val="000000"/>
                <w:sz w:val="20"/>
                <w:szCs w:val="20"/>
              </w:rPr>
              <w:t>3,251 </w:t>
            </w:r>
          </w:p>
        </w:tc>
        <w:tc>
          <w:tcPr>
            <w:tcW w:w="0" w:type="auto"/>
            <w:shd w:val="clear" w:color="auto" w:fill="CCEEFF"/>
            <w:tcMar>
              <w:top w:w="30" w:type="dxa"/>
              <w:left w:w="0" w:type="dxa"/>
              <w:bottom w:w="30" w:type="dxa"/>
              <w:right w:w="20" w:type="dxa"/>
            </w:tcMar>
            <w:vAlign w:val="bottom"/>
            <w:hideMark/>
          </w:tcPr>
          <w:p w14:paraId="339EAABB" w14:textId="77777777" w:rsidR="00000000" w:rsidRDefault="001A570A">
            <w:pPr>
              <w:jc w:val="right"/>
              <w:rPr>
                <w:rFonts w:eastAsia="Times New Roman"/>
              </w:rPr>
            </w:pPr>
          </w:p>
        </w:tc>
        <w:tc>
          <w:tcPr>
            <w:tcW w:w="0" w:type="auto"/>
            <w:vAlign w:val="center"/>
            <w:hideMark/>
          </w:tcPr>
          <w:p w14:paraId="69089329" w14:textId="77777777" w:rsidR="00000000" w:rsidRDefault="001A570A">
            <w:pPr>
              <w:jc w:val="right"/>
              <w:rPr>
                <w:rFonts w:eastAsia="Times New Roman"/>
                <w:sz w:val="20"/>
                <w:szCs w:val="20"/>
              </w:rPr>
            </w:pPr>
          </w:p>
        </w:tc>
        <w:tc>
          <w:tcPr>
            <w:tcW w:w="0" w:type="auto"/>
            <w:vAlign w:val="center"/>
            <w:hideMark/>
          </w:tcPr>
          <w:p w14:paraId="090273D3" w14:textId="77777777" w:rsidR="00000000" w:rsidRDefault="001A570A">
            <w:pPr>
              <w:rPr>
                <w:rFonts w:eastAsia="Times New Roman"/>
                <w:sz w:val="20"/>
                <w:szCs w:val="20"/>
              </w:rPr>
            </w:pPr>
          </w:p>
        </w:tc>
        <w:tc>
          <w:tcPr>
            <w:tcW w:w="0" w:type="auto"/>
            <w:gridSpan w:val="3"/>
            <w:vAlign w:val="center"/>
            <w:hideMark/>
          </w:tcPr>
          <w:p w14:paraId="3E2216A8" w14:textId="77777777" w:rsidR="00000000" w:rsidRDefault="001A570A">
            <w:pPr>
              <w:rPr>
                <w:rFonts w:eastAsia="Times New Roman"/>
                <w:sz w:val="20"/>
                <w:szCs w:val="20"/>
              </w:rPr>
            </w:pPr>
          </w:p>
        </w:tc>
        <w:tc>
          <w:tcPr>
            <w:tcW w:w="0" w:type="auto"/>
            <w:gridSpan w:val="3"/>
            <w:vAlign w:val="center"/>
            <w:hideMark/>
          </w:tcPr>
          <w:p w14:paraId="3CCBFCEE" w14:textId="77777777" w:rsidR="00000000" w:rsidRDefault="001A570A">
            <w:pPr>
              <w:rPr>
                <w:rFonts w:eastAsia="Times New Roman"/>
                <w:sz w:val="20"/>
                <w:szCs w:val="20"/>
              </w:rPr>
            </w:pPr>
          </w:p>
        </w:tc>
        <w:tc>
          <w:tcPr>
            <w:tcW w:w="0" w:type="auto"/>
            <w:gridSpan w:val="3"/>
            <w:vAlign w:val="center"/>
            <w:hideMark/>
          </w:tcPr>
          <w:p w14:paraId="78B2FE64" w14:textId="77777777" w:rsidR="00000000" w:rsidRDefault="001A570A">
            <w:pPr>
              <w:rPr>
                <w:rFonts w:eastAsia="Times New Roman"/>
                <w:sz w:val="20"/>
                <w:szCs w:val="20"/>
              </w:rPr>
            </w:pPr>
          </w:p>
        </w:tc>
        <w:tc>
          <w:tcPr>
            <w:tcW w:w="0" w:type="auto"/>
            <w:gridSpan w:val="3"/>
            <w:vAlign w:val="center"/>
            <w:hideMark/>
          </w:tcPr>
          <w:p w14:paraId="05D62A8F" w14:textId="77777777" w:rsidR="00000000" w:rsidRDefault="001A570A">
            <w:pPr>
              <w:rPr>
                <w:rFonts w:eastAsia="Times New Roman"/>
                <w:sz w:val="20"/>
                <w:szCs w:val="20"/>
              </w:rPr>
            </w:pPr>
          </w:p>
        </w:tc>
      </w:tr>
      <w:tr w:rsidR="00000000" w14:paraId="688AB2C6" w14:textId="77777777">
        <w:trPr>
          <w:divId w:val="2016490759"/>
        </w:trPr>
        <w:tc>
          <w:tcPr>
            <w:tcW w:w="0" w:type="auto"/>
            <w:gridSpan w:val="3"/>
            <w:shd w:val="clear" w:color="auto" w:fill="FFFFFF"/>
            <w:tcMar>
              <w:top w:w="30" w:type="dxa"/>
              <w:left w:w="35" w:type="dxa"/>
              <w:bottom w:w="30" w:type="dxa"/>
              <w:right w:w="20" w:type="dxa"/>
            </w:tcMar>
            <w:hideMark/>
          </w:tcPr>
          <w:p w14:paraId="0DA3B484" w14:textId="77777777" w:rsidR="00000000" w:rsidRDefault="001A570A">
            <w:pPr>
              <w:rPr>
                <w:rFonts w:eastAsia="Times New Roman"/>
              </w:rPr>
            </w:pPr>
            <w:r>
              <w:rPr>
                <w:rFonts w:eastAsia="Times New Roman"/>
                <w:color w:val="000000"/>
                <w:sz w:val="20"/>
                <w:szCs w:val="20"/>
              </w:rPr>
              <w:t>Actual return on plan assets</w:t>
            </w:r>
          </w:p>
        </w:tc>
        <w:tc>
          <w:tcPr>
            <w:tcW w:w="0" w:type="auto"/>
            <w:gridSpan w:val="2"/>
            <w:tcMar>
              <w:top w:w="30" w:type="dxa"/>
              <w:left w:w="20" w:type="dxa"/>
              <w:bottom w:w="30" w:type="dxa"/>
              <w:right w:w="0" w:type="dxa"/>
            </w:tcMar>
            <w:vAlign w:val="bottom"/>
            <w:hideMark/>
          </w:tcPr>
          <w:p w14:paraId="5C50F143" w14:textId="77777777" w:rsidR="00000000" w:rsidRDefault="001A570A">
            <w:pPr>
              <w:jc w:val="right"/>
              <w:rPr>
                <w:rFonts w:eastAsia="Times New Roman"/>
              </w:rPr>
            </w:pPr>
            <w:r>
              <w:rPr>
                <w:rFonts w:eastAsia="Times New Roman"/>
                <w:color w:val="000000"/>
                <w:sz w:val="20"/>
                <w:szCs w:val="20"/>
              </w:rPr>
              <w:t>1,263 </w:t>
            </w:r>
          </w:p>
        </w:tc>
        <w:tc>
          <w:tcPr>
            <w:tcW w:w="0" w:type="auto"/>
            <w:tcMar>
              <w:top w:w="30" w:type="dxa"/>
              <w:left w:w="0" w:type="dxa"/>
              <w:bottom w:w="30" w:type="dxa"/>
              <w:right w:w="20" w:type="dxa"/>
            </w:tcMar>
            <w:vAlign w:val="bottom"/>
            <w:hideMark/>
          </w:tcPr>
          <w:p w14:paraId="284471D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0A23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C1902" w14:textId="77777777" w:rsidR="00000000" w:rsidRDefault="001A570A">
            <w:pPr>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268833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5C99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2DEC0" w14:textId="77777777" w:rsidR="00000000" w:rsidRDefault="001A570A">
            <w:pPr>
              <w:jc w:val="right"/>
              <w:rPr>
                <w:rFonts w:eastAsia="Times New Roman"/>
              </w:rPr>
            </w:pPr>
            <w:r>
              <w:rPr>
                <w:rFonts w:eastAsia="Times New Roman"/>
                <w:color w:val="000000"/>
                <w:sz w:val="20"/>
                <w:szCs w:val="20"/>
              </w:rPr>
              <w:t>1,303 </w:t>
            </w:r>
          </w:p>
        </w:tc>
        <w:tc>
          <w:tcPr>
            <w:tcW w:w="0" w:type="auto"/>
            <w:shd w:val="clear" w:color="auto" w:fill="FFFFFF"/>
            <w:tcMar>
              <w:top w:w="30" w:type="dxa"/>
              <w:left w:w="0" w:type="dxa"/>
              <w:bottom w:w="30" w:type="dxa"/>
              <w:right w:w="20" w:type="dxa"/>
            </w:tcMar>
            <w:vAlign w:val="bottom"/>
            <w:hideMark/>
          </w:tcPr>
          <w:p w14:paraId="7F18372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7BC7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6D69C" w14:textId="77777777" w:rsidR="00000000" w:rsidRDefault="001A570A">
            <w:pPr>
              <w:jc w:val="right"/>
              <w:rPr>
                <w:rFonts w:eastAsia="Times New Roman"/>
              </w:rPr>
            </w:pPr>
            <w:r>
              <w:rPr>
                <w:rFonts w:eastAsia="Times New Roman"/>
                <w:color w:val="000000"/>
                <w:sz w:val="20"/>
                <w:szCs w:val="20"/>
              </w:rPr>
              <w:t>548 </w:t>
            </w:r>
          </w:p>
        </w:tc>
        <w:tc>
          <w:tcPr>
            <w:tcW w:w="0" w:type="auto"/>
            <w:shd w:val="clear" w:color="auto" w:fill="FFFFFF"/>
            <w:tcMar>
              <w:top w:w="30" w:type="dxa"/>
              <w:left w:w="0" w:type="dxa"/>
              <w:bottom w:w="30" w:type="dxa"/>
              <w:right w:w="20" w:type="dxa"/>
            </w:tcMar>
            <w:vAlign w:val="bottom"/>
            <w:hideMark/>
          </w:tcPr>
          <w:p w14:paraId="3AF3F84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8EBA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C5250E" w14:textId="77777777" w:rsidR="00000000" w:rsidRDefault="001A570A">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052B7D8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C609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93516E" w14:textId="77777777" w:rsidR="00000000" w:rsidRDefault="001A570A">
            <w:pPr>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14:paraId="24A7E678" w14:textId="77777777" w:rsidR="00000000" w:rsidRDefault="001A570A">
            <w:pPr>
              <w:jc w:val="right"/>
              <w:rPr>
                <w:rFonts w:eastAsia="Times New Roman"/>
              </w:rPr>
            </w:pPr>
          </w:p>
        </w:tc>
        <w:tc>
          <w:tcPr>
            <w:tcW w:w="0" w:type="auto"/>
            <w:vAlign w:val="center"/>
            <w:hideMark/>
          </w:tcPr>
          <w:p w14:paraId="584146A9" w14:textId="77777777" w:rsidR="00000000" w:rsidRDefault="001A570A">
            <w:pPr>
              <w:jc w:val="right"/>
              <w:rPr>
                <w:rFonts w:eastAsia="Times New Roman"/>
                <w:sz w:val="20"/>
                <w:szCs w:val="20"/>
              </w:rPr>
            </w:pPr>
          </w:p>
        </w:tc>
        <w:tc>
          <w:tcPr>
            <w:tcW w:w="0" w:type="auto"/>
            <w:vAlign w:val="center"/>
            <w:hideMark/>
          </w:tcPr>
          <w:p w14:paraId="5B409CA8" w14:textId="77777777" w:rsidR="00000000" w:rsidRDefault="001A570A">
            <w:pPr>
              <w:rPr>
                <w:rFonts w:eastAsia="Times New Roman"/>
                <w:sz w:val="20"/>
                <w:szCs w:val="20"/>
              </w:rPr>
            </w:pPr>
          </w:p>
        </w:tc>
        <w:tc>
          <w:tcPr>
            <w:tcW w:w="0" w:type="auto"/>
            <w:gridSpan w:val="3"/>
            <w:vAlign w:val="center"/>
            <w:hideMark/>
          </w:tcPr>
          <w:p w14:paraId="58C6BC03" w14:textId="77777777" w:rsidR="00000000" w:rsidRDefault="001A570A">
            <w:pPr>
              <w:rPr>
                <w:rFonts w:eastAsia="Times New Roman"/>
                <w:sz w:val="20"/>
                <w:szCs w:val="20"/>
              </w:rPr>
            </w:pPr>
          </w:p>
        </w:tc>
        <w:tc>
          <w:tcPr>
            <w:tcW w:w="0" w:type="auto"/>
            <w:gridSpan w:val="3"/>
            <w:vAlign w:val="center"/>
            <w:hideMark/>
          </w:tcPr>
          <w:p w14:paraId="5B2796E8" w14:textId="77777777" w:rsidR="00000000" w:rsidRDefault="001A570A">
            <w:pPr>
              <w:rPr>
                <w:rFonts w:eastAsia="Times New Roman"/>
                <w:sz w:val="20"/>
                <w:szCs w:val="20"/>
              </w:rPr>
            </w:pPr>
          </w:p>
        </w:tc>
        <w:tc>
          <w:tcPr>
            <w:tcW w:w="0" w:type="auto"/>
            <w:gridSpan w:val="3"/>
            <w:vAlign w:val="center"/>
            <w:hideMark/>
          </w:tcPr>
          <w:p w14:paraId="18D517A1" w14:textId="77777777" w:rsidR="00000000" w:rsidRDefault="001A570A">
            <w:pPr>
              <w:rPr>
                <w:rFonts w:eastAsia="Times New Roman"/>
                <w:sz w:val="20"/>
                <w:szCs w:val="20"/>
              </w:rPr>
            </w:pPr>
          </w:p>
        </w:tc>
        <w:tc>
          <w:tcPr>
            <w:tcW w:w="0" w:type="auto"/>
            <w:gridSpan w:val="3"/>
            <w:vAlign w:val="center"/>
            <w:hideMark/>
          </w:tcPr>
          <w:p w14:paraId="41F82AB1" w14:textId="77777777" w:rsidR="00000000" w:rsidRDefault="001A570A">
            <w:pPr>
              <w:rPr>
                <w:rFonts w:eastAsia="Times New Roman"/>
                <w:sz w:val="20"/>
                <w:szCs w:val="20"/>
              </w:rPr>
            </w:pPr>
          </w:p>
        </w:tc>
      </w:tr>
      <w:tr w:rsidR="00000000" w14:paraId="3AA917C0" w14:textId="77777777">
        <w:trPr>
          <w:divId w:val="2016490759"/>
        </w:trPr>
        <w:tc>
          <w:tcPr>
            <w:tcW w:w="0" w:type="auto"/>
            <w:gridSpan w:val="3"/>
            <w:shd w:val="clear" w:color="auto" w:fill="CCEEFF"/>
            <w:tcMar>
              <w:top w:w="30" w:type="dxa"/>
              <w:left w:w="35" w:type="dxa"/>
              <w:bottom w:w="30" w:type="dxa"/>
              <w:right w:w="20" w:type="dxa"/>
            </w:tcMar>
            <w:hideMark/>
          </w:tcPr>
          <w:p w14:paraId="2BF9340B" w14:textId="77777777" w:rsidR="00000000" w:rsidRDefault="001A570A">
            <w:pPr>
              <w:rPr>
                <w:rFonts w:eastAsia="Times New Roman"/>
              </w:rPr>
            </w:pPr>
            <w:r>
              <w:rPr>
                <w:rFonts w:eastAsia="Times New Roman"/>
                <w:color w:val="000000"/>
                <w:sz w:val="20"/>
                <w:szCs w:val="20"/>
              </w:rPr>
              <w:t>Employer contributions</w:t>
            </w:r>
          </w:p>
        </w:tc>
        <w:tc>
          <w:tcPr>
            <w:tcW w:w="0" w:type="auto"/>
            <w:gridSpan w:val="2"/>
            <w:shd w:val="clear" w:color="auto" w:fill="CCEEFF"/>
            <w:tcMar>
              <w:top w:w="30" w:type="dxa"/>
              <w:left w:w="20" w:type="dxa"/>
              <w:bottom w:w="30" w:type="dxa"/>
              <w:right w:w="0" w:type="dxa"/>
            </w:tcMar>
            <w:vAlign w:val="bottom"/>
            <w:hideMark/>
          </w:tcPr>
          <w:p w14:paraId="124E42DF" w14:textId="77777777" w:rsidR="00000000" w:rsidRDefault="001A570A">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5F68135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9EE0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C8591"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2DCCC00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08B4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1C6430"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393C31C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F26F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6BE73" w14:textId="77777777" w:rsidR="00000000" w:rsidRDefault="001A570A">
            <w:pPr>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14:paraId="2A15311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A48F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D988C"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03F21F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DDF9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7906D" w14:textId="77777777" w:rsidR="00000000" w:rsidRDefault="001A570A">
            <w:pPr>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14:paraId="2BAC8715" w14:textId="77777777" w:rsidR="00000000" w:rsidRDefault="001A570A">
            <w:pPr>
              <w:jc w:val="right"/>
              <w:rPr>
                <w:rFonts w:eastAsia="Times New Roman"/>
              </w:rPr>
            </w:pPr>
          </w:p>
        </w:tc>
        <w:tc>
          <w:tcPr>
            <w:tcW w:w="0" w:type="auto"/>
            <w:vAlign w:val="center"/>
            <w:hideMark/>
          </w:tcPr>
          <w:p w14:paraId="14C6F02C" w14:textId="77777777" w:rsidR="00000000" w:rsidRDefault="001A570A">
            <w:pPr>
              <w:jc w:val="right"/>
              <w:rPr>
                <w:rFonts w:eastAsia="Times New Roman"/>
                <w:sz w:val="20"/>
                <w:szCs w:val="20"/>
              </w:rPr>
            </w:pPr>
          </w:p>
        </w:tc>
        <w:tc>
          <w:tcPr>
            <w:tcW w:w="0" w:type="auto"/>
            <w:vAlign w:val="center"/>
            <w:hideMark/>
          </w:tcPr>
          <w:p w14:paraId="2EF87CA9" w14:textId="77777777" w:rsidR="00000000" w:rsidRDefault="001A570A">
            <w:pPr>
              <w:rPr>
                <w:rFonts w:eastAsia="Times New Roman"/>
                <w:sz w:val="20"/>
                <w:szCs w:val="20"/>
              </w:rPr>
            </w:pPr>
          </w:p>
        </w:tc>
        <w:tc>
          <w:tcPr>
            <w:tcW w:w="0" w:type="auto"/>
            <w:gridSpan w:val="3"/>
            <w:vAlign w:val="center"/>
            <w:hideMark/>
          </w:tcPr>
          <w:p w14:paraId="0DD32D79" w14:textId="77777777" w:rsidR="00000000" w:rsidRDefault="001A570A">
            <w:pPr>
              <w:rPr>
                <w:rFonts w:eastAsia="Times New Roman"/>
                <w:sz w:val="20"/>
                <w:szCs w:val="20"/>
              </w:rPr>
            </w:pPr>
          </w:p>
        </w:tc>
        <w:tc>
          <w:tcPr>
            <w:tcW w:w="0" w:type="auto"/>
            <w:gridSpan w:val="3"/>
            <w:vAlign w:val="center"/>
            <w:hideMark/>
          </w:tcPr>
          <w:p w14:paraId="798438C5" w14:textId="77777777" w:rsidR="00000000" w:rsidRDefault="001A570A">
            <w:pPr>
              <w:rPr>
                <w:rFonts w:eastAsia="Times New Roman"/>
                <w:sz w:val="20"/>
                <w:szCs w:val="20"/>
              </w:rPr>
            </w:pPr>
          </w:p>
        </w:tc>
        <w:tc>
          <w:tcPr>
            <w:tcW w:w="0" w:type="auto"/>
            <w:gridSpan w:val="3"/>
            <w:vAlign w:val="center"/>
            <w:hideMark/>
          </w:tcPr>
          <w:p w14:paraId="6082D826" w14:textId="77777777" w:rsidR="00000000" w:rsidRDefault="001A570A">
            <w:pPr>
              <w:rPr>
                <w:rFonts w:eastAsia="Times New Roman"/>
                <w:sz w:val="20"/>
                <w:szCs w:val="20"/>
              </w:rPr>
            </w:pPr>
          </w:p>
        </w:tc>
        <w:tc>
          <w:tcPr>
            <w:tcW w:w="0" w:type="auto"/>
            <w:gridSpan w:val="3"/>
            <w:vAlign w:val="center"/>
            <w:hideMark/>
          </w:tcPr>
          <w:p w14:paraId="16AB09F1" w14:textId="77777777" w:rsidR="00000000" w:rsidRDefault="001A570A">
            <w:pPr>
              <w:rPr>
                <w:rFonts w:eastAsia="Times New Roman"/>
                <w:sz w:val="20"/>
                <w:szCs w:val="20"/>
              </w:rPr>
            </w:pPr>
          </w:p>
        </w:tc>
      </w:tr>
      <w:tr w:rsidR="00000000" w14:paraId="616D97A3" w14:textId="77777777">
        <w:trPr>
          <w:divId w:val="2016490759"/>
        </w:trPr>
        <w:tc>
          <w:tcPr>
            <w:tcW w:w="0" w:type="auto"/>
            <w:gridSpan w:val="3"/>
            <w:shd w:val="clear" w:color="auto" w:fill="FFFFFF"/>
            <w:tcMar>
              <w:top w:w="30" w:type="dxa"/>
              <w:left w:w="35" w:type="dxa"/>
              <w:bottom w:w="30" w:type="dxa"/>
              <w:right w:w="20" w:type="dxa"/>
            </w:tcMar>
            <w:hideMark/>
          </w:tcPr>
          <w:p w14:paraId="0400F93F" w14:textId="77777777" w:rsidR="00000000" w:rsidRDefault="001A570A">
            <w:pPr>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14:paraId="346686DB" w14:textId="77777777" w:rsidR="00000000" w:rsidRDefault="001A570A">
            <w:pPr>
              <w:jc w:val="right"/>
              <w:rPr>
                <w:rFonts w:eastAsia="Times New Roman"/>
              </w:rPr>
            </w:pPr>
            <w:r>
              <w:rPr>
                <w:rFonts w:eastAsia="Times New Roman"/>
                <w:color w:val="000000"/>
                <w:sz w:val="20"/>
                <w:szCs w:val="20"/>
              </w:rPr>
              <w:t>(569)</w:t>
            </w:r>
          </w:p>
        </w:tc>
        <w:tc>
          <w:tcPr>
            <w:tcW w:w="0" w:type="auto"/>
            <w:shd w:val="clear" w:color="auto" w:fill="FFFFFF"/>
            <w:tcMar>
              <w:top w:w="30" w:type="dxa"/>
              <w:left w:w="0" w:type="dxa"/>
              <w:bottom w:w="30" w:type="dxa"/>
              <w:right w:w="20" w:type="dxa"/>
            </w:tcMar>
            <w:vAlign w:val="bottom"/>
            <w:hideMark/>
          </w:tcPr>
          <w:p w14:paraId="5C5056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F74E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48056" w14:textId="77777777" w:rsidR="00000000" w:rsidRDefault="001A570A">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14:paraId="5CBC227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3AE3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F2C2E" w14:textId="77777777" w:rsidR="00000000" w:rsidRDefault="001A570A">
            <w:pPr>
              <w:jc w:val="right"/>
              <w:rPr>
                <w:rFonts w:eastAsia="Times New Roman"/>
              </w:rPr>
            </w:pPr>
            <w:r>
              <w:rPr>
                <w:rFonts w:eastAsia="Times New Roman"/>
                <w:color w:val="000000"/>
                <w:sz w:val="20"/>
                <w:szCs w:val="20"/>
              </w:rPr>
              <w:t>(595)</w:t>
            </w:r>
          </w:p>
        </w:tc>
        <w:tc>
          <w:tcPr>
            <w:tcW w:w="0" w:type="auto"/>
            <w:shd w:val="clear" w:color="auto" w:fill="FFFFFF"/>
            <w:tcMar>
              <w:top w:w="30" w:type="dxa"/>
              <w:left w:w="0" w:type="dxa"/>
              <w:bottom w:w="30" w:type="dxa"/>
              <w:right w:w="20" w:type="dxa"/>
            </w:tcMar>
            <w:vAlign w:val="bottom"/>
            <w:hideMark/>
          </w:tcPr>
          <w:p w14:paraId="770E9D0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AF7D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F325A8" w14:textId="77777777" w:rsidR="00000000" w:rsidRDefault="001A570A">
            <w:pPr>
              <w:jc w:val="right"/>
              <w:rPr>
                <w:rFonts w:eastAsia="Times New Roman"/>
              </w:rPr>
            </w:pPr>
            <w:r>
              <w:rPr>
                <w:rFonts w:eastAsia="Times New Roman"/>
                <w:color w:val="000000"/>
                <w:sz w:val="20"/>
                <w:szCs w:val="20"/>
              </w:rPr>
              <w:t>(342)</w:t>
            </w:r>
          </w:p>
        </w:tc>
        <w:tc>
          <w:tcPr>
            <w:tcW w:w="0" w:type="auto"/>
            <w:shd w:val="clear" w:color="auto" w:fill="FFFFFF"/>
            <w:tcMar>
              <w:top w:w="30" w:type="dxa"/>
              <w:left w:w="0" w:type="dxa"/>
              <w:bottom w:w="30" w:type="dxa"/>
              <w:right w:w="20" w:type="dxa"/>
            </w:tcMar>
            <w:vAlign w:val="bottom"/>
            <w:hideMark/>
          </w:tcPr>
          <w:p w14:paraId="75F8987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DDF6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713C7B" w14:textId="77777777" w:rsidR="00000000" w:rsidRDefault="001A570A">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1D29F30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D442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0CB2F6" w14:textId="77777777" w:rsidR="00000000" w:rsidRDefault="001A570A">
            <w:pPr>
              <w:jc w:val="right"/>
              <w:rPr>
                <w:rFonts w:eastAsia="Times New Roman"/>
              </w:rPr>
            </w:pPr>
            <w:r>
              <w:rPr>
                <w:rFonts w:eastAsia="Times New Roman"/>
                <w:color w:val="000000"/>
                <w:sz w:val="20"/>
                <w:szCs w:val="20"/>
              </w:rPr>
              <w:t>(363)</w:t>
            </w:r>
          </w:p>
        </w:tc>
        <w:tc>
          <w:tcPr>
            <w:tcW w:w="0" w:type="auto"/>
            <w:shd w:val="clear" w:color="auto" w:fill="FFFFFF"/>
            <w:tcMar>
              <w:top w:w="30" w:type="dxa"/>
              <w:left w:w="0" w:type="dxa"/>
              <w:bottom w:w="30" w:type="dxa"/>
              <w:right w:w="20" w:type="dxa"/>
            </w:tcMar>
            <w:vAlign w:val="bottom"/>
            <w:hideMark/>
          </w:tcPr>
          <w:p w14:paraId="383A47BB" w14:textId="77777777" w:rsidR="00000000" w:rsidRDefault="001A570A">
            <w:pPr>
              <w:jc w:val="right"/>
              <w:rPr>
                <w:rFonts w:eastAsia="Times New Roman"/>
              </w:rPr>
            </w:pPr>
          </w:p>
        </w:tc>
        <w:tc>
          <w:tcPr>
            <w:tcW w:w="0" w:type="auto"/>
            <w:vAlign w:val="center"/>
            <w:hideMark/>
          </w:tcPr>
          <w:p w14:paraId="2EDEABE6" w14:textId="77777777" w:rsidR="00000000" w:rsidRDefault="001A570A">
            <w:pPr>
              <w:jc w:val="right"/>
              <w:rPr>
                <w:rFonts w:eastAsia="Times New Roman"/>
                <w:sz w:val="20"/>
                <w:szCs w:val="20"/>
              </w:rPr>
            </w:pPr>
          </w:p>
        </w:tc>
        <w:tc>
          <w:tcPr>
            <w:tcW w:w="0" w:type="auto"/>
            <w:vAlign w:val="center"/>
            <w:hideMark/>
          </w:tcPr>
          <w:p w14:paraId="2F755DAA" w14:textId="77777777" w:rsidR="00000000" w:rsidRDefault="001A570A">
            <w:pPr>
              <w:rPr>
                <w:rFonts w:eastAsia="Times New Roman"/>
                <w:sz w:val="20"/>
                <w:szCs w:val="20"/>
              </w:rPr>
            </w:pPr>
          </w:p>
        </w:tc>
        <w:tc>
          <w:tcPr>
            <w:tcW w:w="0" w:type="auto"/>
            <w:gridSpan w:val="3"/>
            <w:vAlign w:val="center"/>
            <w:hideMark/>
          </w:tcPr>
          <w:p w14:paraId="449704B2" w14:textId="77777777" w:rsidR="00000000" w:rsidRDefault="001A570A">
            <w:pPr>
              <w:rPr>
                <w:rFonts w:eastAsia="Times New Roman"/>
                <w:sz w:val="20"/>
                <w:szCs w:val="20"/>
              </w:rPr>
            </w:pPr>
          </w:p>
        </w:tc>
        <w:tc>
          <w:tcPr>
            <w:tcW w:w="0" w:type="auto"/>
            <w:gridSpan w:val="3"/>
            <w:vAlign w:val="center"/>
            <w:hideMark/>
          </w:tcPr>
          <w:p w14:paraId="709BF482" w14:textId="77777777" w:rsidR="00000000" w:rsidRDefault="001A570A">
            <w:pPr>
              <w:rPr>
                <w:rFonts w:eastAsia="Times New Roman"/>
                <w:sz w:val="20"/>
                <w:szCs w:val="20"/>
              </w:rPr>
            </w:pPr>
          </w:p>
        </w:tc>
        <w:tc>
          <w:tcPr>
            <w:tcW w:w="0" w:type="auto"/>
            <w:gridSpan w:val="3"/>
            <w:vAlign w:val="center"/>
            <w:hideMark/>
          </w:tcPr>
          <w:p w14:paraId="2A0002E2" w14:textId="77777777" w:rsidR="00000000" w:rsidRDefault="001A570A">
            <w:pPr>
              <w:rPr>
                <w:rFonts w:eastAsia="Times New Roman"/>
                <w:sz w:val="20"/>
                <w:szCs w:val="20"/>
              </w:rPr>
            </w:pPr>
          </w:p>
        </w:tc>
        <w:tc>
          <w:tcPr>
            <w:tcW w:w="0" w:type="auto"/>
            <w:gridSpan w:val="3"/>
            <w:vAlign w:val="center"/>
            <w:hideMark/>
          </w:tcPr>
          <w:p w14:paraId="5D7B620E" w14:textId="77777777" w:rsidR="00000000" w:rsidRDefault="001A570A">
            <w:pPr>
              <w:rPr>
                <w:rFonts w:eastAsia="Times New Roman"/>
                <w:sz w:val="20"/>
                <w:szCs w:val="20"/>
              </w:rPr>
            </w:pPr>
          </w:p>
        </w:tc>
      </w:tr>
      <w:tr w:rsidR="00000000" w14:paraId="427F79FE" w14:textId="77777777">
        <w:trPr>
          <w:divId w:val="2016490759"/>
        </w:trPr>
        <w:tc>
          <w:tcPr>
            <w:tcW w:w="0" w:type="auto"/>
            <w:gridSpan w:val="3"/>
            <w:shd w:val="clear" w:color="auto" w:fill="CCEEFF"/>
            <w:tcMar>
              <w:top w:w="30" w:type="dxa"/>
              <w:left w:w="35" w:type="dxa"/>
              <w:bottom w:w="30" w:type="dxa"/>
              <w:right w:w="20" w:type="dxa"/>
            </w:tcMar>
            <w:hideMark/>
          </w:tcPr>
          <w:p w14:paraId="445F3F47" w14:textId="77777777" w:rsidR="00000000" w:rsidRDefault="001A570A">
            <w:pPr>
              <w:rPr>
                <w:rFonts w:eastAsia="Times New Roman"/>
              </w:rPr>
            </w:pPr>
            <w:r>
              <w:rPr>
                <w:rFonts w:eastAsia="Times New Roman"/>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14:paraId="150B525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61F1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004F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7AD82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C471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84BA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BA5AF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40C3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A4CC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18528"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3E4E0E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C60F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40BE2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CC5AA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F7DA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438114"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42BB8BD8" w14:textId="77777777" w:rsidR="00000000" w:rsidRDefault="001A570A">
            <w:pPr>
              <w:jc w:val="right"/>
              <w:rPr>
                <w:rFonts w:eastAsia="Times New Roman"/>
              </w:rPr>
            </w:pPr>
          </w:p>
        </w:tc>
        <w:tc>
          <w:tcPr>
            <w:tcW w:w="0" w:type="auto"/>
            <w:vAlign w:val="center"/>
            <w:hideMark/>
          </w:tcPr>
          <w:p w14:paraId="2FF0C46C" w14:textId="77777777" w:rsidR="00000000" w:rsidRDefault="001A570A">
            <w:pPr>
              <w:jc w:val="right"/>
              <w:rPr>
                <w:rFonts w:eastAsia="Times New Roman"/>
                <w:sz w:val="20"/>
                <w:szCs w:val="20"/>
              </w:rPr>
            </w:pPr>
          </w:p>
        </w:tc>
        <w:tc>
          <w:tcPr>
            <w:tcW w:w="0" w:type="auto"/>
            <w:vAlign w:val="center"/>
            <w:hideMark/>
          </w:tcPr>
          <w:p w14:paraId="42AC2CBD" w14:textId="77777777" w:rsidR="00000000" w:rsidRDefault="001A570A">
            <w:pPr>
              <w:rPr>
                <w:rFonts w:eastAsia="Times New Roman"/>
                <w:sz w:val="20"/>
                <w:szCs w:val="20"/>
              </w:rPr>
            </w:pPr>
          </w:p>
        </w:tc>
        <w:tc>
          <w:tcPr>
            <w:tcW w:w="0" w:type="auto"/>
            <w:gridSpan w:val="3"/>
            <w:vAlign w:val="center"/>
            <w:hideMark/>
          </w:tcPr>
          <w:p w14:paraId="623D2FC4" w14:textId="77777777" w:rsidR="00000000" w:rsidRDefault="001A570A">
            <w:pPr>
              <w:rPr>
                <w:rFonts w:eastAsia="Times New Roman"/>
                <w:sz w:val="20"/>
                <w:szCs w:val="20"/>
              </w:rPr>
            </w:pPr>
          </w:p>
        </w:tc>
        <w:tc>
          <w:tcPr>
            <w:tcW w:w="0" w:type="auto"/>
            <w:gridSpan w:val="3"/>
            <w:vAlign w:val="center"/>
            <w:hideMark/>
          </w:tcPr>
          <w:p w14:paraId="605E5BA0" w14:textId="77777777" w:rsidR="00000000" w:rsidRDefault="001A570A">
            <w:pPr>
              <w:rPr>
                <w:rFonts w:eastAsia="Times New Roman"/>
                <w:sz w:val="20"/>
                <w:szCs w:val="20"/>
              </w:rPr>
            </w:pPr>
          </w:p>
        </w:tc>
        <w:tc>
          <w:tcPr>
            <w:tcW w:w="0" w:type="auto"/>
            <w:gridSpan w:val="3"/>
            <w:vAlign w:val="center"/>
            <w:hideMark/>
          </w:tcPr>
          <w:p w14:paraId="1EEDF8C5" w14:textId="77777777" w:rsidR="00000000" w:rsidRDefault="001A570A">
            <w:pPr>
              <w:rPr>
                <w:rFonts w:eastAsia="Times New Roman"/>
                <w:sz w:val="20"/>
                <w:szCs w:val="20"/>
              </w:rPr>
            </w:pPr>
          </w:p>
        </w:tc>
        <w:tc>
          <w:tcPr>
            <w:tcW w:w="0" w:type="auto"/>
            <w:gridSpan w:val="3"/>
            <w:vAlign w:val="center"/>
            <w:hideMark/>
          </w:tcPr>
          <w:p w14:paraId="2A6D69C5" w14:textId="77777777" w:rsidR="00000000" w:rsidRDefault="001A570A">
            <w:pPr>
              <w:rPr>
                <w:rFonts w:eastAsia="Times New Roman"/>
                <w:sz w:val="20"/>
                <w:szCs w:val="20"/>
              </w:rPr>
            </w:pPr>
          </w:p>
        </w:tc>
      </w:tr>
      <w:tr w:rsidR="00000000" w14:paraId="1BB7B19A" w14:textId="77777777">
        <w:trPr>
          <w:divId w:val="2016490759"/>
        </w:trPr>
        <w:tc>
          <w:tcPr>
            <w:tcW w:w="0" w:type="auto"/>
            <w:gridSpan w:val="3"/>
            <w:shd w:val="clear" w:color="auto" w:fill="FFFFFF"/>
            <w:tcMar>
              <w:top w:w="30" w:type="dxa"/>
              <w:left w:w="35" w:type="dxa"/>
              <w:bottom w:w="30" w:type="dxa"/>
              <w:right w:w="20" w:type="dxa"/>
            </w:tcMar>
            <w:hideMark/>
          </w:tcPr>
          <w:p w14:paraId="2F77CD6E" w14:textId="77777777" w:rsidR="00000000" w:rsidRDefault="001A570A">
            <w:pPr>
              <w:rPr>
                <w:rFonts w:eastAsia="Times New Roman"/>
              </w:rPr>
            </w:pPr>
            <w:r>
              <w:rPr>
                <w:rFonts w:eastAsia="Times New Roman"/>
                <w:color w:val="000000"/>
                <w:sz w:val="20"/>
                <w:szCs w:val="20"/>
              </w:rPr>
              <w:t>Expenses paid</w:t>
            </w:r>
          </w:p>
        </w:tc>
        <w:tc>
          <w:tcPr>
            <w:tcW w:w="0" w:type="auto"/>
            <w:gridSpan w:val="2"/>
            <w:tcMar>
              <w:top w:w="30" w:type="dxa"/>
              <w:left w:w="20" w:type="dxa"/>
              <w:bottom w:w="30" w:type="dxa"/>
              <w:right w:w="0" w:type="dxa"/>
            </w:tcMar>
            <w:vAlign w:val="bottom"/>
            <w:hideMark/>
          </w:tcPr>
          <w:p w14:paraId="2210CBBB" w14:textId="77777777" w:rsidR="00000000" w:rsidRDefault="001A570A">
            <w:pPr>
              <w:jc w:val="right"/>
              <w:rPr>
                <w:rFonts w:eastAsia="Times New Roman"/>
              </w:rPr>
            </w:pPr>
            <w:r>
              <w:rPr>
                <w:rFonts w:eastAsia="Times New Roman"/>
                <w:color w:val="000000"/>
                <w:sz w:val="20"/>
                <w:szCs w:val="20"/>
              </w:rPr>
              <w:t>(42)</w:t>
            </w:r>
          </w:p>
        </w:tc>
        <w:tc>
          <w:tcPr>
            <w:tcW w:w="0" w:type="auto"/>
            <w:tcMar>
              <w:top w:w="30" w:type="dxa"/>
              <w:left w:w="0" w:type="dxa"/>
              <w:bottom w:w="30" w:type="dxa"/>
              <w:right w:w="20" w:type="dxa"/>
            </w:tcMar>
            <w:vAlign w:val="bottom"/>
            <w:hideMark/>
          </w:tcPr>
          <w:p w14:paraId="7964857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04F5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CF954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9F20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F3DA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AC03EF" w14:textId="77777777" w:rsidR="00000000" w:rsidRDefault="001A570A">
            <w:pPr>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14:paraId="0B1FB5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DFDA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84748" w14:textId="77777777" w:rsidR="00000000" w:rsidRDefault="001A570A">
            <w:pPr>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14:paraId="575372A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2D7F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043AB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4DF88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3BEF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1C980" w14:textId="77777777" w:rsidR="00000000" w:rsidRDefault="001A570A">
            <w:pPr>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14:paraId="6A9BD6B7" w14:textId="77777777" w:rsidR="00000000" w:rsidRDefault="001A570A">
            <w:pPr>
              <w:jc w:val="right"/>
              <w:rPr>
                <w:rFonts w:eastAsia="Times New Roman"/>
              </w:rPr>
            </w:pPr>
          </w:p>
        </w:tc>
        <w:tc>
          <w:tcPr>
            <w:tcW w:w="0" w:type="auto"/>
            <w:vAlign w:val="center"/>
            <w:hideMark/>
          </w:tcPr>
          <w:p w14:paraId="7789128E" w14:textId="77777777" w:rsidR="00000000" w:rsidRDefault="001A570A">
            <w:pPr>
              <w:jc w:val="right"/>
              <w:rPr>
                <w:rFonts w:eastAsia="Times New Roman"/>
                <w:sz w:val="20"/>
                <w:szCs w:val="20"/>
              </w:rPr>
            </w:pPr>
          </w:p>
        </w:tc>
        <w:tc>
          <w:tcPr>
            <w:tcW w:w="0" w:type="auto"/>
            <w:vAlign w:val="center"/>
            <w:hideMark/>
          </w:tcPr>
          <w:p w14:paraId="6099B6E3" w14:textId="77777777" w:rsidR="00000000" w:rsidRDefault="001A570A">
            <w:pPr>
              <w:rPr>
                <w:rFonts w:eastAsia="Times New Roman"/>
                <w:sz w:val="20"/>
                <w:szCs w:val="20"/>
              </w:rPr>
            </w:pPr>
          </w:p>
        </w:tc>
        <w:tc>
          <w:tcPr>
            <w:tcW w:w="0" w:type="auto"/>
            <w:gridSpan w:val="3"/>
            <w:vAlign w:val="center"/>
            <w:hideMark/>
          </w:tcPr>
          <w:p w14:paraId="040A127D" w14:textId="77777777" w:rsidR="00000000" w:rsidRDefault="001A570A">
            <w:pPr>
              <w:rPr>
                <w:rFonts w:eastAsia="Times New Roman"/>
                <w:sz w:val="20"/>
                <w:szCs w:val="20"/>
              </w:rPr>
            </w:pPr>
          </w:p>
        </w:tc>
        <w:tc>
          <w:tcPr>
            <w:tcW w:w="0" w:type="auto"/>
            <w:gridSpan w:val="3"/>
            <w:vAlign w:val="center"/>
            <w:hideMark/>
          </w:tcPr>
          <w:p w14:paraId="1173E7BB" w14:textId="77777777" w:rsidR="00000000" w:rsidRDefault="001A570A">
            <w:pPr>
              <w:rPr>
                <w:rFonts w:eastAsia="Times New Roman"/>
                <w:sz w:val="20"/>
                <w:szCs w:val="20"/>
              </w:rPr>
            </w:pPr>
          </w:p>
        </w:tc>
        <w:tc>
          <w:tcPr>
            <w:tcW w:w="0" w:type="auto"/>
            <w:gridSpan w:val="3"/>
            <w:vAlign w:val="center"/>
            <w:hideMark/>
          </w:tcPr>
          <w:p w14:paraId="268DABC1" w14:textId="77777777" w:rsidR="00000000" w:rsidRDefault="001A570A">
            <w:pPr>
              <w:rPr>
                <w:rFonts w:eastAsia="Times New Roman"/>
                <w:sz w:val="20"/>
                <w:szCs w:val="20"/>
              </w:rPr>
            </w:pPr>
          </w:p>
        </w:tc>
        <w:tc>
          <w:tcPr>
            <w:tcW w:w="0" w:type="auto"/>
            <w:gridSpan w:val="3"/>
            <w:vAlign w:val="center"/>
            <w:hideMark/>
          </w:tcPr>
          <w:p w14:paraId="2402D525" w14:textId="77777777" w:rsidR="00000000" w:rsidRDefault="001A570A">
            <w:pPr>
              <w:rPr>
                <w:rFonts w:eastAsia="Times New Roman"/>
                <w:sz w:val="20"/>
                <w:szCs w:val="20"/>
              </w:rPr>
            </w:pPr>
          </w:p>
        </w:tc>
      </w:tr>
      <w:tr w:rsidR="00000000" w14:paraId="5FAF2935" w14:textId="77777777">
        <w:trPr>
          <w:divId w:val="2016490759"/>
        </w:trPr>
        <w:tc>
          <w:tcPr>
            <w:tcW w:w="0" w:type="auto"/>
            <w:gridSpan w:val="3"/>
            <w:shd w:val="clear" w:color="auto" w:fill="CCEEFF"/>
            <w:tcMar>
              <w:top w:w="30" w:type="dxa"/>
              <w:left w:w="35" w:type="dxa"/>
              <w:bottom w:w="30" w:type="dxa"/>
              <w:right w:w="20" w:type="dxa"/>
            </w:tcMar>
            <w:hideMark/>
          </w:tcPr>
          <w:p w14:paraId="71252D85" w14:textId="77777777" w:rsidR="00000000" w:rsidRDefault="001A570A">
            <w:pPr>
              <w:rPr>
                <w:rFonts w:eastAsia="Times New Roman"/>
              </w:rPr>
            </w:pPr>
            <w:r>
              <w:rPr>
                <w:rFonts w:eastAsia="Times New Roman"/>
                <w:color w:val="000000"/>
                <w:sz w:val="20"/>
                <w:szCs w:val="20"/>
              </w:rPr>
              <w:t>Foreign currency exchange rate changes</w:t>
            </w:r>
          </w:p>
        </w:tc>
        <w:tc>
          <w:tcPr>
            <w:tcW w:w="0" w:type="auto"/>
            <w:gridSpan w:val="2"/>
            <w:shd w:val="clear" w:color="auto" w:fill="CCEEFF"/>
            <w:tcMar>
              <w:top w:w="30" w:type="dxa"/>
              <w:left w:w="20" w:type="dxa"/>
              <w:bottom w:w="30" w:type="dxa"/>
              <w:right w:w="0" w:type="dxa"/>
            </w:tcMar>
            <w:vAlign w:val="bottom"/>
            <w:hideMark/>
          </w:tcPr>
          <w:p w14:paraId="3A503995"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32BDE3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ED58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1AD5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350AD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E11E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31BA6A"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69C932C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DAD9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E98DFD"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DF900B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D7C9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C0ABD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8CC61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87E0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6CCCC"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418B7F2F" w14:textId="77777777" w:rsidR="00000000" w:rsidRDefault="001A570A">
            <w:pPr>
              <w:jc w:val="right"/>
              <w:rPr>
                <w:rFonts w:eastAsia="Times New Roman"/>
              </w:rPr>
            </w:pPr>
          </w:p>
        </w:tc>
        <w:tc>
          <w:tcPr>
            <w:tcW w:w="0" w:type="auto"/>
            <w:vAlign w:val="center"/>
            <w:hideMark/>
          </w:tcPr>
          <w:p w14:paraId="1F9AF615" w14:textId="77777777" w:rsidR="00000000" w:rsidRDefault="001A570A">
            <w:pPr>
              <w:jc w:val="right"/>
              <w:rPr>
                <w:rFonts w:eastAsia="Times New Roman"/>
                <w:sz w:val="20"/>
                <w:szCs w:val="20"/>
              </w:rPr>
            </w:pPr>
          </w:p>
        </w:tc>
        <w:tc>
          <w:tcPr>
            <w:tcW w:w="0" w:type="auto"/>
            <w:vAlign w:val="center"/>
            <w:hideMark/>
          </w:tcPr>
          <w:p w14:paraId="16DF4C76" w14:textId="77777777" w:rsidR="00000000" w:rsidRDefault="001A570A">
            <w:pPr>
              <w:rPr>
                <w:rFonts w:eastAsia="Times New Roman"/>
                <w:sz w:val="20"/>
                <w:szCs w:val="20"/>
              </w:rPr>
            </w:pPr>
          </w:p>
        </w:tc>
        <w:tc>
          <w:tcPr>
            <w:tcW w:w="0" w:type="auto"/>
            <w:gridSpan w:val="3"/>
            <w:vAlign w:val="center"/>
            <w:hideMark/>
          </w:tcPr>
          <w:p w14:paraId="0F8513A0" w14:textId="77777777" w:rsidR="00000000" w:rsidRDefault="001A570A">
            <w:pPr>
              <w:rPr>
                <w:rFonts w:eastAsia="Times New Roman"/>
                <w:sz w:val="20"/>
                <w:szCs w:val="20"/>
              </w:rPr>
            </w:pPr>
          </w:p>
        </w:tc>
        <w:tc>
          <w:tcPr>
            <w:tcW w:w="0" w:type="auto"/>
            <w:gridSpan w:val="3"/>
            <w:vAlign w:val="center"/>
            <w:hideMark/>
          </w:tcPr>
          <w:p w14:paraId="7F4EA2E9" w14:textId="77777777" w:rsidR="00000000" w:rsidRDefault="001A570A">
            <w:pPr>
              <w:rPr>
                <w:rFonts w:eastAsia="Times New Roman"/>
                <w:sz w:val="20"/>
                <w:szCs w:val="20"/>
              </w:rPr>
            </w:pPr>
          </w:p>
        </w:tc>
        <w:tc>
          <w:tcPr>
            <w:tcW w:w="0" w:type="auto"/>
            <w:gridSpan w:val="3"/>
            <w:vAlign w:val="center"/>
            <w:hideMark/>
          </w:tcPr>
          <w:p w14:paraId="06CCB0EB" w14:textId="77777777" w:rsidR="00000000" w:rsidRDefault="001A570A">
            <w:pPr>
              <w:rPr>
                <w:rFonts w:eastAsia="Times New Roman"/>
                <w:sz w:val="20"/>
                <w:szCs w:val="20"/>
              </w:rPr>
            </w:pPr>
          </w:p>
        </w:tc>
        <w:tc>
          <w:tcPr>
            <w:tcW w:w="0" w:type="auto"/>
            <w:gridSpan w:val="3"/>
            <w:vAlign w:val="center"/>
            <w:hideMark/>
          </w:tcPr>
          <w:p w14:paraId="75ABECFA" w14:textId="77777777" w:rsidR="00000000" w:rsidRDefault="001A570A">
            <w:pPr>
              <w:rPr>
                <w:rFonts w:eastAsia="Times New Roman"/>
                <w:sz w:val="20"/>
                <w:szCs w:val="20"/>
              </w:rPr>
            </w:pPr>
          </w:p>
        </w:tc>
      </w:tr>
      <w:tr w:rsidR="00000000" w14:paraId="198711D2" w14:textId="77777777">
        <w:trPr>
          <w:divId w:val="2016490759"/>
        </w:trPr>
        <w:tc>
          <w:tcPr>
            <w:tcW w:w="0" w:type="auto"/>
            <w:gridSpan w:val="3"/>
            <w:shd w:val="clear" w:color="auto" w:fill="FFFFFF"/>
            <w:tcMar>
              <w:top w:w="30" w:type="dxa"/>
              <w:left w:w="35" w:type="dxa"/>
              <w:bottom w:w="30" w:type="dxa"/>
              <w:right w:w="20" w:type="dxa"/>
            </w:tcMar>
            <w:hideMark/>
          </w:tcPr>
          <w:p w14:paraId="5DCCAFCB" w14:textId="77777777" w:rsidR="00000000" w:rsidRDefault="001A570A">
            <w:pPr>
              <w:rPr>
                <w:rFonts w:eastAsia="Times New Roman"/>
              </w:rPr>
            </w:pPr>
            <w:r>
              <w:rPr>
                <w:rFonts w:eastAsia="Times New Roman"/>
                <w:color w:val="000000"/>
                <w:sz w:val="20"/>
                <w:szCs w:val="20"/>
              </w:rPr>
              <w:t>Plan participants' contributions</w:t>
            </w:r>
          </w:p>
        </w:tc>
        <w:tc>
          <w:tcPr>
            <w:tcW w:w="0" w:type="auto"/>
            <w:gridSpan w:val="2"/>
            <w:shd w:val="clear" w:color="auto" w:fill="FFFFFF"/>
            <w:tcMar>
              <w:top w:w="30" w:type="dxa"/>
              <w:left w:w="20" w:type="dxa"/>
              <w:bottom w:w="30" w:type="dxa"/>
              <w:right w:w="0" w:type="dxa"/>
            </w:tcMar>
            <w:vAlign w:val="bottom"/>
            <w:hideMark/>
          </w:tcPr>
          <w:p w14:paraId="1080DAE9"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A5AE0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62B4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65CD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E38F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8B9F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D353AE"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F3E2C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75E9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33C887"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FA0B3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68BD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FE6A0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36629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20A3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FF7A88"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130CB256" w14:textId="77777777" w:rsidR="00000000" w:rsidRDefault="001A570A">
            <w:pPr>
              <w:jc w:val="right"/>
              <w:rPr>
                <w:rFonts w:eastAsia="Times New Roman"/>
              </w:rPr>
            </w:pPr>
          </w:p>
        </w:tc>
        <w:tc>
          <w:tcPr>
            <w:tcW w:w="0" w:type="auto"/>
            <w:vAlign w:val="center"/>
            <w:hideMark/>
          </w:tcPr>
          <w:p w14:paraId="69225BB1" w14:textId="77777777" w:rsidR="00000000" w:rsidRDefault="001A570A">
            <w:pPr>
              <w:jc w:val="right"/>
              <w:rPr>
                <w:rFonts w:eastAsia="Times New Roman"/>
                <w:sz w:val="20"/>
                <w:szCs w:val="20"/>
              </w:rPr>
            </w:pPr>
          </w:p>
        </w:tc>
        <w:tc>
          <w:tcPr>
            <w:tcW w:w="0" w:type="auto"/>
            <w:vAlign w:val="center"/>
            <w:hideMark/>
          </w:tcPr>
          <w:p w14:paraId="662475F5" w14:textId="77777777" w:rsidR="00000000" w:rsidRDefault="001A570A">
            <w:pPr>
              <w:rPr>
                <w:rFonts w:eastAsia="Times New Roman"/>
                <w:sz w:val="20"/>
                <w:szCs w:val="20"/>
              </w:rPr>
            </w:pPr>
          </w:p>
        </w:tc>
        <w:tc>
          <w:tcPr>
            <w:tcW w:w="0" w:type="auto"/>
            <w:gridSpan w:val="3"/>
            <w:vAlign w:val="center"/>
            <w:hideMark/>
          </w:tcPr>
          <w:p w14:paraId="1FCE1DFC" w14:textId="77777777" w:rsidR="00000000" w:rsidRDefault="001A570A">
            <w:pPr>
              <w:rPr>
                <w:rFonts w:eastAsia="Times New Roman"/>
                <w:sz w:val="20"/>
                <w:szCs w:val="20"/>
              </w:rPr>
            </w:pPr>
          </w:p>
        </w:tc>
        <w:tc>
          <w:tcPr>
            <w:tcW w:w="0" w:type="auto"/>
            <w:gridSpan w:val="3"/>
            <w:vAlign w:val="center"/>
            <w:hideMark/>
          </w:tcPr>
          <w:p w14:paraId="41610831" w14:textId="77777777" w:rsidR="00000000" w:rsidRDefault="001A570A">
            <w:pPr>
              <w:rPr>
                <w:rFonts w:eastAsia="Times New Roman"/>
                <w:sz w:val="20"/>
                <w:szCs w:val="20"/>
              </w:rPr>
            </w:pPr>
          </w:p>
        </w:tc>
        <w:tc>
          <w:tcPr>
            <w:tcW w:w="0" w:type="auto"/>
            <w:gridSpan w:val="3"/>
            <w:vAlign w:val="center"/>
            <w:hideMark/>
          </w:tcPr>
          <w:p w14:paraId="428409C1" w14:textId="77777777" w:rsidR="00000000" w:rsidRDefault="001A570A">
            <w:pPr>
              <w:rPr>
                <w:rFonts w:eastAsia="Times New Roman"/>
                <w:sz w:val="20"/>
                <w:szCs w:val="20"/>
              </w:rPr>
            </w:pPr>
          </w:p>
        </w:tc>
        <w:tc>
          <w:tcPr>
            <w:tcW w:w="0" w:type="auto"/>
            <w:gridSpan w:val="3"/>
            <w:vAlign w:val="center"/>
            <w:hideMark/>
          </w:tcPr>
          <w:p w14:paraId="5E7715AA" w14:textId="77777777" w:rsidR="00000000" w:rsidRDefault="001A570A">
            <w:pPr>
              <w:rPr>
                <w:rFonts w:eastAsia="Times New Roman"/>
                <w:sz w:val="20"/>
                <w:szCs w:val="20"/>
              </w:rPr>
            </w:pPr>
          </w:p>
        </w:tc>
      </w:tr>
      <w:tr w:rsidR="00000000" w14:paraId="6FA72EB3" w14:textId="77777777">
        <w:trPr>
          <w:divId w:val="2016490759"/>
        </w:trPr>
        <w:tc>
          <w:tcPr>
            <w:tcW w:w="0" w:type="auto"/>
            <w:gridSpan w:val="3"/>
            <w:shd w:val="clear" w:color="auto" w:fill="CCEEFF"/>
            <w:tcMar>
              <w:top w:w="30" w:type="dxa"/>
              <w:left w:w="35" w:type="dxa"/>
              <w:bottom w:w="30" w:type="dxa"/>
              <w:right w:w="20" w:type="dxa"/>
            </w:tcMar>
            <w:hideMark/>
          </w:tcPr>
          <w:p w14:paraId="6DC370D0" w14:textId="77777777" w:rsidR="00000000" w:rsidRDefault="001A570A">
            <w:pPr>
              <w:rPr>
                <w:rFonts w:eastAsia="Times New Roman"/>
              </w:rPr>
            </w:pPr>
            <w:r>
              <w:rPr>
                <w:rFonts w:eastAsia="Times New Roman"/>
                <w:color w:val="000000"/>
                <w:sz w:val="20"/>
                <w:szCs w:val="20"/>
              </w:rPr>
              <w:t>Divestiture</w:t>
            </w:r>
          </w:p>
        </w:tc>
        <w:tc>
          <w:tcPr>
            <w:tcW w:w="0" w:type="auto"/>
            <w:gridSpan w:val="2"/>
            <w:shd w:val="clear" w:color="auto" w:fill="CCEEFF"/>
            <w:tcMar>
              <w:top w:w="30" w:type="dxa"/>
              <w:left w:w="20" w:type="dxa"/>
              <w:bottom w:w="30" w:type="dxa"/>
              <w:right w:w="0" w:type="dxa"/>
            </w:tcMar>
            <w:vAlign w:val="bottom"/>
            <w:hideMark/>
          </w:tcPr>
          <w:p w14:paraId="7DCBDF5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44B9B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6887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DF9E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69B18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C0C9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CBFF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2C89B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D2E4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4C44A" w14:textId="77777777" w:rsidR="00000000" w:rsidRDefault="001A570A">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14:paraId="6D7B1FB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C078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3A408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CA5D8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1C4E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B9DBF" w14:textId="77777777" w:rsidR="00000000" w:rsidRDefault="001A570A">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14:paraId="3AFF7B55" w14:textId="77777777" w:rsidR="00000000" w:rsidRDefault="001A570A">
            <w:pPr>
              <w:jc w:val="right"/>
              <w:rPr>
                <w:rFonts w:eastAsia="Times New Roman"/>
              </w:rPr>
            </w:pPr>
          </w:p>
        </w:tc>
        <w:tc>
          <w:tcPr>
            <w:tcW w:w="0" w:type="auto"/>
            <w:vAlign w:val="center"/>
            <w:hideMark/>
          </w:tcPr>
          <w:p w14:paraId="762B48A3" w14:textId="77777777" w:rsidR="00000000" w:rsidRDefault="001A570A">
            <w:pPr>
              <w:jc w:val="right"/>
              <w:rPr>
                <w:rFonts w:eastAsia="Times New Roman"/>
                <w:sz w:val="20"/>
                <w:szCs w:val="20"/>
              </w:rPr>
            </w:pPr>
          </w:p>
        </w:tc>
        <w:tc>
          <w:tcPr>
            <w:tcW w:w="0" w:type="auto"/>
            <w:vAlign w:val="center"/>
            <w:hideMark/>
          </w:tcPr>
          <w:p w14:paraId="758E9078" w14:textId="77777777" w:rsidR="00000000" w:rsidRDefault="001A570A">
            <w:pPr>
              <w:rPr>
                <w:rFonts w:eastAsia="Times New Roman"/>
                <w:sz w:val="20"/>
                <w:szCs w:val="20"/>
              </w:rPr>
            </w:pPr>
          </w:p>
        </w:tc>
        <w:tc>
          <w:tcPr>
            <w:tcW w:w="0" w:type="auto"/>
            <w:gridSpan w:val="3"/>
            <w:vAlign w:val="center"/>
            <w:hideMark/>
          </w:tcPr>
          <w:p w14:paraId="79494426" w14:textId="77777777" w:rsidR="00000000" w:rsidRDefault="001A570A">
            <w:pPr>
              <w:rPr>
                <w:rFonts w:eastAsia="Times New Roman"/>
                <w:sz w:val="20"/>
                <w:szCs w:val="20"/>
              </w:rPr>
            </w:pPr>
          </w:p>
        </w:tc>
        <w:tc>
          <w:tcPr>
            <w:tcW w:w="0" w:type="auto"/>
            <w:gridSpan w:val="3"/>
            <w:vAlign w:val="center"/>
            <w:hideMark/>
          </w:tcPr>
          <w:p w14:paraId="0AC8700D" w14:textId="77777777" w:rsidR="00000000" w:rsidRDefault="001A570A">
            <w:pPr>
              <w:rPr>
                <w:rFonts w:eastAsia="Times New Roman"/>
                <w:sz w:val="20"/>
                <w:szCs w:val="20"/>
              </w:rPr>
            </w:pPr>
          </w:p>
        </w:tc>
        <w:tc>
          <w:tcPr>
            <w:tcW w:w="0" w:type="auto"/>
            <w:gridSpan w:val="3"/>
            <w:vAlign w:val="center"/>
            <w:hideMark/>
          </w:tcPr>
          <w:p w14:paraId="467F5B25" w14:textId="77777777" w:rsidR="00000000" w:rsidRDefault="001A570A">
            <w:pPr>
              <w:rPr>
                <w:rFonts w:eastAsia="Times New Roman"/>
                <w:sz w:val="20"/>
                <w:szCs w:val="20"/>
              </w:rPr>
            </w:pPr>
          </w:p>
        </w:tc>
        <w:tc>
          <w:tcPr>
            <w:tcW w:w="0" w:type="auto"/>
            <w:gridSpan w:val="3"/>
            <w:vAlign w:val="center"/>
            <w:hideMark/>
          </w:tcPr>
          <w:p w14:paraId="1ED86BAB" w14:textId="77777777" w:rsidR="00000000" w:rsidRDefault="001A570A">
            <w:pPr>
              <w:rPr>
                <w:rFonts w:eastAsia="Times New Roman"/>
                <w:sz w:val="20"/>
                <w:szCs w:val="20"/>
              </w:rPr>
            </w:pPr>
          </w:p>
        </w:tc>
      </w:tr>
      <w:tr w:rsidR="00000000" w14:paraId="7800375C" w14:textId="77777777">
        <w:trPr>
          <w:divId w:val="2016490759"/>
        </w:trPr>
        <w:tc>
          <w:tcPr>
            <w:tcW w:w="0" w:type="auto"/>
            <w:gridSpan w:val="3"/>
            <w:vAlign w:val="center"/>
            <w:hideMark/>
          </w:tcPr>
          <w:p w14:paraId="7BB76FFA" w14:textId="77777777" w:rsidR="00000000" w:rsidRDefault="001A570A">
            <w:pPr>
              <w:rPr>
                <w:rFonts w:eastAsia="Times New Roman"/>
                <w:sz w:val="20"/>
                <w:szCs w:val="20"/>
              </w:rPr>
            </w:pPr>
          </w:p>
        </w:tc>
        <w:tc>
          <w:tcPr>
            <w:tcW w:w="0" w:type="auto"/>
            <w:gridSpan w:val="3"/>
            <w:vAlign w:val="center"/>
            <w:hideMark/>
          </w:tcPr>
          <w:p w14:paraId="474FB9D7" w14:textId="77777777" w:rsidR="00000000" w:rsidRDefault="001A570A">
            <w:pPr>
              <w:rPr>
                <w:rFonts w:eastAsia="Times New Roman"/>
                <w:sz w:val="20"/>
                <w:szCs w:val="20"/>
              </w:rPr>
            </w:pPr>
          </w:p>
        </w:tc>
        <w:tc>
          <w:tcPr>
            <w:tcW w:w="0" w:type="auto"/>
            <w:gridSpan w:val="3"/>
            <w:vAlign w:val="center"/>
            <w:hideMark/>
          </w:tcPr>
          <w:p w14:paraId="589935DC" w14:textId="77777777" w:rsidR="00000000" w:rsidRDefault="001A570A">
            <w:pPr>
              <w:rPr>
                <w:rFonts w:eastAsia="Times New Roman"/>
                <w:sz w:val="20"/>
                <w:szCs w:val="20"/>
              </w:rPr>
            </w:pPr>
          </w:p>
        </w:tc>
        <w:tc>
          <w:tcPr>
            <w:tcW w:w="0" w:type="auto"/>
            <w:gridSpan w:val="3"/>
            <w:vAlign w:val="center"/>
            <w:hideMark/>
          </w:tcPr>
          <w:p w14:paraId="08B42113" w14:textId="77777777" w:rsidR="00000000" w:rsidRDefault="001A570A">
            <w:pPr>
              <w:rPr>
                <w:rFonts w:eastAsia="Times New Roman"/>
                <w:sz w:val="20"/>
                <w:szCs w:val="20"/>
              </w:rPr>
            </w:pPr>
          </w:p>
        </w:tc>
        <w:tc>
          <w:tcPr>
            <w:tcW w:w="0" w:type="auto"/>
            <w:gridSpan w:val="3"/>
            <w:vAlign w:val="center"/>
            <w:hideMark/>
          </w:tcPr>
          <w:p w14:paraId="01659BD1" w14:textId="77777777" w:rsidR="00000000" w:rsidRDefault="001A570A">
            <w:pPr>
              <w:rPr>
                <w:rFonts w:eastAsia="Times New Roman"/>
                <w:sz w:val="20"/>
                <w:szCs w:val="20"/>
              </w:rPr>
            </w:pPr>
          </w:p>
        </w:tc>
        <w:tc>
          <w:tcPr>
            <w:tcW w:w="0" w:type="auto"/>
            <w:gridSpan w:val="3"/>
            <w:vAlign w:val="center"/>
            <w:hideMark/>
          </w:tcPr>
          <w:p w14:paraId="32174019" w14:textId="77777777" w:rsidR="00000000" w:rsidRDefault="001A570A">
            <w:pPr>
              <w:rPr>
                <w:rFonts w:eastAsia="Times New Roman"/>
                <w:sz w:val="20"/>
                <w:szCs w:val="20"/>
              </w:rPr>
            </w:pPr>
          </w:p>
        </w:tc>
        <w:tc>
          <w:tcPr>
            <w:tcW w:w="0" w:type="auto"/>
            <w:gridSpan w:val="3"/>
            <w:vAlign w:val="center"/>
            <w:hideMark/>
          </w:tcPr>
          <w:p w14:paraId="4102C823" w14:textId="77777777" w:rsidR="00000000" w:rsidRDefault="001A570A">
            <w:pPr>
              <w:rPr>
                <w:rFonts w:eastAsia="Times New Roman"/>
                <w:sz w:val="20"/>
                <w:szCs w:val="20"/>
              </w:rPr>
            </w:pPr>
          </w:p>
        </w:tc>
        <w:tc>
          <w:tcPr>
            <w:tcW w:w="0" w:type="auto"/>
            <w:gridSpan w:val="3"/>
            <w:vAlign w:val="center"/>
            <w:hideMark/>
          </w:tcPr>
          <w:p w14:paraId="22C4CFE1" w14:textId="77777777" w:rsidR="00000000" w:rsidRDefault="001A570A">
            <w:pPr>
              <w:rPr>
                <w:rFonts w:eastAsia="Times New Roman"/>
                <w:sz w:val="20"/>
                <w:szCs w:val="20"/>
              </w:rPr>
            </w:pPr>
          </w:p>
        </w:tc>
        <w:tc>
          <w:tcPr>
            <w:tcW w:w="0" w:type="auto"/>
            <w:gridSpan w:val="3"/>
            <w:vAlign w:val="center"/>
            <w:hideMark/>
          </w:tcPr>
          <w:p w14:paraId="7367AEC5" w14:textId="77777777" w:rsidR="00000000" w:rsidRDefault="001A570A">
            <w:pPr>
              <w:rPr>
                <w:rFonts w:eastAsia="Times New Roman"/>
                <w:sz w:val="20"/>
                <w:szCs w:val="20"/>
              </w:rPr>
            </w:pPr>
          </w:p>
        </w:tc>
        <w:tc>
          <w:tcPr>
            <w:tcW w:w="0" w:type="auto"/>
            <w:gridSpan w:val="3"/>
            <w:vAlign w:val="center"/>
            <w:hideMark/>
          </w:tcPr>
          <w:p w14:paraId="6BA8B912" w14:textId="77777777" w:rsidR="00000000" w:rsidRDefault="001A570A">
            <w:pPr>
              <w:rPr>
                <w:rFonts w:eastAsia="Times New Roman"/>
                <w:sz w:val="20"/>
                <w:szCs w:val="20"/>
              </w:rPr>
            </w:pPr>
          </w:p>
        </w:tc>
        <w:tc>
          <w:tcPr>
            <w:tcW w:w="0" w:type="auto"/>
            <w:gridSpan w:val="3"/>
            <w:vAlign w:val="center"/>
            <w:hideMark/>
          </w:tcPr>
          <w:p w14:paraId="42D0CAF8" w14:textId="77777777" w:rsidR="00000000" w:rsidRDefault="001A570A">
            <w:pPr>
              <w:rPr>
                <w:rFonts w:eastAsia="Times New Roman"/>
                <w:sz w:val="20"/>
                <w:szCs w:val="20"/>
              </w:rPr>
            </w:pPr>
          </w:p>
        </w:tc>
        <w:tc>
          <w:tcPr>
            <w:tcW w:w="0" w:type="auto"/>
            <w:gridSpan w:val="3"/>
            <w:vAlign w:val="center"/>
            <w:hideMark/>
          </w:tcPr>
          <w:p w14:paraId="5F07676E" w14:textId="77777777" w:rsidR="00000000" w:rsidRDefault="001A570A">
            <w:pPr>
              <w:rPr>
                <w:rFonts w:eastAsia="Times New Roman"/>
                <w:sz w:val="20"/>
                <w:szCs w:val="20"/>
              </w:rPr>
            </w:pPr>
          </w:p>
        </w:tc>
        <w:tc>
          <w:tcPr>
            <w:tcW w:w="0" w:type="auto"/>
            <w:vAlign w:val="center"/>
            <w:hideMark/>
          </w:tcPr>
          <w:p w14:paraId="3A17D0E9" w14:textId="77777777" w:rsidR="00000000" w:rsidRDefault="001A570A">
            <w:pPr>
              <w:rPr>
                <w:rFonts w:eastAsia="Times New Roman"/>
                <w:sz w:val="20"/>
                <w:szCs w:val="20"/>
              </w:rPr>
            </w:pPr>
          </w:p>
        </w:tc>
        <w:tc>
          <w:tcPr>
            <w:tcW w:w="0" w:type="auto"/>
            <w:vAlign w:val="center"/>
            <w:hideMark/>
          </w:tcPr>
          <w:p w14:paraId="3EB64E57" w14:textId="77777777" w:rsidR="00000000" w:rsidRDefault="001A570A">
            <w:pPr>
              <w:rPr>
                <w:rFonts w:eastAsia="Times New Roman"/>
                <w:sz w:val="20"/>
                <w:szCs w:val="20"/>
              </w:rPr>
            </w:pPr>
          </w:p>
        </w:tc>
        <w:tc>
          <w:tcPr>
            <w:tcW w:w="0" w:type="auto"/>
            <w:gridSpan w:val="3"/>
            <w:vAlign w:val="center"/>
            <w:hideMark/>
          </w:tcPr>
          <w:p w14:paraId="72E83552" w14:textId="77777777" w:rsidR="00000000" w:rsidRDefault="001A570A">
            <w:pPr>
              <w:rPr>
                <w:rFonts w:eastAsia="Times New Roman"/>
                <w:sz w:val="20"/>
                <w:szCs w:val="20"/>
              </w:rPr>
            </w:pPr>
          </w:p>
        </w:tc>
        <w:tc>
          <w:tcPr>
            <w:tcW w:w="0" w:type="auto"/>
            <w:gridSpan w:val="3"/>
            <w:vAlign w:val="center"/>
            <w:hideMark/>
          </w:tcPr>
          <w:p w14:paraId="51528333" w14:textId="77777777" w:rsidR="00000000" w:rsidRDefault="001A570A">
            <w:pPr>
              <w:rPr>
                <w:rFonts w:eastAsia="Times New Roman"/>
                <w:sz w:val="20"/>
                <w:szCs w:val="20"/>
              </w:rPr>
            </w:pPr>
          </w:p>
        </w:tc>
        <w:tc>
          <w:tcPr>
            <w:tcW w:w="0" w:type="auto"/>
            <w:gridSpan w:val="3"/>
            <w:vAlign w:val="center"/>
            <w:hideMark/>
          </w:tcPr>
          <w:p w14:paraId="65801178" w14:textId="77777777" w:rsidR="00000000" w:rsidRDefault="001A570A">
            <w:pPr>
              <w:rPr>
                <w:rFonts w:eastAsia="Times New Roman"/>
                <w:sz w:val="20"/>
                <w:szCs w:val="20"/>
              </w:rPr>
            </w:pPr>
          </w:p>
        </w:tc>
        <w:tc>
          <w:tcPr>
            <w:tcW w:w="0" w:type="auto"/>
            <w:gridSpan w:val="3"/>
            <w:vAlign w:val="center"/>
            <w:hideMark/>
          </w:tcPr>
          <w:p w14:paraId="7D2B0F8B" w14:textId="77777777" w:rsidR="00000000" w:rsidRDefault="001A570A">
            <w:pPr>
              <w:rPr>
                <w:rFonts w:eastAsia="Times New Roman"/>
                <w:sz w:val="20"/>
                <w:szCs w:val="20"/>
              </w:rPr>
            </w:pPr>
          </w:p>
        </w:tc>
      </w:tr>
      <w:tr w:rsidR="00000000" w14:paraId="5DDE7EC0" w14:textId="77777777">
        <w:trPr>
          <w:divId w:val="2016490759"/>
        </w:trPr>
        <w:tc>
          <w:tcPr>
            <w:tcW w:w="0" w:type="auto"/>
            <w:gridSpan w:val="3"/>
            <w:shd w:val="clear" w:color="auto" w:fill="FFFFFF"/>
            <w:tcMar>
              <w:top w:w="30" w:type="dxa"/>
              <w:left w:w="35" w:type="dxa"/>
              <w:bottom w:w="30" w:type="dxa"/>
              <w:right w:w="20" w:type="dxa"/>
            </w:tcMar>
            <w:hideMark/>
          </w:tcPr>
          <w:p w14:paraId="3B58CBF8" w14:textId="77777777" w:rsidR="00000000" w:rsidRDefault="001A570A">
            <w:pPr>
              <w:rPr>
                <w:rFonts w:eastAsia="Times New Roman"/>
              </w:rPr>
            </w:pPr>
            <w:r>
              <w:rPr>
                <w:rFonts w:eastAsia="Times New Roman"/>
                <w:color w:val="000000"/>
                <w:sz w:val="20"/>
                <w:szCs w:val="20"/>
              </w:rPr>
              <w:t>Plan assets at end of fiscal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95B33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0877A9" w14:textId="77777777" w:rsidR="00000000" w:rsidRDefault="001A570A">
            <w:pPr>
              <w:jc w:val="right"/>
              <w:rPr>
                <w:rFonts w:eastAsia="Times New Roman"/>
              </w:rPr>
            </w:pPr>
            <w:r>
              <w:rPr>
                <w:rFonts w:eastAsia="Times New Roman"/>
                <w:color w:val="000000"/>
                <w:sz w:val="20"/>
                <w:szCs w:val="20"/>
              </w:rPr>
              <w:t>9,301 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E330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7F7B1"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76085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2A8636" w14:textId="77777777" w:rsidR="00000000" w:rsidRDefault="001A570A">
            <w:pPr>
              <w:jc w:val="right"/>
              <w:rPr>
                <w:rFonts w:eastAsia="Times New Roman"/>
              </w:rPr>
            </w:pPr>
            <w:r>
              <w:rPr>
                <w:rFonts w:eastAsia="Times New Roman"/>
                <w:color w:val="000000"/>
                <w:sz w:val="20"/>
                <w:szCs w:val="20"/>
              </w:rPr>
              <w:t>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6B9D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94BE8"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32059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0E8126" w14:textId="77777777" w:rsidR="00000000" w:rsidRDefault="001A570A">
            <w:pPr>
              <w:jc w:val="right"/>
              <w:rPr>
                <w:rFonts w:eastAsia="Times New Roman"/>
              </w:rPr>
            </w:pPr>
            <w:r>
              <w:rPr>
                <w:rFonts w:eastAsia="Times New Roman"/>
                <w:color w:val="000000"/>
                <w:sz w:val="20"/>
                <w:szCs w:val="20"/>
              </w:rPr>
              <w:t>9,600 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7D673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DB613"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6EAB8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B63AF9" w14:textId="77777777" w:rsidR="00000000" w:rsidRDefault="001A570A">
            <w:pPr>
              <w:jc w:val="right"/>
              <w:rPr>
                <w:rFonts w:eastAsia="Times New Roman"/>
              </w:rPr>
            </w:pPr>
            <w:r>
              <w:rPr>
                <w:rFonts w:eastAsia="Times New Roman"/>
                <w:color w:val="000000"/>
                <w:sz w:val="20"/>
                <w:szCs w:val="20"/>
              </w:rPr>
              <w:t>8,618 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0124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E0A8A"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470D7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DDB845" w14:textId="77777777" w:rsidR="00000000" w:rsidRDefault="001A570A">
            <w:pPr>
              <w:jc w:val="right"/>
              <w:rPr>
                <w:rFonts w:eastAsia="Times New Roman"/>
              </w:rPr>
            </w:pPr>
            <w:r>
              <w:rPr>
                <w:rFonts w:eastAsia="Times New Roman"/>
                <w:color w:val="000000"/>
                <w:sz w:val="20"/>
                <w:szCs w:val="20"/>
              </w:rPr>
              <w:t>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F3281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54828"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BDE58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1BFC7C" w14:textId="77777777" w:rsidR="00000000" w:rsidRDefault="001A570A">
            <w:pPr>
              <w:jc w:val="right"/>
              <w:rPr>
                <w:rFonts w:eastAsia="Times New Roman"/>
              </w:rPr>
            </w:pPr>
            <w:r>
              <w:rPr>
                <w:rFonts w:eastAsia="Times New Roman"/>
                <w:color w:val="000000"/>
                <w:sz w:val="20"/>
                <w:szCs w:val="20"/>
              </w:rPr>
              <w:t>8,892 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B1E59B" w14:textId="77777777" w:rsidR="00000000" w:rsidRDefault="001A570A">
            <w:pPr>
              <w:jc w:val="right"/>
              <w:rPr>
                <w:rFonts w:eastAsia="Times New Roman"/>
              </w:rPr>
            </w:pPr>
          </w:p>
        </w:tc>
        <w:tc>
          <w:tcPr>
            <w:tcW w:w="0" w:type="auto"/>
            <w:vAlign w:val="center"/>
            <w:hideMark/>
          </w:tcPr>
          <w:p w14:paraId="5CC24CDD" w14:textId="77777777" w:rsidR="00000000" w:rsidRDefault="001A570A">
            <w:pPr>
              <w:jc w:val="right"/>
              <w:rPr>
                <w:rFonts w:eastAsia="Times New Roman"/>
                <w:sz w:val="20"/>
                <w:szCs w:val="20"/>
              </w:rPr>
            </w:pPr>
          </w:p>
        </w:tc>
        <w:tc>
          <w:tcPr>
            <w:tcW w:w="0" w:type="auto"/>
            <w:vAlign w:val="center"/>
            <w:hideMark/>
          </w:tcPr>
          <w:p w14:paraId="250BA74F" w14:textId="77777777" w:rsidR="00000000" w:rsidRDefault="001A570A">
            <w:pPr>
              <w:rPr>
                <w:rFonts w:eastAsia="Times New Roman"/>
                <w:sz w:val="20"/>
                <w:szCs w:val="20"/>
              </w:rPr>
            </w:pPr>
          </w:p>
        </w:tc>
        <w:tc>
          <w:tcPr>
            <w:tcW w:w="0" w:type="auto"/>
            <w:gridSpan w:val="3"/>
            <w:vAlign w:val="center"/>
            <w:hideMark/>
          </w:tcPr>
          <w:p w14:paraId="4B1E4030" w14:textId="77777777" w:rsidR="00000000" w:rsidRDefault="001A570A">
            <w:pPr>
              <w:rPr>
                <w:rFonts w:eastAsia="Times New Roman"/>
                <w:sz w:val="20"/>
                <w:szCs w:val="20"/>
              </w:rPr>
            </w:pPr>
          </w:p>
        </w:tc>
        <w:tc>
          <w:tcPr>
            <w:tcW w:w="0" w:type="auto"/>
            <w:gridSpan w:val="3"/>
            <w:vAlign w:val="center"/>
            <w:hideMark/>
          </w:tcPr>
          <w:p w14:paraId="62915E02" w14:textId="77777777" w:rsidR="00000000" w:rsidRDefault="001A570A">
            <w:pPr>
              <w:rPr>
                <w:rFonts w:eastAsia="Times New Roman"/>
                <w:sz w:val="20"/>
                <w:szCs w:val="20"/>
              </w:rPr>
            </w:pPr>
          </w:p>
        </w:tc>
        <w:tc>
          <w:tcPr>
            <w:tcW w:w="0" w:type="auto"/>
            <w:gridSpan w:val="3"/>
            <w:vAlign w:val="center"/>
            <w:hideMark/>
          </w:tcPr>
          <w:p w14:paraId="7DD05421" w14:textId="77777777" w:rsidR="00000000" w:rsidRDefault="001A570A">
            <w:pPr>
              <w:rPr>
                <w:rFonts w:eastAsia="Times New Roman"/>
                <w:sz w:val="20"/>
                <w:szCs w:val="20"/>
              </w:rPr>
            </w:pPr>
          </w:p>
        </w:tc>
        <w:tc>
          <w:tcPr>
            <w:tcW w:w="0" w:type="auto"/>
            <w:gridSpan w:val="3"/>
            <w:vAlign w:val="center"/>
            <w:hideMark/>
          </w:tcPr>
          <w:p w14:paraId="3C387B49" w14:textId="77777777" w:rsidR="00000000" w:rsidRDefault="001A570A">
            <w:pPr>
              <w:rPr>
                <w:rFonts w:eastAsia="Times New Roman"/>
                <w:sz w:val="20"/>
                <w:szCs w:val="20"/>
              </w:rPr>
            </w:pPr>
          </w:p>
        </w:tc>
      </w:tr>
      <w:tr w:rsidR="00000000" w14:paraId="58178F67" w14:textId="77777777">
        <w:trPr>
          <w:divId w:val="2016490759"/>
          <w:trHeight w:val="300"/>
        </w:trPr>
        <w:tc>
          <w:tcPr>
            <w:tcW w:w="0" w:type="auto"/>
            <w:gridSpan w:val="3"/>
            <w:shd w:val="clear" w:color="auto" w:fill="CCEEFF"/>
            <w:tcMar>
              <w:top w:w="0" w:type="dxa"/>
              <w:left w:w="20" w:type="dxa"/>
              <w:bottom w:w="0" w:type="dxa"/>
              <w:right w:w="20" w:type="dxa"/>
            </w:tcMar>
            <w:vAlign w:val="center"/>
            <w:hideMark/>
          </w:tcPr>
          <w:p w14:paraId="3BB186C8"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8C8A3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A008FF"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85F96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CB070"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C9AD5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C286B"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7758B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93B8D3"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266E0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57507D" w14:textId="77777777" w:rsidR="00000000" w:rsidRDefault="001A570A">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B7BEBA" w14:textId="77777777" w:rsidR="00000000" w:rsidRDefault="001A570A">
            <w:pPr>
              <w:rPr>
                <w:rFonts w:eastAsia="Times New Roman"/>
                <w:sz w:val="20"/>
                <w:szCs w:val="20"/>
              </w:rPr>
            </w:pPr>
          </w:p>
        </w:tc>
        <w:tc>
          <w:tcPr>
            <w:tcW w:w="0" w:type="auto"/>
            <w:vAlign w:val="center"/>
            <w:hideMark/>
          </w:tcPr>
          <w:p w14:paraId="081CADF4" w14:textId="77777777" w:rsidR="00000000" w:rsidRDefault="001A570A">
            <w:pPr>
              <w:rPr>
                <w:rFonts w:eastAsia="Times New Roman"/>
                <w:sz w:val="20"/>
                <w:szCs w:val="20"/>
              </w:rPr>
            </w:pPr>
          </w:p>
        </w:tc>
        <w:tc>
          <w:tcPr>
            <w:tcW w:w="0" w:type="auto"/>
            <w:vAlign w:val="center"/>
            <w:hideMark/>
          </w:tcPr>
          <w:p w14:paraId="4F4A2EF3" w14:textId="77777777" w:rsidR="00000000" w:rsidRDefault="001A570A">
            <w:pPr>
              <w:rPr>
                <w:rFonts w:eastAsia="Times New Roman"/>
                <w:sz w:val="20"/>
                <w:szCs w:val="20"/>
              </w:rPr>
            </w:pPr>
          </w:p>
        </w:tc>
        <w:tc>
          <w:tcPr>
            <w:tcW w:w="0" w:type="auto"/>
            <w:gridSpan w:val="3"/>
            <w:vAlign w:val="center"/>
            <w:hideMark/>
          </w:tcPr>
          <w:p w14:paraId="6BF7FACA" w14:textId="77777777" w:rsidR="00000000" w:rsidRDefault="001A570A">
            <w:pPr>
              <w:rPr>
                <w:rFonts w:eastAsia="Times New Roman"/>
                <w:sz w:val="20"/>
                <w:szCs w:val="20"/>
              </w:rPr>
            </w:pPr>
          </w:p>
        </w:tc>
        <w:tc>
          <w:tcPr>
            <w:tcW w:w="0" w:type="auto"/>
            <w:gridSpan w:val="3"/>
            <w:vAlign w:val="center"/>
            <w:hideMark/>
          </w:tcPr>
          <w:p w14:paraId="235D0169" w14:textId="77777777" w:rsidR="00000000" w:rsidRDefault="001A570A">
            <w:pPr>
              <w:rPr>
                <w:rFonts w:eastAsia="Times New Roman"/>
                <w:sz w:val="20"/>
                <w:szCs w:val="20"/>
              </w:rPr>
            </w:pPr>
          </w:p>
        </w:tc>
        <w:tc>
          <w:tcPr>
            <w:tcW w:w="0" w:type="auto"/>
            <w:gridSpan w:val="3"/>
            <w:vAlign w:val="center"/>
            <w:hideMark/>
          </w:tcPr>
          <w:p w14:paraId="420BCD85" w14:textId="77777777" w:rsidR="00000000" w:rsidRDefault="001A570A">
            <w:pPr>
              <w:rPr>
                <w:rFonts w:eastAsia="Times New Roman"/>
                <w:sz w:val="20"/>
                <w:szCs w:val="20"/>
              </w:rPr>
            </w:pPr>
          </w:p>
        </w:tc>
        <w:tc>
          <w:tcPr>
            <w:tcW w:w="0" w:type="auto"/>
            <w:gridSpan w:val="3"/>
            <w:vAlign w:val="center"/>
            <w:hideMark/>
          </w:tcPr>
          <w:p w14:paraId="59D83FE1" w14:textId="77777777" w:rsidR="00000000" w:rsidRDefault="001A570A">
            <w:pPr>
              <w:rPr>
                <w:rFonts w:eastAsia="Times New Roman"/>
                <w:sz w:val="20"/>
                <w:szCs w:val="20"/>
              </w:rPr>
            </w:pPr>
          </w:p>
        </w:tc>
      </w:tr>
      <w:tr w:rsidR="00000000" w14:paraId="24999807" w14:textId="77777777">
        <w:trPr>
          <w:divId w:val="2016490759"/>
        </w:trPr>
        <w:tc>
          <w:tcPr>
            <w:tcW w:w="0" w:type="auto"/>
            <w:gridSpan w:val="3"/>
            <w:shd w:val="clear" w:color="auto" w:fill="FFFFFF"/>
            <w:tcMar>
              <w:top w:w="30" w:type="dxa"/>
              <w:left w:w="20" w:type="dxa"/>
              <w:bottom w:w="30" w:type="dxa"/>
              <w:right w:w="20" w:type="dxa"/>
            </w:tcMar>
            <w:hideMark/>
          </w:tcPr>
          <w:p w14:paraId="1AE53524" w14:textId="77777777" w:rsidR="00000000" w:rsidRDefault="001A570A">
            <w:pPr>
              <w:rPr>
                <w:rFonts w:eastAsia="Times New Roman"/>
              </w:rPr>
            </w:pPr>
            <w:r>
              <w:rPr>
                <w:rFonts w:eastAsia="Times New Roman"/>
                <w:color w:val="000000"/>
                <w:sz w:val="20"/>
                <w:szCs w:val="20"/>
              </w:rPr>
              <w:t>Funded status at end of fiscal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346DE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6A4B16" w14:textId="77777777" w:rsidR="00000000" w:rsidRDefault="001A570A">
            <w:pPr>
              <w:jc w:val="right"/>
              <w:rPr>
                <w:rFonts w:eastAsia="Times New Roman"/>
              </w:rPr>
            </w:pPr>
            <w:r>
              <w:rPr>
                <w:rFonts w:eastAsia="Times New Roman"/>
                <w:color w:val="000000"/>
                <w:sz w:val="20"/>
                <w:szCs w:val="20"/>
              </w:rPr>
              <w:t>(1,744)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CF359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9228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BE61F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C23C04" w14:textId="77777777" w:rsidR="00000000" w:rsidRDefault="001A570A">
            <w:pPr>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85514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BD2E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425E38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C9640BA" w14:textId="77777777" w:rsidR="00000000" w:rsidRDefault="001A570A">
            <w:pPr>
              <w:jc w:val="right"/>
              <w:rPr>
                <w:rFonts w:eastAsia="Times New Roman"/>
              </w:rPr>
            </w:pPr>
            <w:r>
              <w:rPr>
                <w:rFonts w:eastAsia="Times New Roman"/>
                <w:color w:val="000000"/>
                <w:sz w:val="20"/>
                <w:szCs w:val="20"/>
              </w:rPr>
              <w:t>(</w:t>
            </w:r>
            <w:r>
              <w:rPr>
                <w:rFonts w:eastAsia="Times New Roman"/>
                <w:color w:val="000000"/>
                <w:sz w:val="20"/>
                <w:szCs w:val="20"/>
              </w:rPr>
              <w:t>1,832)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B3E107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B5B0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B12B8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DF0B24" w14:textId="77777777" w:rsidR="00000000" w:rsidRDefault="001A570A">
            <w:pPr>
              <w:jc w:val="right"/>
              <w:rPr>
                <w:rFonts w:eastAsia="Times New Roman"/>
              </w:rPr>
            </w:pPr>
            <w:r>
              <w:rPr>
                <w:rFonts w:eastAsia="Times New Roman"/>
                <w:color w:val="000000"/>
                <w:sz w:val="20"/>
                <w:szCs w:val="20"/>
              </w:rPr>
              <w:t>(1,650)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BB5A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921B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0E862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3C5903" w14:textId="77777777" w:rsidR="00000000" w:rsidRDefault="001A570A">
            <w:pPr>
              <w:jc w:val="right"/>
              <w:rPr>
                <w:rFonts w:eastAsia="Times New Roman"/>
              </w:rPr>
            </w:pPr>
            <w:r>
              <w:rPr>
                <w:rFonts w:eastAsia="Times New Roman"/>
                <w:color w:val="000000"/>
                <w:sz w:val="20"/>
                <w:szCs w:val="20"/>
              </w:rPr>
              <w:t>(95)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2F845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F48C3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B403E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07954F" w14:textId="77777777" w:rsidR="00000000" w:rsidRDefault="001A570A">
            <w:pPr>
              <w:jc w:val="right"/>
              <w:rPr>
                <w:rFonts w:eastAsia="Times New Roman"/>
              </w:rPr>
            </w:pPr>
            <w:r>
              <w:rPr>
                <w:rFonts w:eastAsia="Times New Roman"/>
                <w:color w:val="000000"/>
                <w:sz w:val="20"/>
                <w:szCs w:val="20"/>
              </w:rPr>
              <w:t>(1,745)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F7B4FE" w14:textId="77777777" w:rsidR="00000000" w:rsidRDefault="001A570A">
            <w:pPr>
              <w:jc w:val="right"/>
              <w:rPr>
                <w:rFonts w:eastAsia="Times New Roman"/>
              </w:rPr>
            </w:pPr>
          </w:p>
        </w:tc>
        <w:tc>
          <w:tcPr>
            <w:tcW w:w="0" w:type="auto"/>
            <w:vAlign w:val="center"/>
            <w:hideMark/>
          </w:tcPr>
          <w:p w14:paraId="6DE73E13" w14:textId="77777777" w:rsidR="00000000" w:rsidRDefault="001A570A">
            <w:pPr>
              <w:jc w:val="right"/>
              <w:rPr>
                <w:rFonts w:eastAsia="Times New Roman"/>
                <w:sz w:val="20"/>
                <w:szCs w:val="20"/>
              </w:rPr>
            </w:pPr>
          </w:p>
        </w:tc>
        <w:tc>
          <w:tcPr>
            <w:tcW w:w="0" w:type="auto"/>
            <w:vAlign w:val="center"/>
            <w:hideMark/>
          </w:tcPr>
          <w:p w14:paraId="5B455BE2" w14:textId="77777777" w:rsidR="00000000" w:rsidRDefault="001A570A">
            <w:pPr>
              <w:rPr>
                <w:rFonts w:eastAsia="Times New Roman"/>
                <w:sz w:val="20"/>
                <w:szCs w:val="20"/>
              </w:rPr>
            </w:pPr>
          </w:p>
        </w:tc>
        <w:tc>
          <w:tcPr>
            <w:tcW w:w="0" w:type="auto"/>
            <w:gridSpan w:val="3"/>
            <w:vAlign w:val="center"/>
            <w:hideMark/>
          </w:tcPr>
          <w:p w14:paraId="0EE2C60B" w14:textId="77777777" w:rsidR="00000000" w:rsidRDefault="001A570A">
            <w:pPr>
              <w:rPr>
                <w:rFonts w:eastAsia="Times New Roman"/>
                <w:sz w:val="20"/>
                <w:szCs w:val="20"/>
              </w:rPr>
            </w:pPr>
          </w:p>
        </w:tc>
        <w:tc>
          <w:tcPr>
            <w:tcW w:w="0" w:type="auto"/>
            <w:gridSpan w:val="3"/>
            <w:vAlign w:val="center"/>
            <w:hideMark/>
          </w:tcPr>
          <w:p w14:paraId="2CD45EC7" w14:textId="77777777" w:rsidR="00000000" w:rsidRDefault="001A570A">
            <w:pPr>
              <w:rPr>
                <w:rFonts w:eastAsia="Times New Roman"/>
                <w:sz w:val="20"/>
                <w:szCs w:val="20"/>
              </w:rPr>
            </w:pPr>
          </w:p>
        </w:tc>
        <w:tc>
          <w:tcPr>
            <w:tcW w:w="0" w:type="auto"/>
            <w:gridSpan w:val="3"/>
            <w:vAlign w:val="center"/>
            <w:hideMark/>
          </w:tcPr>
          <w:p w14:paraId="6A44B668" w14:textId="77777777" w:rsidR="00000000" w:rsidRDefault="001A570A">
            <w:pPr>
              <w:rPr>
                <w:rFonts w:eastAsia="Times New Roman"/>
                <w:sz w:val="20"/>
                <w:szCs w:val="20"/>
              </w:rPr>
            </w:pPr>
          </w:p>
        </w:tc>
        <w:tc>
          <w:tcPr>
            <w:tcW w:w="0" w:type="auto"/>
            <w:gridSpan w:val="3"/>
            <w:vAlign w:val="center"/>
            <w:hideMark/>
          </w:tcPr>
          <w:p w14:paraId="6916A3DF" w14:textId="77777777" w:rsidR="00000000" w:rsidRDefault="001A570A">
            <w:pPr>
              <w:rPr>
                <w:rFonts w:eastAsia="Times New Roman"/>
                <w:sz w:val="20"/>
                <w:szCs w:val="20"/>
              </w:rPr>
            </w:pPr>
          </w:p>
        </w:tc>
      </w:tr>
    </w:tbl>
    <w:p w14:paraId="3369FB3E" w14:textId="77777777" w:rsidR="00000000" w:rsidRDefault="001A570A">
      <w:pPr>
        <w:ind w:firstLine="450"/>
        <w:divId w:val="1387559995"/>
        <w:rPr>
          <w:rFonts w:eastAsia="Times New Roman"/>
        </w:rPr>
      </w:pPr>
      <w:r>
        <w:rPr>
          <w:rFonts w:eastAsia="Times New Roman"/>
          <w:color w:val="000000"/>
          <w:sz w:val="20"/>
          <w:szCs w:val="20"/>
        </w:rPr>
        <w:t xml:space="preserve">The accumulated benefit obligation for all defined benefit pension plans was $11.0 billion at January 1, 2021. The following tables provide </w:t>
      </w:r>
      <w:r>
        <w:rPr>
          <w:rFonts w:eastAsia="Times New Roman"/>
          <w:color w:val="000000"/>
          <w:sz w:val="20"/>
          <w:szCs w:val="20"/>
        </w:rPr>
        <w:t>information for benefit plans with accumulated benefit obligations in excess of plan assets and benefit plans with projected benefit obligations in excess of plan assets:</w:t>
      </w:r>
    </w:p>
    <w:p w14:paraId="03D843EE" w14:textId="77777777" w:rsidR="00000000" w:rsidRDefault="001A570A">
      <w:pPr>
        <w:ind w:firstLine="450"/>
        <w:jc w:val="center"/>
        <w:divId w:val="2122256730"/>
        <w:rPr>
          <w:rFonts w:eastAsia="Times New Roman"/>
        </w:rPr>
      </w:pPr>
      <w:r>
        <w:rPr>
          <w:rFonts w:eastAsia="Times New Roman"/>
          <w:color w:val="000000"/>
          <w:sz w:val="20"/>
          <w:szCs w:val="20"/>
        </w:rPr>
        <w:t>107</w:t>
      </w:r>
    </w:p>
    <w:p w14:paraId="1AB2C31A" w14:textId="77777777" w:rsidR="00000000" w:rsidRDefault="001A570A">
      <w:pPr>
        <w:rPr>
          <w:rFonts w:eastAsia="Times New Roman"/>
        </w:rPr>
      </w:pPr>
      <w:r>
        <w:rPr>
          <w:rFonts w:eastAsia="Times New Roman"/>
        </w:rPr>
        <w:pict w14:anchorId="47C78AFA">
          <v:rect id="_x0000_i1135" style="width:0;height:1.5pt" o:hralign="center" o:hrstd="t" o:hr="t" fillcolor="#a0a0a0" stroked="f"/>
        </w:pict>
      </w:r>
    </w:p>
    <w:p w14:paraId="56F3746A" w14:textId="77777777" w:rsidR="00000000" w:rsidRDefault="001A570A">
      <w:pPr>
        <w:ind w:firstLine="450"/>
        <w:divId w:val="113044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123"/>
        <w:gridCol w:w="36"/>
        <w:gridCol w:w="120"/>
        <w:gridCol w:w="1018"/>
        <w:gridCol w:w="36"/>
        <w:gridCol w:w="36"/>
        <w:gridCol w:w="36"/>
        <w:gridCol w:w="36"/>
        <w:gridCol w:w="42"/>
        <w:gridCol w:w="1011"/>
        <w:gridCol w:w="36"/>
        <w:gridCol w:w="46"/>
        <w:gridCol w:w="36"/>
        <w:gridCol w:w="36"/>
        <w:gridCol w:w="36"/>
        <w:gridCol w:w="36"/>
        <w:gridCol w:w="120"/>
        <w:gridCol w:w="977"/>
        <w:gridCol w:w="36"/>
        <w:gridCol w:w="36"/>
        <w:gridCol w:w="36"/>
        <w:gridCol w:w="36"/>
        <w:gridCol w:w="42"/>
        <w:gridCol w:w="1013"/>
        <w:gridCol w:w="36"/>
        <w:gridCol w:w="36"/>
        <w:gridCol w:w="36"/>
        <w:gridCol w:w="36"/>
        <w:gridCol w:w="36"/>
        <w:gridCol w:w="36"/>
        <w:gridCol w:w="36"/>
      </w:tblGrid>
      <w:tr w:rsidR="00000000" w14:paraId="4643CF74" w14:textId="77777777">
        <w:trPr>
          <w:divId w:val="1062171016"/>
        </w:trPr>
        <w:tc>
          <w:tcPr>
            <w:tcW w:w="50" w:type="pct"/>
            <w:vAlign w:val="center"/>
            <w:hideMark/>
          </w:tcPr>
          <w:p w14:paraId="54C5FAA5" w14:textId="77777777" w:rsidR="00000000" w:rsidRDefault="001A570A">
            <w:pPr>
              <w:ind w:firstLine="450"/>
              <w:rPr>
                <w:rFonts w:eastAsia="Times New Roman"/>
              </w:rPr>
            </w:pPr>
          </w:p>
        </w:tc>
        <w:tc>
          <w:tcPr>
            <w:tcW w:w="1978" w:type="pct"/>
            <w:vAlign w:val="center"/>
            <w:hideMark/>
          </w:tcPr>
          <w:p w14:paraId="4A2D7A9C" w14:textId="77777777" w:rsidR="00000000" w:rsidRDefault="001A570A">
            <w:pPr>
              <w:rPr>
                <w:rFonts w:eastAsia="Times New Roman"/>
                <w:sz w:val="20"/>
                <w:szCs w:val="20"/>
              </w:rPr>
            </w:pPr>
          </w:p>
        </w:tc>
        <w:tc>
          <w:tcPr>
            <w:tcW w:w="5" w:type="pct"/>
            <w:vAlign w:val="center"/>
            <w:hideMark/>
          </w:tcPr>
          <w:p w14:paraId="4DC59760" w14:textId="77777777" w:rsidR="00000000" w:rsidRDefault="001A570A">
            <w:pPr>
              <w:rPr>
                <w:rFonts w:eastAsia="Times New Roman"/>
                <w:sz w:val="20"/>
                <w:szCs w:val="20"/>
              </w:rPr>
            </w:pPr>
          </w:p>
        </w:tc>
        <w:tc>
          <w:tcPr>
            <w:tcW w:w="50" w:type="pct"/>
            <w:vAlign w:val="center"/>
            <w:hideMark/>
          </w:tcPr>
          <w:p w14:paraId="304D1C83" w14:textId="77777777" w:rsidR="00000000" w:rsidRDefault="001A570A">
            <w:pPr>
              <w:rPr>
                <w:rFonts w:eastAsia="Times New Roman"/>
                <w:sz w:val="20"/>
                <w:szCs w:val="20"/>
              </w:rPr>
            </w:pPr>
          </w:p>
        </w:tc>
        <w:tc>
          <w:tcPr>
            <w:tcW w:w="663" w:type="pct"/>
            <w:vAlign w:val="center"/>
            <w:hideMark/>
          </w:tcPr>
          <w:p w14:paraId="194B90E1" w14:textId="77777777" w:rsidR="00000000" w:rsidRDefault="001A570A">
            <w:pPr>
              <w:rPr>
                <w:rFonts w:eastAsia="Times New Roman"/>
                <w:sz w:val="20"/>
                <w:szCs w:val="20"/>
              </w:rPr>
            </w:pPr>
          </w:p>
        </w:tc>
        <w:tc>
          <w:tcPr>
            <w:tcW w:w="5" w:type="pct"/>
            <w:vAlign w:val="center"/>
            <w:hideMark/>
          </w:tcPr>
          <w:p w14:paraId="0301BF90" w14:textId="77777777" w:rsidR="00000000" w:rsidRDefault="001A570A">
            <w:pPr>
              <w:rPr>
                <w:rFonts w:eastAsia="Times New Roman"/>
                <w:sz w:val="20"/>
                <w:szCs w:val="20"/>
              </w:rPr>
            </w:pPr>
          </w:p>
        </w:tc>
        <w:tc>
          <w:tcPr>
            <w:tcW w:w="5" w:type="pct"/>
            <w:vAlign w:val="center"/>
            <w:hideMark/>
          </w:tcPr>
          <w:p w14:paraId="751EB726" w14:textId="77777777" w:rsidR="00000000" w:rsidRDefault="001A570A">
            <w:pPr>
              <w:rPr>
                <w:rFonts w:eastAsia="Times New Roman"/>
                <w:sz w:val="20"/>
                <w:szCs w:val="20"/>
              </w:rPr>
            </w:pPr>
          </w:p>
        </w:tc>
        <w:tc>
          <w:tcPr>
            <w:tcW w:w="18" w:type="pct"/>
            <w:vAlign w:val="center"/>
            <w:hideMark/>
          </w:tcPr>
          <w:p w14:paraId="366523B8" w14:textId="77777777" w:rsidR="00000000" w:rsidRDefault="001A570A">
            <w:pPr>
              <w:rPr>
                <w:rFonts w:eastAsia="Times New Roman"/>
                <w:sz w:val="20"/>
                <w:szCs w:val="20"/>
              </w:rPr>
            </w:pPr>
          </w:p>
        </w:tc>
        <w:tc>
          <w:tcPr>
            <w:tcW w:w="5" w:type="pct"/>
            <w:vAlign w:val="center"/>
            <w:hideMark/>
          </w:tcPr>
          <w:p w14:paraId="61181E70" w14:textId="77777777" w:rsidR="00000000" w:rsidRDefault="001A570A">
            <w:pPr>
              <w:rPr>
                <w:rFonts w:eastAsia="Times New Roman"/>
                <w:sz w:val="20"/>
                <w:szCs w:val="20"/>
              </w:rPr>
            </w:pPr>
          </w:p>
        </w:tc>
        <w:tc>
          <w:tcPr>
            <w:tcW w:w="50" w:type="pct"/>
            <w:vAlign w:val="center"/>
            <w:hideMark/>
          </w:tcPr>
          <w:p w14:paraId="75548B4C" w14:textId="77777777" w:rsidR="00000000" w:rsidRDefault="001A570A">
            <w:pPr>
              <w:rPr>
                <w:rFonts w:eastAsia="Times New Roman"/>
                <w:sz w:val="20"/>
                <w:szCs w:val="20"/>
              </w:rPr>
            </w:pPr>
          </w:p>
        </w:tc>
        <w:tc>
          <w:tcPr>
            <w:tcW w:w="663" w:type="pct"/>
            <w:vAlign w:val="center"/>
            <w:hideMark/>
          </w:tcPr>
          <w:p w14:paraId="4770CFEE" w14:textId="77777777" w:rsidR="00000000" w:rsidRDefault="001A570A">
            <w:pPr>
              <w:rPr>
                <w:rFonts w:eastAsia="Times New Roman"/>
                <w:sz w:val="20"/>
                <w:szCs w:val="20"/>
              </w:rPr>
            </w:pPr>
          </w:p>
        </w:tc>
        <w:tc>
          <w:tcPr>
            <w:tcW w:w="5" w:type="pct"/>
            <w:vAlign w:val="center"/>
            <w:hideMark/>
          </w:tcPr>
          <w:p w14:paraId="4DE5B7E6" w14:textId="77777777" w:rsidR="00000000" w:rsidRDefault="001A570A">
            <w:pPr>
              <w:rPr>
                <w:rFonts w:eastAsia="Times New Roman"/>
                <w:sz w:val="20"/>
                <w:szCs w:val="20"/>
              </w:rPr>
            </w:pPr>
          </w:p>
        </w:tc>
        <w:tc>
          <w:tcPr>
            <w:tcW w:w="0" w:type="auto"/>
            <w:vAlign w:val="center"/>
            <w:hideMark/>
          </w:tcPr>
          <w:p w14:paraId="00CCD59D" w14:textId="77777777" w:rsidR="00000000" w:rsidRDefault="001A570A">
            <w:pPr>
              <w:rPr>
                <w:rFonts w:eastAsia="Times New Roman"/>
                <w:sz w:val="20"/>
                <w:szCs w:val="20"/>
              </w:rPr>
            </w:pPr>
          </w:p>
        </w:tc>
        <w:tc>
          <w:tcPr>
            <w:tcW w:w="0" w:type="auto"/>
            <w:vAlign w:val="center"/>
            <w:hideMark/>
          </w:tcPr>
          <w:p w14:paraId="4D2BA075" w14:textId="77777777" w:rsidR="00000000" w:rsidRDefault="001A570A">
            <w:pPr>
              <w:rPr>
                <w:rFonts w:eastAsia="Times New Roman"/>
                <w:sz w:val="20"/>
                <w:szCs w:val="20"/>
              </w:rPr>
            </w:pPr>
          </w:p>
        </w:tc>
        <w:tc>
          <w:tcPr>
            <w:tcW w:w="5" w:type="pct"/>
            <w:vAlign w:val="center"/>
            <w:hideMark/>
          </w:tcPr>
          <w:p w14:paraId="1DB779BB" w14:textId="77777777" w:rsidR="00000000" w:rsidRDefault="001A570A">
            <w:pPr>
              <w:rPr>
                <w:rFonts w:eastAsia="Times New Roman"/>
                <w:sz w:val="20"/>
                <w:szCs w:val="20"/>
              </w:rPr>
            </w:pPr>
          </w:p>
        </w:tc>
        <w:tc>
          <w:tcPr>
            <w:tcW w:w="25" w:type="pct"/>
            <w:vAlign w:val="center"/>
            <w:hideMark/>
          </w:tcPr>
          <w:p w14:paraId="22C5B5FB" w14:textId="77777777" w:rsidR="00000000" w:rsidRDefault="001A570A">
            <w:pPr>
              <w:rPr>
                <w:rFonts w:eastAsia="Times New Roman"/>
                <w:sz w:val="20"/>
                <w:szCs w:val="20"/>
              </w:rPr>
            </w:pPr>
          </w:p>
        </w:tc>
        <w:tc>
          <w:tcPr>
            <w:tcW w:w="5" w:type="pct"/>
            <w:vAlign w:val="center"/>
            <w:hideMark/>
          </w:tcPr>
          <w:p w14:paraId="15E316C2" w14:textId="77777777" w:rsidR="00000000" w:rsidRDefault="001A570A">
            <w:pPr>
              <w:rPr>
                <w:rFonts w:eastAsia="Times New Roman"/>
                <w:sz w:val="20"/>
                <w:szCs w:val="20"/>
              </w:rPr>
            </w:pPr>
          </w:p>
        </w:tc>
        <w:tc>
          <w:tcPr>
            <w:tcW w:w="50" w:type="pct"/>
            <w:vAlign w:val="center"/>
            <w:hideMark/>
          </w:tcPr>
          <w:p w14:paraId="43ECC946" w14:textId="77777777" w:rsidR="00000000" w:rsidRDefault="001A570A">
            <w:pPr>
              <w:rPr>
                <w:rFonts w:eastAsia="Times New Roman"/>
                <w:sz w:val="20"/>
                <w:szCs w:val="20"/>
              </w:rPr>
            </w:pPr>
          </w:p>
        </w:tc>
        <w:tc>
          <w:tcPr>
            <w:tcW w:w="663" w:type="pct"/>
            <w:vAlign w:val="center"/>
            <w:hideMark/>
          </w:tcPr>
          <w:p w14:paraId="6DF25021" w14:textId="77777777" w:rsidR="00000000" w:rsidRDefault="001A570A">
            <w:pPr>
              <w:rPr>
                <w:rFonts w:eastAsia="Times New Roman"/>
                <w:sz w:val="20"/>
                <w:szCs w:val="20"/>
              </w:rPr>
            </w:pPr>
          </w:p>
        </w:tc>
        <w:tc>
          <w:tcPr>
            <w:tcW w:w="5" w:type="pct"/>
            <w:vAlign w:val="center"/>
            <w:hideMark/>
          </w:tcPr>
          <w:p w14:paraId="03F8E9B1" w14:textId="77777777" w:rsidR="00000000" w:rsidRDefault="001A570A">
            <w:pPr>
              <w:rPr>
                <w:rFonts w:eastAsia="Times New Roman"/>
                <w:sz w:val="20"/>
                <w:szCs w:val="20"/>
              </w:rPr>
            </w:pPr>
          </w:p>
        </w:tc>
        <w:tc>
          <w:tcPr>
            <w:tcW w:w="5" w:type="pct"/>
            <w:vAlign w:val="center"/>
            <w:hideMark/>
          </w:tcPr>
          <w:p w14:paraId="7F29EDC2" w14:textId="77777777" w:rsidR="00000000" w:rsidRDefault="001A570A">
            <w:pPr>
              <w:rPr>
                <w:rFonts w:eastAsia="Times New Roman"/>
                <w:sz w:val="20"/>
                <w:szCs w:val="20"/>
              </w:rPr>
            </w:pPr>
          </w:p>
        </w:tc>
        <w:tc>
          <w:tcPr>
            <w:tcW w:w="18" w:type="pct"/>
            <w:vAlign w:val="center"/>
            <w:hideMark/>
          </w:tcPr>
          <w:p w14:paraId="0693301A" w14:textId="77777777" w:rsidR="00000000" w:rsidRDefault="001A570A">
            <w:pPr>
              <w:rPr>
                <w:rFonts w:eastAsia="Times New Roman"/>
                <w:sz w:val="20"/>
                <w:szCs w:val="20"/>
              </w:rPr>
            </w:pPr>
          </w:p>
        </w:tc>
        <w:tc>
          <w:tcPr>
            <w:tcW w:w="5" w:type="pct"/>
            <w:vAlign w:val="center"/>
            <w:hideMark/>
          </w:tcPr>
          <w:p w14:paraId="57A91C67" w14:textId="77777777" w:rsidR="00000000" w:rsidRDefault="001A570A">
            <w:pPr>
              <w:rPr>
                <w:rFonts w:eastAsia="Times New Roman"/>
                <w:sz w:val="20"/>
                <w:szCs w:val="20"/>
              </w:rPr>
            </w:pPr>
          </w:p>
        </w:tc>
        <w:tc>
          <w:tcPr>
            <w:tcW w:w="50" w:type="pct"/>
            <w:vAlign w:val="center"/>
            <w:hideMark/>
          </w:tcPr>
          <w:p w14:paraId="0DB375C9" w14:textId="77777777" w:rsidR="00000000" w:rsidRDefault="001A570A">
            <w:pPr>
              <w:rPr>
                <w:rFonts w:eastAsia="Times New Roman"/>
                <w:sz w:val="20"/>
                <w:szCs w:val="20"/>
              </w:rPr>
            </w:pPr>
          </w:p>
        </w:tc>
        <w:tc>
          <w:tcPr>
            <w:tcW w:w="663" w:type="pct"/>
            <w:vAlign w:val="center"/>
            <w:hideMark/>
          </w:tcPr>
          <w:p w14:paraId="38BA55BE" w14:textId="77777777" w:rsidR="00000000" w:rsidRDefault="001A570A">
            <w:pPr>
              <w:rPr>
                <w:rFonts w:eastAsia="Times New Roman"/>
                <w:sz w:val="20"/>
                <w:szCs w:val="20"/>
              </w:rPr>
            </w:pPr>
          </w:p>
        </w:tc>
        <w:tc>
          <w:tcPr>
            <w:tcW w:w="5" w:type="pct"/>
            <w:vAlign w:val="center"/>
            <w:hideMark/>
          </w:tcPr>
          <w:p w14:paraId="5F783CED" w14:textId="77777777" w:rsidR="00000000" w:rsidRDefault="001A570A">
            <w:pPr>
              <w:rPr>
                <w:rFonts w:eastAsia="Times New Roman"/>
                <w:sz w:val="20"/>
                <w:szCs w:val="20"/>
              </w:rPr>
            </w:pPr>
          </w:p>
        </w:tc>
        <w:tc>
          <w:tcPr>
            <w:tcW w:w="0" w:type="auto"/>
            <w:gridSpan w:val="3"/>
            <w:vAlign w:val="center"/>
            <w:hideMark/>
          </w:tcPr>
          <w:p w14:paraId="22C64750" w14:textId="77777777" w:rsidR="00000000" w:rsidRDefault="001A570A">
            <w:pPr>
              <w:rPr>
                <w:rFonts w:eastAsia="Times New Roman"/>
                <w:sz w:val="20"/>
                <w:szCs w:val="20"/>
              </w:rPr>
            </w:pPr>
          </w:p>
        </w:tc>
        <w:tc>
          <w:tcPr>
            <w:tcW w:w="0" w:type="auto"/>
            <w:gridSpan w:val="3"/>
            <w:vAlign w:val="center"/>
            <w:hideMark/>
          </w:tcPr>
          <w:p w14:paraId="2BAA7B2A" w14:textId="77777777" w:rsidR="00000000" w:rsidRDefault="001A570A">
            <w:pPr>
              <w:rPr>
                <w:rFonts w:eastAsia="Times New Roman"/>
                <w:sz w:val="20"/>
                <w:szCs w:val="20"/>
              </w:rPr>
            </w:pPr>
          </w:p>
        </w:tc>
      </w:tr>
      <w:tr w:rsidR="00000000" w14:paraId="098974D2" w14:textId="77777777">
        <w:trPr>
          <w:divId w:val="1062171016"/>
        </w:trPr>
        <w:tc>
          <w:tcPr>
            <w:tcW w:w="0" w:type="auto"/>
            <w:gridSpan w:val="3"/>
            <w:tcMar>
              <w:top w:w="0" w:type="dxa"/>
              <w:left w:w="20" w:type="dxa"/>
              <w:bottom w:w="0" w:type="dxa"/>
              <w:right w:w="20" w:type="dxa"/>
            </w:tcMar>
            <w:vAlign w:val="center"/>
            <w:hideMark/>
          </w:tcPr>
          <w:p w14:paraId="327A5CC6" w14:textId="77777777" w:rsidR="00000000" w:rsidRDefault="001A570A">
            <w:pPr>
              <w:rPr>
                <w:rFonts w:eastAsia="Times New Roman"/>
                <w:sz w:val="20"/>
                <w:szCs w:val="20"/>
              </w:rPr>
            </w:pPr>
          </w:p>
        </w:tc>
        <w:tc>
          <w:tcPr>
            <w:tcW w:w="0" w:type="auto"/>
            <w:gridSpan w:val="9"/>
            <w:tcMar>
              <w:top w:w="30" w:type="dxa"/>
              <w:left w:w="20" w:type="dxa"/>
              <w:bottom w:w="30" w:type="dxa"/>
              <w:right w:w="20" w:type="dxa"/>
            </w:tcMar>
            <w:vAlign w:val="bottom"/>
            <w:hideMark/>
          </w:tcPr>
          <w:p w14:paraId="1B45E449" w14:textId="77777777" w:rsidR="00000000" w:rsidRDefault="001A570A">
            <w:pPr>
              <w:jc w:val="center"/>
              <w:rPr>
                <w:rFonts w:eastAsia="Times New Roman"/>
              </w:rPr>
            </w:pPr>
            <w:r>
              <w:rPr>
                <w:rFonts w:eastAsia="Times New Roman"/>
                <w:b/>
                <w:bCs/>
                <w:color w:val="000000"/>
                <w:sz w:val="16"/>
                <w:szCs w:val="16"/>
              </w:rPr>
              <w:t>January 1, 2021</w:t>
            </w:r>
          </w:p>
        </w:tc>
        <w:tc>
          <w:tcPr>
            <w:tcW w:w="0" w:type="auto"/>
            <w:tcMar>
              <w:top w:w="0" w:type="dxa"/>
              <w:left w:w="20" w:type="dxa"/>
              <w:bottom w:w="0" w:type="dxa"/>
              <w:right w:w="20" w:type="dxa"/>
            </w:tcMar>
            <w:vAlign w:val="center"/>
            <w:hideMark/>
          </w:tcPr>
          <w:p w14:paraId="63537B84" w14:textId="77777777" w:rsidR="00000000" w:rsidRDefault="001A570A">
            <w:pPr>
              <w:jc w:val="center"/>
              <w:rPr>
                <w:rFonts w:eastAsia="Times New Roman"/>
              </w:rPr>
            </w:pPr>
          </w:p>
        </w:tc>
        <w:tc>
          <w:tcPr>
            <w:tcW w:w="0" w:type="auto"/>
            <w:gridSpan w:val="7"/>
            <w:tcMar>
              <w:top w:w="30" w:type="dxa"/>
              <w:left w:w="20" w:type="dxa"/>
              <w:bottom w:w="30" w:type="dxa"/>
              <w:right w:w="20" w:type="dxa"/>
            </w:tcMar>
            <w:vAlign w:val="bottom"/>
            <w:hideMark/>
          </w:tcPr>
          <w:p w14:paraId="14B65D3C"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332377F3" w14:textId="77777777" w:rsidR="00000000" w:rsidRDefault="001A570A">
            <w:pPr>
              <w:rPr>
                <w:rFonts w:eastAsia="Times New Roman"/>
                <w:sz w:val="20"/>
                <w:szCs w:val="20"/>
              </w:rPr>
            </w:pPr>
          </w:p>
        </w:tc>
        <w:tc>
          <w:tcPr>
            <w:tcW w:w="0" w:type="auto"/>
            <w:vAlign w:val="center"/>
            <w:hideMark/>
          </w:tcPr>
          <w:p w14:paraId="72BD851C" w14:textId="77777777" w:rsidR="00000000" w:rsidRDefault="001A570A">
            <w:pPr>
              <w:rPr>
                <w:rFonts w:eastAsia="Times New Roman"/>
                <w:sz w:val="20"/>
                <w:szCs w:val="20"/>
              </w:rPr>
            </w:pPr>
          </w:p>
        </w:tc>
        <w:tc>
          <w:tcPr>
            <w:tcW w:w="0" w:type="auto"/>
            <w:vAlign w:val="center"/>
            <w:hideMark/>
          </w:tcPr>
          <w:p w14:paraId="6BA86939" w14:textId="77777777" w:rsidR="00000000" w:rsidRDefault="001A570A">
            <w:pPr>
              <w:rPr>
                <w:rFonts w:eastAsia="Times New Roman"/>
                <w:sz w:val="20"/>
                <w:szCs w:val="20"/>
              </w:rPr>
            </w:pPr>
          </w:p>
        </w:tc>
        <w:tc>
          <w:tcPr>
            <w:tcW w:w="0" w:type="auto"/>
            <w:vAlign w:val="center"/>
            <w:hideMark/>
          </w:tcPr>
          <w:p w14:paraId="36D998D5" w14:textId="77777777" w:rsidR="00000000" w:rsidRDefault="001A570A">
            <w:pPr>
              <w:rPr>
                <w:rFonts w:eastAsia="Times New Roman"/>
                <w:sz w:val="20"/>
                <w:szCs w:val="20"/>
              </w:rPr>
            </w:pPr>
          </w:p>
        </w:tc>
        <w:tc>
          <w:tcPr>
            <w:tcW w:w="0" w:type="auto"/>
            <w:vAlign w:val="center"/>
            <w:hideMark/>
          </w:tcPr>
          <w:p w14:paraId="54C8F739" w14:textId="77777777" w:rsidR="00000000" w:rsidRDefault="001A570A">
            <w:pPr>
              <w:rPr>
                <w:rFonts w:eastAsia="Times New Roman"/>
                <w:sz w:val="20"/>
                <w:szCs w:val="20"/>
              </w:rPr>
            </w:pPr>
          </w:p>
        </w:tc>
        <w:tc>
          <w:tcPr>
            <w:tcW w:w="0" w:type="auto"/>
            <w:vAlign w:val="center"/>
            <w:hideMark/>
          </w:tcPr>
          <w:p w14:paraId="3CC1295D" w14:textId="77777777" w:rsidR="00000000" w:rsidRDefault="001A570A">
            <w:pPr>
              <w:rPr>
                <w:rFonts w:eastAsia="Times New Roman"/>
                <w:sz w:val="20"/>
                <w:szCs w:val="20"/>
              </w:rPr>
            </w:pPr>
          </w:p>
        </w:tc>
        <w:tc>
          <w:tcPr>
            <w:tcW w:w="0" w:type="auto"/>
            <w:vAlign w:val="center"/>
            <w:hideMark/>
          </w:tcPr>
          <w:p w14:paraId="595C9E97" w14:textId="77777777" w:rsidR="00000000" w:rsidRDefault="001A570A">
            <w:pPr>
              <w:rPr>
                <w:rFonts w:eastAsia="Times New Roman"/>
                <w:sz w:val="20"/>
                <w:szCs w:val="20"/>
              </w:rPr>
            </w:pPr>
          </w:p>
        </w:tc>
        <w:tc>
          <w:tcPr>
            <w:tcW w:w="0" w:type="auto"/>
            <w:vAlign w:val="center"/>
            <w:hideMark/>
          </w:tcPr>
          <w:p w14:paraId="513CDD79" w14:textId="77777777" w:rsidR="00000000" w:rsidRDefault="001A570A">
            <w:pPr>
              <w:rPr>
                <w:rFonts w:eastAsia="Times New Roman"/>
                <w:sz w:val="20"/>
                <w:szCs w:val="20"/>
              </w:rPr>
            </w:pPr>
          </w:p>
        </w:tc>
        <w:tc>
          <w:tcPr>
            <w:tcW w:w="0" w:type="auto"/>
            <w:vAlign w:val="center"/>
            <w:hideMark/>
          </w:tcPr>
          <w:p w14:paraId="270943E6" w14:textId="77777777" w:rsidR="00000000" w:rsidRDefault="001A570A">
            <w:pPr>
              <w:rPr>
                <w:rFonts w:eastAsia="Times New Roman"/>
                <w:sz w:val="20"/>
                <w:szCs w:val="20"/>
              </w:rPr>
            </w:pPr>
          </w:p>
        </w:tc>
        <w:tc>
          <w:tcPr>
            <w:tcW w:w="0" w:type="auto"/>
            <w:vAlign w:val="center"/>
            <w:hideMark/>
          </w:tcPr>
          <w:p w14:paraId="297E9956" w14:textId="77777777" w:rsidR="00000000" w:rsidRDefault="001A570A">
            <w:pPr>
              <w:rPr>
                <w:rFonts w:eastAsia="Times New Roman"/>
                <w:sz w:val="20"/>
                <w:szCs w:val="20"/>
              </w:rPr>
            </w:pPr>
          </w:p>
        </w:tc>
        <w:tc>
          <w:tcPr>
            <w:tcW w:w="0" w:type="auto"/>
            <w:vAlign w:val="center"/>
            <w:hideMark/>
          </w:tcPr>
          <w:p w14:paraId="78CD365B" w14:textId="77777777" w:rsidR="00000000" w:rsidRDefault="001A570A">
            <w:pPr>
              <w:rPr>
                <w:rFonts w:eastAsia="Times New Roman"/>
                <w:sz w:val="20"/>
                <w:szCs w:val="20"/>
              </w:rPr>
            </w:pPr>
          </w:p>
        </w:tc>
        <w:tc>
          <w:tcPr>
            <w:tcW w:w="0" w:type="auto"/>
            <w:vAlign w:val="center"/>
            <w:hideMark/>
          </w:tcPr>
          <w:p w14:paraId="73AB3126" w14:textId="77777777" w:rsidR="00000000" w:rsidRDefault="001A570A">
            <w:pPr>
              <w:rPr>
                <w:rFonts w:eastAsia="Times New Roman"/>
                <w:sz w:val="20"/>
                <w:szCs w:val="20"/>
              </w:rPr>
            </w:pPr>
          </w:p>
        </w:tc>
      </w:tr>
      <w:tr w:rsidR="00000000" w14:paraId="01732BA7" w14:textId="77777777">
        <w:trPr>
          <w:divId w:val="1062171016"/>
        </w:trPr>
        <w:tc>
          <w:tcPr>
            <w:tcW w:w="0" w:type="auto"/>
            <w:gridSpan w:val="3"/>
            <w:tcMar>
              <w:top w:w="30" w:type="dxa"/>
              <w:left w:w="20" w:type="dxa"/>
              <w:bottom w:w="30" w:type="dxa"/>
              <w:right w:w="20" w:type="dxa"/>
            </w:tcMar>
            <w:vAlign w:val="bottom"/>
            <w:hideMark/>
          </w:tcPr>
          <w:p w14:paraId="7953530F"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CA65E30"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6578151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CE7317"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vAlign w:val="center"/>
            <w:hideMark/>
          </w:tcPr>
          <w:p w14:paraId="6D2221BA" w14:textId="77777777" w:rsidR="00000000" w:rsidRDefault="001A570A">
            <w:pPr>
              <w:jc w:val="center"/>
              <w:rPr>
                <w:rFonts w:eastAsia="Times New Roman"/>
              </w:rPr>
            </w:pPr>
          </w:p>
        </w:tc>
        <w:tc>
          <w:tcPr>
            <w:tcW w:w="0" w:type="auto"/>
            <w:vAlign w:val="center"/>
            <w:hideMark/>
          </w:tcPr>
          <w:p w14:paraId="5174DDB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B6BC7EC"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0E172EA"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24024E1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B2626"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gridSpan w:val="3"/>
            <w:vAlign w:val="center"/>
            <w:hideMark/>
          </w:tcPr>
          <w:p w14:paraId="1A732618" w14:textId="77777777" w:rsidR="00000000" w:rsidRDefault="001A570A">
            <w:pPr>
              <w:jc w:val="center"/>
              <w:rPr>
                <w:rFonts w:eastAsia="Times New Roman"/>
              </w:rPr>
            </w:pPr>
          </w:p>
        </w:tc>
        <w:tc>
          <w:tcPr>
            <w:tcW w:w="0" w:type="auto"/>
            <w:gridSpan w:val="3"/>
            <w:vAlign w:val="center"/>
            <w:hideMark/>
          </w:tcPr>
          <w:p w14:paraId="4E893997" w14:textId="77777777" w:rsidR="00000000" w:rsidRDefault="001A570A">
            <w:pPr>
              <w:rPr>
                <w:rFonts w:eastAsia="Times New Roman"/>
                <w:sz w:val="20"/>
                <w:szCs w:val="20"/>
              </w:rPr>
            </w:pPr>
          </w:p>
        </w:tc>
      </w:tr>
      <w:tr w:rsidR="00000000" w14:paraId="164A26FB" w14:textId="77777777">
        <w:trPr>
          <w:divId w:val="1062171016"/>
          <w:trHeight w:val="60"/>
        </w:trPr>
        <w:tc>
          <w:tcPr>
            <w:tcW w:w="0" w:type="auto"/>
            <w:gridSpan w:val="3"/>
            <w:tcMar>
              <w:top w:w="0" w:type="dxa"/>
              <w:left w:w="20" w:type="dxa"/>
              <w:bottom w:w="0" w:type="dxa"/>
              <w:right w:w="20" w:type="dxa"/>
            </w:tcMar>
            <w:vAlign w:val="center"/>
            <w:hideMark/>
          </w:tcPr>
          <w:p w14:paraId="3A5E585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6F138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04D5A9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993B4E" w14:textId="77777777" w:rsidR="00000000" w:rsidRDefault="001A570A">
            <w:pPr>
              <w:rPr>
                <w:rFonts w:eastAsia="Times New Roman"/>
                <w:sz w:val="20"/>
                <w:szCs w:val="20"/>
              </w:rPr>
            </w:pPr>
          </w:p>
        </w:tc>
        <w:tc>
          <w:tcPr>
            <w:tcW w:w="0" w:type="auto"/>
            <w:vAlign w:val="center"/>
            <w:hideMark/>
          </w:tcPr>
          <w:p w14:paraId="0B85011F" w14:textId="77777777" w:rsidR="00000000" w:rsidRDefault="001A570A">
            <w:pPr>
              <w:rPr>
                <w:rFonts w:eastAsia="Times New Roman"/>
                <w:sz w:val="20"/>
                <w:szCs w:val="20"/>
              </w:rPr>
            </w:pPr>
          </w:p>
        </w:tc>
        <w:tc>
          <w:tcPr>
            <w:tcW w:w="0" w:type="auto"/>
            <w:vAlign w:val="center"/>
            <w:hideMark/>
          </w:tcPr>
          <w:p w14:paraId="0888B75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FED429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2176F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ADE04B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67237C" w14:textId="77777777" w:rsidR="00000000" w:rsidRDefault="001A570A">
            <w:pPr>
              <w:rPr>
                <w:rFonts w:eastAsia="Times New Roman"/>
                <w:sz w:val="20"/>
                <w:szCs w:val="20"/>
              </w:rPr>
            </w:pPr>
          </w:p>
        </w:tc>
        <w:tc>
          <w:tcPr>
            <w:tcW w:w="0" w:type="auto"/>
            <w:gridSpan w:val="3"/>
            <w:vAlign w:val="center"/>
            <w:hideMark/>
          </w:tcPr>
          <w:p w14:paraId="79C951CA" w14:textId="77777777" w:rsidR="00000000" w:rsidRDefault="001A570A">
            <w:pPr>
              <w:rPr>
                <w:rFonts w:eastAsia="Times New Roman"/>
                <w:sz w:val="20"/>
                <w:szCs w:val="20"/>
              </w:rPr>
            </w:pPr>
          </w:p>
        </w:tc>
        <w:tc>
          <w:tcPr>
            <w:tcW w:w="0" w:type="auto"/>
            <w:gridSpan w:val="3"/>
            <w:vAlign w:val="center"/>
            <w:hideMark/>
          </w:tcPr>
          <w:p w14:paraId="3B53BB6D" w14:textId="77777777" w:rsidR="00000000" w:rsidRDefault="001A570A">
            <w:pPr>
              <w:rPr>
                <w:rFonts w:eastAsia="Times New Roman"/>
                <w:sz w:val="20"/>
                <w:szCs w:val="20"/>
              </w:rPr>
            </w:pPr>
          </w:p>
        </w:tc>
      </w:tr>
      <w:tr w:rsidR="00000000" w14:paraId="39E4EA32" w14:textId="77777777">
        <w:trPr>
          <w:divId w:val="1062171016"/>
        </w:trPr>
        <w:tc>
          <w:tcPr>
            <w:tcW w:w="0" w:type="auto"/>
            <w:gridSpan w:val="3"/>
            <w:shd w:val="clear" w:color="auto" w:fill="CCEEFF"/>
            <w:tcMar>
              <w:top w:w="30" w:type="dxa"/>
              <w:left w:w="20" w:type="dxa"/>
              <w:bottom w:w="30" w:type="dxa"/>
              <w:right w:w="20" w:type="dxa"/>
            </w:tcMar>
            <w:hideMark/>
          </w:tcPr>
          <w:p w14:paraId="35C6319E" w14:textId="77777777" w:rsidR="00000000" w:rsidRDefault="001A570A">
            <w:pPr>
              <w:rPr>
                <w:rFonts w:eastAsia="Times New Roman"/>
              </w:rPr>
            </w:pPr>
            <w:r>
              <w:rPr>
                <w:rFonts w:eastAsia="Times New Roman"/>
                <w:color w:val="000000"/>
                <w:sz w:val="20"/>
                <w:szCs w:val="20"/>
              </w:rPr>
              <w:t>Accumulated benefit obligation</w:t>
            </w:r>
          </w:p>
        </w:tc>
        <w:tc>
          <w:tcPr>
            <w:tcW w:w="0" w:type="auto"/>
            <w:shd w:val="clear" w:color="auto" w:fill="CCEEFF"/>
            <w:tcMar>
              <w:top w:w="30" w:type="dxa"/>
              <w:left w:w="20" w:type="dxa"/>
              <w:bottom w:w="30" w:type="dxa"/>
              <w:right w:w="0" w:type="dxa"/>
            </w:tcMar>
            <w:vAlign w:val="bottom"/>
            <w:hideMark/>
          </w:tcPr>
          <w:p w14:paraId="0F6A4A5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BB30AE6" w14:textId="77777777" w:rsidR="00000000" w:rsidRDefault="001A570A">
            <w:pPr>
              <w:jc w:val="right"/>
              <w:rPr>
                <w:rFonts w:eastAsia="Times New Roman"/>
              </w:rPr>
            </w:pPr>
            <w:r>
              <w:rPr>
                <w:rFonts w:eastAsia="Times New Roman"/>
                <w:color w:val="000000"/>
                <w:sz w:val="20"/>
                <w:szCs w:val="20"/>
              </w:rPr>
              <w:t>10,469 </w:t>
            </w:r>
          </w:p>
        </w:tc>
        <w:tc>
          <w:tcPr>
            <w:tcW w:w="0" w:type="auto"/>
            <w:shd w:val="clear" w:color="auto" w:fill="CCEEFF"/>
            <w:tcMar>
              <w:top w:w="30" w:type="dxa"/>
              <w:left w:w="0" w:type="dxa"/>
              <w:bottom w:w="30" w:type="dxa"/>
              <w:right w:w="20" w:type="dxa"/>
            </w:tcMar>
            <w:vAlign w:val="bottom"/>
            <w:hideMark/>
          </w:tcPr>
          <w:p w14:paraId="1EB6203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E2E1A"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13B72A9" w14:textId="77777777" w:rsidR="00000000" w:rsidRDefault="001A570A">
            <w:pPr>
              <w:jc w:val="right"/>
              <w:rPr>
                <w:rFonts w:eastAsia="Times New Roman"/>
              </w:rPr>
            </w:pPr>
            <w:r>
              <w:rPr>
                <w:rFonts w:eastAsia="Times New Roman"/>
                <w:color w:val="000000"/>
                <w:sz w:val="20"/>
                <w:szCs w:val="20"/>
              </w:rPr>
              <w:t>N/A</w:t>
            </w:r>
          </w:p>
        </w:tc>
        <w:tc>
          <w:tcPr>
            <w:tcW w:w="0" w:type="auto"/>
            <w:vAlign w:val="center"/>
            <w:hideMark/>
          </w:tcPr>
          <w:p w14:paraId="10AAA7B9" w14:textId="77777777" w:rsidR="00000000" w:rsidRDefault="001A570A">
            <w:pPr>
              <w:jc w:val="right"/>
              <w:rPr>
                <w:rFonts w:eastAsia="Times New Roman"/>
              </w:rPr>
            </w:pPr>
          </w:p>
        </w:tc>
        <w:tc>
          <w:tcPr>
            <w:tcW w:w="0" w:type="auto"/>
            <w:vAlign w:val="center"/>
            <w:hideMark/>
          </w:tcPr>
          <w:p w14:paraId="7DF10E1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B676CD" w14:textId="77777777" w:rsidR="00000000" w:rsidRDefault="001A570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F8666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7E0FCE" w14:textId="77777777" w:rsidR="00000000" w:rsidRDefault="001A570A">
            <w:pPr>
              <w:jc w:val="right"/>
              <w:rPr>
                <w:rFonts w:eastAsia="Times New Roman"/>
              </w:rPr>
            </w:pPr>
            <w:r>
              <w:rPr>
                <w:rFonts w:eastAsia="Times New Roman"/>
                <w:color w:val="000000"/>
                <w:sz w:val="20"/>
                <w:szCs w:val="20"/>
              </w:rPr>
              <w:t>9,656 </w:t>
            </w:r>
          </w:p>
        </w:tc>
        <w:tc>
          <w:tcPr>
            <w:tcW w:w="0" w:type="auto"/>
            <w:shd w:val="clear" w:color="auto" w:fill="CCEEFF"/>
            <w:tcMar>
              <w:top w:w="30" w:type="dxa"/>
              <w:left w:w="0" w:type="dxa"/>
              <w:bottom w:w="30" w:type="dxa"/>
              <w:right w:w="20" w:type="dxa"/>
            </w:tcMar>
            <w:vAlign w:val="bottom"/>
            <w:hideMark/>
          </w:tcPr>
          <w:p w14:paraId="3431321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C9265"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069234E" w14:textId="77777777" w:rsidR="00000000" w:rsidRDefault="001A570A">
            <w:pPr>
              <w:jc w:val="right"/>
              <w:rPr>
                <w:rFonts w:eastAsia="Times New Roman"/>
              </w:rPr>
            </w:pPr>
            <w:r>
              <w:rPr>
                <w:rFonts w:eastAsia="Times New Roman"/>
                <w:color w:val="000000"/>
                <w:sz w:val="20"/>
                <w:szCs w:val="20"/>
              </w:rPr>
              <w:t>N/A</w:t>
            </w:r>
          </w:p>
        </w:tc>
        <w:tc>
          <w:tcPr>
            <w:tcW w:w="0" w:type="auto"/>
            <w:gridSpan w:val="3"/>
            <w:vAlign w:val="center"/>
            <w:hideMark/>
          </w:tcPr>
          <w:p w14:paraId="7C7C2F6A" w14:textId="77777777" w:rsidR="00000000" w:rsidRDefault="001A570A">
            <w:pPr>
              <w:jc w:val="right"/>
              <w:rPr>
                <w:rFonts w:eastAsia="Times New Roman"/>
              </w:rPr>
            </w:pPr>
          </w:p>
        </w:tc>
        <w:tc>
          <w:tcPr>
            <w:tcW w:w="0" w:type="auto"/>
            <w:gridSpan w:val="3"/>
            <w:vAlign w:val="center"/>
            <w:hideMark/>
          </w:tcPr>
          <w:p w14:paraId="4333EBAB" w14:textId="77777777" w:rsidR="00000000" w:rsidRDefault="001A570A">
            <w:pPr>
              <w:rPr>
                <w:rFonts w:eastAsia="Times New Roman"/>
                <w:sz w:val="20"/>
                <w:szCs w:val="20"/>
              </w:rPr>
            </w:pPr>
          </w:p>
        </w:tc>
      </w:tr>
      <w:tr w:rsidR="00000000" w14:paraId="4009117B" w14:textId="77777777">
        <w:trPr>
          <w:divId w:val="1062171016"/>
        </w:trPr>
        <w:tc>
          <w:tcPr>
            <w:tcW w:w="0" w:type="auto"/>
            <w:gridSpan w:val="3"/>
            <w:shd w:val="clear" w:color="auto" w:fill="FFFFFF"/>
            <w:tcMar>
              <w:top w:w="30" w:type="dxa"/>
              <w:left w:w="20" w:type="dxa"/>
              <w:bottom w:w="30" w:type="dxa"/>
              <w:right w:w="20" w:type="dxa"/>
            </w:tcMar>
            <w:hideMark/>
          </w:tcPr>
          <w:p w14:paraId="1DF9494C" w14:textId="77777777" w:rsidR="00000000" w:rsidRDefault="001A570A">
            <w:pPr>
              <w:rPr>
                <w:rFonts w:eastAsia="Times New Roman"/>
              </w:rPr>
            </w:pPr>
            <w:r>
              <w:rPr>
                <w:rFonts w:eastAsia="Times New Roman"/>
                <w:color w:val="000000"/>
                <w:sz w:val="20"/>
                <w:szCs w:val="20"/>
              </w:rPr>
              <w:t>Fair value of plan assets</w:t>
            </w:r>
          </w:p>
        </w:tc>
        <w:tc>
          <w:tcPr>
            <w:tcW w:w="0" w:type="auto"/>
            <w:gridSpan w:val="2"/>
            <w:shd w:val="clear" w:color="auto" w:fill="FFFFFF"/>
            <w:tcMar>
              <w:top w:w="30" w:type="dxa"/>
              <w:left w:w="20" w:type="dxa"/>
              <w:bottom w:w="30" w:type="dxa"/>
              <w:right w:w="0" w:type="dxa"/>
            </w:tcMar>
            <w:vAlign w:val="bottom"/>
            <w:hideMark/>
          </w:tcPr>
          <w:p w14:paraId="7F7DA6DF" w14:textId="77777777" w:rsidR="00000000" w:rsidRDefault="001A570A">
            <w:pPr>
              <w:jc w:val="right"/>
              <w:rPr>
                <w:rFonts w:eastAsia="Times New Roman"/>
              </w:rPr>
            </w:pPr>
            <w:r>
              <w:rPr>
                <w:rFonts w:eastAsia="Times New Roman"/>
                <w:color w:val="000000"/>
                <w:sz w:val="20"/>
                <w:szCs w:val="20"/>
              </w:rPr>
              <w:t>8,658 </w:t>
            </w:r>
          </w:p>
        </w:tc>
        <w:tc>
          <w:tcPr>
            <w:tcW w:w="0" w:type="auto"/>
            <w:shd w:val="clear" w:color="auto" w:fill="FFFFFF"/>
            <w:tcMar>
              <w:top w:w="30" w:type="dxa"/>
              <w:left w:w="0" w:type="dxa"/>
              <w:bottom w:w="30" w:type="dxa"/>
              <w:right w:w="20" w:type="dxa"/>
            </w:tcMar>
            <w:vAlign w:val="bottom"/>
            <w:hideMark/>
          </w:tcPr>
          <w:p w14:paraId="1277B7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5E88E"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EA754F7" w14:textId="77777777" w:rsidR="00000000" w:rsidRDefault="001A570A">
            <w:pPr>
              <w:jc w:val="right"/>
              <w:rPr>
                <w:rFonts w:eastAsia="Times New Roman"/>
              </w:rPr>
            </w:pPr>
            <w:r>
              <w:rPr>
                <w:rFonts w:eastAsia="Times New Roman"/>
                <w:color w:val="000000"/>
                <w:sz w:val="20"/>
                <w:szCs w:val="20"/>
              </w:rPr>
              <w:t>N/A</w:t>
            </w:r>
          </w:p>
        </w:tc>
        <w:tc>
          <w:tcPr>
            <w:tcW w:w="0" w:type="auto"/>
            <w:vAlign w:val="center"/>
            <w:hideMark/>
          </w:tcPr>
          <w:p w14:paraId="74738F93" w14:textId="77777777" w:rsidR="00000000" w:rsidRDefault="001A570A">
            <w:pPr>
              <w:jc w:val="right"/>
              <w:rPr>
                <w:rFonts w:eastAsia="Times New Roman"/>
              </w:rPr>
            </w:pPr>
          </w:p>
        </w:tc>
        <w:tc>
          <w:tcPr>
            <w:tcW w:w="0" w:type="auto"/>
            <w:vAlign w:val="center"/>
            <w:hideMark/>
          </w:tcPr>
          <w:p w14:paraId="1057E06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47CB53"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FD9B6" w14:textId="77777777" w:rsidR="00000000" w:rsidRDefault="001A570A">
            <w:pPr>
              <w:jc w:val="right"/>
              <w:rPr>
                <w:rFonts w:eastAsia="Times New Roman"/>
              </w:rPr>
            </w:pPr>
            <w:r>
              <w:rPr>
                <w:rFonts w:eastAsia="Times New Roman"/>
                <w:color w:val="000000"/>
                <w:sz w:val="20"/>
                <w:szCs w:val="20"/>
              </w:rPr>
              <w:t>7,931 </w:t>
            </w:r>
          </w:p>
        </w:tc>
        <w:tc>
          <w:tcPr>
            <w:tcW w:w="0" w:type="auto"/>
            <w:shd w:val="clear" w:color="auto" w:fill="FFFFFF"/>
            <w:tcMar>
              <w:top w:w="30" w:type="dxa"/>
              <w:left w:w="0" w:type="dxa"/>
              <w:bottom w:w="30" w:type="dxa"/>
              <w:right w:w="20" w:type="dxa"/>
            </w:tcMar>
            <w:vAlign w:val="bottom"/>
            <w:hideMark/>
          </w:tcPr>
          <w:p w14:paraId="215FFB8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2214B"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604289D" w14:textId="77777777" w:rsidR="00000000" w:rsidRDefault="001A570A">
            <w:pPr>
              <w:jc w:val="right"/>
              <w:rPr>
                <w:rFonts w:eastAsia="Times New Roman"/>
              </w:rPr>
            </w:pPr>
            <w:r>
              <w:rPr>
                <w:rFonts w:eastAsia="Times New Roman"/>
                <w:color w:val="000000"/>
                <w:sz w:val="20"/>
                <w:szCs w:val="20"/>
              </w:rPr>
              <w:t>N/A</w:t>
            </w:r>
          </w:p>
        </w:tc>
        <w:tc>
          <w:tcPr>
            <w:tcW w:w="0" w:type="auto"/>
            <w:gridSpan w:val="3"/>
            <w:vAlign w:val="center"/>
            <w:hideMark/>
          </w:tcPr>
          <w:p w14:paraId="7896FE4D" w14:textId="77777777" w:rsidR="00000000" w:rsidRDefault="001A570A">
            <w:pPr>
              <w:jc w:val="right"/>
              <w:rPr>
                <w:rFonts w:eastAsia="Times New Roman"/>
              </w:rPr>
            </w:pPr>
          </w:p>
        </w:tc>
        <w:tc>
          <w:tcPr>
            <w:tcW w:w="0" w:type="auto"/>
            <w:gridSpan w:val="3"/>
            <w:vAlign w:val="center"/>
            <w:hideMark/>
          </w:tcPr>
          <w:p w14:paraId="53A6C60F" w14:textId="77777777" w:rsidR="00000000" w:rsidRDefault="001A570A">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285"/>
        <w:gridCol w:w="144"/>
        <w:gridCol w:w="144"/>
        <w:gridCol w:w="1101"/>
        <w:gridCol w:w="144"/>
        <w:gridCol w:w="144"/>
        <w:gridCol w:w="144"/>
        <w:gridCol w:w="144"/>
        <w:gridCol w:w="144"/>
        <w:gridCol w:w="1101"/>
        <w:gridCol w:w="144"/>
        <w:gridCol w:w="480"/>
        <w:gridCol w:w="1440"/>
        <w:gridCol w:w="144"/>
        <w:gridCol w:w="144"/>
        <w:gridCol w:w="144"/>
        <w:gridCol w:w="144"/>
        <w:gridCol w:w="1101"/>
        <w:gridCol w:w="144"/>
        <w:gridCol w:w="144"/>
        <w:gridCol w:w="144"/>
        <w:gridCol w:w="144"/>
        <w:gridCol w:w="144"/>
        <w:gridCol w:w="1101"/>
        <w:gridCol w:w="144"/>
        <w:gridCol w:w="160"/>
        <w:gridCol w:w="160"/>
        <w:gridCol w:w="160"/>
        <w:gridCol w:w="480"/>
        <w:gridCol w:w="480"/>
        <w:gridCol w:w="480"/>
      </w:tblGrid>
      <w:tr w:rsidR="00000000" w14:paraId="689C0550" w14:textId="77777777">
        <w:tc>
          <w:tcPr>
            <w:tcW w:w="50" w:type="pct"/>
            <w:vAlign w:val="center"/>
            <w:hideMark/>
          </w:tcPr>
          <w:p w14:paraId="36F061F8" w14:textId="77777777" w:rsidR="00000000" w:rsidRDefault="001A570A">
            <w:pPr>
              <w:rPr>
                <w:rFonts w:eastAsia="Times New Roman"/>
              </w:rPr>
            </w:pPr>
          </w:p>
        </w:tc>
        <w:tc>
          <w:tcPr>
            <w:tcW w:w="1978" w:type="pct"/>
            <w:vAlign w:val="center"/>
            <w:hideMark/>
          </w:tcPr>
          <w:p w14:paraId="3EEB291B" w14:textId="77777777" w:rsidR="00000000" w:rsidRDefault="001A570A">
            <w:pPr>
              <w:rPr>
                <w:rFonts w:eastAsia="Times New Roman"/>
                <w:sz w:val="20"/>
                <w:szCs w:val="20"/>
              </w:rPr>
            </w:pPr>
          </w:p>
        </w:tc>
        <w:tc>
          <w:tcPr>
            <w:tcW w:w="5" w:type="pct"/>
            <w:vAlign w:val="center"/>
            <w:hideMark/>
          </w:tcPr>
          <w:p w14:paraId="5E94CB9F" w14:textId="77777777" w:rsidR="00000000" w:rsidRDefault="001A570A">
            <w:pPr>
              <w:rPr>
                <w:rFonts w:eastAsia="Times New Roman"/>
                <w:sz w:val="20"/>
                <w:szCs w:val="20"/>
              </w:rPr>
            </w:pPr>
          </w:p>
        </w:tc>
        <w:tc>
          <w:tcPr>
            <w:tcW w:w="50" w:type="pct"/>
            <w:vAlign w:val="center"/>
            <w:hideMark/>
          </w:tcPr>
          <w:p w14:paraId="0D54724C" w14:textId="77777777" w:rsidR="00000000" w:rsidRDefault="001A570A">
            <w:pPr>
              <w:rPr>
                <w:rFonts w:eastAsia="Times New Roman"/>
                <w:sz w:val="20"/>
                <w:szCs w:val="20"/>
              </w:rPr>
            </w:pPr>
          </w:p>
        </w:tc>
        <w:tc>
          <w:tcPr>
            <w:tcW w:w="663" w:type="pct"/>
            <w:vAlign w:val="center"/>
            <w:hideMark/>
          </w:tcPr>
          <w:p w14:paraId="7BB197C9" w14:textId="77777777" w:rsidR="00000000" w:rsidRDefault="001A570A">
            <w:pPr>
              <w:rPr>
                <w:rFonts w:eastAsia="Times New Roman"/>
                <w:sz w:val="20"/>
                <w:szCs w:val="20"/>
              </w:rPr>
            </w:pPr>
          </w:p>
        </w:tc>
        <w:tc>
          <w:tcPr>
            <w:tcW w:w="5" w:type="pct"/>
            <w:vAlign w:val="center"/>
            <w:hideMark/>
          </w:tcPr>
          <w:p w14:paraId="6718F37A" w14:textId="77777777" w:rsidR="00000000" w:rsidRDefault="001A570A">
            <w:pPr>
              <w:rPr>
                <w:rFonts w:eastAsia="Times New Roman"/>
                <w:sz w:val="20"/>
                <w:szCs w:val="20"/>
              </w:rPr>
            </w:pPr>
          </w:p>
        </w:tc>
        <w:tc>
          <w:tcPr>
            <w:tcW w:w="5" w:type="pct"/>
            <w:vAlign w:val="center"/>
            <w:hideMark/>
          </w:tcPr>
          <w:p w14:paraId="43417A18" w14:textId="77777777" w:rsidR="00000000" w:rsidRDefault="001A570A">
            <w:pPr>
              <w:rPr>
                <w:rFonts w:eastAsia="Times New Roman"/>
                <w:sz w:val="20"/>
                <w:szCs w:val="20"/>
              </w:rPr>
            </w:pPr>
          </w:p>
        </w:tc>
        <w:tc>
          <w:tcPr>
            <w:tcW w:w="18" w:type="pct"/>
            <w:vAlign w:val="center"/>
            <w:hideMark/>
          </w:tcPr>
          <w:p w14:paraId="41F5BE57" w14:textId="77777777" w:rsidR="00000000" w:rsidRDefault="001A570A">
            <w:pPr>
              <w:rPr>
                <w:rFonts w:eastAsia="Times New Roman"/>
                <w:sz w:val="20"/>
                <w:szCs w:val="20"/>
              </w:rPr>
            </w:pPr>
          </w:p>
        </w:tc>
        <w:tc>
          <w:tcPr>
            <w:tcW w:w="5" w:type="pct"/>
            <w:vAlign w:val="center"/>
            <w:hideMark/>
          </w:tcPr>
          <w:p w14:paraId="0B93DE5C" w14:textId="77777777" w:rsidR="00000000" w:rsidRDefault="001A570A">
            <w:pPr>
              <w:rPr>
                <w:rFonts w:eastAsia="Times New Roman"/>
                <w:sz w:val="20"/>
                <w:szCs w:val="20"/>
              </w:rPr>
            </w:pPr>
          </w:p>
        </w:tc>
        <w:tc>
          <w:tcPr>
            <w:tcW w:w="50" w:type="pct"/>
            <w:vAlign w:val="center"/>
            <w:hideMark/>
          </w:tcPr>
          <w:p w14:paraId="42C61F3A" w14:textId="77777777" w:rsidR="00000000" w:rsidRDefault="001A570A">
            <w:pPr>
              <w:rPr>
                <w:rFonts w:eastAsia="Times New Roman"/>
                <w:sz w:val="20"/>
                <w:szCs w:val="20"/>
              </w:rPr>
            </w:pPr>
          </w:p>
        </w:tc>
        <w:tc>
          <w:tcPr>
            <w:tcW w:w="663" w:type="pct"/>
            <w:vAlign w:val="center"/>
            <w:hideMark/>
          </w:tcPr>
          <w:p w14:paraId="45A8C990" w14:textId="77777777" w:rsidR="00000000" w:rsidRDefault="001A570A">
            <w:pPr>
              <w:rPr>
                <w:rFonts w:eastAsia="Times New Roman"/>
                <w:sz w:val="20"/>
                <w:szCs w:val="20"/>
              </w:rPr>
            </w:pPr>
          </w:p>
        </w:tc>
        <w:tc>
          <w:tcPr>
            <w:tcW w:w="5" w:type="pct"/>
            <w:vAlign w:val="center"/>
            <w:hideMark/>
          </w:tcPr>
          <w:p w14:paraId="77497CD0" w14:textId="77777777" w:rsidR="00000000" w:rsidRDefault="001A570A">
            <w:pPr>
              <w:rPr>
                <w:rFonts w:eastAsia="Times New Roman"/>
                <w:sz w:val="20"/>
                <w:szCs w:val="20"/>
              </w:rPr>
            </w:pPr>
          </w:p>
        </w:tc>
        <w:tc>
          <w:tcPr>
            <w:tcW w:w="0" w:type="auto"/>
            <w:vAlign w:val="center"/>
            <w:hideMark/>
          </w:tcPr>
          <w:p w14:paraId="59464028" w14:textId="77777777" w:rsidR="00000000" w:rsidRDefault="001A570A">
            <w:pPr>
              <w:rPr>
                <w:rFonts w:eastAsia="Times New Roman"/>
                <w:sz w:val="20"/>
                <w:szCs w:val="20"/>
              </w:rPr>
            </w:pPr>
          </w:p>
        </w:tc>
        <w:tc>
          <w:tcPr>
            <w:tcW w:w="0" w:type="auto"/>
            <w:vAlign w:val="center"/>
            <w:hideMark/>
          </w:tcPr>
          <w:p w14:paraId="77181D76" w14:textId="77777777" w:rsidR="00000000" w:rsidRDefault="001A570A">
            <w:pPr>
              <w:rPr>
                <w:rFonts w:eastAsia="Times New Roman"/>
                <w:sz w:val="20"/>
                <w:szCs w:val="20"/>
              </w:rPr>
            </w:pPr>
          </w:p>
        </w:tc>
        <w:tc>
          <w:tcPr>
            <w:tcW w:w="5" w:type="pct"/>
            <w:vAlign w:val="center"/>
            <w:hideMark/>
          </w:tcPr>
          <w:p w14:paraId="732F3D63" w14:textId="77777777" w:rsidR="00000000" w:rsidRDefault="001A570A">
            <w:pPr>
              <w:rPr>
                <w:rFonts w:eastAsia="Times New Roman"/>
                <w:sz w:val="20"/>
                <w:szCs w:val="20"/>
              </w:rPr>
            </w:pPr>
          </w:p>
        </w:tc>
        <w:tc>
          <w:tcPr>
            <w:tcW w:w="25" w:type="pct"/>
            <w:vAlign w:val="center"/>
            <w:hideMark/>
          </w:tcPr>
          <w:p w14:paraId="7652F32D" w14:textId="77777777" w:rsidR="00000000" w:rsidRDefault="001A570A">
            <w:pPr>
              <w:rPr>
                <w:rFonts w:eastAsia="Times New Roman"/>
                <w:sz w:val="20"/>
                <w:szCs w:val="20"/>
              </w:rPr>
            </w:pPr>
          </w:p>
        </w:tc>
        <w:tc>
          <w:tcPr>
            <w:tcW w:w="5" w:type="pct"/>
            <w:vAlign w:val="center"/>
            <w:hideMark/>
          </w:tcPr>
          <w:p w14:paraId="6747FB0F" w14:textId="77777777" w:rsidR="00000000" w:rsidRDefault="001A570A">
            <w:pPr>
              <w:rPr>
                <w:rFonts w:eastAsia="Times New Roman"/>
                <w:sz w:val="20"/>
                <w:szCs w:val="20"/>
              </w:rPr>
            </w:pPr>
          </w:p>
        </w:tc>
        <w:tc>
          <w:tcPr>
            <w:tcW w:w="50" w:type="pct"/>
            <w:vAlign w:val="center"/>
            <w:hideMark/>
          </w:tcPr>
          <w:p w14:paraId="4F775613" w14:textId="77777777" w:rsidR="00000000" w:rsidRDefault="001A570A">
            <w:pPr>
              <w:rPr>
                <w:rFonts w:eastAsia="Times New Roman"/>
                <w:sz w:val="20"/>
                <w:szCs w:val="20"/>
              </w:rPr>
            </w:pPr>
          </w:p>
        </w:tc>
        <w:tc>
          <w:tcPr>
            <w:tcW w:w="663" w:type="pct"/>
            <w:vAlign w:val="center"/>
            <w:hideMark/>
          </w:tcPr>
          <w:p w14:paraId="302DF8C3" w14:textId="77777777" w:rsidR="00000000" w:rsidRDefault="001A570A">
            <w:pPr>
              <w:rPr>
                <w:rFonts w:eastAsia="Times New Roman"/>
                <w:sz w:val="20"/>
                <w:szCs w:val="20"/>
              </w:rPr>
            </w:pPr>
          </w:p>
        </w:tc>
        <w:tc>
          <w:tcPr>
            <w:tcW w:w="5" w:type="pct"/>
            <w:vAlign w:val="center"/>
            <w:hideMark/>
          </w:tcPr>
          <w:p w14:paraId="6EAD0CDB" w14:textId="77777777" w:rsidR="00000000" w:rsidRDefault="001A570A">
            <w:pPr>
              <w:rPr>
                <w:rFonts w:eastAsia="Times New Roman"/>
                <w:sz w:val="20"/>
                <w:szCs w:val="20"/>
              </w:rPr>
            </w:pPr>
          </w:p>
        </w:tc>
        <w:tc>
          <w:tcPr>
            <w:tcW w:w="5" w:type="pct"/>
            <w:vAlign w:val="center"/>
            <w:hideMark/>
          </w:tcPr>
          <w:p w14:paraId="7FD31A5A" w14:textId="77777777" w:rsidR="00000000" w:rsidRDefault="001A570A">
            <w:pPr>
              <w:rPr>
                <w:rFonts w:eastAsia="Times New Roman"/>
                <w:sz w:val="20"/>
                <w:szCs w:val="20"/>
              </w:rPr>
            </w:pPr>
          </w:p>
        </w:tc>
        <w:tc>
          <w:tcPr>
            <w:tcW w:w="18" w:type="pct"/>
            <w:vAlign w:val="center"/>
            <w:hideMark/>
          </w:tcPr>
          <w:p w14:paraId="60A6E501" w14:textId="77777777" w:rsidR="00000000" w:rsidRDefault="001A570A">
            <w:pPr>
              <w:rPr>
                <w:rFonts w:eastAsia="Times New Roman"/>
                <w:sz w:val="20"/>
                <w:szCs w:val="20"/>
              </w:rPr>
            </w:pPr>
          </w:p>
        </w:tc>
        <w:tc>
          <w:tcPr>
            <w:tcW w:w="5" w:type="pct"/>
            <w:vAlign w:val="center"/>
            <w:hideMark/>
          </w:tcPr>
          <w:p w14:paraId="7DAC505E" w14:textId="77777777" w:rsidR="00000000" w:rsidRDefault="001A570A">
            <w:pPr>
              <w:rPr>
                <w:rFonts w:eastAsia="Times New Roman"/>
                <w:sz w:val="20"/>
                <w:szCs w:val="20"/>
              </w:rPr>
            </w:pPr>
          </w:p>
        </w:tc>
        <w:tc>
          <w:tcPr>
            <w:tcW w:w="50" w:type="pct"/>
            <w:vAlign w:val="center"/>
            <w:hideMark/>
          </w:tcPr>
          <w:p w14:paraId="569433C3" w14:textId="77777777" w:rsidR="00000000" w:rsidRDefault="001A570A">
            <w:pPr>
              <w:rPr>
                <w:rFonts w:eastAsia="Times New Roman"/>
                <w:sz w:val="20"/>
                <w:szCs w:val="20"/>
              </w:rPr>
            </w:pPr>
          </w:p>
        </w:tc>
        <w:tc>
          <w:tcPr>
            <w:tcW w:w="663" w:type="pct"/>
            <w:vAlign w:val="center"/>
            <w:hideMark/>
          </w:tcPr>
          <w:p w14:paraId="0E92A55F" w14:textId="77777777" w:rsidR="00000000" w:rsidRDefault="001A570A">
            <w:pPr>
              <w:rPr>
                <w:rFonts w:eastAsia="Times New Roman"/>
                <w:sz w:val="20"/>
                <w:szCs w:val="20"/>
              </w:rPr>
            </w:pPr>
          </w:p>
        </w:tc>
        <w:tc>
          <w:tcPr>
            <w:tcW w:w="5" w:type="pct"/>
            <w:vAlign w:val="center"/>
            <w:hideMark/>
          </w:tcPr>
          <w:p w14:paraId="2ADEE5B6" w14:textId="77777777" w:rsidR="00000000" w:rsidRDefault="001A570A">
            <w:pPr>
              <w:rPr>
                <w:rFonts w:eastAsia="Times New Roman"/>
                <w:sz w:val="20"/>
                <w:szCs w:val="20"/>
              </w:rPr>
            </w:pPr>
          </w:p>
        </w:tc>
        <w:tc>
          <w:tcPr>
            <w:tcW w:w="0" w:type="auto"/>
            <w:gridSpan w:val="3"/>
            <w:vAlign w:val="center"/>
            <w:hideMark/>
          </w:tcPr>
          <w:p w14:paraId="441F336F" w14:textId="77777777" w:rsidR="00000000" w:rsidRDefault="001A570A">
            <w:pPr>
              <w:rPr>
                <w:rFonts w:eastAsia="Times New Roman"/>
                <w:sz w:val="20"/>
                <w:szCs w:val="20"/>
              </w:rPr>
            </w:pPr>
          </w:p>
        </w:tc>
        <w:tc>
          <w:tcPr>
            <w:tcW w:w="0" w:type="auto"/>
            <w:gridSpan w:val="3"/>
            <w:vAlign w:val="center"/>
            <w:hideMark/>
          </w:tcPr>
          <w:p w14:paraId="7C050BA0" w14:textId="77777777" w:rsidR="00000000" w:rsidRDefault="001A570A">
            <w:pPr>
              <w:rPr>
                <w:rFonts w:eastAsia="Times New Roman"/>
                <w:sz w:val="20"/>
                <w:szCs w:val="20"/>
              </w:rPr>
            </w:pPr>
          </w:p>
        </w:tc>
      </w:tr>
      <w:tr w:rsidR="00000000" w14:paraId="351076E5" w14:textId="77777777">
        <w:tc>
          <w:tcPr>
            <w:tcW w:w="0" w:type="auto"/>
            <w:gridSpan w:val="3"/>
            <w:tcMar>
              <w:top w:w="0" w:type="dxa"/>
              <w:left w:w="20" w:type="dxa"/>
              <w:bottom w:w="0" w:type="dxa"/>
              <w:right w:w="20" w:type="dxa"/>
            </w:tcMar>
            <w:vAlign w:val="center"/>
            <w:hideMark/>
          </w:tcPr>
          <w:p w14:paraId="4484C892" w14:textId="77777777" w:rsidR="00000000" w:rsidRDefault="001A570A">
            <w:pPr>
              <w:rPr>
                <w:rFonts w:eastAsia="Times New Roman"/>
                <w:sz w:val="20"/>
                <w:szCs w:val="20"/>
              </w:rPr>
            </w:pPr>
          </w:p>
        </w:tc>
        <w:tc>
          <w:tcPr>
            <w:tcW w:w="0" w:type="auto"/>
            <w:gridSpan w:val="9"/>
            <w:tcMar>
              <w:top w:w="30" w:type="dxa"/>
              <w:left w:w="20" w:type="dxa"/>
              <w:bottom w:w="30" w:type="dxa"/>
              <w:right w:w="20" w:type="dxa"/>
            </w:tcMar>
            <w:vAlign w:val="bottom"/>
            <w:hideMark/>
          </w:tcPr>
          <w:p w14:paraId="350F6234" w14:textId="77777777" w:rsidR="00000000" w:rsidRDefault="001A570A">
            <w:pPr>
              <w:jc w:val="center"/>
              <w:rPr>
                <w:rFonts w:eastAsia="Times New Roman"/>
              </w:rPr>
            </w:pPr>
            <w:r>
              <w:rPr>
                <w:rFonts w:eastAsia="Times New Roman"/>
                <w:b/>
                <w:bCs/>
                <w:color w:val="000000"/>
                <w:sz w:val="16"/>
                <w:szCs w:val="16"/>
              </w:rPr>
              <w:t>January 1, 2021</w:t>
            </w:r>
          </w:p>
        </w:tc>
        <w:tc>
          <w:tcPr>
            <w:tcW w:w="0" w:type="auto"/>
            <w:tcMar>
              <w:top w:w="0" w:type="dxa"/>
              <w:left w:w="20" w:type="dxa"/>
              <w:bottom w:w="0" w:type="dxa"/>
              <w:right w:w="20" w:type="dxa"/>
            </w:tcMar>
            <w:vAlign w:val="center"/>
            <w:hideMark/>
          </w:tcPr>
          <w:p w14:paraId="2A374493" w14:textId="77777777" w:rsidR="00000000" w:rsidRDefault="001A570A">
            <w:pPr>
              <w:jc w:val="center"/>
              <w:rPr>
                <w:rFonts w:eastAsia="Times New Roman"/>
              </w:rPr>
            </w:pPr>
          </w:p>
        </w:tc>
        <w:tc>
          <w:tcPr>
            <w:tcW w:w="0" w:type="auto"/>
            <w:gridSpan w:val="7"/>
            <w:tcMar>
              <w:top w:w="30" w:type="dxa"/>
              <w:left w:w="20" w:type="dxa"/>
              <w:bottom w:w="30" w:type="dxa"/>
              <w:right w:w="20" w:type="dxa"/>
            </w:tcMar>
            <w:vAlign w:val="bottom"/>
            <w:hideMark/>
          </w:tcPr>
          <w:p w14:paraId="254E9385"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527E202B" w14:textId="77777777" w:rsidR="00000000" w:rsidRDefault="001A570A">
            <w:pPr>
              <w:rPr>
                <w:rFonts w:eastAsia="Times New Roman"/>
                <w:sz w:val="20"/>
                <w:szCs w:val="20"/>
              </w:rPr>
            </w:pPr>
          </w:p>
        </w:tc>
        <w:tc>
          <w:tcPr>
            <w:tcW w:w="0" w:type="auto"/>
            <w:vAlign w:val="center"/>
            <w:hideMark/>
          </w:tcPr>
          <w:p w14:paraId="4BA4FD11" w14:textId="77777777" w:rsidR="00000000" w:rsidRDefault="001A570A">
            <w:pPr>
              <w:rPr>
                <w:rFonts w:eastAsia="Times New Roman"/>
                <w:sz w:val="20"/>
                <w:szCs w:val="20"/>
              </w:rPr>
            </w:pPr>
          </w:p>
        </w:tc>
        <w:tc>
          <w:tcPr>
            <w:tcW w:w="0" w:type="auto"/>
            <w:vAlign w:val="center"/>
            <w:hideMark/>
          </w:tcPr>
          <w:p w14:paraId="138D6127" w14:textId="77777777" w:rsidR="00000000" w:rsidRDefault="001A570A">
            <w:pPr>
              <w:rPr>
                <w:rFonts w:eastAsia="Times New Roman"/>
                <w:sz w:val="20"/>
                <w:szCs w:val="20"/>
              </w:rPr>
            </w:pPr>
          </w:p>
        </w:tc>
        <w:tc>
          <w:tcPr>
            <w:tcW w:w="0" w:type="auto"/>
            <w:vAlign w:val="center"/>
            <w:hideMark/>
          </w:tcPr>
          <w:p w14:paraId="31D4BED4" w14:textId="77777777" w:rsidR="00000000" w:rsidRDefault="001A570A">
            <w:pPr>
              <w:rPr>
                <w:rFonts w:eastAsia="Times New Roman"/>
                <w:sz w:val="20"/>
                <w:szCs w:val="20"/>
              </w:rPr>
            </w:pPr>
          </w:p>
        </w:tc>
        <w:tc>
          <w:tcPr>
            <w:tcW w:w="0" w:type="auto"/>
            <w:vAlign w:val="center"/>
            <w:hideMark/>
          </w:tcPr>
          <w:p w14:paraId="49A9A48E" w14:textId="77777777" w:rsidR="00000000" w:rsidRDefault="001A570A">
            <w:pPr>
              <w:rPr>
                <w:rFonts w:eastAsia="Times New Roman"/>
                <w:sz w:val="20"/>
                <w:szCs w:val="20"/>
              </w:rPr>
            </w:pPr>
          </w:p>
        </w:tc>
        <w:tc>
          <w:tcPr>
            <w:tcW w:w="0" w:type="auto"/>
            <w:vAlign w:val="center"/>
            <w:hideMark/>
          </w:tcPr>
          <w:p w14:paraId="0C1AB7C0" w14:textId="77777777" w:rsidR="00000000" w:rsidRDefault="001A570A">
            <w:pPr>
              <w:rPr>
                <w:rFonts w:eastAsia="Times New Roman"/>
                <w:sz w:val="20"/>
                <w:szCs w:val="20"/>
              </w:rPr>
            </w:pPr>
          </w:p>
        </w:tc>
        <w:tc>
          <w:tcPr>
            <w:tcW w:w="0" w:type="auto"/>
            <w:vAlign w:val="center"/>
            <w:hideMark/>
          </w:tcPr>
          <w:p w14:paraId="78080442" w14:textId="77777777" w:rsidR="00000000" w:rsidRDefault="001A570A">
            <w:pPr>
              <w:rPr>
                <w:rFonts w:eastAsia="Times New Roman"/>
                <w:sz w:val="20"/>
                <w:szCs w:val="20"/>
              </w:rPr>
            </w:pPr>
          </w:p>
        </w:tc>
        <w:tc>
          <w:tcPr>
            <w:tcW w:w="0" w:type="auto"/>
            <w:vAlign w:val="center"/>
            <w:hideMark/>
          </w:tcPr>
          <w:p w14:paraId="66984B10" w14:textId="77777777" w:rsidR="00000000" w:rsidRDefault="001A570A">
            <w:pPr>
              <w:rPr>
                <w:rFonts w:eastAsia="Times New Roman"/>
                <w:sz w:val="20"/>
                <w:szCs w:val="20"/>
              </w:rPr>
            </w:pPr>
          </w:p>
        </w:tc>
        <w:tc>
          <w:tcPr>
            <w:tcW w:w="0" w:type="auto"/>
            <w:vAlign w:val="center"/>
            <w:hideMark/>
          </w:tcPr>
          <w:p w14:paraId="7B84A503" w14:textId="77777777" w:rsidR="00000000" w:rsidRDefault="001A570A">
            <w:pPr>
              <w:rPr>
                <w:rFonts w:eastAsia="Times New Roman"/>
                <w:sz w:val="20"/>
                <w:szCs w:val="20"/>
              </w:rPr>
            </w:pPr>
          </w:p>
        </w:tc>
        <w:tc>
          <w:tcPr>
            <w:tcW w:w="0" w:type="auto"/>
            <w:vAlign w:val="center"/>
            <w:hideMark/>
          </w:tcPr>
          <w:p w14:paraId="2ABB5C20" w14:textId="77777777" w:rsidR="00000000" w:rsidRDefault="001A570A">
            <w:pPr>
              <w:rPr>
                <w:rFonts w:eastAsia="Times New Roman"/>
                <w:sz w:val="20"/>
                <w:szCs w:val="20"/>
              </w:rPr>
            </w:pPr>
          </w:p>
        </w:tc>
        <w:tc>
          <w:tcPr>
            <w:tcW w:w="0" w:type="auto"/>
            <w:vAlign w:val="center"/>
            <w:hideMark/>
          </w:tcPr>
          <w:p w14:paraId="70CA1129" w14:textId="77777777" w:rsidR="00000000" w:rsidRDefault="001A570A">
            <w:pPr>
              <w:rPr>
                <w:rFonts w:eastAsia="Times New Roman"/>
                <w:sz w:val="20"/>
                <w:szCs w:val="20"/>
              </w:rPr>
            </w:pPr>
          </w:p>
        </w:tc>
        <w:tc>
          <w:tcPr>
            <w:tcW w:w="0" w:type="auto"/>
            <w:vAlign w:val="center"/>
            <w:hideMark/>
          </w:tcPr>
          <w:p w14:paraId="1301546C" w14:textId="77777777" w:rsidR="00000000" w:rsidRDefault="001A570A">
            <w:pPr>
              <w:rPr>
                <w:rFonts w:eastAsia="Times New Roman"/>
                <w:sz w:val="20"/>
                <w:szCs w:val="20"/>
              </w:rPr>
            </w:pPr>
          </w:p>
        </w:tc>
      </w:tr>
      <w:tr w:rsidR="00000000" w14:paraId="29EAF39A" w14:textId="77777777">
        <w:tc>
          <w:tcPr>
            <w:tcW w:w="0" w:type="auto"/>
            <w:gridSpan w:val="3"/>
            <w:tcMar>
              <w:top w:w="30" w:type="dxa"/>
              <w:left w:w="20" w:type="dxa"/>
              <w:bottom w:w="30" w:type="dxa"/>
              <w:right w:w="20" w:type="dxa"/>
            </w:tcMar>
            <w:vAlign w:val="bottom"/>
            <w:hideMark/>
          </w:tcPr>
          <w:p w14:paraId="53AE09D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6BCE828"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282318F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811AFC"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Benefits</w:t>
            </w:r>
          </w:p>
        </w:tc>
        <w:tc>
          <w:tcPr>
            <w:tcW w:w="0" w:type="auto"/>
            <w:vAlign w:val="center"/>
            <w:hideMark/>
          </w:tcPr>
          <w:p w14:paraId="24F5274A" w14:textId="77777777" w:rsidR="00000000" w:rsidRDefault="001A570A">
            <w:pPr>
              <w:jc w:val="center"/>
              <w:rPr>
                <w:rFonts w:eastAsia="Times New Roman"/>
              </w:rPr>
            </w:pPr>
          </w:p>
        </w:tc>
        <w:tc>
          <w:tcPr>
            <w:tcW w:w="0" w:type="auto"/>
            <w:vAlign w:val="center"/>
            <w:hideMark/>
          </w:tcPr>
          <w:p w14:paraId="6BF1116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A34ABBA"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1ACD137"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14:paraId="0DE3123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3F46F6" w14:textId="77777777" w:rsidR="00000000" w:rsidRDefault="001A570A">
            <w:pPr>
              <w:jc w:val="center"/>
              <w:rPr>
                <w:rFonts w:eastAsia="Times New Roman"/>
              </w:rPr>
            </w:pPr>
            <w:r>
              <w:rPr>
                <w:rFonts w:eastAsia="Times New Roman"/>
                <w:b/>
                <w:bCs/>
                <w:color w:val="000000"/>
                <w:sz w:val="16"/>
                <w:szCs w:val="16"/>
              </w:rPr>
              <w:t>Other</w:t>
            </w:r>
            <w:r>
              <w:rPr>
                <w:rFonts w:eastAsia="Times New Roman"/>
                <w:b/>
                <w:bCs/>
                <w:color w:val="000000"/>
                <w:sz w:val="16"/>
                <w:szCs w:val="16"/>
              </w:rPr>
              <w:br/>
            </w:r>
            <w:r>
              <w:rPr>
                <w:rFonts w:eastAsia="Times New Roman"/>
                <w:b/>
                <w:bCs/>
                <w:color w:val="000000"/>
                <w:sz w:val="16"/>
                <w:szCs w:val="16"/>
              </w:rPr>
              <w:t>Benefits</w:t>
            </w:r>
          </w:p>
        </w:tc>
        <w:tc>
          <w:tcPr>
            <w:tcW w:w="0" w:type="auto"/>
            <w:gridSpan w:val="3"/>
            <w:vAlign w:val="center"/>
            <w:hideMark/>
          </w:tcPr>
          <w:p w14:paraId="259229EE" w14:textId="77777777" w:rsidR="00000000" w:rsidRDefault="001A570A">
            <w:pPr>
              <w:jc w:val="center"/>
              <w:rPr>
                <w:rFonts w:eastAsia="Times New Roman"/>
              </w:rPr>
            </w:pPr>
          </w:p>
        </w:tc>
        <w:tc>
          <w:tcPr>
            <w:tcW w:w="0" w:type="auto"/>
            <w:gridSpan w:val="3"/>
            <w:vAlign w:val="center"/>
            <w:hideMark/>
          </w:tcPr>
          <w:p w14:paraId="735F4BC7" w14:textId="77777777" w:rsidR="00000000" w:rsidRDefault="001A570A">
            <w:pPr>
              <w:rPr>
                <w:rFonts w:eastAsia="Times New Roman"/>
                <w:sz w:val="20"/>
                <w:szCs w:val="20"/>
              </w:rPr>
            </w:pPr>
          </w:p>
        </w:tc>
      </w:tr>
      <w:tr w:rsidR="00000000" w14:paraId="767DDD2F" w14:textId="77777777">
        <w:trPr>
          <w:trHeight w:val="60"/>
        </w:trPr>
        <w:tc>
          <w:tcPr>
            <w:tcW w:w="0" w:type="auto"/>
            <w:gridSpan w:val="3"/>
            <w:tcMar>
              <w:top w:w="0" w:type="dxa"/>
              <w:left w:w="20" w:type="dxa"/>
              <w:bottom w:w="0" w:type="dxa"/>
              <w:right w:w="20" w:type="dxa"/>
            </w:tcMar>
            <w:vAlign w:val="center"/>
            <w:hideMark/>
          </w:tcPr>
          <w:p w14:paraId="35901A6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52023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92BCA2E"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F80439" w14:textId="77777777" w:rsidR="00000000" w:rsidRDefault="001A570A">
            <w:pPr>
              <w:rPr>
                <w:rFonts w:eastAsia="Times New Roman"/>
                <w:sz w:val="20"/>
                <w:szCs w:val="20"/>
              </w:rPr>
            </w:pPr>
          </w:p>
        </w:tc>
        <w:tc>
          <w:tcPr>
            <w:tcW w:w="0" w:type="auto"/>
            <w:vAlign w:val="center"/>
            <w:hideMark/>
          </w:tcPr>
          <w:p w14:paraId="18C703C8" w14:textId="77777777" w:rsidR="00000000" w:rsidRDefault="001A570A">
            <w:pPr>
              <w:rPr>
                <w:rFonts w:eastAsia="Times New Roman"/>
                <w:sz w:val="20"/>
                <w:szCs w:val="20"/>
              </w:rPr>
            </w:pPr>
          </w:p>
        </w:tc>
        <w:tc>
          <w:tcPr>
            <w:tcW w:w="0" w:type="auto"/>
            <w:vAlign w:val="center"/>
            <w:hideMark/>
          </w:tcPr>
          <w:p w14:paraId="25E8D9E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0FC99B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A19B5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3D0D8F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20EB80" w14:textId="77777777" w:rsidR="00000000" w:rsidRDefault="001A570A">
            <w:pPr>
              <w:rPr>
                <w:rFonts w:eastAsia="Times New Roman"/>
                <w:sz w:val="20"/>
                <w:szCs w:val="20"/>
              </w:rPr>
            </w:pPr>
          </w:p>
        </w:tc>
        <w:tc>
          <w:tcPr>
            <w:tcW w:w="0" w:type="auto"/>
            <w:gridSpan w:val="3"/>
            <w:vAlign w:val="center"/>
            <w:hideMark/>
          </w:tcPr>
          <w:p w14:paraId="0FF770EF" w14:textId="77777777" w:rsidR="00000000" w:rsidRDefault="001A570A">
            <w:pPr>
              <w:rPr>
                <w:rFonts w:eastAsia="Times New Roman"/>
                <w:sz w:val="20"/>
                <w:szCs w:val="20"/>
              </w:rPr>
            </w:pPr>
          </w:p>
        </w:tc>
        <w:tc>
          <w:tcPr>
            <w:tcW w:w="0" w:type="auto"/>
            <w:gridSpan w:val="3"/>
            <w:vAlign w:val="center"/>
            <w:hideMark/>
          </w:tcPr>
          <w:p w14:paraId="22B435BA" w14:textId="77777777" w:rsidR="00000000" w:rsidRDefault="001A570A">
            <w:pPr>
              <w:rPr>
                <w:rFonts w:eastAsia="Times New Roman"/>
                <w:sz w:val="20"/>
                <w:szCs w:val="20"/>
              </w:rPr>
            </w:pPr>
          </w:p>
        </w:tc>
      </w:tr>
      <w:tr w:rsidR="00000000" w14:paraId="720DC272" w14:textId="77777777">
        <w:tc>
          <w:tcPr>
            <w:tcW w:w="0" w:type="auto"/>
            <w:gridSpan w:val="3"/>
            <w:shd w:val="clear" w:color="auto" w:fill="CCEEFF"/>
            <w:tcMar>
              <w:top w:w="30" w:type="dxa"/>
              <w:left w:w="20" w:type="dxa"/>
              <w:bottom w:w="30" w:type="dxa"/>
              <w:right w:w="20" w:type="dxa"/>
            </w:tcMar>
            <w:hideMark/>
          </w:tcPr>
          <w:p w14:paraId="559B5241" w14:textId="77777777" w:rsidR="00000000" w:rsidRDefault="001A570A">
            <w:pPr>
              <w:rPr>
                <w:rFonts w:eastAsia="Times New Roman"/>
              </w:rPr>
            </w:pPr>
            <w:r>
              <w:rPr>
                <w:rFonts w:eastAsia="Times New Roman"/>
                <w:color w:val="000000"/>
                <w:sz w:val="20"/>
                <w:szCs w:val="20"/>
              </w:rPr>
              <w:t>Projected benefit obligation</w:t>
            </w:r>
          </w:p>
        </w:tc>
        <w:tc>
          <w:tcPr>
            <w:tcW w:w="0" w:type="auto"/>
            <w:shd w:val="clear" w:color="auto" w:fill="CCEEFF"/>
            <w:tcMar>
              <w:top w:w="30" w:type="dxa"/>
              <w:left w:w="20" w:type="dxa"/>
              <w:bottom w:w="30" w:type="dxa"/>
              <w:right w:w="0" w:type="dxa"/>
            </w:tcMar>
            <w:vAlign w:val="bottom"/>
            <w:hideMark/>
          </w:tcPr>
          <w:p w14:paraId="42AF5CF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8DF892" w14:textId="77777777" w:rsidR="00000000" w:rsidRDefault="001A570A">
            <w:pPr>
              <w:jc w:val="right"/>
              <w:rPr>
                <w:rFonts w:eastAsia="Times New Roman"/>
              </w:rPr>
            </w:pPr>
            <w:r>
              <w:rPr>
                <w:rFonts w:eastAsia="Times New Roman"/>
                <w:color w:val="000000"/>
                <w:sz w:val="20"/>
                <w:szCs w:val="20"/>
              </w:rPr>
              <w:t>10,522 </w:t>
            </w:r>
          </w:p>
        </w:tc>
        <w:tc>
          <w:tcPr>
            <w:tcW w:w="0" w:type="auto"/>
            <w:shd w:val="clear" w:color="auto" w:fill="CCEEFF"/>
            <w:tcMar>
              <w:top w:w="30" w:type="dxa"/>
              <w:left w:w="0" w:type="dxa"/>
              <w:bottom w:w="30" w:type="dxa"/>
              <w:right w:w="20" w:type="dxa"/>
            </w:tcMar>
            <w:vAlign w:val="bottom"/>
            <w:hideMark/>
          </w:tcPr>
          <w:p w14:paraId="4D85E3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5F6B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86104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2AAF03" w14:textId="77777777" w:rsidR="00000000" w:rsidRDefault="001A570A">
            <w:pPr>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14:paraId="6688C34E" w14:textId="77777777" w:rsidR="00000000" w:rsidRDefault="001A570A">
            <w:pPr>
              <w:jc w:val="right"/>
              <w:rPr>
                <w:rFonts w:eastAsia="Times New Roman"/>
              </w:rPr>
            </w:pPr>
          </w:p>
        </w:tc>
        <w:tc>
          <w:tcPr>
            <w:tcW w:w="0" w:type="auto"/>
            <w:vAlign w:val="center"/>
            <w:hideMark/>
          </w:tcPr>
          <w:p w14:paraId="27B97089" w14:textId="77777777" w:rsidR="00000000" w:rsidRDefault="001A570A">
            <w:pPr>
              <w:jc w:val="right"/>
              <w:rPr>
                <w:rFonts w:eastAsia="Times New Roman"/>
                <w:sz w:val="20"/>
                <w:szCs w:val="20"/>
              </w:rPr>
            </w:pPr>
          </w:p>
        </w:tc>
        <w:tc>
          <w:tcPr>
            <w:tcW w:w="0" w:type="auto"/>
            <w:vAlign w:val="center"/>
            <w:hideMark/>
          </w:tcPr>
          <w:p w14:paraId="101F128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5DDCB" w14:textId="77777777" w:rsidR="00000000" w:rsidRDefault="001A570A">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EA830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B23614" w14:textId="77777777" w:rsidR="00000000" w:rsidRDefault="001A570A">
            <w:pPr>
              <w:jc w:val="right"/>
              <w:rPr>
                <w:rFonts w:eastAsia="Times New Roman"/>
              </w:rPr>
            </w:pPr>
            <w:r>
              <w:rPr>
                <w:rFonts w:eastAsia="Times New Roman"/>
                <w:color w:val="000000"/>
                <w:sz w:val="20"/>
                <w:szCs w:val="20"/>
              </w:rPr>
              <w:t>9,700 </w:t>
            </w:r>
          </w:p>
        </w:tc>
        <w:tc>
          <w:tcPr>
            <w:tcW w:w="0" w:type="auto"/>
            <w:shd w:val="clear" w:color="auto" w:fill="CCEEFF"/>
            <w:tcMar>
              <w:top w:w="30" w:type="dxa"/>
              <w:left w:w="0" w:type="dxa"/>
              <w:bottom w:w="30" w:type="dxa"/>
              <w:right w:w="20" w:type="dxa"/>
            </w:tcMar>
            <w:vAlign w:val="bottom"/>
            <w:hideMark/>
          </w:tcPr>
          <w:p w14:paraId="3AD18B7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0F54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2F825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A7DE48" w14:textId="77777777" w:rsidR="00000000" w:rsidRDefault="001A570A">
            <w:pPr>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14:paraId="70073D1B" w14:textId="77777777" w:rsidR="00000000" w:rsidRDefault="001A570A">
            <w:pPr>
              <w:jc w:val="right"/>
              <w:rPr>
                <w:rFonts w:eastAsia="Times New Roman"/>
              </w:rPr>
            </w:pPr>
          </w:p>
        </w:tc>
        <w:tc>
          <w:tcPr>
            <w:tcW w:w="0" w:type="auto"/>
            <w:gridSpan w:val="3"/>
            <w:vAlign w:val="center"/>
            <w:hideMark/>
          </w:tcPr>
          <w:p w14:paraId="60C0238D" w14:textId="77777777" w:rsidR="00000000" w:rsidRDefault="001A570A">
            <w:pPr>
              <w:jc w:val="right"/>
              <w:rPr>
                <w:rFonts w:eastAsia="Times New Roman"/>
                <w:sz w:val="20"/>
                <w:szCs w:val="20"/>
              </w:rPr>
            </w:pPr>
          </w:p>
        </w:tc>
        <w:tc>
          <w:tcPr>
            <w:tcW w:w="0" w:type="auto"/>
            <w:gridSpan w:val="3"/>
            <w:vAlign w:val="center"/>
            <w:hideMark/>
          </w:tcPr>
          <w:p w14:paraId="4620C40B" w14:textId="77777777" w:rsidR="00000000" w:rsidRDefault="001A570A">
            <w:pPr>
              <w:rPr>
                <w:rFonts w:eastAsia="Times New Roman"/>
                <w:sz w:val="20"/>
                <w:szCs w:val="20"/>
              </w:rPr>
            </w:pPr>
          </w:p>
        </w:tc>
      </w:tr>
      <w:tr w:rsidR="00000000" w14:paraId="093603CE" w14:textId="77777777">
        <w:tc>
          <w:tcPr>
            <w:tcW w:w="0" w:type="auto"/>
            <w:gridSpan w:val="3"/>
            <w:shd w:val="clear" w:color="auto" w:fill="FFFFFF"/>
            <w:tcMar>
              <w:top w:w="30" w:type="dxa"/>
              <w:left w:w="20" w:type="dxa"/>
              <w:bottom w:w="30" w:type="dxa"/>
              <w:right w:w="20" w:type="dxa"/>
            </w:tcMar>
            <w:hideMark/>
          </w:tcPr>
          <w:p w14:paraId="14E97133" w14:textId="77777777" w:rsidR="00000000" w:rsidRDefault="001A570A">
            <w:pPr>
              <w:rPr>
                <w:rFonts w:eastAsia="Times New Roman"/>
              </w:rPr>
            </w:pPr>
            <w:r>
              <w:rPr>
                <w:rFonts w:eastAsia="Times New Roman"/>
                <w:color w:val="000000"/>
                <w:sz w:val="20"/>
                <w:szCs w:val="20"/>
              </w:rPr>
              <w:t>Fair value of plan assets</w:t>
            </w:r>
          </w:p>
        </w:tc>
        <w:tc>
          <w:tcPr>
            <w:tcW w:w="0" w:type="auto"/>
            <w:gridSpan w:val="2"/>
            <w:shd w:val="clear" w:color="auto" w:fill="FFFFFF"/>
            <w:tcMar>
              <w:top w:w="30" w:type="dxa"/>
              <w:left w:w="20" w:type="dxa"/>
              <w:bottom w:w="30" w:type="dxa"/>
              <w:right w:w="0" w:type="dxa"/>
            </w:tcMar>
            <w:vAlign w:val="bottom"/>
            <w:hideMark/>
          </w:tcPr>
          <w:p w14:paraId="5AA866A6" w14:textId="77777777" w:rsidR="00000000" w:rsidRDefault="001A570A">
            <w:pPr>
              <w:jc w:val="right"/>
              <w:rPr>
                <w:rFonts w:eastAsia="Times New Roman"/>
              </w:rPr>
            </w:pPr>
            <w:r>
              <w:rPr>
                <w:rFonts w:eastAsia="Times New Roman"/>
                <w:color w:val="000000"/>
                <w:sz w:val="20"/>
                <w:szCs w:val="20"/>
              </w:rPr>
              <w:t>8,689 </w:t>
            </w:r>
          </w:p>
        </w:tc>
        <w:tc>
          <w:tcPr>
            <w:tcW w:w="0" w:type="auto"/>
            <w:shd w:val="clear" w:color="auto" w:fill="FFFFFF"/>
            <w:tcMar>
              <w:top w:w="30" w:type="dxa"/>
              <w:left w:w="0" w:type="dxa"/>
              <w:bottom w:w="30" w:type="dxa"/>
              <w:right w:w="20" w:type="dxa"/>
            </w:tcMar>
            <w:vAlign w:val="bottom"/>
            <w:hideMark/>
          </w:tcPr>
          <w:p w14:paraId="0976E63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9B141"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C1E11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E4ADA2" w14:textId="77777777" w:rsidR="00000000" w:rsidRDefault="001A570A">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15E5F2E0" w14:textId="77777777" w:rsidR="00000000" w:rsidRDefault="001A570A">
            <w:pPr>
              <w:jc w:val="right"/>
              <w:rPr>
                <w:rFonts w:eastAsia="Times New Roman"/>
              </w:rPr>
            </w:pPr>
          </w:p>
        </w:tc>
        <w:tc>
          <w:tcPr>
            <w:tcW w:w="0" w:type="auto"/>
            <w:vAlign w:val="center"/>
            <w:hideMark/>
          </w:tcPr>
          <w:p w14:paraId="31A338BE" w14:textId="77777777" w:rsidR="00000000" w:rsidRDefault="001A570A">
            <w:pPr>
              <w:jc w:val="right"/>
              <w:rPr>
                <w:rFonts w:eastAsia="Times New Roman"/>
                <w:sz w:val="20"/>
                <w:szCs w:val="20"/>
              </w:rPr>
            </w:pPr>
          </w:p>
        </w:tc>
        <w:tc>
          <w:tcPr>
            <w:tcW w:w="0" w:type="auto"/>
            <w:vAlign w:val="center"/>
            <w:hideMark/>
          </w:tcPr>
          <w:p w14:paraId="5DC4A1C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7FE19B" w14:textId="77777777" w:rsidR="00000000" w:rsidRDefault="001A570A">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ED09F" w14:textId="77777777" w:rsidR="00000000" w:rsidRDefault="001A570A">
            <w:pPr>
              <w:jc w:val="right"/>
              <w:rPr>
                <w:rFonts w:eastAsia="Times New Roman"/>
              </w:rPr>
            </w:pPr>
            <w:r>
              <w:rPr>
                <w:rFonts w:eastAsia="Times New Roman"/>
                <w:color w:val="000000"/>
                <w:sz w:val="20"/>
                <w:szCs w:val="20"/>
              </w:rPr>
              <w:t>7,959 </w:t>
            </w:r>
          </w:p>
        </w:tc>
        <w:tc>
          <w:tcPr>
            <w:tcW w:w="0" w:type="auto"/>
            <w:shd w:val="clear" w:color="auto" w:fill="FFFFFF"/>
            <w:tcMar>
              <w:top w:w="30" w:type="dxa"/>
              <w:left w:w="0" w:type="dxa"/>
              <w:bottom w:w="30" w:type="dxa"/>
              <w:right w:w="20" w:type="dxa"/>
            </w:tcMar>
            <w:vAlign w:val="bottom"/>
            <w:hideMark/>
          </w:tcPr>
          <w:p w14:paraId="719651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CEC7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C8D013" w14:textId="77777777" w:rsidR="00000000" w:rsidRDefault="001A570A">
            <w:pPr>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14:paraId="52E334E1" w14:textId="77777777" w:rsidR="00000000" w:rsidRDefault="001A570A">
            <w:pPr>
              <w:jc w:val="right"/>
              <w:rPr>
                <w:rFonts w:eastAsia="Times New Roman"/>
              </w:rPr>
            </w:pPr>
          </w:p>
        </w:tc>
        <w:tc>
          <w:tcPr>
            <w:tcW w:w="0" w:type="auto"/>
            <w:gridSpan w:val="3"/>
            <w:vAlign w:val="center"/>
            <w:hideMark/>
          </w:tcPr>
          <w:p w14:paraId="71707C9E" w14:textId="77777777" w:rsidR="00000000" w:rsidRDefault="001A570A">
            <w:pPr>
              <w:jc w:val="right"/>
              <w:rPr>
                <w:rFonts w:eastAsia="Times New Roman"/>
                <w:sz w:val="20"/>
                <w:szCs w:val="20"/>
              </w:rPr>
            </w:pPr>
          </w:p>
        </w:tc>
        <w:tc>
          <w:tcPr>
            <w:tcW w:w="0" w:type="auto"/>
            <w:gridSpan w:val="3"/>
            <w:vAlign w:val="center"/>
            <w:hideMark/>
          </w:tcPr>
          <w:p w14:paraId="0369B449" w14:textId="77777777" w:rsidR="00000000" w:rsidRDefault="001A570A">
            <w:pPr>
              <w:rPr>
                <w:rFonts w:eastAsia="Times New Roman"/>
                <w:sz w:val="20"/>
                <w:szCs w:val="20"/>
              </w:rPr>
            </w:pPr>
          </w:p>
        </w:tc>
      </w:tr>
    </w:tbl>
    <w:p w14:paraId="783C9A8C" w14:textId="77777777" w:rsidR="00000000" w:rsidRDefault="001A570A">
      <w:pPr>
        <w:divId w:val="1249999509"/>
        <w:rPr>
          <w:rFonts w:eastAsia="Times New Roman"/>
        </w:rPr>
      </w:pPr>
      <w:r>
        <w:rPr>
          <w:rFonts w:eastAsia="Times New Roman"/>
          <w:b/>
          <w:bCs/>
          <w:color w:val="000000"/>
          <w:sz w:val="20"/>
          <w:szCs w:val="20"/>
        </w:rPr>
        <w:t>Income Statement Information</w:t>
      </w:r>
    </w:p>
    <w:p w14:paraId="4801ED36" w14:textId="77777777" w:rsidR="00000000" w:rsidRDefault="001A570A">
      <w:pPr>
        <w:ind w:firstLine="450"/>
        <w:divId w:val="1407335628"/>
        <w:rPr>
          <w:rFonts w:eastAsia="Times New Roman"/>
        </w:rPr>
      </w:pPr>
      <w:r>
        <w:rPr>
          <w:rFonts w:eastAsia="Times New Roman"/>
          <w:color w:val="000000"/>
          <w:sz w:val="20"/>
          <w:szCs w:val="20"/>
        </w:rPr>
        <w:t>The</w:t>
      </w:r>
      <w:r>
        <w:rPr>
          <w:rFonts w:eastAsia="Times New Roman"/>
          <w:color w:val="000000"/>
          <w:sz w:val="20"/>
          <w:szCs w:val="20"/>
        </w:rPr>
        <w:t xml:space="preserve"> following table provides the components of net periodic benefit income and other amounts recognized in other comprehensive income in fiscal 2020, the two quarters ended January 3, 2020, and in fiscal 2019 and 2018 as they pertain to our defined benefit pl</w:t>
      </w:r>
      <w:r>
        <w:rPr>
          <w:rFonts w:eastAsia="Times New Roman"/>
          <w:color w:val="000000"/>
          <w:sz w:val="20"/>
          <w:szCs w:val="20"/>
        </w:rPr>
        <w:t>ans:</w:t>
      </w:r>
    </w:p>
    <w:tbl>
      <w:tblPr>
        <w:tblW w:w="5000" w:type="pct"/>
        <w:tblCellMar>
          <w:top w:w="15" w:type="dxa"/>
          <w:left w:w="15" w:type="dxa"/>
          <w:bottom w:w="15" w:type="dxa"/>
          <w:right w:w="15" w:type="dxa"/>
        </w:tblCellMar>
        <w:tblLook w:val="04A0" w:firstRow="1" w:lastRow="0" w:firstColumn="1" w:lastColumn="0" w:noHBand="0" w:noVBand="1"/>
      </w:tblPr>
      <w:tblGrid>
        <w:gridCol w:w="41"/>
        <w:gridCol w:w="3824"/>
        <w:gridCol w:w="40"/>
        <w:gridCol w:w="121"/>
        <w:gridCol w:w="896"/>
        <w:gridCol w:w="37"/>
        <w:gridCol w:w="36"/>
        <w:gridCol w:w="36"/>
        <w:gridCol w:w="36"/>
        <w:gridCol w:w="121"/>
        <w:gridCol w:w="851"/>
        <w:gridCol w:w="36"/>
        <w:gridCol w:w="36"/>
        <w:gridCol w:w="36"/>
        <w:gridCol w:w="36"/>
        <w:gridCol w:w="120"/>
        <w:gridCol w:w="851"/>
        <w:gridCol w:w="36"/>
        <w:gridCol w:w="36"/>
        <w:gridCol w:w="36"/>
        <w:gridCol w:w="36"/>
        <w:gridCol w:w="120"/>
        <w:gridCol w:w="852"/>
        <w:gridCol w:w="36"/>
      </w:tblGrid>
      <w:tr w:rsidR="00000000" w14:paraId="27E6F14A" w14:textId="77777777">
        <w:trPr>
          <w:divId w:val="83066058"/>
        </w:trPr>
        <w:tc>
          <w:tcPr>
            <w:tcW w:w="50" w:type="pct"/>
            <w:vAlign w:val="center"/>
            <w:hideMark/>
          </w:tcPr>
          <w:p w14:paraId="0CF6104E" w14:textId="77777777" w:rsidR="00000000" w:rsidRDefault="001A570A">
            <w:pPr>
              <w:ind w:firstLine="450"/>
              <w:rPr>
                <w:rFonts w:eastAsia="Times New Roman"/>
              </w:rPr>
            </w:pPr>
          </w:p>
        </w:tc>
        <w:tc>
          <w:tcPr>
            <w:tcW w:w="2337" w:type="pct"/>
            <w:vAlign w:val="center"/>
            <w:hideMark/>
          </w:tcPr>
          <w:p w14:paraId="56DC3216" w14:textId="77777777" w:rsidR="00000000" w:rsidRDefault="001A570A">
            <w:pPr>
              <w:rPr>
                <w:rFonts w:eastAsia="Times New Roman"/>
                <w:sz w:val="20"/>
                <w:szCs w:val="20"/>
              </w:rPr>
            </w:pPr>
          </w:p>
        </w:tc>
        <w:tc>
          <w:tcPr>
            <w:tcW w:w="5" w:type="pct"/>
            <w:vAlign w:val="center"/>
            <w:hideMark/>
          </w:tcPr>
          <w:p w14:paraId="587A6735" w14:textId="77777777" w:rsidR="00000000" w:rsidRDefault="001A570A">
            <w:pPr>
              <w:rPr>
                <w:rFonts w:eastAsia="Times New Roman"/>
                <w:sz w:val="20"/>
                <w:szCs w:val="20"/>
              </w:rPr>
            </w:pPr>
          </w:p>
        </w:tc>
        <w:tc>
          <w:tcPr>
            <w:tcW w:w="50" w:type="pct"/>
            <w:vAlign w:val="center"/>
            <w:hideMark/>
          </w:tcPr>
          <w:p w14:paraId="6AD647B3" w14:textId="77777777" w:rsidR="00000000" w:rsidRDefault="001A570A">
            <w:pPr>
              <w:rPr>
                <w:rFonts w:eastAsia="Times New Roman"/>
                <w:sz w:val="20"/>
                <w:szCs w:val="20"/>
              </w:rPr>
            </w:pPr>
          </w:p>
        </w:tc>
        <w:tc>
          <w:tcPr>
            <w:tcW w:w="570" w:type="pct"/>
            <w:vAlign w:val="center"/>
            <w:hideMark/>
          </w:tcPr>
          <w:p w14:paraId="39898A00" w14:textId="77777777" w:rsidR="00000000" w:rsidRDefault="001A570A">
            <w:pPr>
              <w:rPr>
                <w:rFonts w:eastAsia="Times New Roman"/>
                <w:sz w:val="20"/>
                <w:szCs w:val="20"/>
              </w:rPr>
            </w:pPr>
          </w:p>
        </w:tc>
        <w:tc>
          <w:tcPr>
            <w:tcW w:w="5" w:type="pct"/>
            <w:vAlign w:val="center"/>
            <w:hideMark/>
          </w:tcPr>
          <w:p w14:paraId="6C7FF219" w14:textId="77777777" w:rsidR="00000000" w:rsidRDefault="001A570A">
            <w:pPr>
              <w:rPr>
                <w:rFonts w:eastAsia="Times New Roman"/>
                <w:sz w:val="20"/>
                <w:szCs w:val="20"/>
              </w:rPr>
            </w:pPr>
          </w:p>
        </w:tc>
        <w:tc>
          <w:tcPr>
            <w:tcW w:w="5" w:type="pct"/>
            <w:vAlign w:val="center"/>
            <w:hideMark/>
          </w:tcPr>
          <w:p w14:paraId="03778998" w14:textId="77777777" w:rsidR="00000000" w:rsidRDefault="001A570A">
            <w:pPr>
              <w:rPr>
                <w:rFonts w:eastAsia="Times New Roman"/>
                <w:sz w:val="20"/>
                <w:szCs w:val="20"/>
              </w:rPr>
            </w:pPr>
          </w:p>
        </w:tc>
        <w:tc>
          <w:tcPr>
            <w:tcW w:w="25" w:type="pct"/>
            <w:vAlign w:val="center"/>
            <w:hideMark/>
          </w:tcPr>
          <w:p w14:paraId="1BE63DE6" w14:textId="77777777" w:rsidR="00000000" w:rsidRDefault="001A570A">
            <w:pPr>
              <w:rPr>
                <w:rFonts w:eastAsia="Times New Roman"/>
                <w:sz w:val="20"/>
                <w:szCs w:val="20"/>
              </w:rPr>
            </w:pPr>
          </w:p>
        </w:tc>
        <w:tc>
          <w:tcPr>
            <w:tcW w:w="5" w:type="pct"/>
            <w:vAlign w:val="center"/>
            <w:hideMark/>
          </w:tcPr>
          <w:p w14:paraId="6AE16470" w14:textId="77777777" w:rsidR="00000000" w:rsidRDefault="001A570A">
            <w:pPr>
              <w:rPr>
                <w:rFonts w:eastAsia="Times New Roman"/>
                <w:sz w:val="20"/>
                <w:szCs w:val="20"/>
              </w:rPr>
            </w:pPr>
          </w:p>
        </w:tc>
        <w:tc>
          <w:tcPr>
            <w:tcW w:w="50" w:type="pct"/>
            <w:vAlign w:val="center"/>
            <w:hideMark/>
          </w:tcPr>
          <w:p w14:paraId="63D70C41" w14:textId="77777777" w:rsidR="00000000" w:rsidRDefault="001A570A">
            <w:pPr>
              <w:rPr>
                <w:rFonts w:eastAsia="Times New Roman"/>
                <w:sz w:val="20"/>
                <w:szCs w:val="20"/>
              </w:rPr>
            </w:pPr>
          </w:p>
        </w:tc>
        <w:tc>
          <w:tcPr>
            <w:tcW w:w="570" w:type="pct"/>
            <w:vAlign w:val="center"/>
            <w:hideMark/>
          </w:tcPr>
          <w:p w14:paraId="4BFE0549" w14:textId="77777777" w:rsidR="00000000" w:rsidRDefault="001A570A">
            <w:pPr>
              <w:rPr>
                <w:rFonts w:eastAsia="Times New Roman"/>
                <w:sz w:val="20"/>
                <w:szCs w:val="20"/>
              </w:rPr>
            </w:pPr>
          </w:p>
        </w:tc>
        <w:tc>
          <w:tcPr>
            <w:tcW w:w="5" w:type="pct"/>
            <w:vAlign w:val="center"/>
            <w:hideMark/>
          </w:tcPr>
          <w:p w14:paraId="6B1D9C08" w14:textId="77777777" w:rsidR="00000000" w:rsidRDefault="001A570A">
            <w:pPr>
              <w:rPr>
                <w:rFonts w:eastAsia="Times New Roman"/>
                <w:sz w:val="20"/>
                <w:szCs w:val="20"/>
              </w:rPr>
            </w:pPr>
          </w:p>
        </w:tc>
        <w:tc>
          <w:tcPr>
            <w:tcW w:w="5" w:type="pct"/>
            <w:vAlign w:val="center"/>
            <w:hideMark/>
          </w:tcPr>
          <w:p w14:paraId="69F7C8ED" w14:textId="77777777" w:rsidR="00000000" w:rsidRDefault="001A570A">
            <w:pPr>
              <w:rPr>
                <w:rFonts w:eastAsia="Times New Roman"/>
                <w:sz w:val="20"/>
                <w:szCs w:val="20"/>
              </w:rPr>
            </w:pPr>
          </w:p>
        </w:tc>
        <w:tc>
          <w:tcPr>
            <w:tcW w:w="25" w:type="pct"/>
            <w:vAlign w:val="center"/>
            <w:hideMark/>
          </w:tcPr>
          <w:p w14:paraId="61E42D33" w14:textId="77777777" w:rsidR="00000000" w:rsidRDefault="001A570A">
            <w:pPr>
              <w:rPr>
                <w:rFonts w:eastAsia="Times New Roman"/>
                <w:sz w:val="20"/>
                <w:szCs w:val="20"/>
              </w:rPr>
            </w:pPr>
          </w:p>
        </w:tc>
        <w:tc>
          <w:tcPr>
            <w:tcW w:w="5" w:type="pct"/>
            <w:vAlign w:val="center"/>
            <w:hideMark/>
          </w:tcPr>
          <w:p w14:paraId="09A6D619" w14:textId="77777777" w:rsidR="00000000" w:rsidRDefault="001A570A">
            <w:pPr>
              <w:rPr>
                <w:rFonts w:eastAsia="Times New Roman"/>
                <w:sz w:val="20"/>
                <w:szCs w:val="20"/>
              </w:rPr>
            </w:pPr>
          </w:p>
        </w:tc>
        <w:tc>
          <w:tcPr>
            <w:tcW w:w="50" w:type="pct"/>
            <w:vAlign w:val="center"/>
            <w:hideMark/>
          </w:tcPr>
          <w:p w14:paraId="60702504" w14:textId="77777777" w:rsidR="00000000" w:rsidRDefault="001A570A">
            <w:pPr>
              <w:rPr>
                <w:rFonts w:eastAsia="Times New Roman"/>
                <w:sz w:val="20"/>
                <w:szCs w:val="20"/>
              </w:rPr>
            </w:pPr>
          </w:p>
        </w:tc>
        <w:tc>
          <w:tcPr>
            <w:tcW w:w="570" w:type="pct"/>
            <w:vAlign w:val="center"/>
            <w:hideMark/>
          </w:tcPr>
          <w:p w14:paraId="49490389" w14:textId="77777777" w:rsidR="00000000" w:rsidRDefault="001A570A">
            <w:pPr>
              <w:rPr>
                <w:rFonts w:eastAsia="Times New Roman"/>
                <w:sz w:val="20"/>
                <w:szCs w:val="20"/>
              </w:rPr>
            </w:pPr>
          </w:p>
        </w:tc>
        <w:tc>
          <w:tcPr>
            <w:tcW w:w="5" w:type="pct"/>
            <w:vAlign w:val="center"/>
            <w:hideMark/>
          </w:tcPr>
          <w:p w14:paraId="11198CFE" w14:textId="77777777" w:rsidR="00000000" w:rsidRDefault="001A570A">
            <w:pPr>
              <w:rPr>
                <w:rFonts w:eastAsia="Times New Roman"/>
                <w:sz w:val="20"/>
                <w:szCs w:val="20"/>
              </w:rPr>
            </w:pPr>
          </w:p>
        </w:tc>
        <w:tc>
          <w:tcPr>
            <w:tcW w:w="5" w:type="pct"/>
            <w:vAlign w:val="center"/>
            <w:hideMark/>
          </w:tcPr>
          <w:p w14:paraId="1C42A72B" w14:textId="77777777" w:rsidR="00000000" w:rsidRDefault="001A570A">
            <w:pPr>
              <w:rPr>
                <w:rFonts w:eastAsia="Times New Roman"/>
                <w:sz w:val="20"/>
                <w:szCs w:val="20"/>
              </w:rPr>
            </w:pPr>
          </w:p>
        </w:tc>
        <w:tc>
          <w:tcPr>
            <w:tcW w:w="25" w:type="pct"/>
            <w:vAlign w:val="center"/>
            <w:hideMark/>
          </w:tcPr>
          <w:p w14:paraId="4413ED9E" w14:textId="77777777" w:rsidR="00000000" w:rsidRDefault="001A570A">
            <w:pPr>
              <w:rPr>
                <w:rFonts w:eastAsia="Times New Roman"/>
                <w:sz w:val="20"/>
                <w:szCs w:val="20"/>
              </w:rPr>
            </w:pPr>
          </w:p>
        </w:tc>
        <w:tc>
          <w:tcPr>
            <w:tcW w:w="5" w:type="pct"/>
            <w:vAlign w:val="center"/>
            <w:hideMark/>
          </w:tcPr>
          <w:p w14:paraId="4B8FADCD" w14:textId="77777777" w:rsidR="00000000" w:rsidRDefault="001A570A">
            <w:pPr>
              <w:rPr>
                <w:rFonts w:eastAsia="Times New Roman"/>
                <w:sz w:val="20"/>
                <w:szCs w:val="20"/>
              </w:rPr>
            </w:pPr>
          </w:p>
        </w:tc>
        <w:tc>
          <w:tcPr>
            <w:tcW w:w="50" w:type="pct"/>
            <w:vAlign w:val="center"/>
            <w:hideMark/>
          </w:tcPr>
          <w:p w14:paraId="620B5E6C" w14:textId="77777777" w:rsidR="00000000" w:rsidRDefault="001A570A">
            <w:pPr>
              <w:rPr>
                <w:rFonts w:eastAsia="Times New Roman"/>
                <w:sz w:val="20"/>
                <w:szCs w:val="20"/>
              </w:rPr>
            </w:pPr>
          </w:p>
        </w:tc>
        <w:tc>
          <w:tcPr>
            <w:tcW w:w="570" w:type="pct"/>
            <w:vAlign w:val="center"/>
            <w:hideMark/>
          </w:tcPr>
          <w:p w14:paraId="693243FA" w14:textId="77777777" w:rsidR="00000000" w:rsidRDefault="001A570A">
            <w:pPr>
              <w:rPr>
                <w:rFonts w:eastAsia="Times New Roman"/>
                <w:sz w:val="20"/>
                <w:szCs w:val="20"/>
              </w:rPr>
            </w:pPr>
          </w:p>
        </w:tc>
        <w:tc>
          <w:tcPr>
            <w:tcW w:w="5" w:type="pct"/>
            <w:vAlign w:val="center"/>
            <w:hideMark/>
          </w:tcPr>
          <w:p w14:paraId="4866B97E" w14:textId="77777777" w:rsidR="00000000" w:rsidRDefault="001A570A">
            <w:pPr>
              <w:rPr>
                <w:rFonts w:eastAsia="Times New Roman"/>
                <w:sz w:val="20"/>
                <w:szCs w:val="20"/>
              </w:rPr>
            </w:pPr>
          </w:p>
        </w:tc>
      </w:tr>
      <w:tr w:rsidR="00000000" w14:paraId="54C0687E" w14:textId="77777777">
        <w:trPr>
          <w:divId w:val="83066058"/>
        </w:trPr>
        <w:tc>
          <w:tcPr>
            <w:tcW w:w="0" w:type="auto"/>
            <w:gridSpan w:val="3"/>
            <w:tcMar>
              <w:top w:w="0" w:type="dxa"/>
              <w:left w:w="20" w:type="dxa"/>
              <w:bottom w:w="0" w:type="dxa"/>
              <w:right w:w="20" w:type="dxa"/>
            </w:tcMar>
            <w:vAlign w:val="center"/>
            <w:hideMark/>
          </w:tcPr>
          <w:p w14:paraId="61C3678B" w14:textId="77777777" w:rsidR="00000000" w:rsidRDefault="001A570A">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20681A29" w14:textId="77777777" w:rsidR="00000000" w:rsidRDefault="001A570A">
            <w:pPr>
              <w:jc w:val="center"/>
              <w:rPr>
                <w:rFonts w:eastAsia="Times New Roman"/>
              </w:rPr>
            </w:pPr>
            <w:r>
              <w:rPr>
                <w:rFonts w:eastAsia="Times New Roman"/>
                <w:b/>
                <w:bCs/>
                <w:color w:val="000000"/>
                <w:sz w:val="16"/>
                <w:szCs w:val="16"/>
              </w:rPr>
              <w:t>Pension</w:t>
            </w:r>
          </w:p>
        </w:tc>
      </w:tr>
      <w:tr w:rsidR="00000000" w14:paraId="706ADA86" w14:textId="77777777">
        <w:trPr>
          <w:divId w:val="83066058"/>
        </w:trPr>
        <w:tc>
          <w:tcPr>
            <w:tcW w:w="0" w:type="auto"/>
            <w:gridSpan w:val="3"/>
            <w:tcMar>
              <w:top w:w="0" w:type="dxa"/>
              <w:left w:w="20" w:type="dxa"/>
              <w:bottom w:w="0" w:type="dxa"/>
              <w:right w:w="20" w:type="dxa"/>
            </w:tcMar>
            <w:vAlign w:val="center"/>
            <w:hideMark/>
          </w:tcPr>
          <w:p w14:paraId="74757C3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2A5C82"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Borders>
              <w:top w:val="single" w:sz="8" w:space="0" w:color="000000"/>
            </w:tcBorders>
            <w:tcMar>
              <w:top w:w="0" w:type="dxa"/>
              <w:left w:w="20" w:type="dxa"/>
              <w:bottom w:w="0" w:type="dxa"/>
              <w:right w:w="20" w:type="dxa"/>
            </w:tcMar>
            <w:vAlign w:val="center"/>
            <w:hideMark/>
          </w:tcPr>
          <w:p w14:paraId="262BD90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325176"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Borders>
              <w:top w:val="single" w:sz="8" w:space="0" w:color="000000"/>
            </w:tcBorders>
            <w:tcMar>
              <w:top w:w="0" w:type="dxa"/>
              <w:left w:w="20" w:type="dxa"/>
              <w:bottom w:w="0" w:type="dxa"/>
              <w:right w:w="20" w:type="dxa"/>
            </w:tcMar>
            <w:vAlign w:val="center"/>
            <w:hideMark/>
          </w:tcPr>
          <w:p w14:paraId="546C0D3C" w14:textId="77777777" w:rsidR="00000000" w:rsidRDefault="001A570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04489E4"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351E22F5" w14:textId="77777777">
        <w:trPr>
          <w:divId w:val="83066058"/>
        </w:trPr>
        <w:tc>
          <w:tcPr>
            <w:tcW w:w="0" w:type="auto"/>
            <w:gridSpan w:val="3"/>
            <w:tcMar>
              <w:top w:w="30" w:type="dxa"/>
              <w:left w:w="20" w:type="dxa"/>
              <w:bottom w:w="30" w:type="dxa"/>
              <w:right w:w="20" w:type="dxa"/>
            </w:tcMar>
            <w:vAlign w:val="bottom"/>
            <w:hideMark/>
          </w:tcPr>
          <w:p w14:paraId="4E4E39B2"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A08349D"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17D7217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2A743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7EB95A7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D06412"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009BBC1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8C7980" w14:textId="77777777" w:rsidR="00000000" w:rsidRDefault="001A570A">
            <w:pPr>
              <w:jc w:val="center"/>
              <w:rPr>
                <w:rFonts w:eastAsia="Times New Roman"/>
              </w:rPr>
            </w:pPr>
            <w:r>
              <w:rPr>
                <w:rFonts w:eastAsia="Times New Roman"/>
                <w:b/>
                <w:bCs/>
                <w:color w:val="000000"/>
                <w:sz w:val="16"/>
                <w:szCs w:val="16"/>
              </w:rPr>
              <w:t>June 29, 2018</w:t>
            </w:r>
          </w:p>
        </w:tc>
      </w:tr>
      <w:tr w:rsidR="00000000" w14:paraId="406DC97A" w14:textId="77777777">
        <w:trPr>
          <w:divId w:val="83066058"/>
          <w:trHeight w:val="60"/>
        </w:trPr>
        <w:tc>
          <w:tcPr>
            <w:tcW w:w="0" w:type="auto"/>
            <w:gridSpan w:val="3"/>
            <w:tcMar>
              <w:top w:w="0" w:type="dxa"/>
              <w:left w:w="20" w:type="dxa"/>
              <w:bottom w:w="0" w:type="dxa"/>
              <w:right w:w="20" w:type="dxa"/>
            </w:tcMar>
            <w:vAlign w:val="center"/>
            <w:hideMark/>
          </w:tcPr>
          <w:p w14:paraId="602FCEF8"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523E24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CAB892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B9066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436FBC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65C5C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7613DE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8FD1BA" w14:textId="77777777" w:rsidR="00000000" w:rsidRDefault="001A570A">
            <w:pPr>
              <w:rPr>
                <w:rFonts w:eastAsia="Times New Roman"/>
                <w:sz w:val="20"/>
                <w:szCs w:val="20"/>
              </w:rPr>
            </w:pPr>
          </w:p>
        </w:tc>
      </w:tr>
      <w:tr w:rsidR="00000000" w14:paraId="3AEB821B" w14:textId="77777777">
        <w:trPr>
          <w:divId w:val="83066058"/>
        </w:trPr>
        <w:tc>
          <w:tcPr>
            <w:tcW w:w="0" w:type="auto"/>
            <w:gridSpan w:val="3"/>
            <w:shd w:val="clear" w:color="auto" w:fill="CCEEFF"/>
            <w:tcMar>
              <w:top w:w="30" w:type="dxa"/>
              <w:left w:w="20" w:type="dxa"/>
              <w:bottom w:w="30" w:type="dxa"/>
              <w:right w:w="20" w:type="dxa"/>
            </w:tcMar>
            <w:vAlign w:val="bottom"/>
            <w:hideMark/>
          </w:tcPr>
          <w:p w14:paraId="4ED71F5E" w14:textId="77777777" w:rsidR="00000000" w:rsidRDefault="001A570A">
            <w:pPr>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14:paraId="2DDB2F05"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78C7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3725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0547C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023B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861B3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DCAD7" w14:textId="77777777" w:rsidR="00000000" w:rsidRDefault="001A570A">
            <w:pPr>
              <w:rPr>
                <w:rFonts w:eastAsia="Times New Roman"/>
                <w:sz w:val="20"/>
                <w:szCs w:val="20"/>
              </w:rPr>
            </w:pPr>
          </w:p>
        </w:tc>
      </w:tr>
      <w:tr w:rsidR="00000000" w14:paraId="211AD784" w14:textId="77777777">
        <w:trPr>
          <w:divId w:val="83066058"/>
        </w:trPr>
        <w:tc>
          <w:tcPr>
            <w:tcW w:w="0" w:type="auto"/>
            <w:gridSpan w:val="3"/>
            <w:shd w:val="clear" w:color="auto" w:fill="FFFFFF"/>
            <w:tcMar>
              <w:top w:w="30" w:type="dxa"/>
              <w:left w:w="380" w:type="dxa"/>
              <w:bottom w:w="30" w:type="dxa"/>
              <w:right w:w="20" w:type="dxa"/>
            </w:tcMar>
            <w:hideMark/>
          </w:tcPr>
          <w:p w14:paraId="77EB2424" w14:textId="77777777" w:rsidR="00000000" w:rsidRDefault="001A570A">
            <w:pPr>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14:paraId="12D66D3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28C5CD" w14:textId="77777777" w:rsidR="00000000" w:rsidRDefault="001A570A">
            <w:pPr>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023915C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43D2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AA787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DCCE78" w14:textId="77777777" w:rsidR="00000000" w:rsidRDefault="001A570A">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53E985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4146F"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80CD5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52C62C" w14:textId="77777777" w:rsidR="00000000" w:rsidRDefault="001A570A">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14:paraId="19893C9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6F01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963EE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F92BB7" w14:textId="77777777" w:rsidR="00000000" w:rsidRDefault="001A570A">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7E0F0409" w14:textId="77777777" w:rsidR="00000000" w:rsidRDefault="001A570A">
            <w:pPr>
              <w:jc w:val="right"/>
              <w:rPr>
                <w:rFonts w:eastAsia="Times New Roman"/>
              </w:rPr>
            </w:pPr>
          </w:p>
        </w:tc>
      </w:tr>
      <w:tr w:rsidR="00000000" w14:paraId="71990C5B" w14:textId="77777777">
        <w:trPr>
          <w:divId w:val="83066058"/>
        </w:trPr>
        <w:tc>
          <w:tcPr>
            <w:tcW w:w="0" w:type="auto"/>
            <w:gridSpan w:val="3"/>
            <w:shd w:val="clear" w:color="auto" w:fill="CCEEFF"/>
            <w:tcMar>
              <w:top w:w="30" w:type="dxa"/>
              <w:left w:w="380" w:type="dxa"/>
              <w:bottom w:w="30" w:type="dxa"/>
              <w:right w:w="20" w:type="dxa"/>
            </w:tcMar>
            <w:hideMark/>
          </w:tcPr>
          <w:p w14:paraId="1DCA9B60" w14:textId="77777777" w:rsidR="00000000" w:rsidRDefault="001A570A">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00B7831A" w14:textId="77777777" w:rsidR="00000000" w:rsidRDefault="001A570A">
            <w:pPr>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14:paraId="1B2D2C0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EC92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6F25B" w14:textId="77777777" w:rsidR="00000000" w:rsidRDefault="001A570A">
            <w:pPr>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113C7CD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D216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8926A" w14:textId="77777777" w:rsidR="00000000" w:rsidRDefault="001A570A">
            <w:pPr>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14:paraId="3025C65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7160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3FDC1" w14:textId="77777777" w:rsidR="00000000" w:rsidRDefault="001A570A">
            <w:pPr>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14:paraId="713AA356" w14:textId="77777777" w:rsidR="00000000" w:rsidRDefault="001A570A">
            <w:pPr>
              <w:jc w:val="right"/>
              <w:rPr>
                <w:rFonts w:eastAsia="Times New Roman"/>
              </w:rPr>
            </w:pPr>
          </w:p>
        </w:tc>
      </w:tr>
      <w:tr w:rsidR="00000000" w14:paraId="12F7FE3F" w14:textId="77777777">
        <w:trPr>
          <w:divId w:val="83066058"/>
        </w:trPr>
        <w:tc>
          <w:tcPr>
            <w:tcW w:w="0" w:type="auto"/>
            <w:gridSpan w:val="3"/>
            <w:shd w:val="clear" w:color="auto" w:fill="FFFFFF"/>
            <w:tcMar>
              <w:top w:w="30" w:type="dxa"/>
              <w:left w:w="380" w:type="dxa"/>
              <w:bottom w:w="30" w:type="dxa"/>
              <w:right w:w="20" w:type="dxa"/>
            </w:tcMar>
            <w:hideMark/>
          </w:tcPr>
          <w:p w14:paraId="177BF17A" w14:textId="77777777" w:rsidR="00000000" w:rsidRDefault="001A570A">
            <w:pPr>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08EB96E3" w14:textId="77777777" w:rsidR="00000000" w:rsidRDefault="001A570A">
            <w:pPr>
              <w:jc w:val="right"/>
              <w:rPr>
                <w:rFonts w:eastAsia="Times New Roman"/>
              </w:rPr>
            </w:pPr>
            <w:r>
              <w:rPr>
                <w:rFonts w:eastAsia="Times New Roman"/>
                <w:color w:val="000000"/>
                <w:sz w:val="20"/>
                <w:szCs w:val="20"/>
              </w:rPr>
              <w:t>(630)</w:t>
            </w:r>
          </w:p>
        </w:tc>
        <w:tc>
          <w:tcPr>
            <w:tcW w:w="0" w:type="auto"/>
            <w:shd w:val="clear" w:color="auto" w:fill="FFFFFF"/>
            <w:tcMar>
              <w:top w:w="30" w:type="dxa"/>
              <w:left w:w="0" w:type="dxa"/>
              <w:bottom w:w="30" w:type="dxa"/>
              <w:right w:w="20" w:type="dxa"/>
            </w:tcMar>
            <w:vAlign w:val="bottom"/>
            <w:hideMark/>
          </w:tcPr>
          <w:p w14:paraId="5108337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B54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D52DB4" w14:textId="77777777" w:rsidR="00000000" w:rsidRDefault="001A570A">
            <w:pPr>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14:paraId="2A473A9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08C4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324134" w14:textId="77777777" w:rsidR="00000000" w:rsidRDefault="001A570A">
            <w:pPr>
              <w:jc w:val="right"/>
              <w:rPr>
                <w:rFonts w:eastAsia="Times New Roman"/>
              </w:rPr>
            </w:pPr>
            <w:r>
              <w:rPr>
                <w:rFonts w:eastAsia="Times New Roman"/>
                <w:color w:val="000000"/>
                <w:sz w:val="20"/>
                <w:szCs w:val="20"/>
              </w:rPr>
              <w:t>(382)</w:t>
            </w:r>
          </w:p>
        </w:tc>
        <w:tc>
          <w:tcPr>
            <w:tcW w:w="0" w:type="auto"/>
            <w:shd w:val="clear" w:color="auto" w:fill="FFFFFF"/>
            <w:tcMar>
              <w:top w:w="30" w:type="dxa"/>
              <w:left w:w="0" w:type="dxa"/>
              <w:bottom w:w="30" w:type="dxa"/>
              <w:right w:w="20" w:type="dxa"/>
            </w:tcMar>
            <w:vAlign w:val="bottom"/>
            <w:hideMark/>
          </w:tcPr>
          <w:p w14:paraId="75FC57A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CAEB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769BD" w14:textId="77777777" w:rsidR="00000000" w:rsidRDefault="001A570A">
            <w:pPr>
              <w:jc w:val="right"/>
              <w:rPr>
                <w:rFonts w:eastAsia="Times New Roman"/>
              </w:rPr>
            </w:pPr>
            <w:r>
              <w:rPr>
                <w:rFonts w:eastAsia="Times New Roman"/>
                <w:color w:val="000000"/>
                <w:sz w:val="20"/>
                <w:szCs w:val="20"/>
              </w:rPr>
              <w:t>(369)</w:t>
            </w:r>
          </w:p>
        </w:tc>
        <w:tc>
          <w:tcPr>
            <w:tcW w:w="0" w:type="auto"/>
            <w:shd w:val="clear" w:color="auto" w:fill="FFFFFF"/>
            <w:tcMar>
              <w:top w:w="30" w:type="dxa"/>
              <w:left w:w="0" w:type="dxa"/>
              <w:bottom w:w="30" w:type="dxa"/>
              <w:right w:w="20" w:type="dxa"/>
            </w:tcMar>
            <w:vAlign w:val="bottom"/>
            <w:hideMark/>
          </w:tcPr>
          <w:p w14:paraId="6EF0479B" w14:textId="77777777" w:rsidR="00000000" w:rsidRDefault="001A570A">
            <w:pPr>
              <w:jc w:val="right"/>
              <w:rPr>
                <w:rFonts w:eastAsia="Times New Roman"/>
              </w:rPr>
            </w:pPr>
          </w:p>
        </w:tc>
      </w:tr>
      <w:tr w:rsidR="00000000" w14:paraId="31A65073" w14:textId="77777777">
        <w:trPr>
          <w:divId w:val="83066058"/>
        </w:trPr>
        <w:tc>
          <w:tcPr>
            <w:tcW w:w="0" w:type="auto"/>
            <w:gridSpan w:val="3"/>
            <w:shd w:val="clear" w:color="auto" w:fill="CCEEFF"/>
            <w:tcMar>
              <w:top w:w="30" w:type="dxa"/>
              <w:left w:w="380" w:type="dxa"/>
              <w:bottom w:w="30" w:type="dxa"/>
              <w:right w:w="20" w:type="dxa"/>
            </w:tcMar>
            <w:hideMark/>
          </w:tcPr>
          <w:p w14:paraId="4EE170F5" w14:textId="77777777" w:rsidR="00000000" w:rsidRDefault="001A570A">
            <w:pPr>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14:paraId="39B73814"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44EF1F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F894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919819"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984B8D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508E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40B4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D11F1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3C5E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ECCA8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223DB5" w14:textId="77777777" w:rsidR="00000000" w:rsidRDefault="001A570A">
            <w:pPr>
              <w:jc w:val="right"/>
              <w:rPr>
                <w:rFonts w:eastAsia="Times New Roman"/>
              </w:rPr>
            </w:pPr>
          </w:p>
        </w:tc>
      </w:tr>
      <w:tr w:rsidR="00000000" w14:paraId="59C51608" w14:textId="77777777">
        <w:trPr>
          <w:divId w:val="83066058"/>
        </w:trPr>
        <w:tc>
          <w:tcPr>
            <w:tcW w:w="0" w:type="auto"/>
            <w:gridSpan w:val="3"/>
            <w:shd w:val="clear" w:color="auto" w:fill="FFFFFF"/>
            <w:tcMar>
              <w:top w:w="30" w:type="dxa"/>
              <w:left w:w="380" w:type="dxa"/>
              <w:bottom w:w="30" w:type="dxa"/>
              <w:right w:w="20" w:type="dxa"/>
            </w:tcMar>
            <w:hideMark/>
          </w:tcPr>
          <w:p w14:paraId="546923D1" w14:textId="77777777" w:rsidR="00000000" w:rsidRDefault="001A570A">
            <w:pPr>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608FF32C"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0D70CE8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0E2D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A65D6"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20218A8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C10F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B3CF3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2131A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A576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785A7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347DA5" w14:textId="77777777" w:rsidR="00000000" w:rsidRDefault="001A570A">
            <w:pPr>
              <w:jc w:val="right"/>
              <w:rPr>
                <w:rFonts w:eastAsia="Times New Roman"/>
              </w:rPr>
            </w:pPr>
          </w:p>
        </w:tc>
      </w:tr>
      <w:tr w:rsidR="00000000" w14:paraId="27380FB7" w14:textId="77777777">
        <w:trPr>
          <w:divId w:val="83066058"/>
        </w:trPr>
        <w:tc>
          <w:tcPr>
            <w:tcW w:w="0" w:type="auto"/>
            <w:gridSpan w:val="3"/>
            <w:shd w:val="clear" w:color="auto" w:fill="CCEEFF"/>
            <w:tcMar>
              <w:top w:w="30" w:type="dxa"/>
              <w:left w:w="380" w:type="dxa"/>
              <w:bottom w:w="30" w:type="dxa"/>
              <w:right w:w="20" w:type="dxa"/>
            </w:tcMar>
            <w:hideMark/>
          </w:tcPr>
          <w:p w14:paraId="78EB0ABE" w14:textId="77777777" w:rsidR="00000000" w:rsidRDefault="001A570A">
            <w:pPr>
              <w:rPr>
                <w:rFonts w:eastAsia="Times New Roman"/>
              </w:rPr>
            </w:pPr>
            <w:r>
              <w:rPr>
                <w:rFonts w:eastAsia="Times New Roman"/>
                <w:color w:val="000000"/>
                <w:sz w:val="20"/>
                <w:szCs w:val="20"/>
              </w:rPr>
              <w:t>Cost for special termination benefits</w:t>
            </w:r>
          </w:p>
        </w:tc>
        <w:tc>
          <w:tcPr>
            <w:tcW w:w="0" w:type="auto"/>
            <w:gridSpan w:val="2"/>
            <w:shd w:val="clear" w:color="auto" w:fill="CCEEFF"/>
            <w:tcMar>
              <w:top w:w="30" w:type="dxa"/>
              <w:left w:w="20" w:type="dxa"/>
              <w:bottom w:w="30" w:type="dxa"/>
              <w:right w:w="0" w:type="dxa"/>
            </w:tcMar>
            <w:vAlign w:val="bottom"/>
            <w:hideMark/>
          </w:tcPr>
          <w:p w14:paraId="6C08130E"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0CCFFFF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C692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AA14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8A362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B43D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65D4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E471C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D15F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6F78B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761CB5" w14:textId="77777777" w:rsidR="00000000" w:rsidRDefault="001A570A">
            <w:pPr>
              <w:jc w:val="right"/>
              <w:rPr>
                <w:rFonts w:eastAsia="Times New Roman"/>
              </w:rPr>
            </w:pPr>
          </w:p>
        </w:tc>
      </w:tr>
      <w:tr w:rsidR="00000000" w14:paraId="334F239F" w14:textId="77777777">
        <w:trPr>
          <w:divId w:val="83066058"/>
        </w:trPr>
        <w:tc>
          <w:tcPr>
            <w:tcW w:w="0" w:type="auto"/>
            <w:gridSpan w:val="3"/>
            <w:shd w:val="clear" w:color="auto" w:fill="FFFFFF"/>
            <w:tcMar>
              <w:top w:w="30" w:type="dxa"/>
              <w:left w:w="20" w:type="dxa"/>
              <w:bottom w:w="30" w:type="dxa"/>
              <w:right w:w="20" w:type="dxa"/>
            </w:tcMar>
            <w:hideMark/>
          </w:tcPr>
          <w:p w14:paraId="2CBFAFA8" w14:textId="77777777" w:rsidR="00000000" w:rsidRDefault="001A570A">
            <w:pPr>
              <w:divId w:val="132481004"/>
              <w:rPr>
                <w:rFonts w:eastAsia="Times New Roman"/>
              </w:rPr>
            </w:pPr>
            <w:r>
              <w:rPr>
                <w:rFonts w:eastAsia="Times New Roman"/>
                <w:color w:val="000000"/>
                <w:sz w:val="20"/>
                <w:szCs w:val="20"/>
              </w:rPr>
              <w:t>Effect of curtailments or settlement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0C2812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E13C5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5800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E120A"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6327072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9AD2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843FB5"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08CBF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C371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97AA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E2BBE5" w14:textId="77777777" w:rsidR="00000000" w:rsidRDefault="001A570A">
            <w:pPr>
              <w:jc w:val="right"/>
              <w:rPr>
                <w:rFonts w:eastAsia="Times New Roman"/>
              </w:rPr>
            </w:pPr>
          </w:p>
        </w:tc>
      </w:tr>
      <w:tr w:rsidR="00000000" w14:paraId="4E621301" w14:textId="77777777">
        <w:trPr>
          <w:divId w:val="83066058"/>
        </w:trPr>
        <w:tc>
          <w:tcPr>
            <w:tcW w:w="0" w:type="auto"/>
            <w:gridSpan w:val="3"/>
            <w:shd w:val="clear" w:color="auto" w:fill="CCEEFF"/>
            <w:tcMar>
              <w:top w:w="30" w:type="dxa"/>
              <w:left w:w="155" w:type="dxa"/>
              <w:bottom w:w="30" w:type="dxa"/>
              <w:right w:w="20" w:type="dxa"/>
            </w:tcMar>
            <w:hideMark/>
          </w:tcPr>
          <w:p w14:paraId="7E166605" w14:textId="77777777" w:rsidR="00000000" w:rsidRDefault="001A570A">
            <w:pPr>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54D72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CF17CA" w14:textId="77777777" w:rsidR="00000000" w:rsidRDefault="001A570A">
            <w:pPr>
              <w:jc w:val="right"/>
              <w:rPr>
                <w:rFonts w:eastAsia="Times New Roman"/>
              </w:rPr>
            </w:pPr>
            <w:r>
              <w:rPr>
                <w:rFonts w:eastAsia="Times New Roman"/>
                <w:color w:val="000000"/>
                <w:sz w:val="20"/>
                <w:szCs w:val="20"/>
              </w:rPr>
              <w:t>(309)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D0565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CCC5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8776F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ED1596" w14:textId="77777777" w:rsidR="00000000" w:rsidRDefault="001A570A">
            <w:pPr>
              <w:jc w:val="right"/>
              <w:rPr>
                <w:rFonts w:eastAsia="Times New Roman"/>
              </w:rPr>
            </w:pPr>
            <w:r>
              <w:rPr>
                <w:rFonts w:eastAsia="Times New Roman"/>
                <w:color w:val="000000"/>
                <w:sz w:val="20"/>
                <w:szCs w:val="20"/>
              </w:rPr>
              <w:t>(145)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620C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5C79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46BDE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F01CCA" w14:textId="77777777" w:rsidR="00000000" w:rsidRDefault="001A570A">
            <w:pPr>
              <w:jc w:val="right"/>
              <w:rPr>
                <w:rFonts w:eastAsia="Times New Roman"/>
              </w:rPr>
            </w:pPr>
            <w:r>
              <w:rPr>
                <w:rFonts w:eastAsia="Times New Roman"/>
                <w:color w:val="000000"/>
                <w:sz w:val="20"/>
                <w:szCs w:val="20"/>
              </w:rPr>
              <w:t>(136)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8D2B0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792FD"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8ED4A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808487" w14:textId="77777777" w:rsidR="00000000" w:rsidRDefault="001A570A">
            <w:pPr>
              <w:jc w:val="right"/>
              <w:rPr>
                <w:rFonts w:eastAsia="Times New Roman"/>
              </w:rPr>
            </w:pPr>
            <w:r>
              <w:rPr>
                <w:rFonts w:eastAsia="Times New Roman"/>
                <w:color w:val="000000"/>
                <w:sz w:val="20"/>
                <w:szCs w:val="20"/>
              </w:rPr>
              <w:t>(135)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68E691" w14:textId="77777777" w:rsidR="00000000" w:rsidRDefault="001A570A">
            <w:pPr>
              <w:jc w:val="right"/>
              <w:rPr>
                <w:rFonts w:eastAsia="Times New Roman"/>
              </w:rPr>
            </w:pPr>
          </w:p>
        </w:tc>
      </w:tr>
      <w:tr w:rsidR="00000000" w14:paraId="7DE97B25" w14:textId="77777777">
        <w:trPr>
          <w:divId w:val="83066058"/>
        </w:trPr>
        <w:tc>
          <w:tcPr>
            <w:tcW w:w="0" w:type="auto"/>
            <w:gridSpan w:val="24"/>
            <w:shd w:val="clear" w:color="auto" w:fill="FFFFFF"/>
            <w:tcMar>
              <w:top w:w="30" w:type="dxa"/>
              <w:left w:w="20" w:type="dxa"/>
              <w:bottom w:w="30" w:type="dxa"/>
              <w:right w:w="20" w:type="dxa"/>
            </w:tcMar>
            <w:vAlign w:val="bottom"/>
            <w:hideMark/>
          </w:tcPr>
          <w:p w14:paraId="237FEE66" w14:textId="77777777" w:rsidR="00000000" w:rsidRDefault="001A570A">
            <w:pPr>
              <w:rPr>
                <w:rFonts w:eastAsia="Times New Roman"/>
              </w:rPr>
            </w:pPr>
            <w:r>
              <w:rPr>
                <w:rFonts w:eastAsia="Times New Roman"/>
                <w:b/>
                <w:bCs/>
                <w:color w:val="000000"/>
                <w:sz w:val="20"/>
                <w:szCs w:val="20"/>
              </w:rPr>
              <w:t>Other changes in plan assets and benefit obligations recognized in other comprehensive loss</w:t>
            </w:r>
          </w:p>
        </w:tc>
      </w:tr>
      <w:tr w:rsidR="00000000" w14:paraId="5F7741D5" w14:textId="77777777">
        <w:trPr>
          <w:divId w:val="83066058"/>
        </w:trPr>
        <w:tc>
          <w:tcPr>
            <w:tcW w:w="0" w:type="auto"/>
            <w:gridSpan w:val="3"/>
            <w:shd w:val="clear" w:color="auto" w:fill="CCEEFF"/>
            <w:tcMar>
              <w:top w:w="30" w:type="dxa"/>
              <w:left w:w="380" w:type="dxa"/>
              <w:bottom w:w="30" w:type="dxa"/>
              <w:right w:w="20" w:type="dxa"/>
            </w:tcMar>
            <w:hideMark/>
          </w:tcPr>
          <w:p w14:paraId="01262E36" w14:textId="77777777" w:rsidR="00000000" w:rsidRDefault="001A570A">
            <w:pPr>
              <w:rPr>
                <w:rFonts w:eastAsia="Times New Roman"/>
              </w:rPr>
            </w:pPr>
            <w:r>
              <w:rPr>
                <w:rFonts w:eastAsia="Times New Roman"/>
                <w:color w:val="000000"/>
                <w:sz w:val="20"/>
                <w:szCs w:val="20"/>
              </w:rPr>
              <w:t>Net actuarial loss (gain)</w:t>
            </w:r>
          </w:p>
        </w:tc>
        <w:tc>
          <w:tcPr>
            <w:tcW w:w="0" w:type="auto"/>
            <w:shd w:val="clear" w:color="auto" w:fill="CCEEFF"/>
            <w:tcMar>
              <w:top w:w="30" w:type="dxa"/>
              <w:left w:w="20" w:type="dxa"/>
              <w:bottom w:w="30" w:type="dxa"/>
              <w:right w:w="0" w:type="dxa"/>
            </w:tcMar>
            <w:vAlign w:val="bottom"/>
            <w:hideMark/>
          </w:tcPr>
          <w:p w14:paraId="30C7732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999F72" w14:textId="77777777" w:rsidR="00000000" w:rsidRDefault="001A570A">
            <w:pPr>
              <w:jc w:val="right"/>
              <w:rPr>
                <w:rFonts w:eastAsia="Times New Roman"/>
              </w:rPr>
            </w:pPr>
            <w:r>
              <w:rPr>
                <w:rFonts w:eastAsia="Times New Roman"/>
                <w:color w:val="000000"/>
                <w:sz w:val="20"/>
                <w:szCs w:val="20"/>
              </w:rPr>
              <w:t>403 </w:t>
            </w:r>
          </w:p>
        </w:tc>
        <w:tc>
          <w:tcPr>
            <w:tcW w:w="0" w:type="auto"/>
            <w:shd w:val="clear" w:color="auto" w:fill="CCEEFF"/>
            <w:tcMar>
              <w:top w:w="30" w:type="dxa"/>
              <w:left w:w="0" w:type="dxa"/>
              <w:bottom w:w="30" w:type="dxa"/>
              <w:right w:w="20" w:type="dxa"/>
            </w:tcMar>
            <w:vAlign w:val="bottom"/>
            <w:hideMark/>
          </w:tcPr>
          <w:p w14:paraId="1686BC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C779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85AEA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8B3197" w14:textId="77777777" w:rsidR="00000000" w:rsidRDefault="001A570A">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0AFA22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5C9B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19441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55AD1A" w14:textId="77777777" w:rsidR="00000000" w:rsidRDefault="001A570A">
            <w:pPr>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14:paraId="63DE7F4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4E56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A0DBB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19994D" w14:textId="77777777" w:rsidR="00000000" w:rsidRDefault="001A570A">
            <w:pPr>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14:paraId="181B040E" w14:textId="77777777" w:rsidR="00000000" w:rsidRDefault="001A570A">
            <w:pPr>
              <w:jc w:val="right"/>
              <w:rPr>
                <w:rFonts w:eastAsia="Times New Roman"/>
              </w:rPr>
            </w:pPr>
          </w:p>
        </w:tc>
      </w:tr>
      <w:tr w:rsidR="00000000" w14:paraId="33A06F61" w14:textId="77777777">
        <w:trPr>
          <w:divId w:val="83066058"/>
        </w:trPr>
        <w:tc>
          <w:tcPr>
            <w:tcW w:w="0" w:type="auto"/>
            <w:gridSpan w:val="3"/>
            <w:vAlign w:val="center"/>
            <w:hideMark/>
          </w:tcPr>
          <w:p w14:paraId="7D2583C8" w14:textId="77777777" w:rsidR="00000000" w:rsidRDefault="001A570A">
            <w:pPr>
              <w:jc w:val="right"/>
              <w:rPr>
                <w:rFonts w:eastAsia="Times New Roman"/>
                <w:sz w:val="20"/>
                <w:szCs w:val="20"/>
              </w:rPr>
            </w:pPr>
          </w:p>
        </w:tc>
        <w:tc>
          <w:tcPr>
            <w:tcW w:w="0" w:type="auto"/>
            <w:gridSpan w:val="3"/>
            <w:vAlign w:val="center"/>
            <w:hideMark/>
          </w:tcPr>
          <w:p w14:paraId="233D9614" w14:textId="77777777" w:rsidR="00000000" w:rsidRDefault="001A570A">
            <w:pPr>
              <w:rPr>
                <w:rFonts w:eastAsia="Times New Roman"/>
                <w:sz w:val="20"/>
                <w:szCs w:val="20"/>
              </w:rPr>
            </w:pPr>
          </w:p>
        </w:tc>
        <w:tc>
          <w:tcPr>
            <w:tcW w:w="0" w:type="auto"/>
            <w:gridSpan w:val="3"/>
            <w:vAlign w:val="center"/>
            <w:hideMark/>
          </w:tcPr>
          <w:p w14:paraId="0CB35203" w14:textId="77777777" w:rsidR="00000000" w:rsidRDefault="001A570A">
            <w:pPr>
              <w:rPr>
                <w:rFonts w:eastAsia="Times New Roman"/>
                <w:sz w:val="20"/>
                <w:szCs w:val="20"/>
              </w:rPr>
            </w:pPr>
          </w:p>
        </w:tc>
        <w:tc>
          <w:tcPr>
            <w:tcW w:w="0" w:type="auto"/>
            <w:gridSpan w:val="3"/>
            <w:vAlign w:val="center"/>
            <w:hideMark/>
          </w:tcPr>
          <w:p w14:paraId="565E0146" w14:textId="77777777" w:rsidR="00000000" w:rsidRDefault="001A570A">
            <w:pPr>
              <w:rPr>
                <w:rFonts w:eastAsia="Times New Roman"/>
                <w:sz w:val="20"/>
                <w:szCs w:val="20"/>
              </w:rPr>
            </w:pPr>
          </w:p>
        </w:tc>
        <w:tc>
          <w:tcPr>
            <w:tcW w:w="0" w:type="auto"/>
            <w:gridSpan w:val="3"/>
            <w:vAlign w:val="center"/>
            <w:hideMark/>
          </w:tcPr>
          <w:p w14:paraId="6F63BF81" w14:textId="77777777" w:rsidR="00000000" w:rsidRDefault="001A570A">
            <w:pPr>
              <w:rPr>
                <w:rFonts w:eastAsia="Times New Roman"/>
                <w:sz w:val="20"/>
                <w:szCs w:val="20"/>
              </w:rPr>
            </w:pPr>
          </w:p>
        </w:tc>
        <w:tc>
          <w:tcPr>
            <w:tcW w:w="0" w:type="auto"/>
            <w:gridSpan w:val="3"/>
            <w:vAlign w:val="center"/>
            <w:hideMark/>
          </w:tcPr>
          <w:p w14:paraId="60B6B956" w14:textId="77777777" w:rsidR="00000000" w:rsidRDefault="001A570A">
            <w:pPr>
              <w:rPr>
                <w:rFonts w:eastAsia="Times New Roman"/>
                <w:sz w:val="20"/>
                <w:szCs w:val="20"/>
              </w:rPr>
            </w:pPr>
          </w:p>
        </w:tc>
        <w:tc>
          <w:tcPr>
            <w:tcW w:w="0" w:type="auto"/>
            <w:gridSpan w:val="3"/>
            <w:vAlign w:val="center"/>
            <w:hideMark/>
          </w:tcPr>
          <w:p w14:paraId="5CF113A6" w14:textId="77777777" w:rsidR="00000000" w:rsidRDefault="001A570A">
            <w:pPr>
              <w:rPr>
                <w:rFonts w:eastAsia="Times New Roman"/>
                <w:sz w:val="20"/>
                <w:szCs w:val="20"/>
              </w:rPr>
            </w:pPr>
          </w:p>
        </w:tc>
        <w:tc>
          <w:tcPr>
            <w:tcW w:w="0" w:type="auto"/>
            <w:gridSpan w:val="3"/>
            <w:vAlign w:val="center"/>
            <w:hideMark/>
          </w:tcPr>
          <w:p w14:paraId="278BA75D" w14:textId="77777777" w:rsidR="00000000" w:rsidRDefault="001A570A">
            <w:pPr>
              <w:rPr>
                <w:rFonts w:eastAsia="Times New Roman"/>
                <w:sz w:val="20"/>
                <w:szCs w:val="20"/>
              </w:rPr>
            </w:pPr>
          </w:p>
        </w:tc>
      </w:tr>
      <w:tr w:rsidR="00000000" w14:paraId="303EBD05" w14:textId="77777777">
        <w:trPr>
          <w:divId w:val="83066058"/>
        </w:trPr>
        <w:tc>
          <w:tcPr>
            <w:tcW w:w="0" w:type="auto"/>
            <w:gridSpan w:val="3"/>
            <w:shd w:val="clear" w:color="auto" w:fill="FFFFFF"/>
            <w:tcMar>
              <w:top w:w="30" w:type="dxa"/>
              <w:left w:w="380" w:type="dxa"/>
              <w:bottom w:w="30" w:type="dxa"/>
              <w:right w:w="20" w:type="dxa"/>
            </w:tcMar>
            <w:hideMark/>
          </w:tcPr>
          <w:p w14:paraId="2CDDB8DA" w14:textId="77777777" w:rsidR="00000000" w:rsidRDefault="001A570A">
            <w:pPr>
              <w:rPr>
                <w:rFonts w:eastAsia="Times New Roman"/>
              </w:rPr>
            </w:pPr>
            <w:r>
              <w:rPr>
                <w:rFonts w:eastAsia="Times New Roman"/>
                <w:color w:val="000000"/>
                <w:sz w:val="20"/>
                <w:szCs w:val="20"/>
              </w:rPr>
              <w:t>Prior service cost (credit)</w:t>
            </w:r>
          </w:p>
        </w:tc>
        <w:tc>
          <w:tcPr>
            <w:tcW w:w="0" w:type="auto"/>
            <w:gridSpan w:val="2"/>
            <w:shd w:val="clear" w:color="auto" w:fill="FFFFFF"/>
            <w:tcMar>
              <w:top w:w="30" w:type="dxa"/>
              <w:left w:w="20" w:type="dxa"/>
              <w:bottom w:w="30" w:type="dxa"/>
              <w:right w:w="0" w:type="dxa"/>
            </w:tcMar>
            <w:vAlign w:val="bottom"/>
            <w:hideMark/>
          </w:tcPr>
          <w:p w14:paraId="51094A27"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C6E948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501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721C2" w14:textId="77777777" w:rsidR="00000000" w:rsidRDefault="001A570A">
            <w:pPr>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bottom"/>
            <w:hideMark/>
          </w:tcPr>
          <w:p w14:paraId="04B6C0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43FC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09768"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7C1D350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88ACA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5665B"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4446E0C" w14:textId="77777777" w:rsidR="00000000" w:rsidRDefault="001A570A">
            <w:pPr>
              <w:jc w:val="right"/>
              <w:rPr>
                <w:rFonts w:eastAsia="Times New Roman"/>
              </w:rPr>
            </w:pPr>
          </w:p>
        </w:tc>
      </w:tr>
      <w:tr w:rsidR="00000000" w14:paraId="74D8E2CA" w14:textId="77777777">
        <w:trPr>
          <w:divId w:val="83066058"/>
        </w:trPr>
        <w:tc>
          <w:tcPr>
            <w:tcW w:w="0" w:type="auto"/>
            <w:gridSpan w:val="3"/>
            <w:vAlign w:val="center"/>
            <w:hideMark/>
          </w:tcPr>
          <w:p w14:paraId="71E6298D" w14:textId="77777777" w:rsidR="00000000" w:rsidRDefault="001A570A">
            <w:pPr>
              <w:jc w:val="right"/>
              <w:rPr>
                <w:rFonts w:eastAsia="Times New Roman"/>
                <w:sz w:val="20"/>
                <w:szCs w:val="20"/>
              </w:rPr>
            </w:pPr>
          </w:p>
        </w:tc>
        <w:tc>
          <w:tcPr>
            <w:tcW w:w="0" w:type="auto"/>
            <w:gridSpan w:val="3"/>
            <w:vAlign w:val="center"/>
            <w:hideMark/>
          </w:tcPr>
          <w:p w14:paraId="25D50407" w14:textId="77777777" w:rsidR="00000000" w:rsidRDefault="001A570A">
            <w:pPr>
              <w:rPr>
                <w:rFonts w:eastAsia="Times New Roman"/>
                <w:sz w:val="20"/>
                <w:szCs w:val="20"/>
              </w:rPr>
            </w:pPr>
          </w:p>
        </w:tc>
        <w:tc>
          <w:tcPr>
            <w:tcW w:w="0" w:type="auto"/>
            <w:gridSpan w:val="3"/>
            <w:vAlign w:val="center"/>
            <w:hideMark/>
          </w:tcPr>
          <w:p w14:paraId="7808597B" w14:textId="77777777" w:rsidR="00000000" w:rsidRDefault="001A570A">
            <w:pPr>
              <w:rPr>
                <w:rFonts w:eastAsia="Times New Roman"/>
                <w:sz w:val="20"/>
                <w:szCs w:val="20"/>
              </w:rPr>
            </w:pPr>
          </w:p>
        </w:tc>
        <w:tc>
          <w:tcPr>
            <w:tcW w:w="0" w:type="auto"/>
            <w:gridSpan w:val="3"/>
            <w:vAlign w:val="center"/>
            <w:hideMark/>
          </w:tcPr>
          <w:p w14:paraId="735DB4D3" w14:textId="77777777" w:rsidR="00000000" w:rsidRDefault="001A570A">
            <w:pPr>
              <w:rPr>
                <w:rFonts w:eastAsia="Times New Roman"/>
                <w:sz w:val="20"/>
                <w:szCs w:val="20"/>
              </w:rPr>
            </w:pPr>
          </w:p>
        </w:tc>
        <w:tc>
          <w:tcPr>
            <w:tcW w:w="0" w:type="auto"/>
            <w:gridSpan w:val="3"/>
            <w:vAlign w:val="center"/>
            <w:hideMark/>
          </w:tcPr>
          <w:p w14:paraId="6CEEE747" w14:textId="77777777" w:rsidR="00000000" w:rsidRDefault="001A570A">
            <w:pPr>
              <w:rPr>
                <w:rFonts w:eastAsia="Times New Roman"/>
                <w:sz w:val="20"/>
                <w:szCs w:val="20"/>
              </w:rPr>
            </w:pPr>
          </w:p>
        </w:tc>
        <w:tc>
          <w:tcPr>
            <w:tcW w:w="0" w:type="auto"/>
            <w:gridSpan w:val="3"/>
            <w:vAlign w:val="center"/>
            <w:hideMark/>
          </w:tcPr>
          <w:p w14:paraId="242B8CE6" w14:textId="77777777" w:rsidR="00000000" w:rsidRDefault="001A570A">
            <w:pPr>
              <w:rPr>
                <w:rFonts w:eastAsia="Times New Roman"/>
                <w:sz w:val="20"/>
                <w:szCs w:val="20"/>
              </w:rPr>
            </w:pPr>
          </w:p>
        </w:tc>
        <w:tc>
          <w:tcPr>
            <w:tcW w:w="0" w:type="auto"/>
            <w:gridSpan w:val="3"/>
            <w:vAlign w:val="center"/>
            <w:hideMark/>
          </w:tcPr>
          <w:p w14:paraId="35C92201" w14:textId="77777777" w:rsidR="00000000" w:rsidRDefault="001A570A">
            <w:pPr>
              <w:rPr>
                <w:rFonts w:eastAsia="Times New Roman"/>
                <w:sz w:val="20"/>
                <w:szCs w:val="20"/>
              </w:rPr>
            </w:pPr>
          </w:p>
        </w:tc>
        <w:tc>
          <w:tcPr>
            <w:tcW w:w="0" w:type="auto"/>
            <w:gridSpan w:val="3"/>
            <w:vAlign w:val="center"/>
            <w:hideMark/>
          </w:tcPr>
          <w:p w14:paraId="002A6106" w14:textId="77777777" w:rsidR="00000000" w:rsidRDefault="001A570A">
            <w:pPr>
              <w:rPr>
                <w:rFonts w:eastAsia="Times New Roman"/>
                <w:sz w:val="20"/>
                <w:szCs w:val="20"/>
              </w:rPr>
            </w:pPr>
          </w:p>
        </w:tc>
      </w:tr>
      <w:tr w:rsidR="00000000" w14:paraId="35D84E12" w14:textId="77777777">
        <w:trPr>
          <w:divId w:val="83066058"/>
        </w:trPr>
        <w:tc>
          <w:tcPr>
            <w:tcW w:w="0" w:type="auto"/>
            <w:gridSpan w:val="3"/>
            <w:shd w:val="clear" w:color="auto" w:fill="CCEEFF"/>
            <w:tcMar>
              <w:top w:w="30" w:type="dxa"/>
              <w:left w:w="380" w:type="dxa"/>
              <w:bottom w:w="30" w:type="dxa"/>
              <w:right w:w="20" w:type="dxa"/>
            </w:tcMar>
            <w:hideMark/>
          </w:tcPr>
          <w:p w14:paraId="3F8167C1" w14:textId="77777777" w:rsidR="00000000" w:rsidRDefault="001A570A">
            <w:pPr>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14:paraId="62762F74"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6B0754E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50DAA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08C63"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04767E6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BA6A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55D3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24D25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5BCD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9E27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81B3B7" w14:textId="77777777" w:rsidR="00000000" w:rsidRDefault="001A570A">
            <w:pPr>
              <w:jc w:val="right"/>
              <w:rPr>
                <w:rFonts w:eastAsia="Times New Roman"/>
              </w:rPr>
            </w:pPr>
          </w:p>
        </w:tc>
      </w:tr>
      <w:tr w:rsidR="00000000" w14:paraId="1214CC43" w14:textId="77777777">
        <w:trPr>
          <w:divId w:val="83066058"/>
        </w:trPr>
        <w:tc>
          <w:tcPr>
            <w:tcW w:w="0" w:type="auto"/>
            <w:gridSpan w:val="3"/>
            <w:shd w:val="clear" w:color="auto" w:fill="FFFFFF"/>
            <w:tcMar>
              <w:top w:w="30" w:type="dxa"/>
              <w:left w:w="380" w:type="dxa"/>
              <w:bottom w:w="30" w:type="dxa"/>
              <w:right w:w="20" w:type="dxa"/>
            </w:tcMar>
            <w:hideMark/>
          </w:tcPr>
          <w:p w14:paraId="4637D32B" w14:textId="77777777" w:rsidR="00000000" w:rsidRDefault="001A570A">
            <w:pPr>
              <w:rPr>
                <w:rFonts w:eastAsia="Times New Roman"/>
              </w:rPr>
            </w:pPr>
            <w:r>
              <w:rPr>
                <w:rFonts w:eastAsia="Times New Roman"/>
                <w:color w:val="000000"/>
                <w:sz w:val="20"/>
                <w:szCs w:val="20"/>
              </w:rPr>
              <w:t>Amortization of prior service credit (cost)</w:t>
            </w:r>
          </w:p>
        </w:tc>
        <w:tc>
          <w:tcPr>
            <w:tcW w:w="0" w:type="auto"/>
            <w:gridSpan w:val="2"/>
            <w:shd w:val="clear" w:color="auto" w:fill="FFFFFF"/>
            <w:tcMar>
              <w:top w:w="30" w:type="dxa"/>
              <w:left w:w="20" w:type="dxa"/>
              <w:bottom w:w="30" w:type="dxa"/>
              <w:right w:w="0" w:type="dxa"/>
            </w:tcMar>
            <w:vAlign w:val="bottom"/>
            <w:hideMark/>
          </w:tcPr>
          <w:p w14:paraId="66ACEF29" w14:textId="77777777" w:rsidR="00000000" w:rsidRDefault="001A570A">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135FF03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FD65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E5EFC"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F2EB6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7945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738F20"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5F46823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E255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A43C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3721B4" w14:textId="77777777" w:rsidR="00000000" w:rsidRDefault="001A570A">
            <w:pPr>
              <w:jc w:val="right"/>
              <w:rPr>
                <w:rFonts w:eastAsia="Times New Roman"/>
              </w:rPr>
            </w:pPr>
          </w:p>
        </w:tc>
      </w:tr>
      <w:tr w:rsidR="00000000" w14:paraId="7042D571" w14:textId="77777777">
        <w:trPr>
          <w:divId w:val="83066058"/>
        </w:trPr>
        <w:tc>
          <w:tcPr>
            <w:tcW w:w="0" w:type="auto"/>
            <w:gridSpan w:val="3"/>
            <w:shd w:val="clear" w:color="auto" w:fill="CCEEFF"/>
            <w:tcMar>
              <w:top w:w="30" w:type="dxa"/>
              <w:left w:w="380" w:type="dxa"/>
              <w:bottom w:w="30" w:type="dxa"/>
              <w:right w:w="20" w:type="dxa"/>
            </w:tcMar>
            <w:hideMark/>
          </w:tcPr>
          <w:p w14:paraId="42ECDFF6" w14:textId="77777777" w:rsidR="00000000" w:rsidRDefault="001A570A">
            <w:pPr>
              <w:rPr>
                <w:rFonts w:eastAsia="Times New Roman"/>
              </w:rPr>
            </w:pPr>
            <w:r>
              <w:rPr>
                <w:rFonts w:eastAsia="Times New Roman"/>
                <w:color w:val="000000"/>
                <w:sz w:val="20"/>
                <w:szCs w:val="20"/>
              </w:rPr>
              <w:t>Currency translation adjustment</w:t>
            </w:r>
          </w:p>
        </w:tc>
        <w:tc>
          <w:tcPr>
            <w:tcW w:w="0" w:type="auto"/>
            <w:gridSpan w:val="2"/>
            <w:shd w:val="clear" w:color="auto" w:fill="CCEEFF"/>
            <w:tcMar>
              <w:top w:w="30" w:type="dxa"/>
              <w:left w:w="20" w:type="dxa"/>
              <w:bottom w:w="30" w:type="dxa"/>
              <w:right w:w="0" w:type="dxa"/>
            </w:tcMar>
            <w:vAlign w:val="bottom"/>
            <w:hideMark/>
          </w:tcPr>
          <w:p w14:paraId="1458ADFF"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917CA0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D755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7A359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6685D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8AA5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AEE3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32B4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B46B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14870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8E4D92" w14:textId="77777777" w:rsidR="00000000" w:rsidRDefault="001A570A">
            <w:pPr>
              <w:jc w:val="right"/>
              <w:rPr>
                <w:rFonts w:eastAsia="Times New Roman"/>
              </w:rPr>
            </w:pPr>
          </w:p>
        </w:tc>
      </w:tr>
      <w:tr w:rsidR="00000000" w14:paraId="61CAF842" w14:textId="77777777">
        <w:trPr>
          <w:divId w:val="83066058"/>
        </w:trPr>
        <w:tc>
          <w:tcPr>
            <w:tcW w:w="0" w:type="auto"/>
            <w:gridSpan w:val="3"/>
            <w:shd w:val="clear" w:color="auto" w:fill="FFFFFF"/>
            <w:tcMar>
              <w:top w:w="30" w:type="dxa"/>
              <w:left w:w="380" w:type="dxa"/>
              <w:bottom w:w="30" w:type="dxa"/>
              <w:right w:w="20" w:type="dxa"/>
            </w:tcMar>
            <w:hideMark/>
          </w:tcPr>
          <w:p w14:paraId="4F035679" w14:textId="77777777" w:rsidR="00000000" w:rsidRDefault="001A570A">
            <w:pPr>
              <w:rPr>
                <w:rFonts w:eastAsia="Times New Roman"/>
              </w:rPr>
            </w:pPr>
            <w:r>
              <w:rPr>
                <w:rFonts w:eastAsia="Times New Roman"/>
                <w:color w:val="000000"/>
                <w:sz w:val="20"/>
                <w:szCs w:val="20"/>
              </w:rPr>
              <w:t>Recognized net loss due to divestiture</w:t>
            </w:r>
          </w:p>
        </w:tc>
        <w:tc>
          <w:tcPr>
            <w:tcW w:w="0" w:type="auto"/>
            <w:gridSpan w:val="2"/>
            <w:shd w:val="clear" w:color="auto" w:fill="FFFFFF"/>
            <w:tcMar>
              <w:top w:w="30" w:type="dxa"/>
              <w:left w:w="20" w:type="dxa"/>
              <w:bottom w:w="30" w:type="dxa"/>
              <w:right w:w="0" w:type="dxa"/>
            </w:tcMar>
            <w:vAlign w:val="bottom"/>
            <w:hideMark/>
          </w:tcPr>
          <w:p w14:paraId="4E1934B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07A1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E697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16ECB" w14:textId="77777777" w:rsidR="00000000" w:rsidRDefault="001A570A">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05F45D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681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862A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ADF0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B337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25CF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54FF18" w14:textId="77777777" w:rsidR="00000000" w:rsidRDefault="001A570A">
            <w:pPr>
              <w:jc w:val="right"/>
              <w:rPr>
                <w:rFonts w:eastAsia="Times New Roman"/>
              </w:rPr>
            </w:pPr>
          </w:p>
        </w:tc>
      </w:tr>
      <w:tr w:rsidR="00000000" w14:paraId="50107C49" w14:textId="77777777">
        <w:trPr>
          <w:divId w:val="83066058"/>
        </w:trPr>
        <w:tc>
          <w:tcPr>
            <w:tcW w:w="0" w:type="auto"/>
            <w:gridSpan w:val="3"/>
            <w:shd w:val="clear" w:color="auto" w:fill="CCEEFF"/>
            <w:tcMar>
              <w:top w:w="30" w:type="dxa"/>
              <w:left w:w="185" w:type="dxa"/>
              <w:bottom w:w="30" w:type="dxa"/>
              <w:right w:w="20" w:type="dxa"/>
            </w:tcMar>
            <w:hideMark/>
          </w:tcPr>
          <w:p w14:paraId="42A2F330" w14:textId="77777777" w:rsidR="00000000" w:rsidRDefault="001A570A">
            <w:pPr>
              <w:rPr>
                <w:rFonts w:eastAsia="Times New Roman"/>
              </w:rPr>
            </w:pPr>
            <w:r>
              <w:rPr>
                <w:rFonts w:eastAsia="Times New Roman"/>
                <w:color w:val="000000"/>
                <w:sz w:val="20"/>
                <w:szCs w:val="20"/>
              </w:rPr>
              <w:t>Total change recognized in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5851E8" w14:textId="77777777" w:rsidR="00000000" w:rsidRDefault="001A570A">
            <w:pPr>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AE01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4802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35CC5B" w14:textId="77777777" w:rsidR="00000000" w:rsidRDefault="001A570A">
            <w:pPr>
              <w:jc w:val="right"/>
              <w:rPr>
                <w:rFonts w:eastAsia="Times New Roman"/>
              </w:rPr>
            </w:pPr>
            <w:r>
              <w:rPr>
                <w:rFonts w:eastAsia="Times New Roman"/>
                <w:color w:val="000000"/>
                <w:sz w:val="20"/>
                <w:szCs w:val="20"/>
              </w:rPr>
              <w:t>(250)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EDBE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1412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4D7119" w14:textId="77777777" w:rsidR="00000000" w:rsidRDefault="001A570A">
            <w:pPr>
              <w:jc w:val="right"/>
              <w:rPr>
                <w:rFonts w:eastAsia="Times New Roman"/>
              </w:rPr>
            </w:pPr>
            <w:r>
              <w:rPr>
                <w:rFonts w:eastAsia="Times New Roman"/>
                <w:color w:val="000000"/>
                <w:sz w:val="20"/>
                <w:szCs w:val="20"/>
              </w:rPr>
              <w:t>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F8B6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043B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B1E2E6" w14:textId="77777777" w:rsidR="00000000" w:rsidRDefault="001A570A">
            <w:pPr>
              <w:jc w:val="right"/>
              <w:rPr>
                <w:rFonts w:eastAsia="Times New Roman"/>
              </w:rPr>
            </w:pPr>
            <w:r>
              <w:rPr>
                <w:rFonts w:eastAsia="Times New Roman"/>
                <w:color w:val="000000"/>
                <w:sz w:val="20"/>
                <w:szCs w:val="20"/>
              </w:rPr>
              <w:t>(104)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5A6639" w14:textId="77777777" w:rsidR="00000000" w:rsidRDefault="001A570A">
            <w:pPr>
              <w:jc w:val="right"/>
              <w:rPr>
                <w:rFonts w:eastAsia="Times New Roman"/>
              </w:rPr>
            </w:pPr>
          </w:p>
        </w:tc>
      </w:tr>
      <w:tr w:rsidR="00000000" w14:paraId="4069F66F" w14:textId="77777777">
        <w:trPr>
          <w:divId w:val="83066058"/>
        </w:trPr>
        <w:tc>
          <w:tcPr>
            <w:tcW w:w="0" w:type="auto"/>
            <w:gridSpan w:val="3"/>
            <w:shd w:val="clear" w:color="auto" w:fill="FFFFFF"/>
            <w:tcMar>
              <w:top w:w="30" w:type="dxa"/>
              <w:left w:w="185" w:type="dxa"/>
              <w:bottom w:w="30" w:type="dxa"/>
              <w:right w:w="20" w:type="dxa"/>
            </w:tcMar>
            <w:hideMark/>
          </w:tcPr>
          <w:p w14:paraId="237CE5B9" w14:textId="77777777" w:rsidR="00000000" w:rsidRDefault="001A570A">
            <w:pPr>
              <w:rPr>
                <w:rFonts w:eastAsia="Times New Roman"/>
              </w:rPr>
            </w:pPr>
            <w:r>
              <w:rPr>
                <w:rFonts w:eastAsia="Times New Roman"/>
                <w:color w:val="000000"/>
                <w:sz w:val="20"/>
                <w:szCs w:val="20"/>
              </w:rPr>
              <w:t>Total impact from net periodic benefit cost and changes in other 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859E9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2192B1" w14:textId="77777777" w:rsidR="00000000" w:rsidRDefault="001A570A">
            <w:pPr>
              <w:jc w:val="right"/>
              <w:rPr>
                <w:rFonts w:eastAsia="Times New Roman"/>
              </w:rPr>
            </w:pPr>
            <w:r>
              <w:rPr>
                <w:rFonts w:eastAsia="Times New Roman"/>
                <w:color w:val="000000"/>
                <w:sz w:val="20"/>
                <w:szCs w:val="20"/>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0584F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ACA7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C58BF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9896E5" w14:textId="77777777" w:rsidR="00000000" w:rsidRDefault="001A570A">
            <w:pPr>
              <w:jc w:val="right"/>
              <w:rPr>
                <w:rFonts w:eastAsia="Times New Roman"/>
              </w:rPr>
            </w:pPr>
            <w:r>
              <w:rPr>
                <w:rFonts w:eastAsia="Times New Roman"/>
                <w:color w:val="000000"/>
                <w:sz w:val="20"/>
                <w:szCs w:val="20"/>
              </w:rPr>
              <w:t>(395)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E1A0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0F89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DD30D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A7713C" w14:textId="77777777" w:rsidR="00000000" w:rsidRDefault="001A570A">
            <w:pPr>
              <w:jc w:val="right"/>
              <w:rPr>
                <w:rFonts w:eastAsia="Times New Roman"/>
              </w:rPr>
            </w:pPr>
            <w:r>
              <w:rPr>
                <w:rFonts w:eastAsia="Times New Roman"/>
                <w:color w:val="000000"/>
                <w:sz w:val="20"/>
                <w:szCs w:val="20"/>
              </w:rPr>
              <w:t>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AFEF6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1004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F3F81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8227FC" w14:textId="77777777" w:rsidR="00000000" w:rsidRDefault="001A570A">
            <w:pPr>
              <w:jc w:val="right"/>
              <w:rPr>
                <w:rFonts w:eastAsia="Times New Roman"/>
              </w:rPr>
            </w:pPr>
            <w:r>
              <w:rPr>
                <w:rFonts w:eastAsia="Times New Roman"/>
                <w:color w:val="000000"/>
                <w:sz w:val="20"/>
                <w:szCs w:val="20"/>
              </w:rPr>
              <w:t>(239)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44B1E9" w14:textId="77777777" w:rsidR="00000000" w:rsidRDefault="001A570A">
            <w:pPr>
              <w:jc w:val="right"/>
              <w:rPr>
                <w:rFonts w:eastAsia="Times New Roman"/>
              </w:rPr>
            </w:pPr>
          </w:p>
        </w:tc>
      </w:tr>
    </w:tbl>
    <w:p w14:paraId="3C1FE268" w14:textId="77777777" w:rsidR="00000000" w:rsidRDefault="001A570A">
      <w:pPr>
        <w:divId w:val="1833376191"/>
        <w:rPr>
          <w:rFonts w:eastAsia="Times New Roman"/>
        </w:rPr>
      </w:pPr>
      <w:r>
        <w:rPr>
          <w:rFonts w:eastAsia="Times New Roman"/>
          <w:color w:val="000000"/>
          <w:sz w:val="16"/>
          <w:szCs w:val="16"/>
        </w:rPr>
        <w:t>_______________</w:t>
      </w:r>
    </w:p>
    <w:p w14:paraId="2E3D80B5" w14:textId="77777777" w:rsidR="00000000" w:rsidRDefault="001A570A">
      <w:pPr>
        <w:ind w:hanging="360"/>
        <w:divId w:val="903636745"/>
        <w:rPr>
          <w:rFonts w:eastAsia="Times New Roman"/>
        </w:rPr>
      </w:pPr>
      <w:r>
        <w:rPr>
          <w:rFonts w:eastAsia="Times New Roman"/>
          <w:color w:val="000000"/>
          <w:sz w:val="16"/>
          <w:szCs w:val="16"/>
        </w:rPr>
        <w:t>(</w:t>
      </w:r>
      <w:r>
        <w:rPr>
          <w:rFonts w:eastAsia="Times New Roman"/>
          <w:color w:val="000000"/>
          <w:sz w:val="16"/>
          <w:szCs w:val="16"/>
        </w:rPr>
        <w:t>1)Effective January 1, 2020, for certain acquired L3 U.S. defined benefit pension plans, benefit accruals were frozen and replaced with a 1% cash balance benefit formula for certain employees who were not considered highly compensated on December 31, 2018.</w:t>
      </w:r>
      <w:r>
        <w:rPr>
          <w:rFonts w:eastAsia="Times New Roman"/>
          <w:color w:val="000000"/>
          <w:sz w:val="16"/>
          <w:szCs w:val="16"/>
        </w:rPr>
        <w:t xml:space="preserve"> During the two quarters ended January 3, 2020, we recognized a $23 million curtailment gain as a result of this change, and a $5 million settlement loss resulting from the payout of the liabilities of a non-qualified benefit plan due to the change in cont</w:t>
      </w:r>
      <w:r>
        <w:rPr>
          <w:rFonts w:eastAsia="Times New Roman"/>
          <w:color w:val="000000"/>
          <w:sz w:val="16"/>
          <w:szCs w:val="16"/>
        </w:rPr>
        <w:t>rol provisions.</w:t>
      </w:r>
    </w:p>
    <w:p w14:paraId="087F59D4" w14:textId="77777777" w:rsidR="00000000" w:rsidRDefault="001A570A">
      <w:pPr>
        <w:ind w:firstLine="450"/>
        <w:jc w:val="center"/>
        <w:divId w:val="1645819771"/>
        <w:rPr>
          <w:rFonts w:eastAsia="Times New Roman"/>
        </w:rPr>
      </w:pPr>
      <w:r>
        <w:rPr>
          <w:rFonts w:eastAsia="Times New Roman"/>
          <w:color w:val="000000"/>
          <w:sz w:val="20"/>
          <w:szCs w:val="20"/>
        </w:rPr>
        <w:t>108</w:t>
      </w:r>
    </w:p>
    <w:p w14:paraId="18A5C4BA" w14:textId="77777777" w:rsidR="00000000" w:rsidRDefault="001A570A">
      <w:pPr>
        <w:rPr>
          <w:rFonts w:eastAsia="Times New Roman"/>
        </w:rPr>
      </w:pPr>
      <w:r>
        <w:rPr>
          <w:rFonts w:eastAsia="Times New Roman"/>
        </w:rPr>
        <w:pict w14:anchorId="4D2B640C">
          <v:rect id="_x0000_i1136" style="width:0;height:1.5pt" o:hralign="center" o:hrstd="t" o:hr="t" fillcolor="#a0a0a0" stroked="f"/>
        </w:pict>
      </w:r>
    </w:p>
    <w:p w14:paraId="2A78DB94" w14:textId="77777777" w:rsidR="00000000" w:rsidRDefault="001A570A">
      <w:pPr>
        <w:ind w:firstLine="450"/>
        <w:divId w:val="4448140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824"/>
        <w:gridCol w:w="40"/>
        <w:gridCol w:w="121"/>
        <w:gridCol w:w="896"/>
        <w:gridCol w:w="37"/>
        <w:gridCol w:w="36"/>
        <w:gridCol w:w="36"/>
        <w:gridCol w:w="36"/>
        <w:gridCol w:w="121"/>
        <w:gridCol w:w="851"/>
        <w:gridCol w:w="36"/>
        <w:gridCol w:w="36"/>
        <w:gridCol w:w="36"/>
        <w:gridCol w:w="36"/>
        <w:gridCol w:w="120"/>
        <w:gridCol w:w="851"/>
        <w:gridCol w:w="36"/>
        <w:gridCol w:w="36"/>
        <w:gridCol w:w="36"/>
        <w:gridCol w:w="36"/>
        <w:gridCol w:w="120"/>
        <w:gridCol w:w="852"/>
        <w:gridCol w:w="36"/>
      </w:tblGrid>
      <w:tr w:rsidR="00000000" w14:paraId="0D71F945" w14:textId="77777777">
        <w:trPr>
          <w:divId w:val="43529480"/>
        </w:trPr>
        <w:tc>
          <w:tcPr>
            <w:tcW w:w="50" w:type="pct"/>
            <w:vAlign w:val="center"/>
            <w:hideMark/>
          </w:tcPr>
          <w:p w14:paraId="798C8598" w14:textId="77777777" w:rsidR="00000000" w:rsidRDefault="001A570A">
            <w:pPr>
              <w:ind w:firstLine="450"/>
              <w:rPr>
                <w:rFonts w:eastAsia="Times New Roman"/>
              </w:rPr>
            </w:pPr>
          </w:p>
        </w:tc>
        <w:tc>
          <w:tcPr>
            <w:tcW w:w="2337" w:type="pct"/>
            <w:vAlign w:val="center"/>
            <w:hideMark/>
          </w:tcPr>
          <w:p w14:paraId="1EEE0757" w14:textId="77777777" w:rsidR="00000000" w:rsidRDefault="001A570A">
            <w:pPr>
              <w:rPr>
                <w:rFonts w:eastAsia="Times New Roman"/>
                <w:sz w:val="20"/>
                <w:szCs w:val="20"/>
              </w:rPr>
            </w:pPr>
          </w:p>
        </w:tc>
        <w:tc>
          <w:tcPr>
            <w:tcW w:w="5" w:type="pct"/>
            <w:vAlign w:val="center"/>
            <w:hideMark/>
          </w:tcPr>
          <w:p w14:paraId="2C9C5678" w14:textId="77777777" w:rsidR="00000000" w:rsidRDefault="001A570A">
            <w:pPr>
              <w:rPr>
                <w:rFonts w:eastAsia="Times New Roman"/>
                <w:sz w:val="20"/>
                <w:szCs w:val="20"/>
              </w:rPr>
            </w:pPr>
          </w:p>
        </w:tc>
        <w:tc>
          <w:tcPr>
            <w:tcW w:w="50" w:type="pct"/>
            <w:vAlign w:val="center"/>
            <w:hideMark/>
          </w:tcPr>
          <w:p w14:paraId="04AE0679" w14:textId="77777777" w:rsidR="00000000" w:rsidRDefault="001A570A">
            <w:pPr>
              <w:rPr>
                <w:rFonts w:eastAsia="Times New Roman"/>
                <w:sz w:val="20"/>
                <w:szCs w:val="20"/>
              </w:rPr>
            </w:pPr>
          </w:p>
        </w:tc>
        <w:tc>
          <w:tcPr>
            <w:tcW w:w="570" w:type="pct"/>
            <w:vAlign w:val="center"/>
            <w:hideMark/>
          </w:tcPr>
          <w:p w14:paraId="233B115F" w14:textId="77777777" w:rsidR="00000000" w:rsidRDefault="001A570A">
            <w:pPr>
              <w:rPr>
                <w:rFonts w:eastAsia="Times New Roman"/>
                <w:sz w:val="20"/>
                <w:szCs w:val="20"/>
              </w:rPr>
            </w:pPr>
          </w:p>
        </w:tc>
        <w:tc>
          <w:tcPr>
            <w:tcW w:w="5" w:type="pct"/>
            <w:vAlign w:val="center"/>
            <w:hideMark/>
          </w:tcPr>
          <w:p w14:paraId="2C1632F1" w14:textId="77777777" w:rsidR="00000000" w:rsidRDefault="001A570A">
            <w:pPr>
              <w:rPr>
                <w:rFonts w:eastAsia="Times New Roman"/>
                <w:sz w:val="20"/>
                <w:szCs w:val="20"/>
              </w:rPr>
            </w:pPr>
          </w:p>
        </w:tc>
        <w:tc>
          <w:tcPr>
            <w:tcW w:w="5" w:type="pct"/>
            <w:vAlign w:val="center"/>
            <w:hideMark/>
          </w:tcPr>
          <w:p w14:paraId="6AAD21B0" w14:textId="77777777" w:rsidR="00000000" w:rsidRDefault="001A570A">
            <w:pPr>
              <w:rPr>
                <w:rFonts w:eastAsia="Times New Roman"/>
                <w:sz w:val="20"/>
                <w:szCs w:val="20"/>
              </w:rPr>
            </w:pPr>
          </w:p>
        </w:tc>
        <w:tc>
          <w:tcPr>
            <w:tcW w:w="25" w:type="pct"/>
            <w:vAlign w:val="center"/>
            <w:hideMark/>
          </w:tcPr>
          <w:p w14:paraId="0EF24A7C" w14:textId="77777777" w:rsidR="00000000" w:rsidRDefault="001A570A">
            <w:pPr>
              <w:rPr>
                <w:rFonts w:eastAsia="Times New Roman"/>
                <w:sz w:val="20"/>
                <w:szCs w:val="20"/>
              </w:rPr>
            </w:pPr>
          </w:p>
        </w:tc>
        <w:tc>
          <w:tcPr>
            <w:tcW w:w="5" w:type="pct"/>
            <w:vAlign w:val="center"/>
            <w:hideMark/>
          </w:tcPr>
          <w:p w14:paraId="00203FF5" w14:textId="77777777" w:rsidR="00000000" w:rsidRDefault="001A570A">
            <w:pPr>
              <w:rPr>
                <w:rFonts w:eastAsia="Times New Roman"/>
                <w:sz w:val="20"/>
                <w:szCs w:val="20"/>
              </w:rPr>
            </w:pPr>
          </w:p>
        </w:tc>
        <w:tc>
          <w:tcPr>
            <w:tcW w:w="50" w:type="pct"/>
            <w:vAlign w:val="center"/>
            <w:hideMark/>
          </w:tcPr>
          <w:p w14:paraId="7042435D" w14:textId="77777777" w:rsidR="00000000" w:rsidRDefault="001A570A">
            <w:pPr>
              <w:rPr>
                <w:rFonts w:eastAsia="Times New Roman"/>
                <w:sz w:val="20"/>
                <w:szCs w:val="20"/>
              </w:rPr>
            </w:pPr>
          </w:p>
        </w:tc>
        <w:tc>
          <w:tcPr>
            <w:tcW w:w="570" w:type="pct"/>
            <w:vAlign w:val="center"/>
            <w:hideMark/>
          </w:tcPr>
          <w:p w14:paraId="391F2AD1" w14:textId="77777777" w:rsidR="00000000" w:rsidRDefault="001A570A">
            <w:pPr>
              <w:rPr>
                <w:rFonts w:eastAsia="Times New Roman"/>
                <w:sz w:val="20"/>
                <w:szCs w:val="20"/>
              </w:rPr>
            </w:pPr>
          </w:p>
        </w:tc>
        <w:tc>
          <w:tcPr>
            <w:tcW w:w="5" w:type="pct"/>
            <w:vAlign w:val="center"/>
            <w:hideMark/>
          </w:tcPr>
          <w:p w14:paraId="7BBA68AB" w14:textId="77777777" w:rsidR="00000000" w:rsidRDefault="001A570A">
            <w:pPr>
              <w:rPr>
                <w:rFonts w:eastAsia="Times New Roman"/>
                <w:sz w:val="20"/>
                <w:szCs w:val="20"/>
              </w:rPr>
            </w:pPr>
          </w:p>
        </w:tc>
        <w:tc>
          <w:tcPr>
            <w:tcW w:w="5" w:type="pct"/>
            <w:vAlign w:val="center"/>
            <w:hideMark/>
          </w:tcPr>
          <w:p w14:paraId="394E52AB" w14:textId="77777777" w:rsidR="00000000" w:rsidRDefault="001A570A">
            <w:pPr>
              <w:rPr>
                <w:rFonts w:eastAsia="Times New Roman"/>
                <w:sz w:val="20"/>
                <w:szCs w:val="20"/>
              </w:rPr>
            </w:pPr>
          </w:p>
        </w:tc>
        <w:tc>
          <w:tcPr>
            <w:tcW w:w="25" w:type="pct"/>
            <w:vAlign w:val="center"/>
            <w:hideMark/>
          </w:tcPr>
          <w:p w14:paraId="0CC64F5A" w14:textId="77777777" w:rsidR="00000000" w:rsidRDefault="001A570A">
            <w:pPr>
              <w:rPr>
                <w:rFonts w:eastAsia="Times New Roman"/>
                <w:sz w:val="20"/>
                <w:szCs w:val="20"/>
              </w:rPr>
            </w:pPr>
          </w:p>
        </w:tc>
        <w:tc>
          <w:tcPr>
            <w:tcW w:w="5" w:type="pct"/>
            <w:vAlign w:val="center"/>
            <w:hideMark/>
          </w:tcPr>
          <w:p w14:paraId="2EDEF262" w14:textId="77777777" w:rsidR="00000000" w:rsidRDefault="001A570A">
            <w:pPr>
              <w:rPr>
                <w:rFonts w:eastAsia="Times New Roman"/>
                <w:sz w:val="20"/>
                <w:szCs w:val="20"/>
              </w:rPr>
            </w:pPr>
          </w:p>
        </w:tc>
        <w:tc>
          <w:tcPr>
            <w:tcW w:w="50" w:type="pct"/>
            <w:vAlign w:val="center"/>
            <w:hideMark/>
          </w:tcPr>
          <w:p w14:paraId="3A056667" w14:textId="77777777" w:rsidR="00000000" w:rsidRDefault="001A570A">
            <w:pPr>
              <w:rPr>
                <w:rFonts w:eastAsia="Times New Roman"/>
                <w:sz w:val="20"/>
                <w:szCs w:val="20"/>
              </w:rPr>
            </w:pPr>
          </w:p>
        </w:tc>
        <w:tc>
          <w:tcPr>
            <w:tcW w:w="570" w:type="pct"/>
            <w:vAlign w:val="center"/>
            <w:hideMark/>
          </w:tcPr>
          <w:p w14:paraId="7C365E39" w14:textId="77777777" w:rsidR="00000000" w:rsidRDefault="001A570A">
            <w:pPr>
              <w:rPr>
                <w:rFonts w:eastAsia="Times New Roman"/>
                <w:sz w:val="20"/>
                <w:szCs w:val="20"/>
              </w:rPr>
            </w:pPr>
          </w:p>
        </w:tc>
        <w:tc>
          <w:tcPr>
            <w:tcW w:w="5" w:type="pct"/>
            <w:vAlign w:val="center"/>
            <w:hideMark/>
          </w:tcPr>
          <w:p w14:paraId="4CC9A49F" w14:textId="77777777" w:rsidR="00000000" w:rsidRDefault="001A570A">
            <w:pPr>
              <w:rPr>
                <w:rFonts w:eastAsia="Times New Roman"/>
                <w:sz w:val="20"/>
                <w:szCs w:val="20"/>
              </w:rPr>
            </w:pPr>
          </w:p>
        </w:tc>
        <w:tc>
          <w:tcPr>
            <w:tcW w:w="5" w:type="pct"/>
            <w:vAlign w:val="center"/>
            <w:hideMark/>
          </w:tcPr>
          <w:p w14:paraId="6EBD4199" w14:textId="77777777" w:rsidR="00000000" w:rsidRDefault="001A570A">
            <w:pPr>
              <w:rPr>
                <w:rFonts w:eastAsia="Times New Roman"/>
                <w:sz w:val="20"/>
                <w:szCs w:val="20"/>
              </w:rPr>
            </w:pPr>
          </w:p>
        </w:tc>
        <w:tc>
          <w:tcPr>
            <w:tcW w:w="25" w:type="pct"/>
            <w:vAlign w:val="center"/>
            <w:hideMark/>
          </w:tcPr>
          <w:p w14:paraId="6D8A829D" w14:textId="77777777" w:rsidR="00000000" w:rsidRDefault="001A570A">
            <w:pPr>
              <w:rPr>
                <w:rFonts w:eastAsia="Times New Roman"/>
                <w:sz w:val="20"/>
                <w:szCs w:val="20"/>
              </w:rPr>
            </w:pPr>
          </w:p>
        </w:tc>
        <w:tc>
          <w:tcPr>
            <w:tcW w:w="5" w:type="pct"/>
            <w:vAlign w:val="center"/>
            <w:hideMark/>
          </w:tcPr>
          <w:p w14:paraId="75C1C0EF" w14:textId="77777777" w:rsidR="00000000" w:rsidRDefault="001A570A">
            <w:pPr>
              <w:rPr>
                <w:rFonts w:eastAsia="Times New Roman"/>
                <w:sz w:val="20"/>
                <w:szCs w:val="20"/>
              </w:rPr>
            </w:pPr>
          </w:p>
        </w:tc>
        <w:tc>
          <w:tcPr>
            <w:tcW w:w="50" w:type="pct"/>
            <w:vAlign w:val="center"/>
            <w:hideMark/>
          </w:tcPr>
          <w:p w14:paraId="2513936D" w14:textId="77777777" w:rsidR="00000000" w:rsidRDefault="001A570A">
            <w:pPr>
              <w:rPr>
                <w:rFonts w:eastAsia="Times New Roman"/>
                <w:sz w:val="20"/>
                <w:szCs w:val="20"/>
              </w:rPr>
            </w:pPr>
          </w:p>
        </w:tc>
        <w:tc>
          <w:tcPr>
            <w:tcW w:w="570" w:type="pct"/>
            <w:vAlign w:val="center"/>
            <w:hideMark/>
          </w:tcPr>
          <w:p w14:paraId="7B0B8726" w14:textId="77777777" w:rsidR="00000000" w:rsidRDefault="001A570A">
            <w:pPr>
              <w:rPr>
                <w:rFonts w:eastAsia="Times New Roman"/>
                <w:sz w:val="20"/>
                <w:szCs w:val="20"/>
              </w:rPr>
            </w:pPr>
          </w:p>
        </w:tc>
        <w:tc>
          <w:tcPr>
            <w:tcW w:w="5" w:type="pct"/>
            <w:vAlign w:val="center"/>
            <w:hideMark/>
          </w:tcPr>
          <w:p w14:paraId="044CB2BF" w14:textId="77777777" w:rsidR="00000000" w:rsidRDefault="001A570A">
            <w:pPr>
              <w:rPr>
                <w:rFonts w:eastAsia="Times New Roman"/>
                <w:sz w:val="20"/>
                <w:szCs w:val="20"/>
              </w:rPr>
            </w:pPr>
          </w:p>
        </w:tc>
      </w:tr>
      <w:tr w:rsidR="00000000" w14:paraId="4ECBCA2F" w14:textId="77777777">
        <w:trPr>
          <w:divId w:val="43529480"/>
        </w:trPr>
        <w:tc>
          <w:tcPr>
            <w:tcW w:w="0" w:type="auto"/>
            <w:gridSpan w:val="3"/>
            <w:tcMar>
              <w:top w:w="0" w:type="dxa"/>
              <w:left w:w="20" w:type="dxa"/>
              <w:bottom w:w="0" w:type="dxa"/>
              <w:right w:w="20" w:type="dxa"/>
            </w:tcMar>
            <w:vAlign w:val="center"/>
            <w:hideMark/>
          </w:tcPr>
          <w:p w14:paraId="6874822A" w14:textId="77777777" w:rsidR="00000000" w:rsidRDefault="001A570A">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58B264A4" w14:textId="77777777" w:rsidR="00000000" w:rsidRDefault="001A570A">
            <w:pPr>
              <w:jc w:val="center"/>
              <w:rPr>
                <w:rFonts w:eastAsia="Times New Roman"/>
              </w:rPr>
            </w:pPr>
            <w:r>
              <w:rPr>
                <w:rFonts w:eastAsia="Times New Roman"/>
                <w:b/>
                <w:bCs/>
                <w:color w:val="000000"/>
                <w:sz w:val="16"/>
                <w:szCs w:val="16"/>
              </w:rPr>
              <w:t>Other Benefits</w:t>
            </w:r>
          </w:p>
        </w:tc>
      </w:tr>
      <w:tr w:rsidR="00000000" w14:paraId="6AB6FE4B" w14:textId="77777777">
        <w:trPr>
          <w:divId w:val="43529480"/>
        </w:trPr>
        <w:tc>
          <w:tcPr>
            <w:tcW w:w="0" w:type="auto"/>
            <w:gridSpan w:val="3"/>
            <w:tcMar>
              <w:top w:w="0" w:type="dxa"/>
              <w:left w:w="20" w:type="dxa"/>
              <w:bottom w:w="0" w:type="dxa"/>
              <w:right w:w="20" w:type="dxa"/>
            </w:tcMar>
            <w:vAlign w:val="center"/>
            <w:hideMark/>
          </w:tcPr>
          <w:p w14:paraId="7B18486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9ECE17"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Borders>
              <w:top w:val="single" w:sz="8" w:space="0" w:color="000000"/>
            </w:tcBorders>
            <w:tcMar>
              <w:top w:w="0" w:type="dxa"/>
              <w:left w:w="20" w:type="dxa"/>
              <w:bottom w:w="0" w:type="dxa"/>
              <w:right w:w="20" w:type="dxa"/>
            </w:tcMar>
            <w:vAlign w:val="center"/>
            <w:hideMark/>
          </w:tcPr>
          <w:p w14:paraId="0055429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E7720A"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Borders>
              <w:top w:val="single" w:sz="8" w:space="0" w:color="000000"/>
            </w:tcBorders>
            <w:tcMar>
              <w:top w:w="0" w:type="dxa"/>
              <w:left w:w="20" w:type="dxa"/>
              <w:bottom w:w="0" w:type="dxa"/>
              <w:right w:w="20" w:type="dxa"/>
            </w:tcMar>
            <w:vAlign w:val="center"/>
            <w:hideMark/>
          </w:tcPr>
          <w:p w14:paraId="070EE0C6" w14:textId="77777777" w:rsidR="00000000" w:rsidRDefault="001A570A">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0D1C672"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65B75FA" w14:textId="77777777">
        <w:trPr>
          <w:divId w:val="43529480"/>
        </w:trPr>
        <w:tc>
          <w:tcPr>
            <w:tcW w:w="0" w:type="auto"/>
            <w:gridSpan w:val="3"/>
            <w:tcMar>
              <w:top w:w="30" w:type="dxa"/>
              <w:left w:w="20" w:type="dxa"/>
              <w:bottom w:w="30" w:type="dxa"/>
              <w:right w:w="20" w:type="dxa"/>
            </w:tcMar>
            <w:vAlign w:val="bottom"/>
            <w:hideMark/>
          </w:tcPr>
          <w:p w14:paraId="09467F42"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08CABB0"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FA37F4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571992"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0E7CA7C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3DE199"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6404960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FC7684" w14:textId="77777777" w:rsidR="00000000" w:rsidRDefault="001A570A">
            <w:pPr>
              <w:jc w:val="center"/>
              <w:rPr>
                <w:rFonts w:eastAsia="Times New Roman"/>
              </w:rPr>
            </w:pPr>
            <w:r>
              <w:rPr>
                <w:rFonts w:eastAsia="Times New Roman"/>
                <w:b/>
                <w:bCs/>
                <w:color w:val="000000"/>
                <w:sz w:val="16"/>
                <w:szCs w:val="16"/>
              </w:rPr>
              <w:t>June 29, 2018</w:t>
            </w:r>
          </w:p>
        </w:tc>
      </w:tr>
      <w:tr w:rsidR="00000000" w14:paraId="5F77F0B8" w14:textId="77777777">
        <w:trPr>
          <w:divId w:val="43529480"/>
          <w:trHeight w:val="60"/>
        </w:trPr>
        <w:tc>
          <w:tcPr>
            <w:tcW w:w="0" w:type="auto"/>
            <w:gridSpan w:val="3"/>
            <w:tcMar>
              <w:top w:w="0" w:type="dxa"/>
              <w:left w:w="20" w:type="dxa"/>
              <w:bottom w:w="0" w:type="dxa"/>
              <w:right w:w="20" w:type="dxa"/>
            </w:tcMar>
            <w:vAlign w:val="center"/>
            <w:hideMark/>
          </w:tcPr>
          <w:p w14:paraId="0DC9D15D"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271929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A11480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041B1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C901B3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701EE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B5EB10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B93D77" w14:textId="77777777" w:rsidR="00000000" w:rsidRDefault="001A570A">
            <w:pPr>
              <w:rPr>
                <w:rFonts w:eastAsia="Times New Roman"/>
                <w:sz w:val="20"/>
                <w:szCs w:val="20"/>
              </w:rPr>
            </w:pPr>
          </w:p>
        </w:tc>
      </w:tr>
      <w:tr w:rsidR="00000000" w14:paraId="61258312" w14:textId="77777777">
        <w:trPr>
          <w:divId w:val="43529480"/>
        </w:trPr>
        <w:tc>
          <w:tcPr>
            <w:tcW w:w="0" w:type="auto"/>
            <w:gridSpan w:val="3"/>
            <w:shd w:val="clear" w:color="auto" w:fill="CCEEFF"/>
            <w:tcMar>
              <w:top w:w="30" w:type="dxa"/>
              <w:left w:w="20" w:type="dxa"/>
              <w:bottom w:w="30" w:type="dxa"/>
              <w:right w:w="20" w:type="dxa"/>
            </w:tcMar>
            <w:vAlign w:val="bottom"/>
            <w:hideMark/>
          </w:tcPr>
          <w:p w14:paraId="175AB1AA" w14:textId="77777777" w:rsidR="00000000" w:rsidRDefault="001A570A">
            <w:pPr>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14:paraId="0D5E930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3B96A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0FBBC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431E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AC33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BF3BB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63B50C" w14:textId="77777777" w:rsidR="00000000" w:rsidRDefault="001A570A">
            <w:pPr>
              <w:rPr>
                <w:rFonts w:eastAsia="Times New Roman"/>
                <w:sz w:val="20"/>
                <w:szCs w:val="20"/>
              </w:rPr>
            </w:pPr>
          </w:p>
        </w:tc>
      </w:tr>
      <w:tr w:rsidR="00000000" w14:paraId="39867A0E" w14:textId="77777777">
        <w:trPr>
          <w:divId w:val="43529480"/>
        </w:trPr>
        <w:tc>
          <w:tcPr>
            <w:tcW w:w="0" w:type="auto"/>
            <w:gridSpan w:val="3"/>
            <w:shd w:val="clear" w:color="auto" w:fill="FFFFFF"/>
            <w:tcMar>
              <w:top w:w="30" w:type="dxa"/>
              <w:left w:w="380" w:type="dxa"/>
              <w:bottom w:w="30" w:type="dxa"/>
              <w:right w:w="20" w:type="dxa"/>
            </w:tcMar>
            <w:hideMark/>
          </w:tcPr>
          <w:p w14:paraId="77223116" w14:textId="77777777" w:rsidR="00000000" w:rsidRDefault="001A570A">
            <w:pPr>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14:paraId="75C21A3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75A31A"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5FEE98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2762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8C7FC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0ED0A2"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9669A7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F8E6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461B5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92EAD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47E99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9E5A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4C2BA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33ACC3"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577A1C9" w14:textId="77777777" w:rsidR="00000000" w:rsidRDefault="001A570A">
            <w:pPr>
              <w:jc w:val="right"/>
              <w:rPr>
                <w:rFonts w:eastAsia="Times New Roman"/>
              </w:rPr>
            </w:pPr>
          </w:p>
        </w:tc>
      </w:tr>
      <w:tr w:rsidR="00000000" w14:paraId="1C6C96A4" w14:textId="77777777">
        <w:trPr>
          <w:divId w:val="43529480"/>
        </w:trPr>
        <w:tc>
          <w:tcPr>
            <w:tcW w:w="0" w:type="auto"/>
            <w:gridSpan w:val="3"/>
            <w:shd w:val="clear" w:color="auto" w:fill="CCEEFF"/>
            <w:tcMar>
              <w:top w:w="30" w:type="dxa"/>
              <w:left w:w="380" w:type="dxa"/>
              <w:bottom w:w="30" w:type="dxa"/>
              <w:right w:w="20" w:type="dxa"/>
            </w:tcMar>
            <w:hideMark/>
          </w:tcPr>
          <w:p w14:paraId="77054359" w14:textId="77777777" w:rsidR="00000000" w:rsidRDefault="001A570A">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1FF5AC7D"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2EE6F4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807D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91AE55"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4D9A3A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8476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77543"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62AA4C1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572B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E629F"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1E9A3193" w14:textId="77777777" w:rsidR="00000000" w:rsidRDefault="001A570A">
            <w:pPr>
              <w:jc w:val="right"/>
              <w:rPr>
                <w:rFonts w:eastAsia="Times New Roman"/>
              </w:rPr>
            </w:pPr>
          </w:p>
        </w:tc>
      </w:tr>
      <w:tr w:rsidR="00000000" w14:paraId="3A3C049E" w14:textId="77777777">
        <w:trPr>
          <w:divId w:val="43529480"/>
        </w:trPr>
        <w:tc>
          <w:tcPr>
            <w:tcW w:w="0" w:type="auto"/>
            <w:gridSpan w:val="3"/>
            <w:shd w:val="clear" w:color="auto" w:fill="FFFFFF"/>
            <w:tcMar>
              <w:top w:w="30" w:type="dxa"/>
              <w:left w:w="380" w:type="dxa"/>
              <w:bottom w:w="30" w:type="dxa"/>
              <w:right w:w="20" w:type="dxa"/>
            </w:tcMar>
            <w:hideMark/>
          </w:tcPr>
          <w:p w14:paraId="0CDBDAF0" w14:textId="77777777" w:rsidR="00000000" w:rsidRDefault="001A570A">
            <w:pPr>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696AD5FE" w14:textId="77777777" w:rsidR="00000000" w:rsidRDefault="001A570A">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42A062F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0801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E78E1"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3BAFFBA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5D3B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7E71A"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70599F3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D175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B4ED85"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7308F8C1" w14:textId="77777777" w:rsidR="00000000" w:rsidRDefault="001A570A">
            <w:pPr>
              <w:jc w:val="right"/>
              <w:rPr>
                <w:rFonts w:eastAsia="Times New Roman"/>
              </w:rPr>
            </w:pPr>
          </w:p>
        </w:tc>
      </w:tr>
      <w:tr w:rsidR="00000000" w14:paraId="65F26B07" w14:textId="77777777">
        <w:trPr>
          <w:divId w:val="43529480"/>
        </w:trPr>
        <w:tc>
          <w:tcPr>
            <w:tcW w:w="0" w:type="auto"/>
            <w:gridSpan w:val="3"/>
            <w:shd w:val="clear" w:color="auto" w:fill="CCEEFF"/>
            <w:tcMar>
              <w:top w:w="30" w:type="dxa"/>
              <w:left w:w="380" w:type="dxa"/>
              <w:bottom w:w="30" w:type="dxa"/>
              <w:right w:w="20" w:type="dxa"/>
            </w:tcMar>
            <w:hideMark/>
          </w:tcPr>
          <w:p w14:paraId="2B89E8A8" w14:textId="77777777" w:rsidR="00000000" w:rsidRDefault="001A570A">
            <w:pPr>
              <w:rPr>
                <w:rFonts w:eastAsia="Times New Roman"/>
              </w:rPr>
            </w:pPr>
            <w:r>
              <w:rPr>
                <w:rFonts w:eastAsia="Times New Roman"/>
                <w:color w:val="000000"/>
                <w:sz w:val="20"/>
                <w:szCs w:val="20"/>
              </w:rPr>
              <w:t>Amortization of net actuarial gain</w:t>
            </w:r>
          </w:p>
        </w:tc>
        <w:tc>
          <w:tcPr>
            <w:tcW w:w="0" w:type="auto"/>
            <w:gridSpan w:val="2"/>
            <w:shd w:val="clear" w:color="auto" w:fill="CCEEFF"/>
            <w:tcMar>
              <w:top w:w="30" w:type="dxa"/>
              <w:left w:w="20" w:type="dxa"/>
              <w:bottom w:w="30" w:type="dxa"/>
              <w:right w:w="0" w:type="dxa"/>
            </w:tcMar>
            <w:vAlign w:val="bottom"/>
            <w:hideMark/>
          </w:tcPr>
          <w:p w14:paraId="64AF44E7"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32F343E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0198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5F52FE"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1DFF87A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4FAE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A2E7C" w14:textId="77777777" w:rsidR="00000000" w:rsidRDefault="001A570A">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6076184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EFFD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A9C79"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651A9F8" w14:textId="77777777" w:rsidR="00000000" w:rsidRDefault="001A570A">
            <w:pPr>
              <w:jc w:val="right"/>
              <w:rPr>
                <w:rFonts w:eastAsia="Times New Roman"/>
              </w:rPr>
            </w:pPr>
          </w:p>
        </w:tc>
      </w:tr>
      <w:tr w:rsidR="00000000" w14:paraId="3C58D6C3" w14:textId="77777777">
        <w:trPr>
          <w:divId w:val="43529480"/>
        </w:trPr>
        <w:tc>
          <w:tcPr>
            <w:tcW w:w="0" w:type="auto"/>
            <w:gridSpan w:val="3"/>
            <w:vAlign w:val="center"/>
            <w:hideMark/>
          </w:tcPr>
          <w:p w14:paraId="2000E6E1" w14:textId="77777777" w:rsidR="00000000" w:rsidRDefault="001A570A">
            <w:pPr>
              <w:jc w:val="right"/>
              <w:rPr>
                <w:rFonts w:eastAsia="Times New Roman"/>
                <w:sz w:val="20"/>
                <w:szCs w:val="20"/>
              </w:rPr>
            </w:pPr>
          </w:p>
        </w:tc>
        <w:tc>
          <w:tcPr>
            <w:tcW w:w="0" w:type="auto"/>
            <w:gridSpan w:val="3"/>
            <w:vAlign w:val="center"/>
            <w:hideMark/>
          </w:tcPr>
          <w:p w14:paraId="5DA5F877" w14:textId="77777777" w:rsidR="00000000" w:rsidRDefault="001A570A">
            <w:pPr>
              <w:rPr>
                <w:rFonts w:eastAsia="Times New Roman"/>
                <w:sz w:val="20"/>
                <w:szCs w:val="20"/>
              </w:rPr>
            </w:pPr>
          </w:p>
        </w:tc>
        <w:tc>
          <w:tcPr>
            <w:tcW w:w="0" w:type="auto"/>
            <w:gridSpan w:val="3"/>
            <w:vAlign w:val="center"/>
            <w:hideMark/>
          </w:tcPr>
          <w:p w14:paraId="4339C5F2" w14:textId="77777777" w:rsidR="00000000" w:rsidRDefault="001A570A">
            <w:pPr>
              <w:rPr>
                <w:rFonts w:eastAsia="Times New Roman"/>
                <w:sz w:val="20"/>
                <w:szCs w:val="20"/>
              </w:rPr>
            </w:pPr>
          </w:p>
        </w:tc>
        <w:tc>
          <w:tcPr>
            <w:tcW w:w="0" w:type="auto"/>
            <w:gridSpan w:val="3"/>
            <w:vAlign w:val="center"/>
            <w:hideMark/>
          </w:tcPr>
          <w:p w14:paraId="1A6BB127" w14:textId="77777777" w:rsidR="00000000" w:rsidRDefault="001A570A">
            <w:pPr>
              <w:rPr>
                <w:rFonts w:eastAsia="Times New Roman"/>
                <w:sz w:val="20"/>
                <w:szCs w:val="20"/>
              </w:rPr>
            </w:pPr>
          </w:p>
        </w:tc>
        <w:tc>
          <w:tcPr>
            <w:tcW w:w="0" w:type="auto"/>
            <w:gridSpan w:val="3"/>
            <w:vAlign w:val="center"/>
            <w:hideMark/>
          </w:tcPr>
          <w:p w14:paraId="3077EFA6" w14:textId="77777777" w:rsidR="00000000" w:rsidRDefault="001A570A">
            <w:pPr>
              <w:rPr>
                <w:rFonts w:eastAsia="Times New Roman"/>
                <w:sz w:val="20"/>
                <w:szCs w:val="20"/>
              </w:rPr>
            </w:pPr>
          </w:p>
        </w:tc>
        <w:tc>
          <w:tcPr>
            <w:tcW w:w="0" w:type="auto"/>
            <w:gridSpan w:val="3"/>
            <w:vAlign w:val="center"/>
            <w:hideMark/>
          </w:tcPr>
          <w:p w14:paraId="04317BEA" w14:textId="77777777" w:rsidR="00000000" w:rsidRDefault="001A570A">
            <w:pPr>
              <w:rPr>
                <w:rFonts w:eastAsia="Times New Roman"/>
                <w:sz w:val="20"/>
                <w:szCs w:val="20"/>
              </w:rPr>
            </w:pPr>
          </w:p>
        </w:tc>
        <w:tc>
          <w:tcPr>
            <w:tcW w:w="0" w:type="auto"/>
            <w:gridSpan w:val="3"/>
            <w:vAlign w:val="center"/>
            <w:hideMark/>
          </w:tcPr>
          <w:p w14:paraId="796B73DB" w14:textId="77777777" w:rsidR="00000000" w:rsidRDefault="001A570A">
            <w:pPr>
              <w:rPr>
                <w:rFonts w:eastAsia="Times New Roman"/>
                <w:sz w:val="20"/>
                <w:szCs w:val="20"/>
              </w:rPr>
            </w:pPr>
          </w:p>
        </w:tc>
        <w:tc>
          <w:tcPr>
            <w:tcW w:w="0" w:type="auto"/>
            <w:gridSpan w:val="3"/>
            <w:vAlign w:val="center"/>
            <w:hideMark/>
          </w:tcPr>
          <w:p w14:paraId="2A488D13" w14:textId="77777777" w:rsidR="00000000" w:rsidRDefault="001A570A">
            <w:pPr>
              <w:rPr>
                <w:rFonts w:eastAsia="Times New Roman"/>
                <w:sz w:val="20"/>
                <w:szCs w:val="20"/>
              </w:rPr>
            </w:pPr>
          </w:p>
        </w:tc>
      </w:tr>
      <w:tr w:rsidR="00000000" w14:paraId="76C49B68" w14:textId="77777777">
        <w:trPr>
          <w:divId w:val="43529480"/>
        </w:trPr>
        <w:tc>
          <w:tcPr>
            <w:tcW w:w="0" w:type="auto"/>
            <w:gridSpan w:val="3"/>
            <w:vAlign w:val="center"/>
            <w:hideMark/>
          </w:tcPr>
          <w:p w14:paraId="3733CDE8" w14:textId="77777777" w:rsidR="00000000" w:rsidRDefault="001A570A">
            <w:pPr>
              <w:rPr>
                <w:rFonts w:eastAsia="Times New Roman"/>
                <w:sz w:val="20"/>
                <w:szCs w:val="20"/>
              </w:rPr>
            </w:pPr>
          </w:p>
        </w:tc>
        <w:tc>
          <w:tcPr>
            <w:tcW w:w="0" w:type="auto"/>
            <w:gridSpan w:val="3"/>
            <w:vAlign w:val="center"/>
            <w:hideMark/>
          </w:tcPr>
          <w:p w14:paraId="596F19AB" w14:textId="77777777" w:rsidR="00000000" w:rsidRDefault="001A570A">
            <w:pPr>
              <w:rPr>
                <w:rFonts w:eastAsia="Times New Roman"/>
                <w:sz w:val="20"/>
                <w:szCs w:val="20"/>
              </w:rPr>
            </w:pPr>
          </w:p>
        </w:tc>
        <w:tc>
          <w:tcPr>
            <w:tcW w:w="0" w:type="auto"/>
            <w:gridSpan w:val="3"/>
            <w:vAlign w:val="center"/>
            <w:hideMark/>
          </w:tcPr>
          <w:p w14:paraId="16388D8A" w14:textId="77777777" w:rsidR="00000000" w:rsidRDefault="001A570A">
            <w:pPr>
              <w:rPr>
                <w:rFonts w:eastAsia="Times New Roman"/>
                <w:sz w:val="20"/>
                <w:szCs w:val="20"/>
              </w:rPr>
            </w:pPr>
          </w:p>
        </w:tc>
        <w:tc>
          <w:tcPr>
            <w:tcW w:w="0" w:type="auto"/>
            <w:gridSpan w:val="3"/>
            <w:vAlign w:val="center"/>
            <w:hideMark/>
          </w:tcPr>
          <w:p w14:paraId="129AA780" w14:textId="77777777" w:rsidR="00000000" w:rsidRDefault="001A570A">
            <w:pPr>
              <w:rPr>
                <w:rFonts w:eastAsia="Times New Roman"/>
                <w:sz w:val="20"/>
                <w:szCs w:val="20"/>
              </w:rPr>
            </w:pPr>
          </w:p>
        </w:tc>
        <w:tc>
          <w:tcPr>
            <w:tcW w:w="0" w:type="auto"/>
            <w:gridSpan w:val="3"/>
            <w:vAlign w:val="center"/>
            <w:hideMark/>
          </w:tcPr>
          <w:p w14:paraId="52188E19" w14:textId="77777777" w:rsidR="00000000" w:rsidRDefault="001A570A">
            <w:pPr>
              <w:rPr>
                <w:rFonts w:eastAsia="Times New Roman"/>
                <w:sz w:val="20"/>
                <w:szCs w:val="20"/>
              </w:rPr>
            </w:pPr>
          </w:p>
        </w:tc>
        <w:tc>
          <w:tcPr>
            <w:tcW w:w="0" w:type="auto"/>
            <w:gridSpan w:val="3"/>
            <w:vAlign w:val="center"/>
            <w:hideMark/>
          </w:tcPr>
          <w:p w14:paraId="1310428E" w14:textId="77777777" w:rsidR="00000000" w:rsidRDefault="001A570A">
            <w:pPr>
              <w:rPr>
                <w:rFonts w:eastAsia="Times New Roman"/>
                <w:sz w:val="20"/>
                <w:szCs w:val="20"/>
              </w:rPr>
            </w:pPr>
          </w:p>
        </w:tc>
        <w:tc>
          <w:tcPr>
            <w:tcW w:w="0" w:type="auto"/>
            <w:gridSpan w:val="3"/>
            <w:vAlign w:val="center"/>
            <w:hideMark/>
          </w:tcPr>
          <w:p w14:paraId="71D60385" w14:textId="77777777" w:rsidR="00000000" w:rsidRDefault="001A570A">
            <w:pPr>
              <w:rPr>
                <w:rFonts w:eastAsia="Times New Roman"/>
                <w:sz w:val="20"/>
                <w:szCs w:val="20"/>
              </w:rPr>
            </w:pPr>
          </w:p>
        </w:tc>
        <w:tc>
          <w:tcPr>
            <w:tcW w:w="0" w:type="auto"/>
            <w:gridSpan w:val="3"/>
            <w:vAlign w:val="center"/>
            <w:hideMark/>
          </w:tcPr>
          <w:p w14:paraId="3A51FF86" w14:textId="77777777" w:rsidR="00000000" w:rsidRDefault="001A570A">
            <w:pPr>
              <w:rPr>
                <w:rFonts w:eastAsia="Times New Roman"/>
                <w:sz w:val="20"/>
                <w:szCs w:val="20"/>
              </w:rPr>
            </w:pPr>
          </w:p>
        </w:tc>
      </w:tr>
      <w:tr w:rsidR="00000000" w14:paraId="7CFE3C08" w14:textId="77777777">
        <w:trPr>
          <w:divId w:val="43529480"/>
        </w:trPr>
        <w:tc>
          <w:tcPr>
            <w:tcW w:w="0" w:type="auto"/>
            <w:gridSpan w:val="3"/>
            <w:shd w:val="clear" w:color="auto" w:fill="FFFFFF"/>
            <w:tcMar>
              <w:top w:w="30" w:type="dxa"/>
              <w:left w:w="155" w:type="dxa"/>
              <w:bottom w:w="30" w:type="dxa"/>
              <w:right w:w="20" w:type="dxa"/>
            </w:tcMar>
            <w:hideMark/>
          </w:tcPr>
          <w:p w14:paraId="6F8ADBEA" w14:textId="77777777" w:rsidR="00000000" w:rsidRDefault="001A570A">
            <w:pPr>
              <w:rPr>
                <w:rFonts w:eastAsia="Times New Roman"/>
              </w:rPr>
            </w:pPr>
            <w:r>
              <w:rPr>
                <w:rFonts w:eastAsia="Times New Roman"/>
                <w:color w:val="000000"/>
                <w:sz w:val="20"/>
                <w:szCs w:val="20"/>
              </w:rPr>
              <w:t>Net periodic benefit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23990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B215C8" w14:textId="77777777" w:rsidR="00000000" w:rsidRDefault="001A570A">
            <w:pPr>
              <w:jc w:val="right"/>
              <w:rPr>
                <w:rFonts w:eastAsia="Times New Roman"/>
              </w:rPr>
            </w:pPr>
            <w:r>
              <w:rPr>
                <w:rFonts w:eastAsia="Times New Roman"/>
                <w:color w:val="000000"/>
                <w:sz w:val="20"/>
                <w:szCs w:val="20"/>
              </w:rPr>
              <w:t>(12)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FA5FA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3E31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9B619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FAAF5A" w14:textId="77777777" w:rsidR="00000000" w:rsidRDefault="001A570A">
            <w:pPr>
              <w:jc w:val="right"/>
              <w:rPr>
                <w:rFonts w:eastAsia="Times New Roman"/>
              </w:rPr>
            </w:pPr>
            <w:r>
              <w:rPr>
                <w:rFonts w:eastAsia="Times New Roman"/>
                <w:color w:val="00000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25C19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0E35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9F96C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68B725" w14:textId="77777777" w:rsidR="00000000" w:rsidRDefault="001A570A">
            <w:pPr>
              <w:jc w:val="right"/>
              <w:rPr>
                <w:rFonts w:eastAsia="Times New Roman"/>
              </w:rPr>
            </w:pPr>
            <w:r>
              <w:rPr>
                <w:rFonts w:eastAsia="Times New Roman"/>
                <w:color w:val="000000"/>
                <w:sz w:val="20"/>
                <w:szCs w:val="20"/>
              </w:rPr>
              <w:t>(14)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46F8A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D31CB"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2C3BD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01AF0E" w14:textId="77777777" w:rsidR="00000000" w:rsidRDefault="001A570A">
            <w:pPr>
              <w:jc w:val="right"/>
              <w:rPr>
                <w:rFonts w:eastAsia="Times New Roman"/>
              </w:rPr>
            </w:pP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A58C25" w14:textId="77777777" w:rsidR="00000000" w:rsidRDefault="001A570A">
            <w:pPr>
              <w:jc w:val="right"/>
              <w:rPr>
                <w:rFonts w:eastAsia="Times New Roman"/>
              </w:rPr>
            </w:pPr>
          </w:p>
        </w:tc>
      </w:tr>
      <w:tr w:rsidR="00000000" w14:paraId="251F0210" w14:textId="77777777">
        <w:trPr>
          <w:divId w:val="43529480"/>
        </w:trPr>
        <w:tc>
          <w:tcPr>
            <w:tcW w:w="0" w:type="auto"/>
            <w:gridSpan w:val="24"/>
            <w:shd w:val="clear" w:color="auto" w:fill="CCEEFF"/>
            <w:tcMar>
              <w:top w:w="30" w:type="dxa"/>
              <w:left w:w="20" w:type="dxa"/>
              <w:bottom w:w="30" w:type="dxa"/>
              <w:right w:w="20" w:type="dxa"/>
            </w:tcMar>
            <w:vAlign w:val="bottom"/>
            <w:hideMark/>
          </w:tcPr>
          <w:p w14:paraId="405201E2" w14:textId="77777777" w:rsidR="00000000" w:rsidRDefault="001A570A">
            <w:pPr>
              <w:rPr>
                <w:rFonts w:eastAsia="Times New Roman"/>
              </w:rPr>
            </w:pPr>
            <w:r>
              <w:rPr>
                <w:rFonts w:eastAsia="Times New Roman"/>
                <w:b/>
                <w:bCs/>
                <w:color w:val="000000"/>
                <w:sz w:val="20"/>
                <w:szCs w:val="20"/>
              </w:rPr>
              <w:t>Other changes in plan assets and benefit obligations recognized in other comprehensive loss</w:t>
            </w:r>
          </w:p>
        </w:tc>
      </w:tr>
      <w:tr w:rsidR="00000000" w14:paraId="4E26762C" w14:textId="77777777">
        <w:trPr>
          <w:divId w:val="43529480"/>
        </w:trPr>
        <w:tc>
          <w:tcPr>
            <w:tcW w:w="0" w:type="auto"/>
            <w:gridSpan w:val="3"/>
            <w:shd w:val="clear" w:color="auto" w:fill="FFFFFF"/>
            <w:tcMar>
              <w:top w:w="30" w:type="dxa"/>
              <w:left w:w="380" w:type="dxa"/>
              <w:bottom w:w="30" w:type="dxa"/>
              <w:right w:w="20" w:type="dxa"/>
            </w:tcMar>
            <w:hideMark/>
          </w:tcPr>
          <w:p w14:paraId="319ED3D0" w14:textId="77777777" w:rsidR="00000000" w:rsidRDefault="001A570A">
            <w:pPr>
              <w:rPr>
                <w:rFonts w:eastAsia="Times New Roman"/>
              </w:rPr>
            </w:pPr>
            <w:r>
              <w:rPr>
                <w:rFonts w:eastAsia="Times New Roman"/>
                <w:color w:val="000000"/>
                <w:sz w:val="20"/>
                <w:szCs w:val="20"/>
              </w:rPr>
              <w:t>Net actuarial loss (gain)</w:t>
            </w:r>
          </w:p>
        </w:tc>
        <w:tc>
          <w:tcPr>
            <w:tcW w:w="0" w:type="auto"/>
            <w:shd w:val="clear" w:color="auto" w:fill="FFFFFF"/>
            <w:tcMar>
              <w:top w:w="30" w:type="dxa"/>
              <w:left w:w="20" w:type="dxa"/>
              <w:bottom w:w="30" w:type="dxa"/>
              <w:right w:w="0" w:type="dxa"/>
            </w:tcMar>
            <w:vAlign w:val="bottom"/>
            <w:hideMark/>
          </w:tcPr>
          <w:p w14:paraId="3530AEA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A8F936"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186D5D7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777B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A7BCD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050B8E"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B9912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85E8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D0074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B460F8"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53F9080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69B2A"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6B55D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C86901" w14:textId="77777777" w:rsidR="00000000" w:rsidRDefault="001A570A">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2A710DAD" w14:textId="77777777" w:rsidR="00000000" w:rsidRDefault="001A570A">
            <w:pPr>
              <w:jc w:val="right"/>
              <w:rPr>
                <w:rFonts w:eastAsia="Times New Roman"/>
              </w:rPr>
            </w:pPr>
          </w:p>
        </w:tc>
      </w:tr>
      <w:tr w:rsidR="00000000" w14:paraId="5C8D0D83" w14:textId="77777777">
        <w:trPr>
          <w:divId w:val="43529480"/>
        </w:trPr>
        <w:tc>
          <w:tcPr>
            <w:tcW w:w="0" w:type="auto"/>
            <w:gridSpan w:val="3"/>
            <w:vAlign w:val="center"/>
            <w:hideMark/>
          </w:tcPr>
          <w:p w14:paraId="34904509" w14:textId="77777777" w:rsidR="00000000" w:rsidRDefault="001A570A">
            <w:pPr>
              <w:jc w:val="right"/>
              <w:rPr>
                <w:rFonts w:eastAsia="Times New Roman"/>
                <w:sz w:val="20"/>
                <w:szCs w:val="20"/>
              </w:rPr>
            </w:pPr>
          </w:p>
        </w:tc>
        <w:tc>
          <w:tcPr>
            <w:tcW w:w="0" w:type="auto"/>
            <w:gridSpan w:val="3"/>
            <w:vAlign w:val="center"/>
            <w:hideMark/>
          </w:tcPr>
          <w:p w14:paraId="1DB535F3" w14:textId="77777777" w:rsidR="00000000" w:rsidRDefault="001A570A">
            <w:pPr>
              <w:rPr>
                <w:rFonts w:eastAsia="Times New Roman"/>
                <w:sz w:val="20"/>
                <w:szCs w:val="20"/>
              </w:rPr>
            </w:pPr>
          </w:p>
        </w:tc>
        <w:tc>
          <w:tcPr>
            <w:tcW w:w="0" w:type="auto"/>
            <w:gridSpan w:val="3"/>
            <w:vAlign w:val="center"/>
            <w:hideMark/>
          </w:tcPr>
          <w:p w14:paraId="4BE37049" w14:textId="77777777" w:rsidR="00000000" w:rsidRDefault="001A570A">
            <w:pPr>
              <w:rPr>
                <w:rFonts w:eastAsia="Times New Roman"/>
                <w:sz w:val="20"/>
                <w:szCs w:val="20"/>
              </w:rPr>
            </w:pPr>
          </w:p>
        </w:tc>
        <w:tc>
          <w:tcPr>
            <w:tcW w:w="0" w:type="auto"/>
            <w:gridSpan w:val="3"/>
            <w:vAlign w:val="center"/>
            <w:hideMark/>
          </w:tcPr>
          <w:p w14:paraId="6F578585" w14:textId="77777777" w:rsidR="00000000" w:rsidRDefault="001A570A">
            <w:pPr>
              <w:rPr>
                <w:rFonts w:eastAsia="Times New Roman"/>
                <w:sz w:val="20"/>
                <w:szCs w:val="20"/>
              </w:rPr>
            </w:pPr>
          </w:p>
        </w:tc>
        <w:tc>
          <w:tcPr>
            <w:tcW w:w="0" w:type="auto"/>
            <w:gridSpan w:val="3"/>
            <w:vAlign w:val="center"/>
            <w:hideMark/>
          </w:tcPr>
          <w:p w14:paraId="0BAA39D4" w14:textId="77777777" w:rsidR="00000000" w:rsidRDefault="001A570A">
            <w:pPr>
              <w:rPr>
                <w:rFonts w:eastAsia="Times New Roman"/>
                <w:sz w:val="20"/>
                <w:szCs w:val="20"/>
              </w:rPr>
            </w:pPr>
          </w:p>
        </w:tc>
        <w:tc>
          <w:tcPr>
            <w:tcW w:w="0" w:type="auto"/>
            <w:gridSpan w:val="3"/>
            <w:vAlign w:val="center"/>
            <w:hideMark/>
          </w:tcPr>
          <w:p w14:paraId="1C792CE5" w14:textId="77777777" w:rsidR="00000000" w:rsidRDefault="001A570A">
            <w:pPr>
              <w:rPr>
                <w:rFonts w:eastAsia="Times New Roman"/>
                <w:sz w:val="20"/>
                <w:szCs w:val="20"/>
              </w:rPr>
            </w:pPr>
          </w:p>
        </w:tc>
        <w:tc>
          <w:tcPr>
            <w:tcW w:w="0" w:type="auto"/>
            <w:gridSpan w:val="3"/>
            <w:vAlign w:val="center"/>
            <w:hideMark/>
          </w:tcPr>
          <w:p w14:paraId="6FBC0D7A" w14:textId="77777777" w:rsidR="00000000" w:rsidRDefault="001A570A">
            <w:pPr>
              <w:rPr>
                <w:rFonts w:eastAsia="Times New Roman"/>
                <w:sz w:val="20"/>
                <w:szCs w:val="20"/>
              </w:rPr>
            </w:pPr>
          </w:p>
        </w:tc>
        <w:tc>
          <w:tcPr>
            <w:tcW w:w="0" w:type="auto"/>
            <w:gridSpan w:val="3"/>
            <w:vAlign w:val="center"/>
            <w:hideMark/>
          </w:tcPr>
          <w:p w14:paraId="1C5DFBAE" w14:textId="77777777" w:rsidR="00000000" w:rsidRDefault="001A570A">
            <w:pPr>
              <w:rPr>
                <w:rFonts w:eastAsia="Times New Roman"/>
                <w:sz w:val="20"/>
                <w:szCs w:val="20"/>
              </w:rPr>
            </w:pPr>
          </w:p>
        </w:tc>
      </w:tr>
      <w:tr w:rsidR="00000000" w14:paraId="0CDCDF3F" w14:textId="77777777">
        <w:trPr>
          <w:divId w:val="43529480"/>
        </w:trPr>
        <w:tc>
          <w:tcPr>
            <w:tcW w:w="0" w:type="auto"/>
            <w:gridSpan w:val="3"/>
            <w:shd w:val="clear" w:color="auto" w:fill="CCEEFF"/>
            <w:tcMar>
              <w:top w:w="30" w:type="dxa"/>
              <w:left w:w="380" w:type="dxa"/>
              <w:bottom w:w="30" w:type="dxa"/>
              <w:right w:w="20" w:type="dxa"/>
            </w:tcMar>
            <w:hideMark/>
          </w:tcPr>
          <w:p w14:paraId="2A4C497C" w14:textId="77777777" w:rsidR="00000000" w:rsidRDefault="001A570A">
            <w:pPr>
              <w:rPr>
                <w:rFonts w:eastAsia="Times New Roman"/>
              </w:rPr>
            </w:pPr>
            <w:r>
              <w:rPr>
                <w:rFonts w:eastAsia="Times New Roman"/>
                <w:color w:val="000000"/>
                <w:sz w:val="20"/>
                <w:szCs w:val="20"/>
              </w:rPr>
              <w:t xml:space="preserve">Prior service cost </w:t>
            </w:r>
          </w:p>
        </w:tc>
        <w:tc>
          <w:tcPr>
            <w:tcW w:w="0" w:type="auto"/>
            <w:gridSpan w:val="2"/>
            <w:shd w:val="clear" w:color="auto" w:fill="CCEEFF"/>
            <w:tcMar>
              <w:top w:w="30" w:type="dxa"/>
              <w:left w:w="20" w:type="dxa"/>
              <w:bottom w:w="30" w:type="dxa"/>
              <w:right w:w="0" w:type="dxa"/>
            </w:tcMar>
            <w:vAlign w:val="bottom"/>
            <w:hideMark/>
          </w:tcPr>
          <w:p w14:paraId="4BABED4B"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1DBB288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E3AB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EFC53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6CB78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A726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933BD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6ACAC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2AFF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55E8A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CC3368" w14:textId="77777777" w:rsidR="00000000" w:rsidRDefault="001A570A">
            <w:pPr>
              <w:jc w:val="right"/>
              <w:rPr>
                <w:rFonts w:eastAsia="Times New Roman"/>
              </w:rPr>
            </w:pPr>
          </w:p>
        </w:tc>
      </w:tr>
      <w:tr w:rsidR="00000000" w14:paraId="75921B8E" w14:textId="77777777">
        <w:trPr>
          <w:divId w:val="43529480"/>
        </w:trPr>
        <w:tc>
          <w:tcPr>
            <w:tcW w:w="0" w:type="auto"/>
            <w:gridSpan w:val="3"/>
            <w:vAlign w:val="center"/>
            <w:hideMark/>
          </w:tcPr>
          <w:p w14:paraId="106D2BC9" w14:textId="77777777" w:rsidR="00000000" w:rsidRDefault="001A570A">
            <w:pPr>
              <w:jc w:val="right"/>
              <w:rPr>
                <w:rFonts w:eastAsia="Times New Roman"/>
                <w:sz w:val="20"/>
                <w:szCs w:val="20"/>
              </w:rPr>
            </w:pPr>
          </w:p>
        </w:tc>
        <w:tc>
          <w:tcPr>
            <w:tcW w:w="0" w:type="auto"/>
            <w:gridSpan w:val="3"/>
            <w:vAlign w:val="center"/>
            <w:hideMark/>
          </w:tcPr>
          <w:p w14:paraId="473584D4" w14:textId="77777777" w:rsidR="00000000" w:rsidRDefault="001A570A">
            <w:pPr>
              <w:rPr>
                <w:rFonts w:eastAsia="Times New Roman"/>
                <w:sz w:val="20"/>
                <w:szCs w:val="20"/>
              </w:rPr>
            </w:pPr>
          </w:p>
        </w:tc>
        <w:tc>
          <w:tcPr>
            <w:tcW w:w="0" w:type="auto"/>
            <w:gridSpan w:val="3"/>
            <w:vAlign w:val="center"/>
            <w:hideMark/>
          </w:tcPr>
          <w:p w14:paraId="6B358571" w14:textId="77777777" w:rsidR="00000000" w:rsidRDefault="001A570A">
            <w:pPr>
              <w:rPr>
                <w:rFonts w:eastAsia="Times New Roman"/>
                <w:sz w:val="20"/>
                <w:szCs w:val="20"/>
              </w:rPr>
            </w:pPr>
          </w:p>
        </w:tc>
        <w:tc>
          <w:tcPr>
            <w:tcW w:w="0" w:type="auto"/>
            <w:gridSpan w:val="3"/>
            <w:vAlign w:val="center"/>
            <w:hideMark/>
          </w:tcPr>
          <w:p w14:paraId="7F4D2460" w14:textId="77777777" w:rsidR="00000000" w:rsidRDefault="001A570A">
            <w:pPr>
              <w:rPr>
                <w:rFonts w:eastAsia="Times New Roman"/>
                <w:sz w:val="20"/>
                <w:szCs w:val="20"/>
              </w:rPr>
            </w:pPr>
          </w:p>
        </w:tc>
        <w:tc>
          <w:tcPr>
            <w:tcW w:w="0" w:type="auto"/>
            <w:gridSpan w:val="3"/>
            <w:vAlign w:val="center"/>
            <w:hideMark/>
          </w:tcPr>
          <w:p w14:paraId="4D797F78" w14:textId="77777777" w:rsidR="00000000" w:rsidRDefault="001A570A">
            <w:pPr>
              <w:rPr>
                <w:rFonts w:eastAsia="Times New Roman"/>
                <w:sz w:val="20"/>
                <w:szCs w:val="20"/>
              </w:rPr>
            </w:pPr>
          </w:p>
        </w:tc>
        <w:tc>
          <w:tcPr>
            <w:tcW w:w="0" w:type="auto"/>
            <w:gridSpan w:val="3"/>
            <w:vAlign w:val="center"/>
            <w:hideMark/>
          </w:tcPr>
          <w:p w14:paraId="491BFD87" w14:textId="77777777" w:rsidR="00000000" w:rsidRDefault="001A570A">
            <w:pPr>
              <w:rPr>
                <w:rFonts w:eastAsia="Times New Roman"/>
                <w:sz w:val="20"/>
                <w:szCs w:val="20"/>
              </w:rPr>
            </w:pPr>
          </w:p>
        </w:tc>
        <w:tc>
          <w:tcPr>
            <w:tcW w:w="0" w:type="auto"/>
            <w:gridSpan w:val="3"/>
            <w:vAlign w:val="center"/>
            <w:hideMark/>
          </w:tcPr>
          <w:p w14:paraId="51DA0333" w14:textId="77777777" w:rsidR="00000000" w:rsidRDefault="001A570A">
            <w:pPr>
              <w:rPr>
                <w:rFonts w:eastAsia="Times New Roman"/>
                <w:sz w:val="20"/>
                <w:szCs w:val="20"/>
              </w:rPr>
            </w:pPr>
          </w:p>
        </w:tc>
        <w:tc>
          <w:tcPr>
            <w:tcW w:w="0" w:type="auto"/>
            <w:gridSpan w:val="3"/>
            <w:vAlign w:val="center"/>
            <w:hideMark/>
          </w:tcPr>
          <w:p w14:paraId="33B9AF98" w14:textId="77777777" w:rsidR="00000000" w:rsidRDefault="001A570A">
            <w:pPr>
              <w:rPr>
                <w:rFonts w:eastAsia="Times New Roman"/>
                <w:sz w:val="20"/>
                <w:szCs w:val="20"/>
              </w:rPr>
            </w:pPr>
          </w:p>
        </w:tc>
      </w:tr>
      <w:tr w:rsidR="00000000" w14:paraId="0B85467E" w14:textId="77777777">
        <w:trPr>
          <w:divId w:val="43529480"/>
        </w:trPr>
        <w:tc>
          <w:tcPr>
            <w:tcW w:w="0" w:type="auto"/>
            <w:gridSpan w:val="3"/>
            <w:shd w:val="clear" w:color="auto" w:fill="FFFFFF"/>
            <w:tcMar>
              <w:top w:w="30" w:type="dxa"/>
              <w:left w:w="380" w:type="dxa"/>
              <w:bottom w:w="30" w:type="dxa"/>
              <w:right w:w="20" w:type="dxa"/>
            </w:tcMar>
            <w:hideMark/>
          </w:tcPr>
          <w:p w14:paraId="0137FF6A" w14:textId="77777777" w:rsidR="00000000" w:rsidRDefault="001A570A">
            <w:pPr>
              <w:rPr>
                <w:rFonts w:eastAsia="Times New Roman"/>
              </w:rPr>
            </w:pPr>
            <w:r>
              <w:rPr>
                <w:rFonts w:eastAsia="Times New Roman"/>
                <w:color w:val="000000"/>
                <w:sz w:val="20"/>
                <w:szCs w:val="20"/>
              </w:rPr>
              <w:t>Amortization of net actuarial gain</w:t>
            </w:r>
          </w:p>
        </w:tc>
        <w:tc>
          <w:tcPr>
            <w:tcW w:w="0" w:type="auto"/>
            <w:gridSpan w:val="2"/>
            <w:shd w:val="clear" w:color="auto" w:fill="FFFFFF"/>
            <w:tcMar>
              <w:top w:w="30" w:type="dxa"/>
              <w:left w:w="20" w:type="dxa"/>
              <w:bottom w:w="30" w:type="dxa"/>
              <w:right w:w="0" w:type="dxa"/>
            </w:tcMar>
            <w:vAlign w:val="bottom"/>
            <w:hideMark/>
          </w:tcPr>
          <w:p w14:paraId="5C4E3D7A"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099657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D633A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87D0E7"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2865FBD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B63B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AD1993"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46BB224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FAE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BC123"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26DD1BEE" w14:textId="77777777" w:rsidR="00000000" w:rsidRDefault="001A570A">
            <w:pPr>
              <w:jc w:val="right"/>
              <w:rPr>
                <w:rFonts w:eastAsia="Times New Roman"/>
              </w:rPr>
            </w:pPr>
          </w:p>
        </w:tc>
      </w:tr>
      <w:tr w:rsidR="00000000" w14:paraId="36EB23FB" w14:textId="77777777">
        <w:trPr>
          <w:divId w:val="43529480"/>
        </w:trPr>
        <w:tc>
          <w:tcPr>
            <w:tcW w:w="0" w:type="auto"/>
            <w:gridSpan w:val="3"/>
            <w:vAlign w:val="center"/>
            <w:hideMark/>
          </w:tcPr>
          <w:p w14:paraId="12EDF8C3" w14:textId="77777777" w:rsidR="00000000" w:rsidRDefault="001A570A">
            <w:pPr>
              <w:jc w:val="right"/>
              <w:rPr>
                <w:rFonts w:eastAsia="Times New Roman"/>
                <w:sz w:val="20"/>
                <w:szCs w:val="20"/>
              </w:rPr>
            </w:pPr>
          </w:p>
        </w:tc>
        <w:tc>
          <w:tcPr>
            <w:tcW w:w="0" w:type="auto"/>
            <w:gridSpan w:val="3"/>
            <w:vAlign w:val="center"/>
            <w:hideMark/>
          </w:tcPr>
          <w:p w14:paraId="4E6D1207" w14:textId="77777777" w:rsidR="00000000" w:rsidRDefault="001A570A">
            <w:pPr>
              <w:rPr>
                <w:rFonts w:eastAsia="Times New Roman"/>
                <w:sz w:val="20"/>
                <w:szCs w:val="20"/>
              </w:rPr>
            </w:pPr>
          </w:p>
        </w:tc>
        <w:tc>
          <w:tcPr>
            <w:tcW w:w="0" w:type="auto"/>
            <w:gridSpan w:val="3"/>
            <w:vAlign w:val="center"/>
            <w:hideMark/>
          </w:tcPr>
          <w:p w14:paraId="4959716E" w14:textId="77777777" w:rsidR="00000000" w:rsidRDefault="001A570A">
            <w:pPr>
              <w:rPr>
                <w:rFonts w:eastAsia="Times New Roman"/>
                <w:sz w:val="20"/>
                <w:szCs w:val="20"/>
              </w:rPr>
            </w:pPr>
          </w:p>
        </w:tc>
        <w:tc>
          <w:tcPr>
            <w:tcW w:w="0" w:type="auto"/>
            <w:gridSpan w:val="3"/>
            <w:vAlign w:val="center"/>
            <w:hideMark/>
          </w:tcPr>
          <w:p w14:paraId="07616F77" w14:textId="77777777" w:rsidR="00000000" w:rsidRDefault="001A570A">
            <w:pPr>
              <w:rPr>
                <w:rFonts w:eastAsia="Times New Roman"/>
                <w:sz w:val="20"/>
                <w:szCs w:val="20"/>
              </w:rPr>
            </w:pPr>
          </w:p>
        </w:tc>
        <w:tc>
          <w:tcPr>
            <w:tcW w:w="0" w:type="auto"/>
            <w:gridSpan w:val="3"/>
            <w:vAlign w:val="center"/>
            <w:hideMark/>
          </w:tcPr>
          <w:p w14:paraId="3FFDEE4A" w14:textId="77777777" w:rsidR="00000000" w:rsidRDefault="001A570A">
            <w:pPr>
              <w:rPr>
                <w:rFonts w:eastAsia="Times New Roman"/>
                <w:sz w:val="20"/>
                <w:szCs w:val="20"/>
              </w:rPr>
            </w:pPr>
          </w:p>
        </w:tc>
        <w:tc>
          <w:tcPr>
            <w:tcW w:w="0" w:type="auto"/>
            <w:gridSpan w:val="3"/>
            <w:vAlign w:val="center"/>
            <w:hideMark/>
          </w:tcPr>
          <w:p w14:paraId="0BAB605B" w14:textId="77777777" w:rsidR="00000000" w:rsidRDefault="001A570A">
            <w:pPr>
              <w:rPr>
                <w:rFonts w:eastAsia="Times New Roman"/>
                <w:sz w:val="20"/>
                <w:szCs w:val="20"/>
              </w:rPr>
            </w:pPr>
          </w:p>
        </w:tc>
        <w:tc>
          <w:tcPr>
            <w:tcW w:w="0" w:type="auto"/>
            <w:gridSpan w:val="3"/>
            <w:vAlign w:val="center"/>
            <w:hideMark/>
          </w:tcPr>
          <w:p w14:paraId="489C43DF" w14:textId="77777777" w:rsidR="00000000" w:rsidRDefault="001A570A">
            <w:pPr>
              <w:rPr>
                <w:rFonts w:eastAsia="Times New Roman"/>
                <w:sz w:val="20"/>
                <w:szCs w:val="20"/>
              </w:rPr>
            </w:pPr>
          </w:p>
        </w:tc>
        <w:tc>
          <w:tcPr>
            <w:tcW w:w="0" w:type="auto"/>
            <w:gridSpan w:val="3"/>
            <w:vAlign w:val="center"/>
            <w:hideMark/>
          </w:tcPr>
          <w:p w14:paraId="2DE4A06C" w14:textId="77777777" w:rsidR="00000000" w:rsidRDefault="001A570A">
            <w:pPr>
              <w:rPr>
                <w:rFonts w:eastAsia="Times New Roman"/>
                <w:sz w:val="20"/>
                <w:szCs w:val="20"/>
              </w:rPr>
            </w:pPr>
          </w:p>
        </w:tc>
      </w:tr>
      <w:tr w:rsidR="00000000" w14:paraId="61181AC7" w14:textId="77777777">
        <w:trPr>
          <w:divId w:val="43529480"/>
        </w:trPr>
        <w:tc>
          <w:tcPr>
            <w:tcW w:w="0" w:type="auto"/>
            <w:gridSpan w:val="3"/>
            <w:vAlign w:val="center"/>
            <w:hideMark/>
          </w:tcPr>
          <w:p w14:paraId="75D0185E" w14:textId="77777777" w:rsidR="00000000" w:rsidRDefault="001A570A">
            <w:pPr>
              <w:rPr>
                <w:rFonts w:eastAsia="Times New Roman"/>
                <w:sz w:val="20"/>
                <w:szCs w:val="20"/>
              </w:rPr>
            </w:pPr>
          </w:p>
        </w:tc>
        <w:tc>
          <w:tcPr>
            <w:tcW w:w="0" w:type="auto"/>
            <w:gridSpan w:val="3"/>
            <w:vAlign w:val="center"/>
            <w:hideMark/>
          </w:tcPr>
          <w:p w14:paraId="4B43B33A" w14:textId="77777777" w:rsidR="00000000" w:rsidRDefault="001A570A">
            <w:pPr>
              <w:rPr>
                <w:rFonts w:eastAsia="Times New Roman"/>
                <w:sz w:val="20"/>
                <w:szCs w:val="20"/>
              </w:rPr>
            </w:pPr>
          </w:p>
        </w:tc>
        <w:tc>
          <w:tcPr>
            <w:tcW w:w="0" w:type="auto"/>
            <w:gridSpan w:val="3"/>
            <w:vAlign w:val="center"/>
            <w:hideMark/>
          </w:tcPr>
          <w:p w14:paraId="7F3F9341" w14:textId="77777777" w:rsidR="00000000" w:rsidRDefault="001A570A">
            <w:pPr>
              <w:rPr>
                <w:rFonts w:eastAsia="Times New Roman"/>
                <w:sz w:val="20"/>
                <w:szCs w:val="20"/>
              </w:rPr>
            </w:pPr>
          </w:p>
        </w:tc>
        <w:tc>
          <w:tcPr>
            <w:tcW w:w="0" w:type="auto"/>
            <w:gridSpan w:val="3"/>
            <w:vAlign w:val="center"/>
            <w:hideMark/>
          </w:tcPr>
          <w:p w14:paraId="450126FD" w14:textId="77777777" w:rsidR="00000000" w:rsidRDefault="001A570A">
            <w:pPr>
              <w:rPr>
                <w:rFonts w:eastAsia="Times New Roman"/>
                <w:sz w:val="20"/>
                <w:szCs w:val="20"/>
              </w:rPr>
            </w:pPr>
          </w:p>
        </w:tc>
        <w:tc>
          <w:tcPr>
            <w:tcW w:w="0" w:type="auto"/>
            <w:gridSpan w:val="3"/>
            <w:vAlign w:val="center"/>
            <w:hideMark/>
          </w:tcPr>
          <w:p w14:paraId="584193D9" w14:textId="77777777" w:rsidR="00000000" w:rsidRDefault="001A570A">
            <w:pPr>
              <w:rPr>
                <w:rFonts w:eastAsia="Times New Roman"/>
                <w:sz w:val="20"/>
                <w:szCs w:val="20"/>
              </w:rPr>
            </w:pPr>
          </w:p>
        </w:tc>
        <w:tc>
          <w:tcPr>
            <w:tcW w:w="0" w:type="auto"/>
            <w:gridSpan w:val="3"/>
            <w:vAlign w:val="center"/>
            <w:hideMark/>
          </w:tcPr>
          <w:p w14:paraId="66D1C0CC" w14:textId="77777777" w:rsidR="00000000" w:rsidRDefault="001A570A">
            <w:pPr>
              <w:rPr>
                <w:rFonts w:eastAsia="Times New Roman"/>
                <w:sz w:val="20"/>
                <w:szCs w:val="20"/>
              </w:rPr>
            </w:pPr>
          </w:p>
        </w:tc>
        <w:tc>
          <w:tcPr>
            <w:tcW w:w="0" w:type="auto"/>
            <w:gridSpan w:val="3"/>
            <w:vAlign w:val="center"/>
            <w:hideMark/>
          </w:tcPr>
          <w:p w14:paraId="17DE5191" w14:textId="77777777" w:rsidR="00000000" w:rsidRDefault="001A570A">
            <w:pPr>
              <w:rPr>
                <w:rFonts w:eastAsia="Times New Roman"/>
                <w:sz w:val="20"/>
                <w:szCs w:val="20"/>
              </w:rPr>
            </w:pPr>
          </w:p>
        </w:tc>
        <w:tc>
          <w:tcPr>
            <w:tcW w:w="0" w:type="auto"/>
            <w:gridSpan w:val="3"/>
            <w:vAlign w:val="center"/>
            <w:hideMark/>
          </w:tcPr>
          <w:p w14:paraId="46EBDA07" w14:textId="77777777" w:rsidR="00000000" w:rsidRDefault="001A570A">
            <w:pPr>
              <w:rPr>
                <w:rFonts w:eastAsia="Times New Roman"/>
                <w:sz w:val="20"/>
                <w:szCs w:val="20"/>
              </w:rPr>
            </w:pPr>
          </w:p>
        </w:tc>
      </w:tr>
      <w:tr w:rsidR="00000000" w14:paraId="4976891C" w14:textId="77777777">
        <w:trPr>
          <w:divId w:val="43529480"/>
        </w:trPr>
        <w:tc>
          <w:tcPr>
            <w:tcW w:w="0" w:type="auto"/>
            <w:gridSpan w:val="3"/>
            <w:shd w:val="clear" w:color="auto" w:fill="CCEEFF"/>
            <w:tcMar>
              <w:top w:w="30" w:type="dxa"/>
              <w:left w:w="20" w:type="dxa"/>
              <w:bottom w:w="30" w:type="dxa"/>
              <w:right w:w="20" w:type="dxa"/>
            </w:tcMar>
            <w:hideMark/>
          </w:tcPr>
          <w:p w14:paraId="74C83522" w14:textId="77777777" w:rsidR="00000000" w:rsidRDefault="001A570A">
            <w:pPr>
              <w:ind w:hanging="270"/>
              <w:divId w:val="989140802"/>
              <w:rPr>
                <w:rFonts w:eastAsia="Times New Roman"/>
              </w:rPr>
            </w:pPr>
            <w:r>
              <w:rPr>
                <w:rFonts w:eastAsia="Times New Roman"/>
                <w:color w:val="000000"/>
                <w:sz w:val="20"/>
                <w:szCs w:val="20"/>
              </w:rPr>
              <w:t>Total change recognized in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AB4852" w14:textId="77777777" w:rsidR="00000000" w:rsidRDefault="001A570A">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024C1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D706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3D46A0" w14:textId="77777777" w:rsidR="00000000" w:rsidRDefault="001A570A">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CB5EF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6E05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D9C67E" w14:textId="77777777" w:rsidR="00000000" w:rsidRDefault="001A570A">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A0BBE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51E3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756F57" w14:textId="77777777" w:rsidR="00000000" w:rsidRDefault="001A570A">
            <w:pPr>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3D0F09" w14:textId="77777777" w:rsidR="00000000" w:rsidRDefault="001A570A">
            <w:pPr>
              <w:jc w:val="right"/>
              <w:rPr>
                <w:rFonts w:eastAsia="Times New Roman"/>
              </w:rPr>
            </w:pPr>
          </w:p>
        </w:tc>
      </w:tr>
      <w:tr w:rsidR="00000000" w14:paraId="2B0EC40E" w14:textId="77777777">
        <w:trPr>
          <w:divId w:val="43529480"/>
        </w:trPr>
        <w:tc>
          <w:tcPr>
            <w:tcW w:w="0" w:type="auto"/>
            <w:gridSpan w:val="3"/>
            <w:shd w:val="clear" w:color="auto" w:fill="FFFFFF"/>
            <w:tcMar>
              <w:top w:w="30" w:type="dxa"/>
              <w:left w:w="20" w:type="dxa"/>
              <w:bottom w:w="30" w:type="dxa"/>
              <w:right w:w="20" w:type="dxa"/>
            </w:tcMar>
            <w:hideMark/>
          </w:tcPr>
          <w:p w14:paraId="6376E3E4" w14:textId="77777777" w:rsidR="00000000" w:rsidRDefault="001A570A">
            <w:pPr>
              <w:ind w:hanging="270"/>
              <w:divId w:val="1050223060"/>
              <w:rPr>
                <w:rFonts w:eastAsia="Times New Roman"/>
              </w:rPr>
            </w:pPr>
            <w:r>
              <w:rPr>
                <w:rFonts w:eastAsia="Times New Roman"/>
                <w:color w:val="000000"/>
                <w:sz w:val="20"/>
                <w:szCs w:val="20"/>
              </w:rPr>
              <w:t>Total impact from net periodic benefit cost and changes in other 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11912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FB1BAD" w14:textId="77777777" w:rsidR="00000000" w:rsidRDefault="001A570A">
            <w:pPr>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619BC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1282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8D853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3C0877" w14:textId="77777777" w:rsidR="00000000" w:rsidRDefault="001A570A">
            <w:pPr>
              <w:jc w:val="right"/>
              <w:rPr>
                <w:rFonts w:eastAsia="Times New Roman"/>
              </w:rPr>
            </w:pPr>
            <w:r>
              <w:rPr>
                <w:rFonts w:eastAsia="Times New Roman"/>
                <w:color w:val="000000"/>
                <w:sz w:val="20"/>
                <w:szCs w:val="20"/>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1D784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F45D"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FA72F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187B9D" w14:textId="77777777" w:rsidR="00000000" w:rsidRDefault="001A570A">
            <w:pPr>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4B1DD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37DF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C5536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1DD0B0" w14:textId="77777777" w:rsidR="00000000" w:rsidRDefault="001A570A">
            <w:pPr>
              <w:jc w:val="right"/>
              <w:rPr>
                <w:rFonts w:eastAsia="Times New Roman"/>
              </w:rPr>
            </w:pPr>
            <w:r>
              <w:rPr>
                <w:rFonts w:eastAsia="Times New Roman"/>
                <w:color w:val="000000"/>
                <w:sz w:val="20"/>
                <w:szCs w:val="20"/>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DBDF35" w14:textId="77777777" w:rsidR="00000000" w:rsidRDefault="001A570A">
            <w:pPr>
              <w:jc w:val="right"/>
              <w:rPr>
                <w:rFonts w:eastAsia="Times New Roman"/>
              </w:rPr>
            </w:pPr>
          </w:p>
        </w:tc>
      </w:tr>
    </w:tbl>
    <w:p w14:paraId="708411B8" w14:textId="77777777" w:rsidR="00000000" w:rsidRDefault="001A570A">
      <w:pPr>
        <w:divId w:val="48454723"/>
        <w:rPr>
          <w:rFonts w:eastAsia="Times New Roman"/>
        </w:rPr>
      </w:pPr>
      <w:r>
        <w:rPr>
          <w:rFonts w:eastAsia="Times New Roman"/>
          <w:b/>
          <w:bCs/>
          <w:color w:val="000000"/>
          <w:sz w:val="20"/>
          <w:szCs w:val="20"/>
        </w:rPr>
        <w:t>Defined Benefit Plan Assumptions</w:t>
      </w:r>
    </w:p>
    <w:p w14:paraId="15A8A85F" w14:textId="77777777" w:rsidR="00000000" w:rsidRDefault="001A570A">
      <w:pPr>
        <w:ind w:firstLine="450"/>
        <w:divId w:val="632637087"/>
        <w:rPr>
          <w:rFonts w:eastAsia="Times New Roman"/>
        </w:rPr>
      </w:pPr>
      <w:r>
        <w:rPr>
          <w:rFonts w:eastAsia="Times New Roman"/>
          <w:color w:val="000000"/>
          <w:sz w:val="20"/>
          <w:szCs w:val="20"/>
        </w:rPr>
        <w:t>The determination of the assumptions related to defined benefit plans are based on the provisions of the applicable accounting pronouncements, review of various market data and discussion</w:t>
      </w:r>
      <w:r>
        <w:rPr>
          <w:rFonts w:eastAsia="Times New Roman"/>
          <w:color w:val="000000"/>
          <w:sz w:val="20"/>
          <w:szCs w:val="20"/>
        </w:rPr>
        <w:t>s with our actuaries. We develop each assumption using relevant Company experience in conjunction with market-related data. Assumptions are reviewed annually and adjusted as appropriate.</w:t>
      </w:r>
    </w:p>
    <w:p w14:paraId="025006FA" w14:textId="77777777" w:rsidR="00000000" w:rsidRDefault="001A570A">
      <w:pPr>
        <w:ind w:firstLine="450"/>
        <w:divId w:val="1617982304"/>
        <w:rPr>
          <w:rFonts w:eastAsia="Times New Roman"/>
        </w:rPr>
      </w:pPr>
      <w:r>
        <w:rPr>
          <w:rFonts w:eastAsia="Times New Roman"/>
          <w:color w:val="000000"/>
          <w:sz w:val="20"/>
          <w:szCs w:val="20"/>
        </w:rPr>
        <w:t>The following tables provide the weighted-average assumptions used to</w:t>
      </w:r>
      <w:r>
        <w:rPr>
          <w:rFonts w:eastAsia="Times New Roman"/>
          <w:color w:val="000000"/>
          <w:sz w:val="20"/>
          <w:szCs w:val="20"/>
        </w:rPr>
        <w:t xml:space="preserve"> determine projected benefit obligations and net periodic benefit cost, as they pertain to our defined benefit pension plans:</w:t>
      </w:r>
    </w:p>
    <w:tbl>
      <w:tblPr>
        <w:tblW w:w="4920" w:type="pct"/>
        <w:tblCellMar>
          <w:top w:w="15" w:type="dxa"/>
          <w:left w:w="15" w:type="dxa"/>
          <w:bottom w:w="15" w:type="dxa"/>
          <w:right w:w="15" w:type="dxa"/>
        </w:tblCellMar>
        <w:tblLook w:val="04A0" w:firstRow="1" w:lastRow="0" w:firstColumn="1" w:lastColumn="0" w:noHBand="0" w:noVBand="1"/>
      </w:tblPr>
      <w:tblGrid>
        <w:gridCol w:w="38"/>
        <w:gridCol w:w="3441"/>
        <w:gridCol w:w="37"/>
        <w:gridCol w:w="47"/>
        <w:gridCol w:w="866"/>
        <w:gridCol w:w="187"/>
        <w:gridCol w:w="36"/>
        <w:gridCol w:w="36"/>
        <w:gridCol w:w="36"/>
        <w:gridCol w:w="46"/>
        <w:gridCol w:w="852"/>
        <w:gridCol w:w="187"/>
        <w:gridCol w:w="36"/>
        <w:gridCol w:w="36"/>
        <w:gridCol w:w="36"/>
        <w:gridCol w:w="38"/>
        <w:gridCol w:w="860"/>
        <w:gridCol w:w="187"/>
        <w:gridCol w:w="36"/>
        <w:gridCol w:w="36"/>
        <w:gridCol w:w="36"/>
        <w:gridCol w:w="38"/>
        <w:gridCol w:w="838"/>
        <w:gridCol w:w="187"/>
      </w:tblGrid>
      <w:tr w:rsidR="00000000" w14:paraId="3C80A09F" w14:textId="77777777">
        <w:trPr>
          <w:divId w:val="1842577320"/>
        </w:trPr>
        <w:tc>
          <w:tcPr>
            <w:tcW w:w="50" w:type="pct"/>
            <w:vAlign w:val="center"/>
            <w:hideMark/>
          </w:tcPr>
          <w:p w14:paraId="53285CB7" w14:textId="77777777" w:rsidR="00000000" w:rsidRDefault="001A570A">
            <w:pPr>
              <w:ind w:firstLine="450"/>
              <w:rPr>
                <w:rFonts w:eastAsia="Times New Roman"/>
              </w:rPr>
            </w:pPr>
          </w:p>
        </w:tc>
        <w:tc>
          <w:tcPr>
            <w:tcW w:w="2163" w:type="pct"/>
            <w:vAlign w:val="center"/>
            <w:hideMark/>
          </w:tcPr>
          <w:p w14:paraId="4E79C5A7" w14:textId="77777777" w:rsidR="00000000" w:rsidRDefault="001A570A">
            <w:pPr>
              <w:rPr>
                <w:rFonts w:eastAsia="Times New Roman"/>
                <w:sz w:val="20"/>
                <w:szCs w:val="20"/>
              </w:rPr>
            </w:pPr>
          </w:p>
        </w:tc>
        <w:tc>
          <w:tcPr>
            <w:tcW w:w="5" w:type="pct"/>
            <w:vAlign w:val="center"/>
            <w:hideMark/>
          </w:tcPr>
          <w:p w14:paraId="30A07B19" w14:textId="77777777" w:rsidR="00000000" w:rsidRDefault="001A570A">
            <w:pPr>
              <w:rPr>
                <w:rFonts w:eastAsia="Times New Roman"/>
                <w:sz w:val="20"/>
                <w:szCs w:val="20"/>
              </w:rPr>
            </w:pPr>
          </w:p>
        </w:tc>
        <w:tc>
          <w:tcPr>
            <w:tcW w:w="50" w:type="pct"/>
            <w:vAlign w:val="center"/>
            <w:hideMark/>
          </w:tcPr>
          <w:p w14:paraId="179F4959" w14:textId="77777777" w:rsidR="00000000" w:rsidRDefault="001A570A">
            <w:pPr>
              <w:rPr>
                <w:rFonts w:eastAsia="Times New Roman"/>
                <w:sz w:val="20"/>
                <w:szCs w:val="20"/>
              </w:rPr>
            </w:pPr>
          </w:p>
        </w:tc>
        <w:tc>
          <w:tcPr>
            <w:tcW w:w="594" w:type="pct"/>
            <w:vAlign w:val="center"/>
            <w:hideMark/>
          </w:tcPr>
          <w:p w14:paraId="54CD97F3" w14:textId="77777777" w:rsidR="00000000" w:rsidRDefault="001A570A">
            <w:pPr>
              <w:rPr>
                <w:rFonts w:eastAsia="Times New Roman"/>
                <w:sz w:val="20"/>
                <w:szCs w:val="20"/>
              </w:rPr>
            </w:pPr>
          </w:p>
        </w:tc>
        <w:tc>
          <w:tcPr>
            <w:tcW w:w="5" w:type="pct"/>
            <w:vAlign w:val="center"/>
            <w:hideMark/>
          </w:tcPr>
          <w:p w14:paraId="6E4B1D17" w14:textId="77777777" w:rsidR="00000000" w:rsidRDefault="001A570A">
            <w:pPr>
              <w:rPr>
                <w:rFonts w:eastAsia="Times New Roman"/>
                <w:sz w:val="20"/>
                <w:szCs w:val="20"/>
              </w:rPr>
            </w:pPr>
          </w:p>
        </w:tc>
        <w:tc>
          <w:tcPr>
            <w:tcW w:w="5" w:type="pct"/>
            <w:vAlign w:val="center"/>
            <w:hideMark/>
          </w:tcPr>
          <w:p w14:paraId="52A7F710" w14:textId="77777777" w:rsidR="00000000" w:rsidRDefault="001A570A">
            <w:pPr>
              <w:rPr>
                <w:rFonts w:eastAsia="Times New Roman"/>
                <w:sz w:val="20"/>
                <w:szCs w:val="20"/>
              </w:rPr>
            </w:pPr>
          </w:p>
        </w:tc>
        <w:tc>
          <w:tcPr>
            <w:tcW w:w="41" w:type="pct"/>
            <w:vAlign w:val="center"/>
            <w:hideMark/>
          </w:tcPr>
          <w:p w14:paraId="10BDF675" w14:textId="77777777" w:rsidR="00000000" w:rsidRDefault="001A570A">
            <w:pPr>
              <w:rPr>
                <w:rFonts w:eastAsia="Times New Roman"/>
                <w:sz w:val="20"/>
                <w:szCs w:val="20"/>
              </w:rPr>
            </w:pPr>
          </w:p>
        </w:tc>
        <w:tc>
          <w:tcPr>
            <w:tcW w:w="5" w:type="pct"/>
            <w:vAlign w:val="center"/>
            <w:hideMark/>
          </w:tcPr>
          <w:p w14:paraId="62A4B195" w14:textId="77777777" w:rsidR="00000000" w:rsidRDefault="001A570A">
            <w:pPr>
              <w:rPr>
                <w:rFonts w:eastAsia="Times New Roman"/>
                <w:sz w:val="20"/>
                <w:szCs w:val="20"/>
              </w:rPr>
            </w:pPr>
          </w:p>
        </w:tc>
        <w:tc>
          <w:tcPr>
            <w:tcW w:w="50" w:type="pct"/>
            <w:vAlign w:val="center"/>
            <w:hideMark/>
          </w:tcPr>
          <w:p w14:paraId="633D7B1E" w14:textId="77777777" w:rsidR="00000000" w:rsidRDefault="001A570A">
            <w:pPr>
              <w:rPr>
                <w:rFonts w:eastAsia="Times New Roman"/>
                <w:sz w:val="20"/>
                <w:szCs w:val="20"/>
              </w:rPr>
            </w:pPr>
          </w:p>
        </w:tc>
        <w:tc>
          <w:tcPr>
            <w:tcW w:w="609" w:type="pct"/>
            <w:vAlign w:val="center"/>
            <w:hideMark/>
          </w:tcPr>
          <w:p w14:paraId="48A90D82" w14:textId="77777777" w:rsidR="00000000" w:rsidRDefault="001A570A">
            <w:pPr>
              <w:rPr>
                <w:rFonts w:eastAsia="Times New Roman"/>
                <w:sz w:val="20"/>
                <w:szCs w:val="20"/>
              </w:rPr>
            </w:pPr>
          </w:p>
        </w:tc>
        <w:tc>
          <w:tcPr>
            <w:tcW w:w="5" w:type="pct"/>
            <w:vAlign w:val="center"/>
            <w:hideMark/>
          </w:tcPr>
          <w:p w14:paraId="18780560" w14:textId="77777777" w:rsidR="00000000" w:rsidRDefault="001A570A">
            <w:pPr>
              <w:rPr>
                <w:rFonts w:eastAsia="Times New Roman"/>
                <w:sz w:val="20"/>
                <w:szCs w:val="20"/>
              </w:rPr>
            </w:pPr>
          </w:p>
        </w:tc>
        <w:tc>
          <w:tcPr>
            <w:tcW w:w="5" w:type="pct"/>
            <w:vAlign w:val="center"/>
            <w:hideMark/>
          </w:tcPr>
          <w:p w14:paraId="4F7302D9" w14:textId="77777777" w:rsidR="00000000" w:rsidRDefault="001A570A">
            <w:pPr>
              <w:rPr>
                <w:rFonts w:eastAsia="Times New Roman"/>
                <w:sz w:val="20"/>
                <w:szCs w:val="20"/>
              </w:rPr>
            </w:pPr>
          </w:p>
        </w:tc>
        <w:tc>
          <w:tcPr>
            <w:tcW w:w="41" w:type="pct"/>
            <w:vAlign w:val="center"/>
            <w:hideMark/>
          </w:tcPr>
          <w:p w14:paraId="0A4129E8" w14:textId="77777777" w:rsidR="00000000" w:rsidRDefault="001A570A">
            <w:pPr>
              <w:rPr>
                <w:rFonts w:eastAsia="Times New Roman"/>
                <w:sz w:val="20"/>
                <w:szCs w:val="20"/>
              </w:rPr>
            </w:pPr>
          </w:p>
        </w:tc>
        <w:tc>
          <w:tcPr>
            <w:tcW w:w="5" w:type="pct"/>
            <w:vAlign w:val="center"/>
            <w:hideMark/>
          </w:tcPr>
          <w:p w14:paraId="00F1726A" w14:textId="77777777" w:rsidR="00000000" w:rsidRDefault="001A570A">
            <w:pPr>
              <w:rPr>
                <w:rFonts w:eastAsia="Times New Roman"/>
                <w:sz w:val="20"/>
                <w:szCs w:val="20"/>
              </w:rPr>
            </w:pPr>
          </w:p>
        </w:tc>
        <w:tc>
          <w:tcPr>
            <w:tcW w:w="50" w:type="pct"/>
            <w:vAlign w:val="center"/>
            <w:hideMark/>
          </w:tcPr>
          <w:p w14:paraId="49BF0AC6" w14:textId="77777777" w:rsidR="00000000" w:rsidRDefault="001A570A">
            <w:pPr>
              <w:rPr>
                <w:rFonts w:eastAsia="Times New Roman"/>
                <w:sz w:val="20"/>
                <w:szCs w:val="20"/>
              </w:rPr>
            </w:pPr>
          </w:p>
        </w:tc>
        <w:tc>
          <w:tcPr>
            <w:tcW w:w="609" w:type="pct"/>
            <w:vAlign w:val="center"/>
            <w:hideMark/>
          </w:tcPr>
          <w:p w14:paraId="410D2599" w14:textId="77777777" w:rsidR="00000000" w:rsidRDefault="001A570A">
            <w:pPr>
              <w:rPr>
                <w:rFonts w:eastAsia="Times New Roman"/>
                <w:sz w:val="20"/>
                <w:szCs w:val="20"/>
              </w:rPr>
            </w:pPr>
          </w:p>
        </w:tc>
        <w:tc>
          <w:tcPr>
            <w:tcW w:w="5" w:type="pct"/>
            <w:vAlign w:val="center"/>
            <w:hideMark/>
          </w:tcPr>
          <w:p w14:paraId="30683174" w14:textId="77777777" w:rsidR="00000000" w:rsidRDefault="001A570A">
            <w:pPr>
              <w:rPr>
                <w:rFonts w:eastAsia="Times New Roman"/>
                <w:sz w:val="20"/>
                <w:szCs w:val="20"/>
              </w:rPr>
            </w:pPr>
          </w:p>
        </w:tc>
        <w:tc>
          <w:tcPr>
            <w:tcW w:w="5" w:type="pct"/>
            <w:vAlign w:val="center"/>
            <w:hideMark/>
          </w:tcPr>
          <w:p w14:paraId="283E04EF" w14:textId="77777777" w:rsidR="00000000" w:rsidRDefault="001A570A">
            <w:pPr>
              <w:rPr>
                <w:rFonts w:eastAsia="Times New Roman"/>
                <w:sz w:val="20"/>
                <w:szCs w:val="20"/>
              </w:rPr>
            </w:pPr>
          </w:p>
        </w:tc>
        <w:tc>
          <w:tcPr>
            <w:tcW w:w="26" w:type="pct"/>
            <w:vAlign w:val="center"/>
            <w:hideMark/>
          </w:tcPr>
          <w:p w14:paraId="6E501DD6" w14:textId="77777777" w:rsidR="00000000" w:rsidRDefault="001A570A">
            <w:pPr>
              <w:rPr>
                <w:rFonts w:eastAsia="Times New Roman"/>
                <w:sz w:val="20"/>
                <w:szCs w:val="20"/>
              </w:rPr>
            </w:pPr>
          </w:p>
        </w:tc>
        <w:tc>
          <w:tcPr>
            <w:tcW w:w="5" w:type="pct"/>
            <w:vAlign w:val="center"/>
            <w:hideMark/>
          </w:tcPr>
          <w:p w14:paraId="129592DB" w14:textId="77777777" w:rsidR="00000000" w:rsidRDefault="001A570A">
            <w:pPr>
              <w:rPr>
                <w:rFonts w:eastAsia="Times New Roman"/>
                <w:sz w:val="20"/>
                <w:szCs w:val="20"/>
              </w:rPr>
            </w:pPr>
          </w:p>
        </w:tc>
        <w:tc>
          <w:tcPr>
            <w:tcW w:w="50" w:type="pct"/>
            <w:vAlign w:val="center"/>
            <w:hideMark/>
          </w:tcPr>
          <w:p w14:paraId="0F2F95A2" w14:textId="77777777" w:rsidR="00000000" w:rsidRDefault="001A570A">
            <w:pPr>
              <w:rPr>
                <w:rFonts w:eastAsia="Times New Roman"/>
                <w:sz w:val="20"/>
                <w:szCs w:val="20"/>
              </w:rPr>
            </w:pPr>
          </w:p>
        </w:tc>
        <w:tc>
          <w:tcPr>
            <w:tcW w:w="609" w:type="pct"/>
            <w:vAlign w:val="center"/>
            <w:hideMark/>
          </w:tcPr>
          <w:p w14:paraId="2F8C1290" w14:textId="77777777" w:rsidR="00000000" w:rsidRDefault="001A570A">
            <w:pPr>
              <w:rPr>
                <w:rFonts w:eastAsia="Times New Roman"/>
                <w:sz w:val="20"/>
                <w:szCs w:val="20"/>
              </w:rPr>
            </w:pPr>
          </w:p>
        </w:tc>
        <w:tc>
          <w:tcPr>
            <w:tcW w:w="5" w:type="pct"/>
            <w:vAlign w:val="center"/>
            <w:hideMark/>
          </w:tcPr>
          <w:p w14:paraId="2BB0E652" w14:textId="77777777" w:rsidR="00000000" w:rsidRDefault="001A570A">
            <w:pPr>
              <w:rPr>
                <w:rFonts w:eastAsia="Times New Roman"/>
                <w:sz w:val="20"/>
                <w:szCs w:val="20"/>
              </w:rPr>
            </w:pPr>
          </w:p>
        </w:tc>
      </w:tr>
      <w:tr w:rsidR="00000000" w14:paraId="0A315860" w14:textId="77777777">
        <w:trPr>
          <w:divId w:val="1842577320"/>
        </w:trPr>
        <w:tc>
          <w:tcPr>
            <w:tcW w:w="0" w:type="auto"/>
            <w:gridSpan w:val="3"/>
            <w:tcMar>
              <w:top w:w="30" w:type="dxa"/>
              <w:left w:w="20" w:type="dxa"/>
              <w:bottom w:w="30" w:type="dxa"/>
              <w:right w:w="20" w:type="dxa"/>
            </w:tcMar>
            <w:hideMark/>
          </w:tcPr>
          <w:p w14:paraId="2D9EBC85" w14:textId="77777777" w:rsidR="00000000" w:rsidRDefault="001A570A">
            <w:pPr>
              <w:rPr>
                <w:rFonts w:eastAsia="Times New Roman"/>
              </w:rPr>
            </w:pPr>
            <w:r>
              <w:rPr>
                <w:rFonts w:eastAsia="Times New Roman"/>
                <w:color w:val="000000"/>
                <w:sz w:val="20"/>
                <w:szCs w:val="20"/>
              </w:rPr>
              <w:t>Obligation assumptions as of:</w:t>
            </w:r>
          </w:p>
        </w:tc>
        <w:tc>
          <w:tcPr>
            <w:tcW w:w="0" w:type="auto"/>
            <w:gridSpan w:val="3"/>
            <w:tcMar>
              <w:top w:w="30" w:type="dxa"/>
              <w:left w:w="20" w:type="dxa"/>
              <w:bottom w:w="30" w:type="dxa"/>
              <w:right w:w="20" w:type="dxa"/>
            </w:tcMar>
            <w:vAlign w:val="bottom"/>
            <w:hideMark/>
          </w:tcPr>
          <w:p w14:paraId="3DB2FC1B"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167E5DB8"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8DE2162"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4CB34F4B" w14:textId="77777777" w:rsidR="00000000" w:rsidRDefault="001A570A">
            <w:pPr>
              <w:jc w:val="center"/>
              <w:rPr>
                <w:rFonts w:eastAsia="Times New Roman"/>
              </w:rPr>
            </w:pPr>
          </w:p>
        </w:tc>
        <w:tc>
          <w:tcPr>
            <w:tcW w:w="0" w:type="auto"/>
            <w:gridSpan w:val="3"/>
            <w:tcMar>
              <w:top w:w="0" w:type="dxa"/>
              <w:left w:w="20" w:type="dxa"/>
              <w:bottom w:w="0" w:type="dxa"/>
              <w:right w:w="20" w:type="dxa"/>
            </w:tcMar>
            <w:vAlign w:val="center"/>
            <w:hideMark/>
          </w:tcPr>
          <w:p w14:paraId="15F5CDE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1E9191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6738E92" w14:textId="77777777" w:rsidR="00000000" w:rsidRDefault="001A570A">
            <w:pPr>
              <w:rPr>
                <w:rFonts w:eastAsia="Times New Roman"/>
                <w:sz w:val="20"/>
                <w:szCs w:val="20"/>
              </w:rPr>
            </w:pPr>
          </w:p>
        </w:tc>
      </w:tr>
      <w:tr w:rsidR="00000000" w14:paraId="358CEA99" w14:textId="77777777">
        <w:trPr>
          <w:divId w:val="1842577320"/>
        </w:trPr>
        <w:tc>
          <w:tcPr>
            <w:tcW w:w="0" w:type="auto"/>
            <w:gridSpan w:val="3"/>
            <w:shd w:val="clear" w:color="auto" w:fill="CCEEFF"/>
            <w:tcMar>
              <w:top w:w="30" w:type="dxa"/>
              <w:left w:w="155" w:type="dxa"/>
              <w:bottom w:w="30" w:type="dxa"/>
              <w:right w:w="20" w:type="dxa"/>
            </w:tcMar>
            <w:hideMark/>
          </w:tcPr>
          <w:p w14:paraId="22180C7B" w14:textId="77777777" w:rsidR="00000000" w:rsidRDefault="001A570A">
            <w:pPr>
              <w:rPr>
                <w:rFonts w:eastAsia="Times New Roman"/>
              </w:rPr>
            </w:pPr>
            <w:r>
              <w:rPr>
                <w:rFonts w:eastAsia="Times New Roman"/>
                <w:color w:val="000000"/>
                <w:sz w:val="20"/>
                <w:szCs w:val="20"/>
              </w:rPr>
              <w:t>Discount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A3879B" w14:textId="77777777" w:rsidR="00000000" w:rsidRDefault="001A570A">
            <w:pPr>
              <w:jc w:val="right"/>
              <w:rPr>
                <w:rFonts w:eastAsia="Times New Roman"/>
              </w:rPr>
            </w:pPr>
            <w:r>
              <w:rPr>
                <w:rFonts w:eastAsia="Times New Roman"/>
                <w:color w:val="000000"/>
                <w:sz w:val="20"/>
                <w:szCs w:val="20"/>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95EC4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95FE4B"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4933F3" w14:textId="77777777" w:rsidR="00000000" w:rsidRDefault="001A570A">
            <w:pPr>
              <w:jc w:val="right"/>
              <w:rPr>
                <w:rFonts w:eastAsia="Times New Roman"/>
              </w:rPr>
            </w:pPr>
            <w:r>
              <w:rPr>
                <w:rFonts w:eastAsia="Times New Roman"/>
                <w:color w:val="000000"/>
                <w:sz w:val="20"/>
                <w:szCs w:val="20"/>
              </w:rPr>
              <w:t>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5ACDAB"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90CB2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F3DB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7F4A1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9CEBD" w14:textId="77777777" w:rsidR="00000000" w:rsidRDefault="001A570A">
            <w:pPr>
              <w:rPr>
                <w:rFonts w:eastAsia="Times New Roman"/>
                <w:sz w:val="20"/>
                <w:szCs w:val="20"/>
              </w:rPr>
            </w:pPr>
          </w:p>
        </w:tc>
      </w:tr>
      <w:tr w:rsidR="00000000" w14:paraId="5FA9D450" w14:textId="77777777">
        <w:trPr>
          <w:divId w:val="1842577320"/>
        </w:trPr>
        <w:tc>
          <w:tcPr>
            <w:tcW w:w="0" w:type="auto"/>
            <w:gridSpan w:val="3"/>
            <w:shd w:val="clear" w:color="auto" w:fill="FFFFFF"/>
            <w:tcMar>
              <w:top w:w="30" w:type="dxa"/>
              <w:left w:w="155" w:type="dxa"/>
              <w:bottom w:w="30" w:type="dxa"/>
              <w:right w:w="20" w:type="dxa"/>
            </w:tcMar>
            <w:hideMark/>
          </w:tcPr>
          <w:p w14:paraId="7A10C36C" w14:textId="77777777" w:rsidR="00000000" w:rsidRDefault="001A570A">
            <w:pPr>
              <w:rPr>
                <w:rFonts w:eastAsia="Times New Roman"/>
              </w:rPr>
            </w:pPr>
            <w:r>
              <w:rPr>
                <w:rFonts w:eastAsia="Times New Roman"/>
                <w:color w:val="000000"/>
                <w:sz w:val="20"/>
                <w:szCs w:val="20"/>
              </w:rPr>
              <w:t>Rate of future compensation increase</w:t>
            </w:r>
          </w:p>
        </w:tc>
        <w:tc>
          <w:tcPr>
            <w:tcW w:w="0" w:type="auto"/>
            <w:gridSpan w:val="2"/>
            <w:shd w:val="clear" w:color="auto" w:fill="FFFFFF"/>
            <w:tcMar>
              <w:top w:w="30" w:type="dxa"/>
              <w:left w:w="20" w:type="dxa"/>
              <w:bottom w:w="30" w:type="dxa"/>
              <w:right w:w="0" w:type="dxa"/>
            </w:tcMar>
            <w:vAlign w:val="bottom"/>
            <w:hideMark/>
          </w:tcPr>
          <w:p w14:paraId="70261040" w14:textId="77777777" w:rsidR="00000000" w:rsidRDefault="001A570A">
            <w:pPr>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7F4A579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20E3A4D"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DF9A13" w14:textId="77777777" w:rsidR="00000000" w:rsidRDefault="001A570A">
            <w:pPr>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14:paraId="5B26BFA4"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92D04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CAAC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415C1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774549" w14:textId="77777777" w:rsidR="00000000" w:rsidRDefault="001A570A">
            <w:pPr>
              <w:rPr>
                <w:rFonts w:eastAsia="Times New Roman"/>
                <w:sz w:val="20"/>
                <w:szCs w:val="20"/>
              </w:rPr>
            </w:pPr>
          </w:p>
        </w:tc>
      </w:tr>
      <w:tr w:rsidR="00000000" w14:paraId="537CA9B7" w14:textId="77777777">
        <w:trPr>
          <w:divId w:val="1842577320"/>
        </w:trPr>
        <w:tc>
          <w:tcPr>
            <w:tcW w:w="0" w:type="auto"/>
            <w:gridSpan w:val="3"/>
            <w:shd w:val="clear" w:color="auto" w:fill="CCEEFF"/>
            <w:tcMar>
              <w:top w:w="30" w:type="dxa"/>
              <w:left w:w="140" w:type="dxa"/>
              <w:bottom w:w="30" w:type="dxa"/>
              <w:right w:w="20" w:type="dxa"/>
            </w:tcMar>
            <w:hideMark/>
          </w:tcPr>
          <w:p w14:paraId="1142F641" w14:textId="77777777" w:rsidR="00000000" w:rsidRDefault="001A570A">
            <w:pPr>
              <w:rPr>
                <w:rFonts w:eastAsia="Times New Roman"/>
              </w:rPr>
            </w:pPr>
            <w:r>
              <w:rPr>
                <w:rFonts w:eastAsia="Times New Roman"/>
                <w:color w:val="000000"/>
                <w:sz w:val="20"/>
                <w:szCs w:val="20"/>
              </w:rPr>
              <w:t>Cash balance interest crediting rate</w:t>
            </w:r>
          </w:p>
        </w:tc>
        <w:tc>
          <w:tcPr>
            <w:tcW w:w="0" w:type="auto"/>
            <w:gridSpan w:val="2"/>
            <w:shd w:val="clear" w:color="auto" w:fill="CCEEFF"/>
            <w:tcMar>
              <w:top w:w="30" w:type="dxa"/>
              <w:left w:w="20" w:type="dxa"/>
              <w:bottom w:w="30" w:type="dxa"/>
              <w:right w:w="0" w:type="dxa"/>
            </w:tcMar>
            <w:vAlign w:val="bottom"/>
            <w:hideMark/>
          </w:tcPr>
          <w:p w14:paraId="50EDD263"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4EACF15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B3541F"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AF07FA"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1AD1A5B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7CF112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2F84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BFBF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4EC8DD" w14:textId="77777777" w:rsidR="00000000" w:rsidRDefault="001A570A">
            <w:pPr>
              <w:rPr>
                <w:rFonts w:eastAsia="Times New Roman"/>
                <w:sz w:val="20"/>
                <w:szCs w:val="20"/>
              </w:rPr>
            </w:pPr>
          </w:p>
        </w:tc>
      </w:tr>
      <w:tr w:rsidR="00000000" w14:paraId="3890E3D1" w14:textId="77777777">
        <w:trPr>
          <w:divId w:val="1842577320"/>
          <w:trHeight w:val="280"/>
        </w:trPr>
        <w:tc>
          <w:tcPr>
            <w:tcW w:w="0" w:type="auto"/>
            <w:gridSpan w:val="3"/>
            <w:shd w:val="clear" w:color="auto" w:fill="FFFFFF"/>
            <w:tcMar>
              <w:top w:w="0" w:type="dxa"/>
              <w:left w:w="20" w:type="dxa"/>
              <w:bottom w:w="0" w:type="dxa"/>
              <w:right w:w="20" w:type="dxa"/>
            </w:tcMar>
            <w:vAlign w:val="center"/>
            <w:hideMark/>
          </w:tcPr>
          <w:p w14:paraId="7087B85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B863F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DF933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0277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78CD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341A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F9FE2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9711C1" w14:textId="77777777" w:rsidR="00000000" w:rsidRDefault="001A570A">
            <w:pPr>
              <w:rPr>
                <w:rFonts w:eastAsia="Times New Roman"/>
                <w:sz w:val="20"/>
                <w:szCs w:val="20"/>
              </w:rPr>
            </w:pPr>
          </w:p>
        </w:tc>
      </w:tr>
      <w:tr w:rsidR="00000000" w14:paraId="0D3294C8" w14:textId="77777777">
        <w:trPr>
          <w:divId w:val="1842577320"/>
        </w:trPr>
        <w:tc>
          <w:tcPr>
            <w:tcW w:w="0" w:type="auto"/>
            <w:gridSpan w:val="3"/>
            <w:shd w:val="clear" w:color="auto" w:fill="CCEEFF"/>
            <w:tcMar>
              <w:top w:w="30" w:type="dxa"/>
              <w:left w:w="20" w:type="dxa"/>
              <w:bottom w:w="30" w:type="dxa"/>
              <w:right w:w="20" w:type="dxa"/>
            </w:tcMar>
            <w:hideMark/>
          </w:tcPr>
          <w:p w14:paraId="2980A670" w14:textId="77777777" w:rsidR="00000000" w:rsidRDefault="001A570A">
            <w:pPr>
              <w:rPr>
                <w:rFonts w:eastAsia="Times New Roman"/>
              </w:rPr>
            </w:pPr>
            <w:r>
              <w:rPr>
                <w:rFonts w:eastAsia="Times New Roman"/>
                <w:color w:val="000000"/>
                <w:sz w:val="20"/>
                <w:szCs w:val="20"/>
              </w:rPr>
              <w:t>Cost assumptions for fiscal periods ended:</w:t>
            </w:r>
          </w:p>
        </w:tc>
        <w:tc>
          <w:tcPr>
            <w:tcW w:w="0" w:type="auto"/>
            <w:gridSpan w:val="3"/>
            <w:shd w:val="clear" w:color="auto" w:fill="CCEEFF"/>
            <w:tcMar>
              <w:top w:w="30" w:type="dxa"/>
              <w:left w:w="20" w:type="dxa"/>
              <w:bottom w:w="30" w:type="dxa"/>
              <w:right w:w="20" w:type="dxa"/>
            </w:tcMar>
            <w:vAlign w:val="bottom"/>
            <w:hideMark/>
          </w:tcPr>
          <w:p w14:paraId="477DE48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shd w:val="clear" w:color="auto" w:fill="CCEEFF"/>
            <w:tcMar>
              <w:top w:w="0" w:type="dxa"/>
              <w:left w:w="20" w:type="dxa"/>
              <w:bottom w:w="0" w:type="dxa"/>
              <w:right w:w="20" w:type="dxa"/>
            </w:tcMar>
            <w:vAlign w:val="center"/>
            <w:hideMark/>
          </w:tcPr>
          <w:p w14:paraId="43B55168"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00E35E"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shd w:val="clear" w:color="auto" w:fill="CCEEFF"/>
            <w:tcMar>
              <w:top w:w="0" w:type="dxa"/>
              <w:left w:w="20" w:type="dxa"/>
              <w:bottom w:w="0" w:type="dxa"/>
              <w:right w:w="20" w:type="dxa"/>
            </w:tcMar>
            <w:vAlign w:val="center"/>
            <w:hideMark/>
          </w:tcPr>
          <w:p w14:paraId="231F45CC"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1C562E1"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shd w:val="clear" w:color="auto" w:fill="CCEEFF"/>
            <w:tcMar>
              <w:top w:w="0" w:type="dxa"/>
              <w:left w:w="20" w:type="dxa"/>
              <w:bottom w:w="0" w:type="dxa"/>
              <w:right w:w="20" w:type="dxa"/>
            </w:tcMar>
            <w:vAlign w:val="center"/>
            <w:hideMark/>
          </w:tcPr>
          <w:p w14:paraId="0C6EF4F5" w14:textId="77777777" w:rsidR="00000000" w:rsidRDefault="001A570A">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7B81CB9" w14:textId="77777777" w:rsidR="00000000" w:rsidRDefault="001A570A">
            <w:pPr>
              <w:jc w:val="center"/>
              <w:rPr>
                <w:rFonts w:eastAsia="Times New Roman"/>
              </w:rPr>
            </w:pPr>
            <w:r>
              <w:rPr>
                <w:rFonts w:eastAsia="Times New Roman"/>
                <w:b/>
                <w:bCs/>
                <w:color w:val="000000"/>
                <w:sz w:val="16"/>
                <w:szCs w:val="16"/>
              </w:rPr>
              <w:t>June 29, 2018</w:t>
            </w:r>
          </w:p>
        </w:tc>
      </w:tr>
      <w:tr w:rsidR="00000000" w14:paraId="71A7E47A" w14:textId="77777777">
        <w:trPr>
          <w:divId w:val="1842577320"/>
        </w:trPr>
        <w:tc>
          <w:tcPr>
            <w:tcW w:w="0" w:type="auto"/>
            <w:gridSpan w:val="3"/>
            <w:shd w:val="clear" w:color="auto" w:fill="FFFFFF"/>
            <w:tcMar>
              <w:top w:w="30" w:type="dxa"/>
              <w:left w:w="155" w:type="dxa"/>
              <w:bottom w:w="30" w:type="dxa"/>
              <w:right w:w="20" w:type="dxa"/>
            </w:tcMar>
            <w:hideMark/>
          </w:tcPr>
          <w:p w14:paraId="68826DFF" w14:textId="77777777" w:rsidR="00000000" w:rsidRDefault="001A570A">
            <w:pPr>
              <w:rPr>
                <w:rFonts w:eastAsia="Times New Roman"/>
              </w:rPr>
            </w:pPr>
            <w:r>
              <w:rPr>
                <w:rFonts w:eastAsia="Times New Roman"/>
                <w:color w:val="000000"/>
                <w:sz w:val="20"/>
                <w:szCs w:val="20"/>
              </w:rPr>
              <w:t xml:space="preserve">Discount rate to determine service cost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C2ADB5" w14:textId="77777777" w:rsidR="00000000" w:rsidRDefault="001A570A">
            <w:pPr>
              <w:jc w:val="right"/>
              <w:rPr>
                <w:rFonts w:eastAsia="Times New Roman"/>
              </w:rPr>
            </w:pPr>
            <w:r>
              <w:rPr>
                <w:rFonts w:eastAsia="Times New Roman"/>
                <w:color w:val="000000"/>
                <w:sz w:val="20"/>
                <w:szCs w:val="20"/>
              </w:rPr>
              <w:t>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8EE7A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E599E8D" w14:textId="77777777" w:rsidR="00000000" w:rsidRDefault="001A570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24597F" w14:textId="77777777" w:rsidR="00000000" w:rsidRDefault="001A570A">
            <w:pPr>
              <w:jc w:val="right"/>
              <w:rPr>
                <w:rFonts w:eastAsia="Times New Roman"/>
              </w:rPr>
            </w:pPr>
            <w:r>
              <w:rPr>
                <w:rFonts w:eastAsia="Times New Roman"/>
                <w:color w:val="000000"/>
                <w:sz w:val="20"/>
                <w:szCs w:val="20"/>
              </w:rPr>
              <w:t>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8A218B"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E35CB7A" w14:textId="77777777" w:rsidR="00000000" w:rsidRDefault="001A570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CBFC6E" w14:textId="77777777" w:rsidR="00000000" w:rsidRDefault="001A570A">
            <w:pPr>
              <w:jc w:val="right"/>
              <w:rPr>
                <w:rFonts w:eastAsia="Times New Roman"/>
              </w:rPr>
            </w:pPr>
            <w:r>
              <w:rPr>
                <w:rFonts w:eastAsia="Times New Roman"/>
                <w:color w:val="000000"/>
                <w:sz w:val="20"/>
                <w:szCs w:val="20"/>
              </w:rPr>
              <w:t>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A0049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DC0B37" w14:textId="77777777" w:rsidR="00000000" w:rsidRDefault="001A570A">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A6FCF7" w14:textId="77777777" w:rsidR="00000000" w:rsidRDefault="001A570A">
            <w:pPr>
              <w:jc w:val="right"/>
              <w:rPr>
                <w:rFonts w:eastAsia="Times New Roman"/>
              </w:rPr>
            </w:pPr>
            <w:r>
              <w:rPr>
                <w:rFonts w:eastAsia="Times New Roman"/>
                <w:color w:val="000000"/>
                <w:sz w:val="20"/>
                <w:szCs w:val="20"/>
              </w:rPr>
              <w:t>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439495" w14:textId="77777777" w:rsidR="00000000" w:rsidRDefault="001A570A">
            <w:pPr>
              <w:jc w:val="right"/>
              <w:rPr>
                <w:rFonts w:eastAsia="Times New Roman"/>
              </w:rPr>
            </w:pPr>
            <w:r>
              <w:rPr>
                <w:rFonts w:eastAsia="Times New Roman"/>
                <w:color w:val="000000"/>
                <w:sz w:val="20"/>
                <w:szCs w:val="20"/>
              </w:rPr>
              <w:t>%</w:t>
            </w:r>
          </w:p>
        </w:tc>
      </w:tr>
      <w:tr w:rsidR="00000000" w14:paraId="4E804B3F" w14:textId="77777777">
        <w:trPr>
          <w:divId w:val="1842577320"/>
        </w:trPr>
        <w:tc>
          <w:tcPr>
            <w:tcW w:w="0" w:type="auto"/>
            <w:gridSpan w:val="3"/>
            <w:shd w:val="clear" w:color="auto" w:fill="CCEEFF"/>
            <w:tcMar>
              <w:top w:w="30" w:type="dxa"/>
              <w:left w:w="155" w:type="dxa"/>
              <w:bottom w:w="30" w:type="dxa"/>
              <w:right w:w="20" w:type="dxa"/>
            </w:tcMar>
            <w:hideMark/>
          </w:tcPr>
          <w:p w14:paraId="50F5200B" w14:textId="77777777" w:rsidR="00000000" w:rsidRDefault="001A570A">
            <w:pPr>
              <w:rPr>
                <w:rFonts w:eastAsia="Times New Roman"/>
              </w:rPr>
            </w:pPr>
            <w:r>
              <w:rPr>
                <w:rFonts w:eastAsia="Times New Roman"/>
                <w:color w:val="000000"/>
                <w:sz w:val="20"/>
                <w:szCs w:val="20"/>
              </w:rPr>
              <w:t>Discount rate to determine interest cost</w:t>
            </w:r>
          </w:p>
        </w:tc>
        <w:tc>
          <w:tcPr>
            <w:tcW w:w="0" w:type="auto"/>
            <w:gridSpan w:val="2"/>
            <w:shd w:val="clear" w:color="auto" w:fill="CCEEFF"/>
            <w:tcMar>
              <w:top w:w="30" w:type="dxa"/>
              <w:left w:w="20" w:type="dxa"/>
              <w:bottom w:w="30" w:type="dxa"/>
              <w:right w:w="0" w:type="dxa"/>
            </w:tcMar>
            <w:vAlign w:val="bottom"/>
            <w:hideMark/>
          </w:tcPr>
          <w:p w14:paraId="66DB2C6C" w14:textId="77777777" w:rsidR="00000000" w:rsidRDefault="001A570A">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14:paraId="014410B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410788"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CAACD8" w14:textId="77777777" w:rsidR="00000000" w:rsidRDefault="001A570A">
            <w:pPr>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14:paraId="1255C7E8"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FE2BAA9"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1FEC1E" w14:textId="77777777" w:rsidR="00000000" w:rsidRDefault="001A570A">
            <w:pPr>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14:paraId="3BB2052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7C833C"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C35503" w14:textId="77777777" w:rsidR="00000000" w:rsidRDefault="001A570A">
            <w:pPr>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14:paraId="66A1211D" w14:textId="77777777" w:rsidR="00000000" w:rsidRDefault="001A570A">
            <w:pPr>
              <w:jc w:val="right"/>
              <w:rPr>
                <w:rFonts w:eastAsia="Times New Roman"/>
              </w:rPr>
            </w:pPr>
            <w:r>
              <w:rPr>
                <w:rFonts w:eastAsia="Times New Roman"/>
                <w:color w:val="000000"/>
                <w:sz w:val="20"/>
                <w:szCs w:val="20"/>
              </w:rPr>
              <w:t>%</w:t>
            </w:r>
          </w:p>
        </w:tc>
      </w:tr>
      <w:tr w:rsidR="00000000" w14:paraId="4C02AA03" w14:textId="77777777">
        <w:trPr>
          <w:divId w:val="1842577320"/>
        </w:trPr>
        <w:tc>
          <w:tcPr>
            <w:tcW w:w="0" w:type="auto"/>
            <w:gridSpan w:val="3"/>
            <w:shd w:val="clear" w:color="auto" w:fill="FFFFFF"/>
            <w:tcMar>
              <w:top w:w="30" w:type="dxa"/>
              <w:left w:w="155" w:type="dxa"/>
              <w:bottom w:w="30" w:type="dxa"/>
              <w:right w:w="20" w:type="dxa"/>
            </w:tcMar>
            <w:hideMark/>
          </w:tcPr>
          <w:p w14:paraId="2AD39770" w14:textId="77777777" w:rsidR="00000000" w:rsidRDefault="001A570A">
            <w:pPr>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14:paraId="12657E94" w14:textId="77777777" w:rsidR="00000000" w:rsidRDefault="001A570A">
            <w:pPr>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14:paraId="5AB5B3E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7C39158"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AB8A13" w14:textId="77777777" w:rsidR="00000000" w:rsidRDefault="001A570A">
            <w:pPr>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14:paraId="73DCE21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BD9F7BF"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025C89" w14:textId="77777777" w:rsidR="00000000" w:rsidRDefault="001A570A">
            <w:pPr>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14:paraId="19A4E13E"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561C989"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7D6794" w14:textId="77777777" w:rsidR="00000000" w:rsidRDefault="001A570A">
            <w:pPr>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14:paraId="2CFB9EAA" w14:textId="77777777" w:rsidR="00000000" w:rsidRDefault="001A570A">
            <w:pPr>
              <w:jc w:val="right"/>
              <w:rPr>
                <w:rFonts w:eastAsia="Times New Roman"/>
              </w:rPr>
            </w:pPr>
            <w:r>
              <w:rPr>
                <w:rFonts w:eastAsia="Times New Roman"/>
                <w:color w:val="000000"/>
                <w:sz w:val="20"/>
                <w:szCs w:val="20"/>
              </w:rPr>
              <w:t>%</w:t>
            </w:r>
          </w:p>
        </w:tc>
      </w:tr>
      <w:tr w:rsidR="00000000" w14:paraId="7100B293" w14:textId="77777777">
        <w:trPr>
          <w:divId w:val="1842577320"/>
        </w:trPr>
        <w:tc>
          <w:tcPr>
            <w:tcW w:w="0" w:type="auto"/>
            <w:gridSpan w:val="3"/>
            <w:shd w:val="clear" w:color="auto" w:fill="CCEEFF"/>
            <w:tcMar>
              <w:top w:w="30" w:type="dxa"/>
              <w:left w:w="155" w:type="dxa"/>
              <w:bottom w:w="30" w:type="dxa"/>
              <w:right w:w="20" w:type="dxa"/>
            </w:tcMar>
            <w:hideMark/>
          </w:tcPr>
          <w:p w14:paraId="1D410F28" w14:textId="77777777" w:rsidR="00000000" w:rsidRDefault="001A570A">
            <w:pPr>
              <w:rPr>
                <w:rFonts w:eastAsia="Times New Roman"/>
              </w:rPr>
            </w:pPr>
            <w:r>
              <w:rPr>
                <w:rFonts w:eastAsia="Times New Roman"/>
                <w:color w:val="000000"/>
                <w:sz w:val="20"/>
                <w:szCs w:val="20"/>
              </w:rPr>
              <w:t>Rate of future compensation increase</w:t>
            </w:r>
          </w:p>
        </w:tc>
        <w:tc>
          <w:tcPr>
            <w:tcW w:w="0" w:type="auto"/>
            <w:gridSpan w:val="2"/>
            <w:shd w:val="clear" w:color="auto" w:fill="CCEEFF"/>
            <w:tcMar>
              <w:top w:w="30" w:type="dxa"/>
              <w:left w:w="20" w:type="dxa"/>
              <w:bottom w:w="30" w:type="dxa"/>
              <w:right w:w="0" w:type="dxa"/>
            </w:tcMar>
            <w:vAlign w:val="bottom"/>
            <w:hideMark/>
          </w:tcPr>
          <w:p w14:paraId="63EF31BE" w14:textId="77777777" w:rsidR="00000000" w:rsidRDefault="001A570A">
            <w:pPr>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14:paraId="6A543969"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2B66DC"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15C71B" w14:textId="77777777" w:rsidR="00000000" w:rsidRDefault="001A570A">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14:paraId="2684581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E331DF4"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10DFB3" w14:textId="77777777" w:rsidR="00000000" w:rsidRDefault="001A570A">
            <w:pPr>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14:paraId="0462A98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0D5450"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685F7A" w14:textId="77777777" w:rsidR="00000000" w:rsidRDefault="001A570A">
            <w:pPr>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14:paraId="492379B3" w14:textId="77777777" w:rsidR="00000000" w:rsidRDefault="001A570A">
            <w:pPr>
              <w:jc w:val="right"/>
              <w:rPr>
                <w:rFonts w:eastAsia="Times New Roman"/>
              </w:rPr>
            </w:pPr>
            <w:r>
              <w:rPr>
                <w:rFonts w:eastAsia="Times New Roman"/>
                <w:color w:val="000000"/>
                <w:sz w:val="20"/>
                <w:szCs w:val="20"/>
              </w:rPr>
              <w:t>%</w:t>
            </w:r>
          </w:p>
        </w:tc>
      </w:tr>
      <w:tr w:rsidR="00000000" w14:paraId="6EC825CC" w14:textId="77777777">
        <w:trPr>
          <w:divId w:val="1842577320"/>
        </w:trPr>
        <w:tc>
          <w:tcPr>
            <w:tcW w:w="0" w:type="auto"/>
            <w:gridSpan w:val="3"/>
            <w:shd w:val="clear" w:color="auto" w:fill="FFFFFF"/>
            <w:tcMar>
              <w:top w:w="30" w:type="dxa"/>
              <w:left w:w="155" w:type="dxa"/>
              <w:bottom w:w="30" w:type="dxa"/>
              <w:right w:w="20" w:type="dxa"/>
            </w:tcMar>
            <w:hideMark/>
          </w:tcPr>
          <w:p w14:paraId="42CF967B" w14:textId="77777777" w:rsidR="00000000" w:rsidRDefault="001A570A">
            <w:pPr>
              <w:rPr>
                <w:rFonts w:eastAsia="Times New Roman"/>
              </w:rPr>
            </w:pPr>
            <w:r>
              <w:rPr>
                <w:rFonts w:eastAsia="Times New Roman"/>
                <w:color w:val="000000"/>
                <w:sz w:val="20"/>
                <w:szCs w:val="20"/>
              </w:rPr>
              <w:t>Cash balance interest crediting rate</w:t>
            </w:r>
          </w:p>
        </w:tc>
        <w:tc>
          <w:tcPr>
            <w:tcW w:w="0" w:type="auto"/>
            <w:gridSpan w:val="2"/>
            <w:shd w:val="clear" w:color="auto" w:fill="FFFFFF"/>
            <w:tcMar>
              <w:top w:w="30" w:type="dxa"/>
              <w:left w:w="20" w:type="dxa"/>
              <w:bottom w:w="30" w:type="dxa"/>
              <w:right w:w="0" w:type="dxa"/>
            </w:tcMar>
            <w:vAlign w:val="bottom"/>
            <w:hideMark/>
          </w:tcPr>
          <w:p w14:paraId="30CCC7DF"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3B1C920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21ACC1E"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156FDD"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767170BC"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FEDB5F"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32CE1C"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0C19F918"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B75B6EE"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F79E8E"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14:paraId="2F8A7C1D" w14:textId="77777777" w:rsidR="00000000" w:rsidRDefault="001A570A">
            <w:pPr>
              <w:jc w:val="right"/>
              <w:rPr>
                <w:rFonts w:eastAsia="Times New Roman"/>
              </w:rPr>
            </w:pPr>
            <w:r>
              <w:rPr>
                <w:rFonts w:eastAsia="Times New Roman"/>
                <w:color w:val="000000"/>
                <w:sz w:val="20"/>
                <w:szCs w:val="20"/>
              </w:rPr>
              <w:t>%</w:t>
            </w:r>
          </w:p>
        </w:tc>
      </w:tr>
    </w:tbl>
    <w:p w14:paraId="0F5EE4F8" w14:textId="77777777" w:rsidR="00000000" w:rsidRDefault="001A570A">
      <w:pPr>
        <w:ind w:firstLine="450"/>
        <w:divId w:val="2244198"/>
        <w:rPr>
          <w:rFonts w:eastAsia="Times New Roman"/>
        </w:rPr>
      </w:pPr>
      <w:r>
        <w:rPr>
          <w:rFonts w:eastAsia="Times New Roman"/>
          <w:color w:val="000000"/>
          <w:sz w:val="20"/>
          <w:szCs w:val="20"/>
        </w:rPr>
        <w:t>Key assumptions for the SPP (our largest defined benefit pension plan with 85</w:t>
      </w:r>
      <w:r>
        <w:rPr>
          <w:rFonts w:eastAsia="Times New Roman"/>
          <w:color w:val="000000"/>
          <w:sz w:val="20"/>
          <w:szCs w:val="20"/>
        </w:rPr>
        <w:t>% of the total projected benefit obligation) included a discount rate for obligation assumptions of 2.32%, a cash balance interest crediting rate of 3.50% and expected return on plan assets of 7.75% for fiscal 2020, which is being reduced to 7.50% for fisc</w:t>
      </w:r>
      <w:r>
        <w:rPr>
          <w:rFonts w:eastAsia="Times New Roman"/>
          <w:color w:val="000000"/>
          <w:sz w:val="20"/>
          <w:szCs w:val="20"/>
        </w:rPr>
        <w:t>al 2021. There is also a frozen pension equity benefit that assumes a 3.25% interest crediting rate.</w:t>
      </w:r>
    </w:p>
    <w:p w14:paraId="4682BA43" w14:textId="77777777" w:rsidR="00000000" w:rsidRDefault="001A570A">
      <w:pPr>
        <w:ind w:firstLine="450"/>
        <w:divId w:val="1927883459"/>
        <w:rPr>
          <w:rFonts w:eastAsia="Times New Roman"/>
        </w:rPr>
      </w:pPr>
      <w:r>
        <w:rPr>
          <w:rFonts w:eastAsia="Times New Roman"/>
          <w:color w:val="000000"/>
          <w:sz w:val="20"/>
          <w:szCs w:val="20"/>
        </w:rPr>
        <w:t>The following table provides the weighted-average assumptions used to determine projected benefit obligations and net periodic benefit cost, as they pertai</w:t>
      </w:r>
      <w:r>
        <w:rPr>
          <w:rFonts w:eastAsia="Times New Roman"/>
          <w:color w:val="000000"/>
          <w:sz w:val="20"/>
          <w:szCs w:val="20"/>
        </w:rPr>
        <w:t>n to our other postretirement defined benefit plans:</w:t>
      </w:r>
    </w:p>
    <w:p w14:paraId="203070B6" w14:textId="77777777" w:rsidR="00000000" w:rsidRDefault="001A570A">
      <w:pPr>
        <w:ind w:firstLine="450"/>
        <w:jc w:val="center"/>
        <w:divId w:val="523716826"/>
        <w:rPr>
          <w:rFonts w:eastAsia="Times New Roman"/>
        </w:rPr>
      </w:pPr>
      <w:r>
        <w:rPr>
          <w:rFonts w:eastAsia="Times New Roman"/>
          <w:color w:val="000000"/>
          <w:sz w:val="20"/>
          <w:szCs w:val="20"/>
        </w:rPr>
        <w:t>109</w:t>
      </w:r>
    </w:p>
    <w:p w14:paraId="7D60BDD2" w14:textId="77777777" w:rsidR="00000000" w:rsidRDefault="001A570A">
      <w:pPr>
        <w:rPr>
          <w:rFonts w:eastAsia="Times New Roman"/>
        </w:rPr>
      </w:pPr>
      <w:r>
        <w:rPr>
          <w:rFonts w:eastAsia="Times New Roman"/>
        </w:rPr>
        <w:pict w14:anchorId="14AA084A">
          <v:rect id="_x0000_i1137" style="width:0;height:1.5pt" o:hralign="center" o:hrstd="t" o:hr="t" fillcolor="#a0a0a0" stroked="f"/>
        </w:pict>
      </w:r>
    </w:p>
    <w:p w14:paraId="035F1AFA" w14:textId="77777777" w:rsidR="00000000" w:rsidRDefault="001A570A">
      <w:pPr>
        <w:ind w:firstLine="450"/>
        <w:divId w:val="239101382"/>
        <w:rPr>
          <w:rFonts w:eastAsia="Times New Roman"/>
        </w:rPr>
      </w:pPr>
    </w:p>
    <w:tbl>
      <w:tblPr>
        <w:tblW w:w="4920" w:type="pct"/>
        <w:tblCellMar>
          <w:top w:w="15" w:type="dxa"/>
          <w:left w:w="15" w:type="dxa"/>
          <w:bottom w:w="15" w:type="dxa"/>
          <w:right w:w="15" w:type="dxa"/>
        </w:tblCellMar>
        <w:tblLook w:val="04A0" w:firstRow="1" w:lastRow="0" w:firstColumn="1" w:lastColumn="0" w:noHBand="0" w:noVBand="1"/>
      </w:tblPr>
      <w:tblGrid>
        <w:gridCol w:w="38"/>
        <w:gridCol w:w="3441"/>
        <w:gridCol w:w="37"/>
        <w:gridCol w:w="47"/>
        <w:gridCol w:w="866"/>
        <w:gridCol w:w="187"/>
        <w:gridCol w:w="36"/>
        <w:gridCol w:w="36"/>
        <w:gridCol w:w="36"/>
        <w:gridCol w:w="46"/>
        <w:gridCol w:w="852"/>
        <w:gridCol w:w="187"/>
        <w:gridCol w:w="36"/>
        <w:gridCol w:w="36"/>
        <w:gridCol w:w="36"/>
        <w:gridCol w:w="38"/>
        <w:gridCol w:w="860"/>
        <w:gridCol w:w="187"/>
        <w:gridCol w:w="36"/>
        <w:gridCol w:w="36"/>
        <w:gridCol w:w="36"/>
        <w:gridCol w:w="38"/>
        <w:gridCol w:w="838"/>
        <w:gridCol w:w="187"/>
      </w:tblGrid>
      <w:tr w:rsidR="00000000" w14:paraId="7428A4D4" w14:textId="77777777">
        <w:trPr>
          <w:divId w:val="1249997412"/>
        </w:trPr>
        <w:tc>
          <w:tcPr>
            <w:tcW w:w="50" w:type="pct"/>
            <w:vAlign w:val="center"/>
            <w:hideMark/>
          </w:tcPr>
          <w:p w14:paraId="729A9BB2" w14:textId="77777777" w:rsidR="00000000" w:rsidRDefault="001A570A">
            <w:pPr>
              <w:ind w:firstLine="450"/>
              <w:rPr>
                <w:rFonts w:eastAsia="Times New Roman"/>
              </w:rPr>
            </w:pPr>
          </w:p>
        </w:tc>
        <w:tc>
          <w:tcPr>
            <w:tcW w:w="2163" w:type="pct"/>
            <w:vAlign w:val="center"/>
            <w:hideMark/>
          </w:tcPr>
          <w:p w14:paraId="3053E251" w14:textId="77777777" w:rsidR="00000000" w:rsidRDefault="001A570A">
            <w:pPr>
              <w:rPr>
                <w:rFonts w:eastAsia="Times New Roman"/>
                <w:sz w:val="20"/>
                <w:szCs w:val="20"/>
              </w:rPr>
            </w:pPr>
          </w:p>
        </w:tc>
        <w:tc>
          <w:tcPr>
            <w:tcW w:w="5" w:type="pct"/>
            <w:vAlign w:val="center"/>
            <w:hideMark/>
          </w:tcPr>
          <w:p w14:paraId="1D1E1193" w14:textId="77777777" w:rsidR="00000000" w:rsidRDefault="001A570A">
            <w:pPr>
              <w:rPr>
                <w:rFonts w:eastAsia="Times New Roman"/>
                <w:sz w:val="20"/>
                <w:szCs w:val="20"/>
              </w:rPr>
            </w:pPr>
          </w:p>
        </w:tc>
        <w:tc>
          <w:tcPr>
            <w:tcW w:w="50" w:type="pct"/>
            <w:vAlign w:val="center"/>
            <w:hideMark/>
          </w:tcPr>
          <w:p w14:paraId="2594E735" w14:textId="77777777" w:rsidR="00000000" w:rsidRDefault="001A570A">
            <w:pPr>
              <w:rPr>
                <w:rFonts w:eastAsia="Times New Roman"/>
                <w:sz w:val="20"/>
                <w:szCs w:val="20"/>
              </w:rPr>
            </w:pPr>
          </w:p>
        </w:tc>
        <w:tc>
          <w:tcPr>
            <w:tcW w:w="594" w:type="pct"/>
            <w:vAlign w:val="center"/>
            <w:hideMark/>
          </w:tcPr>
          <w:p w14:paraId="5C769593" w14:textId="77777777" w:rsidR="00000000" w:rsidRDefault="001A570A">
            <w:pPr>
              <w:rPr>
                <w:rFonts w:eastAsia="Times New Roman"/>
                <w:sz w:val="20"/>
                <w:szCs w:val="20"/>
              </w:rPr>
            </w:pPr>
          </w:p>
        </w:tc>
        <w:tc>
          <w:tcPr>
            <w:tcW w:w="5" w:type="pct"/>
            <w:vAlign w:val="center"/>
            <w:hideMark/>
          </w:tcPr>
          <w:p w14:paraId="4C550085" w14:textId="77777777" w:rsidR="00000000" w:rsidRDefault="001A570A">
            <w:pPr>
              <w:rPr>
                <w:rFonts w:eastAsia="Times New Roman"/>
                <w:sz w:val="20"/>
                <w:szCs w:val="20"/>
              </w:rPr>
            </w:pPr>
          </w:p>
        </w:tc>
        <w:tc>
          <w:tcPr>
            <w:tcW w:w="5" w:type="pct"/>
            <w:vAlign w:val="center"/>
            <w:hideMark/>
          </w:tcPr>
          <w:p w14:paraId="7401B92B" w14:textId="77777777" w:rsidR="00000000" w:rsidRDefault="001A570A">
            <w:pPr>
              <w:rPr>
                <w:rFonts w:eastAsia="Times New Roman"/>
                <w:sz w:val="20"/>
                <w:szCs w:val="20"/>
              </w:rPr>
            </w:pPr>
          </w:p>
        </w:tc>
        <w:tc>
          <w:tcPr>
            <w:tcW w:w="41" w:type="pct"/>
            <w:vAlign w:val="center"/>
            <w:hideMark/>
          </w:tcPr>
          <w:p w14:paraId="01299213" w14:textId="77777777" w:rsidR="00000000" w:rsidRDefault="001A570A">
            <w:pPr>
              <w:rPr>
                <w:rFonts w:eastAsia="Times New Roman"/>
                <w:sz w:val="20"/>
                <w:szCs w:val="20"/>
              </w:rPr>
            </w:pPr>
          </w:p>
        </w:tc>
        <w:tc>
          <w:tcPr>
            <w:tcW w:w="5" w:type="pct"/>
            <w:vAlign w:val="center"/>
            <w:hideMark/>
          </w:tcPr>
          <w:p w14:paraId="32D5824C" w14:textId="77777777" w:rsidR="00000000" w:rsidRDefault="001A570A">
            <w:pPr>
              <w:rPr>
                <w:rFonts w:eastAsia="Times New Roman"/>
                <w:sz w:val="20"/>
                <w:szCs w:val="20"/>
              </w:rPr>
            </w:pPr>
          </w:p>
        </w:tc>
        <w:tc>
          <w:tcPr>
            <w:tcW w:w="50" w:type="pct"/>
            <w:vAlign w:val="center"/>
            <w:hideMark/>
          </w:tcPr>
          <w:p w14:paraId="43F47B92" w14:textId="77777777" w:rsidR="00000000" w:rsidRDefault="001A570A">
            <w:pPr>
              <w:rPr>
                <w:rFonts w:eastAsia="Times New Roman"/>
                <w:sz w:val="20"/>
                <w:szCs w:val="20"/>
              </w:rPr>
            </w:pPr>
          </w:p>
        </w:tc>
        <w:tc>
          <w:tcPr>
            <w:tcW w:w="609" w:type="pct"/>
            <w:vAlign w:val="center"/>
            <w:hideMark/>
          </w:tcPr>
          <w:p w14:paraId="15356CD7" w14:textId="77777777" w:rsidR="00000000" w:rsidRDefault="001A570A">
            <w:pPr>
              <w:rPr>
                <w:rFonts w:eastAsia="Times New Roman"/>
                <w:sz w:val="20"/>
                <w:szCs w:val="20"/>
              </w:rPr>
            </w:pPr>
          </w:p>
        </w:tc>
        <w:tc>
          <w:tcPr>
            <w:tcW w:w="5" w:type="pct"/>
            <w:vAlign w:val="center"/>
            <w:hideMark/>
          </w:tcPr>
          <w:p w14:paraId="3D9D3957" w14:textId="77777777" w:rsidR="00000000" w:rsidRDefault="001A570A">
            <w:pPr>
              <w:rPr>
                <w:rFonts w:eastAsia="Times New Roman"/>
                <w:sz w:val="20"/>
                <w:szCs w:val="20"/>
              </w:rPr>
            </w:pPr>
          </w:p>
        </w:tc>
        <w:tc>
          <w:tcPr>
            <w:tcW w:w="5" w:type="pct"/>
            <w:vAlign w:val="center"/>
            <w:hideMark/>
          </w:tcPr>
          <w:p w14:paraId="53AD9226" w14:textId="77777777" w:rsidR="00000000" w:rsidRDefault="001A570A">
            <w:pPr>
              <w:rPr>
                <w:rFonts w:eastAsia="Times New Roman"/>
                <w:sz w:val="20"/>
                <w:szCs w:val="20"/>
              </w:rPr>
            </w:pPr>
          </w:p>
        </w:tc>
        <w:tc>
          <w:tcPr>
            <w:tcW w:w="41" w:type="pct"/>
            <w:vAlign w:val="center"/>
            <w:hideMark/>
          </w:tcPr>
          <w:p w14:paraId="44CCA9F3" w14:textId="77777777" w:rsidR="00000000" w:rsidRDefault="001A570A">
            <w:pPr>
              <w:rPr>
                <w:rFonts w:eastAsia="Times New Roman"/>
                <w:sz w:val="20"/>
                <w:szCs w:val="20"/>
              </w:rPr>
            </w:pPr>
          </w:p>
        </w:tc>
        <w:tc>
          <w:tcPr>
            <w:tcW w:w="5" w:type="pct"/>
            <w:vAlign w:val="center"/>
            <w:hideMark/>
          </w:tcPr>
          <w:p w14:paraId="7AA0A990" w14:textId="77777777" w:rsidR="00000000" w:rsidRDefault="001A570A">
            <w:pPr>
              <w:rPr>
                <w:rFonts w:eastAsia="Times New Roman"/>
                <w:sz w:val="20"/>
                <w:szCs w:val="20"/>
              </w:rPr>
            </w:pPr>
          </w:p>
        </w:tc>
        <w:tc>
          <w:tcPr>
            <w:tcW w:w="50" w:type="pct"/>
            <w:vAlign w:val="center"/>
            <w:hideMark/>
          </w:tcPr>
          <w:p w14:paraId="0095F4CC" w14:textId="77777777" w:rsidR="00000000" w:rsidRDefault="001A570A">
            <w:pPr>
              <w:rPr>
                <w:rFonts w:eastAsia="Times New Roman"/>
                <w:sz w:val="20"/>
                <w:szCs w:val="20"/>
              </w:rPr>
            </w:pPr>
          </w:p>
        </w:tc>
        <w:tc>
          <w:tcPr>
            <w:tcW w:w="609" w:type="pct"/>
            <w:vAlign w:val="center"/>
            <w:hideMark/>
          </w:tcPr>
          <w:p w14:paraId="13DCF6C7" w14:textId="77777777" w:rsidR="00000000" w:rsidRDefault="001A570A">
            <w:pPr>
              <w:rPr>
                <w:rFonts w:eastAsia="Times New Roman"/>
                <w:sz w:val="20"/>
                <w:szCs w:val="20"/>
              </w:rPr>
            </w:pPr>
          </w:p>
        </w:tc>
        <w:tc>
          <w:tcPr>
            <w:tcW w:w="5" w:type="pct"/>
            <w:vAlign w:val="center"/>
            <w:hideMark/>
          </w:tcPr>
          <w:p w14:paraId="1EF3DA68" w14:textId="77777777" w:rsidR="00000000" w:rsidRDefault="001A570A">
            <w:pPr>
              <w:rPr>
                <w:rFonts w:eastAsia="Times New Roman"/>
                <w:sz w:val="20"/>
                <w:szCs w:val="20"/>
              </w:rPr>
            </w:pPr>
          </w:p>
        </w:tc>
        <w:tc>
          <w:tcPr>
            <w:tcW w:w="5" w:type="pct"/>
            <w:vAlign w:val="center"/>
            <w:hideMark/>
          </w:tcPr>
          <w:p w14:paraId="0C0E89E9" w14:textId="77777777" w:rsidR="00000000" w:rsidRDefault="001A570A">
            <w:pPr>
              <w:rPr>
                <w:rFonts w:eastAsia="Times New Roman"/>
                <w:sz w:val="20"/>
                <w:szCs w:val="20"/>
              </w:rPr>
            </w:pPr>
          </w:p>
        </w:tc>
        <w:tc>
          <w:tcPr>
            <w:tcW w:w="26" w:type="pct"/>
            <w:vAlign w:val="center"/>
            <w:hideMark/>
          </w:tcPr>
          <w:p w14:paraId="24CD5B5E" w14:textId="77777777" w:rsidR="00000000" w:rsidRDefault="001A570A">
            <w:pPr>
              <w:rPr>
                <w:rFonts w:eastAsia="Times New Roman"/>
                <w:sz w:val="20"/>
                <w:szCs w:val="20"/>
              </w:rPr>
            </w:pPr>
          </w:p>
        </w:tc>
        <w:tc>
          <w:tcPr>
            <w:tcW w:w="5" w:type="pct"/>
            <w:vAlign w:val="center"/>
            <w:hideMark/>
          </w:tcPr>
          <w:p w14:paraId="7536EB51" w14:textId="77777777" w:rsidR="00000000" w:rsidRDefault="001A570A">
            <w:pPr>
              <w:rPr>
                <w:rFonts w:eastAsia="Times New Roman"/>
                <w:sz w:val="20"/>
                <w:szCs w:val="20"/>
              </w:rPr>
            </w:pPr>
          </w:p>
        </w:tc>
        <w:tc>
          <w:tcPr>
            <w:tcW w:w="50" w:type="pct"/>
            <w:vAlign w:val="center"/>
            <w:hideMark/>
          </w:tcPr>
          <w:p w14:paraId="56EE7387" w14:textId="77777777" w:rsidR="00000000" w:rsidRDefault="001A570A">
            <w:pPr>
              <w:rPr>
                <w:rFonts w:eastAsia="Times New Roman"/>
                <w:sz w:val="20"/>
                <w:szCs w:val="20"/>
              </w:rPr>
            </w:pPr>
          </w:p>
        </w:tc>
        <w:tc>
          <w:tcPr>
            <w:tcW w:w="609" w:type="pct"/>
            <w:vAlign w:val="center"/>
            <w:hideMark/>
          </w:tcPr>
          <w:p w14:paraId="14D2F642" w14:textId="77777777" w:rsidR="00000000" w:rsidRDefault="001A570A">
            <w:pPr>
              <w:rPr>
                <w:rFonts w:eastAsia="Times New Roman"/>
                <w:sz w:val="20"/>
                <w:szCs w:val="20"/>
              </w:rPr>
            </w:pPr>
          </w:p>
        </w:tc>
        <w:tc>
          <w:tcPr>
            <w:tcW w:w="5" w:type="pct"/>
            <w:vAlign w:val="center"/>
            <w:hideMark/>
          </w:tcPr>
          <w:p w14:paraId="7C3E113F" w14:textId="77777777" w:rsidR="00000000" w:rsidRDefault="001A570A">
            <w:pPr>
              <w:rPr>
                <w:rFonts w:eastAsia="Times New Roman"/>
                <w:sz w:val="20"/>
                <w:szCs w:val="20"/>
              </w:rPr>
            </w:pPr>
          </w:p>
        </w:tc>
      </w:tr>
      <w:tr w:rsidR="00000000" w14:paraId="7DC0A369" w14:textId="77777777">
        <w:trPr>
          <w:divId w:val="1249997412"/>
        </w:trPr>
        <w:tc>
          <w:tcPr>
            <w:tcW w:w="0" w:type="auto"/>
            <w:gridSpan w:val="3"/>
            <w:tcMar>
              <w:top w:w="30" w:type="dxa"/>
              <w:left w:w="20" w:type="dxa"/>
              <w:bottom w:w="30" w:type="dxa"/>
              <w:right w:w="20" w:type="dxa"/>
            </w:tcMar>
            <w:hideMark/>
          </w:tcPr>
          <w:p w14:paraId="56485E76" w14:textId="77777777" w:rsidR="00000000" w:rsidRDefault="001A570A">
            <w:pPr>
              <w:rPr>
                <w:rFonts w:eastAsia="Times New Roman"/>
              </w:rPr>
            </w:pPr>
            <w:r>
              <w:rPr>
                <w:rFonts w:eastAsia="Times New Roman"/>
                <w:color w:val="000000"/>
                <w:sz w:val="20"/>
                <w:szCs w:val="20"/>
              </w:rPr>
              <w:t>Obligation assumptions as of:</w:t>
            </w:r>
          </w:p>
        </w:tc>
        <w:tc>
          <w:tcPr>
            <w:tcW w:w="0" w:type="auto"/>
            <w:gridSpan w:val="3"/>
            <w:tcMar>
              <w:top w:w="30" w:type="dxa"/>
              <w:left w:w="20" w:type="dxa"/>
              <w:bottom w:w="30" w:type="dxa"/>
              <w:right w:w="20" w:type="dxa"/>
            </w:tcMar>
            <w:vAlign w:val="bottom"/>
            <w:hideMark/>
          </w:tcPr>
          <w:p w14:paraId="315CC20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4E8CC60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99711C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0391E174" w14:textId="77777777" w:rsidR="00000000" w:rsidRDefault="001A570A">
            <w:pPr>
              <w:jc w:val="center"/>
              <w:rPr>
                <w:rFonts w:eastAsia="Times New Roman"/>
              </w:rPr>
            </w:pPr>
          </w:p>
        </w:tc>
        <w:tc>
          <w:tcPr>
            <w:tcW w:w="0" w:type="auto"/>
            <w:gridSpan w:val="3"/>
            <w:tcMar>
              <w:top w:w="0" w:type="dxa"/>
              <w:left w:w="20" w:type="dxa"/>
              <w:bottom w:w="0" w:type="dxa"/>
              <w:right w:w="20" w:type="dxa"/>
            </w:tcMar>
            <w:vAlign w:val="center"/>
            <w:hideMark/>
          </w:tcPr>
          <w:p w14:paraId="0E82D0A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B8C0C6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6C5CFC5" w14:textId="77777777" w:rsidR="00000000" w:rsidRDefault="001A570A">
            <w:pPr>
              <w:rPr>
                <w:rFonts w:eastAsia="Times New Roman"/>
                <w:sz w:val="20"/>
                <w:szCs w:val="20"/>
              </w:rPr>
            </w:pPr>
          </w:p>
        </w:tc>
      </w:tr>
      <w:tr w:rsidR="00000000" w14:paraId="26AADBE1" w14:textId="77777777">
        <w:trPr>
          <w:divId w:val="1249997412"/>
        </w:trPr>
        <w:tc>
          <w:tcPr>
            <w:tcW w:w="0" w:type="auto"/>
            <w:gridSpan w:val="3"/>
            <w:shd w:val="clear" w:color="auto" w:fill="CCEEFF"/>
            <w:tcMar>
              <w:top w:w="30" w:type="dxa"/>
              <w:left w:w="155" w:type="dxa"/>
              <w:bottom w:w="30" w:type="dxa"/>
              <w:right w:w="20" w:type="dxa"/>
            </w:tcMar>
            <w:hideMark/>
          </w:tcPr>
          <w:p w14:paraId="6249F418" w14:textId="77777777" w:rsidR="00000000" w:rsidRDefault="001A570A">
            <w:pPr>
              <w:rPr>
                <w:rFonts w:eastAsia="Times New Roman"/>
              </w:rPr>
            </w:pPr>
            <w:r>
              <w:rPr>
                <w:rFonts w:eastAsia="Times New Roman"/>
                <w:color w:val="000000"/>
                <w:sz w:val="20"/>
                <w:szCs w:val="20"/>
              </w:rPr>
              <w:t>Discount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262DC9" w14:textId="77777777" w:rsidR="00000000" w:rsidRDefault="001A570A">
            <w:pPr>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75588"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5591041"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D18340" w14:textId="77777777" w:rsidR="00000000" w:rsidRDefault="001A570A">
            <w:pPr>
              <w:jc w:val="right"/>
              <w:rPr>
                <w:rFonts w:eastAsia="Times New Roman"/>
              </w:rPr>
            </w:pPr>
            <w:r>
              <w:rPr>
                <w:rFonts w:eastAsia="Times New Roman"/>
                <w:color w:val="000000"/>
                <w:sz w:val="20"/>
                <w:szCs w:val="20"/>
              </w:rPr>
              <w:t>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A50ED6"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B36E06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B1C1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818E4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CE1AF" w14:textId="77777777" w:rsidR="00000000" w:rsidRDefault="001A570A">
            <w:pPr>
              <w:rPr>
                <w:rFonts w:eastAsia="Times New Roman"/>
                <w:sz w:val="20"/>
                <w:szCs w:val="20"/>
              </w:rPr>
            </w:pPr>
          </w:p>
        </w:tc>
      </w:tr>
      <w:tr w:rsidR="00000000" w14:paraId="243D10F4" w14:textId="77777777">
        <w:trPr>
          <w:divId w:val="1249997412"/>
        </w:trPr>
        <w:tc>
          <w:tcPr>
            <w:tcW w:w="0" w:type="auto"/>
            <w:gridSpan w:val="3"/>
            <w:shd w:val="clear" w:color="auto" w:fill="FFFFFF"/>
            <w:tcMar>
              <w:top w:w="30" w:type="dxa"/>
              <w:left w:w="155" w:type="dxa"/>
              <w:bottom w:w="30" w:type="dxa"/>
              <w:right w:w="20" w:type="dxa"/>
            </w:tcMar>
            <w:hideMark/>
          </w:tcPr>
          <w:p w14:paraId="03C21066" w14:textId="77777777" w:rsidR="00000000" w:rsidRDefault="001A570A">
            <w:pPr>
              <w:rPr>
                <w:rFonts w:eastAsia="Times New Roman"/>
              </w:rPr>
            </w:pPr>
            <w:r>
              <w:rPr>
                <w:rFonts w:eastAsia="Times New Roman"/>
                <w:color w:val="000000"/>
                <w:sz w:val="20"/>
                <w:szCs w:val="20"/>
              </w:rPr>
              <w:t>Rate of future compensation increase</w:t>
            </w:r>
          </w:p>
        </w:tc>
        <w:tc>
          <w:tcPr>
            <w:tcW w:w="0" w:type="auto"/>
            <w:gridSpan w:val="3"/>
            <w:shd w:val="clear" w:color="auto" w:fill="FFFFFF"/>
            <w:tcMar>
              <w:top w:w="30" w:type="dxa"/>
              <w:left w:w="20" w:type="dxa"/>
              <w:bottom w:w="30" w:type="dxa"/>
              <w:right w:w="20" w:type="dxa"/>
            </w:tcMar>
            <w:vAlign w:val="bottom"/>
            <w:hideMark/>
          </w:tcPr>
          <w:p w14:paraId="46FBBB5F" w14:textId="77777777" w:rsidR="00000000" w:rsidRDefault="001A570A">
            <w:pPr>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42500CB2" w14:textId="77777777" w:rsidR="00000000" w:rsidRDefault="001A570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03D2B2" w14:textId="77777777" w:rsidR="00000000" w:rsidRDefault="001A570A">
            <w:pPr>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71B6BB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05A3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2557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B65DE6" w14:textId="77777777" w:rsidR="00000000" w:rsidRDefault="001A570A">
            <w:pPr>
              <w:rPr>
                <w:rFonts w:eastAsia="Times New Roman"/>
                <w:sz w:val="20"/>
                <w:szCs w:val="20"/>
              </w:rPr>
            </w:pPr>
          </w:p>
        </w:tc>
      </w:tr>
      <w:tr w:rsidR="00000000" w14:paraId="6C8E4BD4" w14:textId="77777777">
        <w:trPr>
          <w:divId w:val="1249997412"/>
          <w:trHeight w:val="280"/>
        </w:trPr>
        <w:tc>
          <w:tcPr>
            <w:tcW w:w="0" w:type="auto"/>
            <w:gridSpan w:val="3"/>
            <w:shd w:val="clear" w:color="auto" w:fill="CCEEFF"/>
            <w:tcMar>
              <w:top w:w="0" w:type="dxa"/>
              <w:left w:w="20" w:type="dxa"/>
              <w:bottom w:w="0" w:type="dxa"/>
              <w:right w:w="20" w:type="dxa"/>
            </w:tcMar>
            <w:vAlign w:val="center"/>
            <w:hideMark/>
          </w:tcPr>
          <w:p w14:paraId="55C036A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DB8F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AD2E0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CB7DA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0A24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7F18A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1666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217B92" w14:textId="77777777" w:rsidR="00000000" w:rsidRDefault="001A570A">
            <w:pPr>
              <w:rPr>
                <w:rFonts w:eastAsia="Times New Roman"/>
                <w:sz w:val="20"/>
                <w:szCs w:val="20"/>
              </w:rPr>
            </w:pPr>
          </w:p>
        </w:tc>
      </w:tr>
      <w:tr w:rsidR="00000000" w14:paraId="6CB501D2" w14:textId="77777777">
        <w:trPr>
          <w:divId w:val="1249997412"/>
        </w:trPr>
        <w:tc>
          <w:tcPr>
            <w:tcW w:w="0" w:type="auto"/>
            <w:gridSpan w:val="3"/>
            <w:shd w:val="clear" w:color="auto" w:fill="FFFFFF"/>
            <w:tcMar>
              <w:top w:w="30" w:type="dxa"/>
              <w:left w:w="20" w:type="dxa"/>
              <w:bottom w:w="30" w:type="dxa"/>
              <w:right w:w="20" w:type="dxa"/>
            </w:tcMar>
            <w:hideMark/>
          </w:tcPr>
          <w:p w14:paraId="2A000245" w14:textId="77777777" w:rsidR="00000000" w:rsidRDefault="001A570A">
            <w:pPr>
              <w:rPr>
                <w:rFonts w:eastAsia="Times New Roman"/>
              </w:rPr>
            </w:pPr>
            <w:r>
              <w:rPr>
                <w:rFonts w:eastAsia="Times New Roman"/>
                <w:color w:val="000000"/>
                <w:sz w:val="20"/>
                <w:szCs w:val="20"/>
              </w:rPr>
              <w:t>Cost assumptions for fiscal periods ended:</w:t>
            </w:r>
          </w:p>
        </w:tc>
        <w:tc>
          <w:tcPr>
            <w:tcW w:w="0" w:type="auto"/>
            <w:gridSpan w:val="3"/>
            <w:shd w:val="clear" w:color="auto" w:fill="FFFFFF"/>
            <w:tcMar>
              <w:top w:w="30" w:type="dxa"/>
              <w:left w:w="20" w:type="dxa"/>
              <w:bottom w:w="30" w:type="dxa"/>
              <w:right w:w="20" w:type="dxa"/>
            </w:tcMar>
            <w:vAlign w:val="bottom"/>
            <w:hideMark/>
          </w:tcPr>
          <w:p w14:paraId="5D63ED74"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shd w:val="clear" w:color="auto" w:fill="FFFFFF"/>
            <w:tcMar>
              <w:top w:w="0" w:type="dxa"/>
              <w:left w:w="20" w:type="dxa"/>
              <w:bottom w:w="0" w:type="dxa"/>
              <w:right w:w="20" w:type="dxa"/>
            </w:tcMar>
            <w:vAlign w:val="center"/>
            <w:hideMark/>
          </w:tcPr>
          <w:p w14:paraId="5D99538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5E275550"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shd w:val="clear" w:color="auto" w:fill="FFFFFF"/>
            <w:tcMar>
              <w:top w:w="0" w:type="dxa"/>
              <w:left w:w="20" w:type="dxa"/>
              <w:bottom w:w="0" w:type="dxa"/>
              <w:right w:w="20" w:type="dxa"/>
            </w:tcMar>
            <w:vAlign w:val="center"/>
            <w:hideMark/>
          </w:tcPr>
          <w:p w14:paraId="2600B907"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4C708A7"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shd w:val="clear" w:color="auto" w:fill="FFFFFF"/>
            <w:tcMar>
              <w:top w:w="0" w:type="dxa"/>
              <w:left w:w="20" w:type="dxa"/>
              <w:bottom w:w="0" w:type="dxa"/>
              <w:right w:w="20" w:type="dxa"/>
            </w:tcMar>
            <w:vAlign w:val="center"/>
            <w:hideMark/>
          </w:tcPr>
          <w:p w14:paraId="62A3B09A"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CBAFE27" w14:textId="77777777" w:rsidR="00000000" w:rsidRDefault="001A570A">
            <w:pPr>
              <w:jc w:val="center"/>
              <w:rPr>
                <w:rFonts w:eastAsia="Times New Roman"/>
              </w:rPr>
            </w:pPr>
            <w:r>
              <w:rPr>
                <w:rFonts w:eastAsia="Times New Roman"/>
                <w:b/>
                <w:bCs/>
                <w:color w:val="000000"/>
                <w:sz w:val="16"/>
                <w:szCs w:val="16"/>
              </w:rPr>
              <w:t>June 29, 2018</w:t>
            </w:r>
          </w:p>
        </w:tc>
      </w:tr>
      <w:tr w:rsidR="00000000" w14:paraId="549D090F" w14:textId="77777777">
        <w:trPr>
          <w:divId w:val="1249997412"/>
        </w:trPr>
        <w:tc>
          <w:tcPr>
            <w:tcW w:w="0" w:type="auto"/>
            <w:gridSpan w:val="3"/>
            <w:shd w:val="clear" w:color="auto" w:fill="CCEEFF"/>
            <w:tcMar>
              <w:top w:w="30" w:type="dxa"/>
              <w:left w:w="155" w:type="dxa"/>
              <w:bottom w:w="30" w:type="dxa"/>
              <w:right w:w="20" w:type="dxa"/>
            </w:tcMar>
            <w:hideMark/>
          </w:tcPr>
          <w:p w14:paraId="7713C574" w14:textId="77777777" w:rsidR="00000000" w:rsidRDefault="001A570A">
            <w:pPr>
              <w:rPr>
                <w:rFonts w:eastAsia="Times New Roman"/>
              </w:rPr>
            </w:pPr>
            <w:r>
              <w:rPr>
                <w:rFonts w:eastAsia="Times New Roman"/>
                <w:color w:val="000000"/>
                <w:sz w:val="20"/>
                <w:szCs w:val="20"/>
              </w:rPr>
              <w:t xml:space="preserve">Discount rate to determine service cost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8AF032" w14:textId="77777777" w:rsidR="00000000" w:rsidRDefault="001A570A">
            <w:pPr>
              <w:jc w:val="right"/>
              <w:rPr>
                <w:rFonts w:eastAsia="Times New Roman"/>
              </w:rPr>
            </w:pPr>
            <w:r>
              <w:rPr>
                <w:rFonts w:eastAsia="Times New Roman"/>
                <w:color w:val="00000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2D8E2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B3156E"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49FDB1" w14:textId="77777777" w:rsidR="00000000" w:rsidRDefault="001A570A">
            <w:pPr>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965C3F"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85DBAEC"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D8C800" w14:textId="77777777" w:rsidR="00000000" w:rsidRDefault="001A570A">
            <w:pPr>
              <w:jc w:val="right"/>
              <w:rPr>
                <w:rFonts w:eastAsia="Times New Roman"/>
              </w:rPr>
            </w:pPr>
            <w:r>
              <w:rPr>
                <w:rFonts w:eastAsia="Times New Roman"/>
                <w:color w:val="000000"/>
                <w:sz w:val="20"/>
                <w:szCs w:val="20"/>
              </w:rPr>
              <w:t>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7D80CA"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2C2A896"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CA6F36" w14:textId="77777777" w:rsidR="00000000" w:rsidRDefault="001A570A">
            <w:pPr>
              <w:jc w:val="right"/>
              <w:rPr>
                <w:rFonts w:eastAsia="Times New Roman"/>
              </w:rPr>
            </w:pPr>
            <w:r>
              <w:rPr>
                <w:rFonts w:eastAsia="Times New Roman"/>
                <w:color w:val="000000"/>
                <w:sz w:val="20"/>
                <w:szCs w:val="20"/>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1959F6" w14:textId="77777777" w:rsidR="00000000" w:rsidRDefault="001A570A">
            <w:pPr>
              <w:jc w:val="right"/>
              <w:rPr>
                <w:rFonts w:eastAsia="Times New Roman"/>
              </w:rPr>
            </w:pPr>
            <w:r>
              <w:rPr>
                <w:rFonts w:eastAsia="Times New Roman"/>
                <w:color w:val="000000"/>
                <w:sz w:val="20"/>
                <w:szCs w:val="20"/>
              </w:rPr>
              <w:t>%</w:t>
            </w:r>
          </w:p>
        </w:tc>
      </w:tr>
      <w:tr w:rsidR="00000000" w14:paraId="16648DB4" w14:textId="77777777">
        <w:trPr>
          <w:divId w:val="1249997412"/>
        </w:trPr>
        <w:tc>
          <w:tcPr>
            <w:tcW w:w="0" w:type="auto"/>
            <w:gridSpan w:val="3"/>
            <w:shd w:val="clear" w:color="auto" w:fill="FFFFFF"/>
            <w:tcMar>
              <w:top w:w="30" w:type="dxa"/>
              <w:left w:w="155" w:type="dxa"/>
              <w:bottom w:w="30" w:type="dxa"/>
              <w:right w:w="20" w:type="dxa"/>
            </w:tcMar>
            <w:hideMark/>
          </w:tcPr>
          <w:p w14:paraId="2771645C" w14:textId="77777777" w:rsidR="00000000" w:rsidRDefault="001A570A">
            <w:pPr>
              <w:rPr>
                <w:rFonts w:eastAsia="Times New Roman"/>
              </w:rPr>
            </w:pPr>
            <w:r>
              <w:rPr>
                <w:rFonts w:eastAsia="Times New Roman"/>
                <w:color w:val="000000"/>
                <w:sz w:val="20"/>
                <w:szCs w:val="20"/>
              </w:rPr>
              <w:t>Discount rate to determine interest cost</w:t>
            </w:r>
          </w:p>
        </w:tc>
        <w:tc>
          <w:tcPr>
            <w:tcW w:w="0" w:type="auto"/>
            <w:gridSpan w:val="2"/>
            <w:shd w:val="clear" w:color="auto" w:fill="FFFFFF"/>
            <w:tcMar>
              <w:top w:w="30" w:type="dxa"/>
              <w:left w:w="20" w:type="dxa"/>
              <w:bottom w:w="30" w:type="dxa"/>
              <w:right w:w="0" w:type="dxa"/>
            </w:tcMar>
            <w:vAlign w:val="bottom"/>
            <w:hideMark/>
          </w:tcPr>
          <w:p w14:paraId="4423E414" w14:textId="77777777" w:rsidR="00000000" w:rsidRDefault="001A570A">
            <w:pPr>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2FF1B81F"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7314378"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F63400" w14:textId="77777777" w:rsidR="00000000" w:rsidRDefault="001A570A">
            <w:pPr>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14:paraId="6B35C2EF"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88429FD"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4B7666" w14:textId="77777777" w:rsidR="00000000" w:rsidRDefault="001A570A">
            <w:pPr>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14:paraId="5709F654"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43BD519"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6AFF17" w14:textId="77777777" w:rsidR="00000000" w:rsidRDefault="001A570A">
            <w:pPr>
              <w:jc w:val="right"/>
              <w:rPr>
                <w:rFonts w:eastAsia="Times New Roman"/>
              </w:rPr>
            </w:pPr>
            <w:r>
              <w:rPr>
                <w:rFonts w:eastAsia="Times New Roman"/>
                <w:color w:val="000000"/>
                <w:sz w:val="20"/>
                <w:szCs w:val="20"/>
              </w:rPr>
              <w:t>3.04 </w:t>
            </w:r>
          </w:p>
        </w:tc>
        <w:tc>
          <w:tcPr>
            <w:tcW w:w="0" w:type="auto"/>
            <w:shd w:val="clear" w:color="auto" w:fill="FFFFFF"/>
            <w:tcMar>
              <w:top w:w="30" w:type="dxa"/>
              <w:left w:w="0" w:type="dxa"/>
              <w:bottom w:w="30" w:type="dxa"/>
              <w:right w:w="20" w:type="dxa"/>
            </w:tcMar>
            <w:vAlign w:val="bottom"/>
            <w:hideMark/>
          </w:tcPr>
          <w:p w14:paraId="01C8FB7D" w14:textId="77777777" w:rsidR="00000000" w:rsidRDefault="001A570A">
            <w:pPr>
              <w:jc w:val="right"/>
              <w:rPr>
                <w:rFonts w:eastAsia="Times New Roman"/>
              </w:rPr>
            </w:pPr>
            <w:r>
              <w:rPr>
                <w:rFonts w:eastAsia="Times New Roman"/>
                <w:color w:val="000000"/>
                <w:sz w:val="20"/>
                <w:szCs w:val="20"/>
              </w:rPr>
              <w:t>%</w:t>
            </w:r>
          </w:p>
        </w:tc>
      </w:tr>
      <w:tr w:rsidR="00000000" w14:paraId="436C567E" w14:textId="77777777">
        <w:trPr>
          <w:divId w:val="1249997412"/>
        </w:trPr>
        <w:tc>
          <w:tcPr>
            <w:tcW w:w="0" w:type="auto"/>
            <w:gridSpan w:val="3"/>
            <w:shd w:val="clear" w:color="auto" w:fill="CCEEFF"/>
            <w:tcMar>
              <w:top w:w="30" w:type="dxa"/>
              <w:left w:w="155" w:type="dxa"/>
              <w:bottom w:w="30" w:type="dxa"/>
              <w:right w:w="20" w:type="dxa"/>
            </w:tcMar>
            <w:hideMark/>
          </w:tcPr>
          <w:p w14:paraId="2A9CFB13" w14:textId="77777777" w:rsidR="00000000" w:rsidRDefault="001A570A">
            <w:pPr>
              <w:rPr>
                <w:rFonts w:eastAsia="Times New Roman"/>
              </w:rPr>
            </w:pPr>
            <w:r>
              <w:rPr>
                <w:rFonts w:eastAsia="Times New Roman"/>
                <w:color w:val="000000"/>
                <w:sz w:val="20"/>
                <w:szCs w:val="20"/>
              </w:rPr>
              <w:t>Rate of future compensation increase</w:t>
            </w:r>
          </w:p>
        </w:tc>
        <w:tc>
          <w:tcPr>
            <w:tcW w:w="0" w:type="auto"/>
            <w:gridSpan w:val="3"/>
            <w:shd w:val="clear" w:color="auto" w:fill="CCEEFF"/>
            <w:tcMar>
              <w:top w:w="30" w:type="dxa"/>
              <w:left w:w="20" w:type="dxa"/>
              <w:bottom w:w="30" w:type="dxa"/>
              <w:right w:w="20" w:type="dxa"/>
            </w:tcMar>
            <w:vAlign w:val="bottom"/>
            <w:hideMark/>
          </w:tcPr>
          <w:p w14:paraId="6358D9B9" w14:textId="77777777" w:rsidR="00000000" w:rsidRDefault="001A570A">
            <w:pPr>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62A57588" w14:textId="77777777" w:rsidR="00000000" w:rsidRDefault="001A570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9ACEC2" w14:textId="77777777" w:rsidR="00000000" w:rsidRDefault="001A570A">
            <w:pPr>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4DFA8E9D" w14:textId="77777777" w:rsidR="00000000" w:rsidRDefault="001A570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3E0856" w14:textId="77777777" w:rsidR="00000000" w:rsidRDefault="001A570A">
            <w:pPr>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06D28E62" w14:textId="77777777" w:rsidR="00000000" w:rsidRDefault="001A570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6ACEF7C" w14:textId="77777777" w:rsidR="00000000" w:rsidRDefault="001A570A">
            <w:pPr>
              <w:jc w:val="right"/>
              <w:rPr>
                <w:rFonts w:eastAsia="Times New Roman"/>
              </w:rPr>
            </w:pPr>
            <w:r>
              <w:rPr>
                <w:rFonts w:eastAsia="Times New Roman"/>
                <w:color w:val="000000"/>
                <w:sz w:val="20"/>
                <w:szCs w:val="20"/>
              </w:rPr>
              <w:t>N/A</w:t>
            </w:r>
          </w:p>
        </w:tc>
      </w:tr>
    </w:tbl>
    <w:p w14:paraId="2E3EEF93" w14:textId="77777777" w:rsidR="00000000" w:rsidRDefault="001A570A">
      <w:pPr>
        <w:ind w:firstLine="450"/>
        <w:divId w:val="440421708"/>
        <w:rPr>
          <w:rFonts w:eastAsia="Times New Roman"/>
        </w:rPr>
      </w:pPr>
      <w:r>
        <w:rPr>
          <w:rFonts w:eastAsia="Times New Roman"/>
          <w:color w:val="000000"/>
          <w:sz w:val="20"/>
          <w:szCs w:val="20"/>
        </w:rPr>
        <w:t xml:space="preserve">The expected </w:t>
      </w:r>
      <w:r>
        <w:rPr>
          <w:rFonts w:eastAsia="Times New Roman"/>
          <w:color w:val="000000"/>
          <w:sz w:val="20"/>
          <w:szCs w:val="20"/>
        </w:rPr>
        <w:t>long-term rate of return on plan assets reflects the expected returns for each major asset class in which the plans invest, the weight of each asset class in the strategic allocation, the correlations among asset classes and their expected volatilities. Ou</w:t>
      </w:r>
      <w:r>
        <w:rPr>
          <w:rFonts w:eastAsia="Times New Roman"/>
          <w:color w:val="000000"/>
          <w:sz w:val="20"/>
          <w:szCs w:val="20"/>
        </w:rPr>
        <w:t>r expected rate of return on plan assets is estimated by evaluating both historical returns and estimates of future returns. Specifically, the determination of the expected long-term rate of return takes into consideration: (1) the plan’s actual historical</w:t>
      </w:r>
      <w:r>
        <w:rPr>
          <w:rFonts w:eastAsia="Times New Roman"/>
          <w:color w:val="000000"/>
          <w:sz w:val="20"/>
          <w:szCs w:val="20"/>
        </w:rPr>
        <w:t xml:space="preserve"> annual return on assets over the past 15-, 20- and 25-year time periods, (2) historical broad market returns over long-term timeframes weighted by the plan’s strategic allocation, and (3) independent estimates of future long-term asset class returns, weig</w:t>
      </w:r>
      <w:r>
        <w:rPr>
          <w:rFonts w:eastAsia="Times New Roman"/>
          <w:color w:val="000000"/>
          <w:sz w:val="20"/>
          <w:szCs w:val="20"/>
        </w:rPr>
        <w:t>hted by the plan’s strategic allocation. Based on this approach, the long-term expected annual rate of return on assets is estimated at 7.50% for fiscal 2021 for the U.S. defined benefit pension plans. The weighted average long-term expected annual rate of</w:t>
      </w:r>
      <w:r>
        <w:rPr>
          <w:rFonts w:eastAsia="Times New Roman"/>
          <w:color w:val="000000"/>
          <w:sz w:val="20"/>
          <w:szCs w:val="20"/>
        </w:rPr>
        <w:t xml:space="preserve"> return on assets for all defined benefit pension plans is estimated to be 7.43% for fiscal 2021. In fiscal 2020, we adopted updated mortality tables, which resulted in a decrease in the defined benefit plans’ projected benefit obligation as of January 1, </w:t>
      </w:r>
      <w:r>
        <w:rPr>
          <w:rFonts w:eastAsia="Times New Roman"/>
          <w:color w:val="000000"/>
          <w:sz w:val="20"/>
          <w:szCs w:val="20"/>
        </w:rPr>
        <w:t xml:space="preserve">2021 and estimated net periodic benefit cost beginning with fiscal 2021. </w:t>
      </w:r>
    </w:p>
    <w:p w14:paraId="3F799F09" w14:textId="77777777" w:rsidR="00000000" w:rsidRDefault="001A570A">
      <w:pPr>
        <w:ind w:firstLine="450"/>
        <w:divId w:val="170144716"/>
        <w:rPr>
          <w:rFonts w:eastAsia="Times New Roman"/>
        </w:rPr>
      </w:pPr>
      <w:r>
        <w:rPr>
          <w:rFonts w:eastAsia="Times New Roman"/>
          <w:color w:val="000000"/>
          <w:sz w:val="20"/>
          <w:szCs w:val="20"/>
        </w:rPr>
        <w:t>The assumed composite rate of future increases in the per capita healthcare costs (the healthcare trend rate) was 6.50% for fiscal 2021, decreasing ratably to 4.70% by fiscal 2030. T</w:t>
      </w:r>
      <w:r>
        <w:rPr>
          <w:rFonts w:eastAsia="Times New Roman"/>
          <w:color w:val="000000"/>
          <w:sz w:val="20"/>
          <w:szCs w:val="20"/>
        </w:rPr>
        <w:t xml:space="preserve">o the extent that actual experience differs from these assumptions, the effect will be accumulated and generally amortized for each plan to the extent required over the estimated future life expectancy or, if applicable, the future working lifetime of the </w:t>
      </w:r>
      <w:r>
        <w:rPr>
          <w:rFonts w:eastAsia="Times New Roman"/>
          <w:color w:val="000000"/>
          <w:sz w:val="20"/>
          <w:szCs w:val="20"/>
        </w:rPr>
        <w:t>plan’s active participants.</w:t>
      </w:r>
    </w:p>
    <w:p w14:paraId="37D704CC" w14:textId="77777777" w:rsidR="00000000" w:rsidRDefault="001A570A">
      <w:pPr>
        <w:divId w:val="720060080"/>
        <w:rPr>
          <w:rFonts w:eastAsia="Times New Roman"/>
        </w:rPr>
      </w:pPr>
      <w:r>
        <w:rPr>
          <w:rFonts w:eastAsia="Times New Roman"/>
          <w:b/>
          <w:bCs/>
          <w:color w:val="000000"/>
          <w:sz w:val="20"/>
          <w:szCs w:val="20"/>
        </w:rPr>
        <w:t>Investment Policy</w:t>
      </w:r>
    </w:p>
    <w:p w14:paraId="4EDFC87F" w14:textId="77777777" w:rsidR="00000000" w:rsidRDefault="001A570A">
      <w:pPr>
        <w:ind w:firstLine="450"/>
        <w:divId w:val="2029672461"/>
        <w:rPr>
          <w:rFonts w:eastAsia="Times New Roman"/>
        </w:rPr>
      </w:pPr>
      <w:r>
        <w:rPr>
          <w:rFonts w:eastAsia="Times New Roman"/>
          <w:color w:val="000000"/>
          <w:sz w:val="20"/>
          <w:szCs w:val="20"/>
        </w:rPr>
        <w:t>The investment strategy for managing defined benefit plan assets is to seek an optimal rate of return relative to an appropriate level of risk. We manage substantially all defined benefit plan assets on a commi</w:t>
      </w:r>
      <w:r>
        <w:rPr>
          <w:rFonts w:eastAsia="Times New Roman"/>
          <w:color w:val="000000"/>
          <w:sz w:val="20"/>
          <w:szCs w:val="20"/>
        </w:rPr>
        <w:t>ngled basis in a master investment trust. In making these asset allocation decisions, we take into account recent and expected returns and volatility of returns for each asset class, the expected correlation of returns among the different investments, as w</w:t>
      </w:r>
      <w:r>
        <w:rPr>
          <w:rFonts w:eastAsia="Times New Roman"/>
          <w:color w:val="000000"/>
          <w:sz w:val="20"/>
          <w:szCs w:val="20"/>
        </w:rPr>
        <w:t>ell as anticipated funding and cash flows. To enhance returns and mitigate risk, we diversify our investments by strategy, asset class, geography and sector and engage a large number of managers to gain broad exposure to the markets.</w:t>
      </w:r>
    </w:p>
    <w:p w14:paraId="7A1B876D" w14:textId="77777777" w:rsidR="00000000" w:rsidRDefault="001A570A">
      <w:pPr>
        <w:ind w:firstLine="450"/>
        <w:divId w:val="532233424"/>
        <w:rPr>
          <w:rFonts w:eastAsia="Times New Roman"/>
        </w:rPr>
      </w:pPr>
      <w:r>
        <w:rPr>
          <w:rFonts w:eastAsia="Times New Roman"/>
          <w:color w:val="000000"/>
          <w:sz w:val="20"/>
          <w:szCs w:val="20"/>
        </w:rPr>
        <w:t>The following table pr</w:t>
      </w:r>
      <w:r>
        <w:rPr>
          <w:rFonts w:eastAsia="Times New Roman"/>
          <w:color w:val="000000"/>
          <w:sz w:val="20"/>
          <w:szCs w:val="20"/>
        </w:rPr>
        <w:t>ovides the current strategic target asset allocation ranges by asset category:</w:t>
      </w:r>
    </w:p>
    <w:tbl>
      <w:tblPr>
        <w:tblW w:w="4820" w:type="pct"/>
        <w:tblCellMar>
          <w:top w:w="15" w:type="dxa"/>
          <w:left w:w="15" w:type="dxa"/>
          <w:bottom w:w="15" w:type="dxa"/>
          <w:right w:w="15" w:type="dxa"/>
        </w:tblCellMar>
        <w:tblLook w:val="04A0" w:firstRow="1" w:lastRow="0" w:firstColumn="1" w:lastColumn="0" w:noHBand="0" w:noVBand="1"/>
      </w:tblPr>
      <w:tblGrid>
        <w:gridCol w:w="47"/>
        <w:gridCol w:w="6288"/>
        <w:gridCol w:w="36"/>
        <w:gridCol w:w="47"/>
        <w:gridCol w:w="439"/>
        <w:gridCol w:w="188"/>
        <w:gridCol w:w="47"/>
        <w:gridCol w:w="356"/>
        <w:gridCol w:w="36"/>
        <w:gridCol w:w="59"/>
        <w:gridCol w:w="428"/>
        <w:gridCol w:w="36"/>
      </w:tblGrid>
      <w:tr w:rsidR="00000000" w14:paraId="05CA6128" w14:textId="77777777">
        <w:trPr>
          <w:divId w:val="1568682527"/>
        </w:trPr>
        <w:tc>
          <w:tcPr>
            <w:tcW w:w="50" w:type="pct"/>
            <w:vAlign w:val="center"/>
            <w:hideMark/>
          </w:tcPr>
          <w:p w14:paraId="0D2751E5" w14:textId="77777777" w:rsidR="00000000" w:rsidRDefault="001A570A">
            <w:pPr>
              <w:ind w:firstLine="450"/>
              <w:rPr>
                <w:rFonts w:eastAsia="Times New Roman"/>
              </w:rPr>
            </w:pPr>
          </w:p>
        </w:tc>
        <w:tc>
          <w:tcPr>
            <w:tcW w:w="3946" w:type="pct"/>
            <w:vAlign w:val="center"/>
            <w:hideMark/>
          </w:tcPr>
          <w:p w14:paraId="387D63E2" w14:textId="77777777" w:rsidR="00000000" w:rsidRDefault="001A570A">
            <w:pPr>
              <w:rPr>
                <w:rFonts w:eastAsia="Times New Roman"/>
                <w:sz w:val="20"/>
                <w:szCs w:val="20"/>
              </w:rPr>
            </w:pPr>
          </w:p>
        </w:tc>
        <w:tc>
          <w:tcPr>
            <w:tcW w:w="5" w:type="pct"/>
            <w:vAlign w:val="center"/>
            <w:hideMark/>
          </w:tcPr>
          <w:p w14:paraId="3D6D9697" w14:textId="77777777" w:rsidR="00000000" w:rsidRDefault="001A570A">
            <w:pPr>
              <w:rPr>
                <w:rFonts w:eastAsia="Times New Roman"/>
                <w:sz w:val="20"/>
                <w:szCs w:val="20"/>
              </w:rPr>
            </w:pPr>
          </w:p>
        </w:tc>
        <w:tc>
          <w:tcPr>
            <w:tcW w:w="50" w:type="pct"/>
            <w:vAlign w:val="center"/>
            <w:hideMark/>
          </w:tcPr>
          <w:p w14:paraId="3036EF41" w14:textId="77777777" w:rsidR="00000000" w:rsidRDefault="001A570A">
            <w:pPr>
              <w:rPr>
                <w:rFonts w:eastAsia="Times New Roman"/>
                <w:sz w:val="20"/>
                <w:szCs w:val="20"/>
              </w:rPr>
            </w:pPr>
          </w:p>
        </w:tc>
        <w:tc>
          <w:tcPr>
            <w:tcW w:w="295" w:type="pct"/>
            <w:vAlign w:val="center"/>
            <w:hideMark/>
          </w:tcPr>
          <w:p w14:paraId="468566A2" w14:textId="77777777" w:rsidR="00000000" w:rsidRDefault="001A570A">
            <w:pPr>
              <w:rPr>
                <w:rFonts w:eastAsia="Times New Roman"/>
                <w:sz w:val="20"/>
                <w:szCs w:val="20"/>
              </w:rPr>
            </w:pPr>
          </w:p>
        </w:tc>
        <w:tc>
          <w:tcPr>
            <w:tcW w:w="5" w:type="pct"/>
            <w:vAlign w:val="center"/>
            <w:hideMark/>
          </w:tcPr>
          <w:p w14:paraId="06BF1C69" w14:textId="77777777" w:rsidR="00000000" w:rsidRDefault="001A570A">
            <w:pPr>
              <w:rPr>
                <w:rFonts w:eastAsia="Times New Roman"/>
                <w:sz w:val="20"/>
                <w:szCs w:val="20"/>
              </w:rPr>
            </w:pPr>
          </w:p>
        </w:tc>
        <w:tc>
          <w:tcPr>
            <w:tcW w:w="50" w:type="pct"/>
            <w:vAlign w:val="center"/>
            <w:hideMark/>
          </w:tcPr>
          <w:p w14:paraId="6CB1AD87" w14:textId="77777777" w:rsidR="00000000" w:rsidRDefault="001A570A">
            <w:pPr>
              <w:rPr>
                <w:rFonts w:eastAsia="Times New Roman"/>
                <w:sz w:val="20"/>
                <w:szCs w:val="20"/>
              </w:rPr>
            </w:pPr>
          </w:p>
        </w:tc>
        <w:tc>
          <w:tcPr>
            <w:tcW w:w="243" w:type="pct"/>
            <w:vAlign w:val="center"/>
            <w:hideMark/>
          </w:tcPr>
          <w:p w14:paraId="775AF586" w14:textId="77777777" w:rsidR="00000000" w:rsidRDefault="001A570A">
            <w:pPr>
              <w:rPr>
                <w:rFonts w:eastAsia="Times New Roman"/>
                <w:sz w:val="20"/>
                <w:szCs w:val="20"/>
              </w:rPr>
            </w:pPr>
          </w:p>
        </w:tc>
        <w:tc>
          <w:tcPr>
            <w:tcW w:w="5" w:type="pct"/>
            <w:vAlign w:val="center"/>
            <w:hideMark/>
          </w:tcPr>
          <w:p w14:paraId="7789FBA7" w14:textId="77777777" w:rsidR="00000000" w:rsidRDefault="001A570A">
            <w:pPr>
              <w:rPr>
                <w:rFonts w:eastAsia="Times New Roman"/>
                <w:sz w:val="20"/>
                <w:szCs w:val="20"/>
              </w:rPr>
            </w:pPr>
          </w:p>
        </w:tc>
        <w:tc>
          <w:tcPr>
            <w:tcW w:w="50" w:type="pct"/>
            <w:vAlign w:val="center"/>
            <w:hideMark/>
          </w:tcPr>
          <w:p w14:paraId="03883E1E" w14:textId="77777777" w:rsidR="00000000" w:rsidRDefault="001A570A">
            <w:pPr>
              <w:rPr>
                <w:rFonts w:eastAsia="Times New Roman"/>
                <w:sz w:val="20"/>
                <w:szCs w:val="20"/>
              </w:rPr>
            </w:pPr>
          </w:p>
        </w:tc>
        <w:tc>
          <w:tcPr>
            <w:tcW w:w="295" w:type="pct"/>
            <w:vAlign w:val="center"/>
            <w:hideMark/>
          </w:tcPr>
          <w:p w14:paraId="1CC3AF89" w14:textId="77777777" w:rsidR="00000000" w:rsidRDefault="001A570A">
            <w:pPr>
              <w:rPr>
                <w:rFonts w:eastAsia="Times New Roman"/>
                <w:sz w:val="20"/>
                <w:szCs w:val="20"/>
              </w:rPr>
            </w:pPr>
          </w:p>
        </w:tc>
        <w:tc>
          <w:tcPr>
            <w:tcW w:w="5" w:type="pct"/>
            <w:vAlign w:val="center"/>
            <w:hideMark/>
          </w:tcPr>
          <w:p w14:paraId="1A31DBCF" w14:textId="77777777" w:rsidR="00000000" w:rsidRDefault="001A570A">
            <w:pPr>
              <w:rPr>
                <w:rFonts w:eastAsia="Times New Roman"/>
                <w:sz w:val="20"/>
                <w:szCs w:val="20"/>
              </w:rPr>
            </w:pPr>
          </w:p>
        </w:tc>
      </w:tr>
      <w:tr w:rsidR="00000000" w14:paraId="0C114EEC" w14:textId="77777777">
        <w:trPr>
          <w:divId w:val="1568682527"/>
        </w:trPr>
        <w:tc>
          <w:tcPr>
            <w:tcW w:w="0" w:type="auto"/>
            <w:gridSpan w:val="3"/>
            <w:tcMar>
              <w:top w:w="30" w:type="dxa"/>
              <w:left w:w="20" w:type="dxa"/>
              <w:bottom w:w="30" w:type="dxa"/>
              <w:right w:w="20" w:type="dxa"/>
            </w:tcMar>
            <w:vAlign w:val="bottom"/>
            <w:hideMark/>
          </w:tcPr>
          <w:p w14:paraId="3FFDDD8D" w14:textId="77777777" w:rsidR="00000000" w:rsidRDefault="001A570A">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9292F89" w14:textId="77777777" w:rsidR="00000000" w:rsidRDefault="001A570A">
            <w:pPr>
              <w:jc w:val="center"/>
              <w:rPr>
                <w:rFonts w:eastAsia="Times New Roman"/>
              </w:rPr>
            </w:pPr>
            <w:r>
              <w:rPr>
                <w:rFonts w:eastAsia="Times New Roman"/>
                <w:b/>
                <w:bCs/>
                <w:color w:val="000000"/>
                <w:sz w:val="16"/>
                <w:szCs w:val="16"/>
              </w:rPr>
              <w:t>Target Asset</w:t>
            </w:r>
            <w:r>
              <w:rPr>
                <w:rFonts w:eastAsia="Times New Roman"/>
                <w:b/>
                <w:bCs/>
                <w:color w:val="000000"/>
                <w:sz w:val="16"/>
                <w:szCs w:val="16"/>
              </w:rPr>
              <w:br/>
              <w:t>Allocation</w:t>
            </w:r>
          </w:p>
        </w:tc>
      </w:tr>
      <w:tr w:rsidR="00000000" w14:paraId="178C9DDE" w14:textId="77777777">
        <w:trPr>
          <w:divId w:val="1568682527"/>
        </w:trPr>
        <w:tc>
          <w:tcPr>
            <w:tcW w:w="0" w:type="auto"/>
            <w:gridSpan w:val="3"/>
            <w:shd w:val="clear" w:color="auto" w:fill="CCEEFF"/>
            <w:tcMar>
              <w:top w:w="30" w:type="dxa"/>
              <w:left w:w="20" w:type="dxa"/>
              <w:bottom w:w="30" w:type="dxa"/>
              <w:right w:w="20" w:type="dxa"/>
            </w:tcMar>
            <w:hideMark/>
          </w:tcPr>
          <w:p w14:paraId="0F0D7766" w14:textId="77777777" w:rsidR="00000000" w:rsidRDefault="001A570A">
            <w:pPr>
              <w:rPr>
                <w:rFonts w:eastAsia="Times New Roman"/>
              </w:rPr>
            </w:pPr>
            <w:r>
              <w:rPr>
                <w:rFonts w:eastAsia="Times New Roman"/>
                <w:color w:val="000000"/>
                <w:sz w:val="20"/>
                <w:szCs w:val="20"/>
              </w:rPr>
              <w:t>Equity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AA385C" w14:textId="77777777" w:rsidR="00000000" w:rsidRDefault="001A570A">
            <w:pPr>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40CCA8" w14:textId="77777777" w:rsidR="00000000" w:rsidRDefault="001A570A">
            <w:pPr>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F81B73" w14:textId="77777777" w:rsidR="00000000" w:rsidRDefault="001A570A">
            <w:pPr>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42037C" w14:textId="77777777" w:rsidR="00000000" w:rsidRDefault="001A570A">
            <w:pPr>
              <w:rPr>
                <w:rFonts w:eastAsia="Times New Roman"/>
              </w:rPr>
            </w:pPr>
            <w:r>
              <w:rPr>
                <w:rFonts w:eastAsia="Times New Roman"/>
                <w:color w:val="000000"/>
                <w:sz w:val="20"/>
                <w:szCs w:val="20"/>
              </w:rPr>
              <w:t>60%</w:t>
            </w:r>
          </w:p>
        </w:tc>
      </w:tr>
      <w:tr w:rsidR="00000000" w14:paraId="3A99FFBF" w14:textId="77777777">
        <w:trPr>
          <w:divId w:val="1568682527"/>
        </w:trPr>
        <w:tc>
          <w:tcPr>
            <w:tcW w:w="0" w:type="auto"/>
            <w:gridSpan w:val="3"/>
            <w:shd w:val="clear" w:color="auto" w:fill="FFFFFF"/>
            <w:tcMar>
              <w:top w:w="30" w:type="dxa"/>
              <w:left w:w="20" w:type="dxa"/>
              <w:bottom w:w="30" w:type="dxa"/>
              <w:right w:w="20" w:type="dxa"/>
            </w:tcMar>
            <w:hideMark/>
          </w:tcPr>
          <w:p w14:paraId="0890FDD5" w14:textId="77777777" w:rsidR="00000000" w:rsidRDefault="001A570A">
            <w:pPr>
              <w:rPr>
                <w:rFonts w:eastAsia="Times New Roman"/>
              </w:rPr>
            </w:pPr>
            <w:r>
              <w:rPr>
                <w:rFonts w:eastAsia="Times New Roman"/>
                <w:color w:val="000000"/>
                <w:sz w:val="20"/>
                <w:szCs w:val="20"/>
              </w:rPr>
              <w:t>Fixed income investments</w:t>
            </w:r>
          </w:p>
        </w:tc>
        <w:tc>
          <w:tcPr>
            <w:tcW w:w="0" w:type="auto"/>
            <w:gridSpan w:val="2"/>
            <w:shd w:val="clear" w:color="auto" w:fill="FFFFFF"/>
            <w:tcMar>
              <w:top w:w="30" w:type="dxa"/>
              <w:left w:w="20" w:type="dxa"/>
              <w:bottom w:w="30" w:type="dxa"/>
              <w:right w:w="0" w:type="dxa"/>
            </w:tcMar>
            <w:vAlign w:val="bottom"/>
            <w:hideMark/>
          </w:tcPr>
          <w:p w14:paraId="3D667FFD"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2048DBD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2625784E" w14:textId="77777777" w:rsidR="00000000" w:rsidRDefault="001A570A">
            <w:pPr>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06851597" w14:textId="77777777" w:rsidR="00000000" w:rsidRDefault="001A570A">
            <w:pPr>
              <w:rPr>
                <w:rFonts w:eastAsia="Times New Roman"/>
              </w:rPr>
            </w:pPr>
            <w:r>
              <w:rPr>
                <w:rFonts w:eastAsia="Times New Roman"/>
                <w:color w:val="000000"/>
                <w:sz w:val="20"/>
                <w:szCs w:val="20"/>
              </w:rPr>
              <w:t>35%</w:t>
            </w:r>
          </w:p>
        </w:tc>
      </w:tr>
      <w:tr w:rsidR="00000000" w14:paraId="019E6305" w14:textId="77777777">
        <w:trPr>
          <w:divId w:val="1568682527"/>
        </w:trPr>
        <w:tc>
          <w:tcPr>
            <w:tcW w:w="0" w:type="auto"/>
            <w:gridSpan w:val="3"/>
            <w:shd w:val="clear" w:color="auto" w:fill="CCEEFF"/>
            <w:tcMar>
              <w:top w:w="30" w:type="dxa"/>
              <w:left w:w="20" w:type="dxa"/>
              <w:bottom w:w="30" w:type="dxa"/>
              <w:right w:w="20" w:type="dxa"/>
            </w:tcMar>
            <w:hideMark/>
          </w:tcPr>
          <w:p w14:paraId="40F51D93" w14:textId="77777777" w:rsidR="00000000" w:rsidRDefault="001A570A">
            <w:pPr>
              <w:rPr>
                <w:rFonts w:eastAsia="Times New Roman"/>
              </w:rPr>
            </w:pPr>
            <w:r>
              <w:rPr>
                <w:rFonts w:eastAsia="Times New Roman"/>
                <w:color w:val="000000"/>
                <w:sz w:val="20"/>
                <w:szCs w:val="20"/>
              </w:rPr>
              <w:t>Alternative investments</w:t>
            </w:r>
          </w:p>
        </w:tc>
        <w:tc>
          <w:tcPr>
            <w:tcW w:w="0" w:type="auto"/>
            <w:gridSpan w:val="2"/>
            <w:shd w:val="clear" w:color="auto" w:fill="CCEEFF"/>
            <w:tcMar>
              <w:top w:w="30" w:type="dxa"/>
              <w:left w:w="20" w:type="dxa"/>
              <w:bottom w:w="30" w:type="dxa"/>
              <w:right w:w="0" w:type="dxa"/>
            </w:tcMar>
            <w:vAlign w:val="bottom"/>
            <w:hideMark/>
          </w:tcPr>
          <w:p w14:paraId="167C6C6B"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3E57FA72"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502FBC62" w14:textId="77777777" w:rsidR="00000000" w:rsidRDefault="001A570A">
            <w:pPr>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525AD4B1" w14:textId="77777777" w:rsidR="00000000" w:rsidRDefault="001A570A">
            <w:pPr>
              <w:rPr>
                <w:rFonts w:eastAsia="Times New Roman"/>
              </w:rPr>
            </w:pPr>
            <w:r>
              <w:rPr>
                <w:rFonts w:eastAsia="Times New Roman"/>
                <w:color w:val="000000"/>
                <w:sz w:val="20"/>
                <w:szCs w:val="20"/>
              </w:rPr>
              <w:t>25%</w:t>
            </w:r>
          </w:p>
        </w:tc>
      </w:tr>
      <w:tr w:rsidR="00000000" w14:paraId="65D08367" w14:textId="77777777">
        <w:trPr>
          <w:divId w:val="1568682527"/>
        </w:trPr>
        <w:tc>
          <w:tcPr>
            <w:tcW w:w="0" w:type="auto"/>
            <w:gridSpan w:val="3"/>
            <w:shd w:val="clear" w:color="auto" w:fill="FFFFFF"/>
            <w:tcMar>
              <w:top w:w="30" w:type="dxa"/>
              <w:left w:w="20" w:type="dxa"/>
              <w:bottom w:w="30" w:type="dxa"/>
              <w:right w:w="20" w:type="dxa"/>
            </w:tcMar>
            <w:hideMark/>
          </w:tcPr>
          <w:p w14:paraId="34496CB1" w14:textId="77777777" w:rsidR="00000000" w:rsidRDefault="001A570A">
            <w:pPr>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14:paraId="7FDB8CC7" w14:textId="77777777" w:rsidR="00000000" w:rsidRDefault="001A570A">
            <w:pPr>
              <w:jc w:val="right"/>
              <w:rPr>
                <w:rFonts w:eastAsia="Times New Roman"/>
              </w:rPr>
            </w:pPr>
            <w:r>
              <w:rPr>
                <w:rFonts w:eastAsia="Times New Roman"/>
                <w:color w:val="000000"/>
                <w:sz w:val="20"/>
                <w:szCs w:val="20"/>
              </w:rPr>
              <w:t>0 </w:t>
            </w:r>
          </w:p>
        </w:tc>
        <w:tc>
          <w:tcPr>
            <w:tcW w:w="0" w:type="auto"/>
            <w:shd w:val="clear" w:color="auto" w:fill="FFFFFF"/>
            <w:tcMar>
              <w:top w:w="30" w:type="dxa"/>
              <w:left w:w="0" w:type="dxa"/>
              <w:bottom w:w="30" w:type="dxa"/>
              <w:right w:w="20" w:type="dxa"/>
            </w:tcMar>
            <w:vAlign w:val="bottom"/>
            <w:hideMark/>
          </w:tcPr>
          <w:p w14:paraId="24B4A8C4"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41BB29D1" w14:textId="77777777" w:rsidR="00000000" w:rsidRDefault="001A570A">
            <w:pPr>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443FFCC2" w14:textId="77777777" w:rsidR="00000000" w:rsidRDefault="001A570A">
            <w:pPr>
              <w:rPr>
                <w:rFonts w:eastAsia="Times New Roman"/>
              </w:rPr>
            </w:pPr>
            <w:r>
              <w:rPr>
                <w:rFonts w:eastAsia="Times New Roman"/>
                <w:color w:val="000000"/>
                <w:sz w:val="20"/>
                <w:szCs w:val="20"/>
              </w:rPr>
              <w:t>10%</w:t>
            </w:r>
          </w:p>
        </w:tc>
      </w:tr>
    </w:tbl>
    <w:p w14:paraId="0B4DF9F6" w14:textId="77777777" w:rsidR="00000000" w:rsidRDefault="001A570A">
      <w:pPr>
        <w:divId w:val="1646545294"/>
        <w:rPr>
          <w:rFonts w:eastAsia="Times New Roman"/>
        </w:rPr>
      </w:pPr>
      <w:r>
        <w:rPr>
          <w:rFonts w:eastAsia="Times New Roman"/>
          <w:b/>
          <w:bCs/>
          <w:color w:val="000000"/>
          <w:sz w:val="20"/>
          <w:szCs w:val="20"/>
        </w:rPr>
        <w:t>Fair Value of Plan Assets</w:t>
      </w:r>
    </w:p>
    <w:p w14:paraId="497B094A" w14:textId="77777777" w:rsidR="00000000" w:rsidRDefault="001A570A">
      <w:pPr>
        <w:ind w:firstLine="450"/>
        <w:divId w:val="1504665736"/>
        <w:rPr>
          <w:rFonts w:eastAsia="Times New Roman"/>
        </w:rPr>
      </w:pPr>
      <w:r>
        <w:rPr>
          <w:rFonts w:eastAsia="Times New Roman"/>
          <w:color w:val="000000"/>
          <w:sz w:val="20"/>
          <w:szCs w:val="20"/>
        </w:rPr>
        <w:t>The following is a description of the valuation techniques and inputs used to measure fair value for major categories of investments as reflected in the table that follows such description:</w:t>
      </w:r>
    </w:p>
    <w:p w14:paraId="10203B32" w14:textId="77777777" w:rsidR="00000000" w:rsidRDefault="001A570A">
      <w:pPr>
        <w:ind w:hanging="360"/>
        <w:divId w:val="1887599321"/>
        <w:rPr>
          <w:rFonts w:eastAsia="Times New Roman"/>
        </w:rPr>
      </w:pPr>
      <w:r>
        <w:rPr>
          <w:rFonts w:eastAsia="Times New Roman"/>
          <w:color w:val="000000"/>
          <w:sz w:val="20"/>
          <w:szCs w:val="20"/>
        </w:rPr>
        <w:t>•Domestic and international equities, which include common and pre</w:t>
      </w:r>
      <w:r>
        <w:rPr>
          <w:rFonts w:eastAsia="Times New Roman"/>
          <w:color w:val="000000"/>
          <w:sz w:val="20"/>
          <w:szCs w:val="20"/>
        </w:rPr>
        <w:t>ferred shares, domestic listed and foreign listed equity securities, open-ended and closed-ended mutual funds, real estate investment trusts and exchange traded funds, are generally valued at the closing price reported on the major market exchanges on whic</w:t>
      </w:r>
      <w:r>
        <w:rPr>
          <w:rFonts w:eastAsia="Times New Roman"/>
          <w:color w:val="000000"/>
          <w:sz w:val="20"/>
          <w:szCs w:val="20"/>
        </w:rPr>
        <w:t>h the individual securities are traded at the measurement date. Because these assets are traded predominantly on liquid, widely traded public exchanges, equity securities are categorized as Level 1 assets.</w:t>
      </w:r>
    </w:p>
    <w:p w14:paraId="3F8BA270" w14:textId="77777777" w:rsidR="00000000" w:rsidRDefault="001A570A">
      <w:pPr>
        <w:ind w:hanging="360"/>
        <w:divId w:val="142040607"/>
        <w:rPr>
          <w:rFonts w:eastAsia="Times New Roman"/>
        </w:rPr>
      </w:pPr>
      <w:r>
        <w:rPr>
          <w:rFonts w:eastAsia="Times New Roman"/>
          <w:color w:val="000000"/>
          <w:sz w:val="20"/>
          <w:szCs w:val="20"/>
        </w:rPr>
        <w:t>•Private equity funds, which include buy-out, mezz</w:t>
      </w:r>
      <w:r>
        <w:rPr>
          <w:rFonts w:eastAsia="Times New Roman"/>
          <w:color w:val="000000"/>
          <w:sz w:val="20"/>
          <w:szCs w:val="20"/>
        </w:rPr>
        <w:t>anine, venture capital, distressed asset and secondary funds, are typically limited partnership investment structures. Private equity funds are valued using a market approach based on NAV calculated by the funds and are not publicly available. Private equi</w:t>
      </w:r>
      <w:r>
        <w:rPr>
          <w:rFonts w:eastAsia="Times New Roman"/>
          <w:color w:val="000000"/>
          <w:sz w:val="20"/>
          <w:szCs w:val="20"/>
        </w:rPr>
        <w:t>ty funds generally have liquidity restrictions that extend for ten or more years. At January 1, 2021 and January 3, 2020, our defined benefit plans had future unfunded commitments totaling $518 million and $325 million, respectively, related to private equ</w:t>
      </w:r>
      <w:r>
        <w:rPr>
          <w:rFonts w:eastAsia="Times New Roman"/>
          <w:color w:val="000000"/>
          <w:sz w:val="20"/>
          <w:szCs w:val="20"/>
        </w:rPr>
        <w:t xml:space="preserve">ity fund investments. </w:t>
      </w:r>
    </w:p>
    <w:p w14:paraId="6AE38225" w14:textId="77777777" w:rsidR="00000000" w:rsidRDefault="001A570A">
      <w:pPr>
        <w:ind w:firstLine="450"/>
        <w:jc w:val="center"/>
        <w:divId w:val="1633753535"/>
        <w:rPr>
          <w:rFonts w:eastAsia="Times New Roman"/>
        </w:rPr>
      </w:pPr>
      <w:r>
        <w:rPr>
          <w:rFonts w:eastAsia="Times New Roman"/>
          <w:color w:val="000000"/>
          <w:sz w:val="20"/>
          <w:szCs w:val="20"/>
        </w:rPr>
        <w:t>110</w:t>
      </w:r>
    </w:p>
    <w:p w14:paraId="3504AF04" w14:textId="77777777" w:rsidR="00000000" w:rsidRDefault="001A570A">
      <w:pPr>
        <w:rPr>
          <w:rFonts w:eastAsia="Times New Roman"/>
        </w:rPr>
      </w:pPr>
      <w:r>
        <w:rPr>
          <w:rFonts w:eastAsia="Times New Roman"/>
        </w:rPr>
        <w:pict w14:anchorId="5A0CAFE2">
          <v:rect id="_x0000_i1138" style="width:0;height:1.5pt" o:hralign="center" o:hrstd="t" o:hr="t" fillcolor="#a0a0a0" stroked="f"/>
        </w:pict>
      </w:r>
    </w:p>
    <w:p w14:paraId="0FBB03BF" w14:textId="77777777" w:rsidR="00000000" w:rsidRDefault="001A570A">
      <w:pPr>
        <w:ind w:firstLine="450"/>
        <w:divId w:val="1854295427"/>
        <w:rPr>
          <w:rFonts w:eastAsia="Times New Roman"/>
        </w:rPr>
      </w:pPr>
    </w:p>
    <w:p w14:paraId="148B8151" w14:textId="77777777" w:rsidR="00000000" w:rsidRDefault="001A570A">
      <w:pPr>
        <w:ind w:hanging="360"/>
        <w:divId w:val="1865168750"/>
        <w:rPr>
          <w:rFonts w:eastAsia="Times New Roman"/>
        </w:rPr>
      </w:pPr>
      <w:r>
        <w:rPr>
          <w:rFonts w:eastAsia="Times New Roman"/>
          <w:color w:val="000000"/>
          <w:sz w:val="20"/>
          <w:szCs w:val="20"/>
        </w:rPr>
        <w:t xml:space="preserve">•Hedge funds, which include equity long/short, event-driven, fixed-income arbitrage and global macro strategies, are typically limited partnership investment structures. Limited partnership </w:t>
      </w:r>
      <w:r>
        <w:rPr>
          <w:rFonts w:eastAsia="Times New Roman"/>
          <w:color w:val="000000"/>
          <w:sz w:val="20"/>
          <w:szCs w:val="20"/>
        </w:rPr>
        <w:t>interests in hedge funds are valued using a market approach based on NAV calculated by the funds and are not publicly available. Hedge funds generally permit redemption on a quarterly or more frequent basis with 90 or fewer days-notice. At each of January </w:t>
      </w:r>
      <w:r>
        <w:rPr>
          <w:rFonts w:eastAsia="Times New Roman"/>
          <w:color w:val="000000"/>
          <w:sz w:val="20"/>
          <w:szCs w:val="20"/>
        </w:rPr>
        <w:t xml:space="preserve">1, 2021 and January 3, 2020, our defined benefit plans had no future unfunded commitments related to hedge fund investments. </w:t>
      </w:r>
    </w:p>
    <w:p w14:paraId="46ECCC7A" w14:textId="77777777" w:rsidR="00000000" w:rsidRDefault="001A570A">
      <w:pPr>
        <w:ind w:hanging="360"/>
        <w:divId w:val="489832423"/>
        <w:rPr>
          <w:rFonts w:eastAsia="Times New Roman"/>
        </w:rPr>
      </w:pPr>
      <w:r>
        <w:rPr>
          <w:rFonts w:eastAsia="Times New Roman"/>
          <w:color w:val="000000"/>
          <w:sz w:val="20"/>
          <w:szCs w:val="20"/>
        </w:rPr>
        <w:t>•Fixed income investments, which include U.S. Government securities, investment and non-investment grade corporate bonds and secur</w:t>
      </w:r>
      <w:r>
        <w:rPr>
          <w:rFonts w:eastAsia="Times New Roman"/>
          <w:color w:val="000000"/>
          <w:sz w:val="20"/>
          <w:szCs w:val="20"/>
        </w:rPr>
        <w:t>itized bonds are generally valued using pricing models that use verifiable, observable market data such as interest rates, benchmark yield curves and credit spreads, bids provided by brokers or dealers, or quoted prices of securities with similar character</w:t>
      </w:r>
      <w:r>
        <w:rPr>
          <w:rFonts w:eastAsia="Times New Roman"/>
          <w:color w:val="000000"/>
          <w:sz w:val="20"/>
          <w:szCs w:val="20"/>
        </w:rPr>
        <w:t>istics. Fixed income investments are generally categorized as Level 2 assets. Fixed income funds valued at the closing price reported on the major market exchanges on which the individual fund is traded are categorized as Level 1 assets.</w:t>
      </w:r>
    </w:p>
    <w:p w14:paraId="056D4C2D" w14:textId="77777777" w:rsidR="00000000" w:rsidRDefault="001A570A">
      <w:pPr>
        <w:ind w:hanging="360"/>
        <w:divId w:val="309991318"/>
        <w:rPr>
          <w:rFonts w:eastAsia="Times New Roman"/>
        </w:rPr>
      </w:pPr>
      <w:r>
        <w:rPr>
          <w:rFonts w:eastAsia="Times New Roman"/>
          <w:color w:val="000000"/>
          <w:sz w:val="20"/>
          <w:szCs w:val="20"/>
        </w:rPr>
        <w:t>•Other is comprise</w:t>
      </w:r>
      <w:r>
        <w:rPr>
          <w:rFonts w:eastAsia="Times New Roman"/>
          <w:color w:val="000000"/>
          <w:sz w:val="20"/>
          <w:szCs w:val="20"/>
        </w:rPr>
        <w:t>d of guaranteed insurance contracts valued at book value, which approximates fair value, calculated using the prior-year balance adjusted for investment returns and changes in cash flows and corporate owned life insurance policies valued at the accumulated</w:t>
      </w:r>
      <w:r>
        <w:rPr>
          <w:rFonts w:eastAsia="Times New Roman"/>
          <w:color w:val="000000"/>
          <w:sz w:val="20"/>
          <w:szCs w:val="20"/>
        </w:rPr>
        <w:t xml:space="preserve"> benefit.</w:t>
      </w:r>
    </w:p>
    <w:p w14:paraId="4D100462" w14:textId="77777777" w:rsidR="00000000" w:rsidRDefault="001A570A">
      <w:pPr>
        <w:ind w:hanging="360"/>
        <w:divId w:val="1651471802"/>
        <w:rPr>
          <w:rFonts w:eastAsia="Times New Roman"/>
        </w:rPr>
      </w:pPr>
      <w:r>
        <w:rPr>
          <w:rFonts w:eastAsia="Times New Roman"/>
          <w:color w:val="000000"/>
          <w:sz w:val="20"/>
          <w:szCs w:val="20"/>
        </w:rPr>
        <w:t>•Cash and cash equivalents are primarily comprised of short-term money market funds valued at cost, which approximates fair value, or valued at quoted market prices of identical instruments. Cash and currency are categorized as Level 1 assets; ca</w:t>
      </w:r>
      <w:r>
        <w:rPr>
          <w:rFonts w:eastAsia="Times New Roman"/>
          <w:color w:val="000000"/>
          <w:sz w:val="20"/>
          <w:szCs w:val="20"/>
        </w:rPr>
        <w:t>sh equivalents, such as money market funds or short-term commingled funds, are categorized as Level 2 assets.</w:t>
      </w:r>
    </w:p>
    <w:p w14:paraId="7A84F99E" w14:textId="77777777" w:rsidR="00000000" w:rsidRDefault="001A570A">
      <w:pPr>
        <w:ind w:hanging="360"/>
        <w:divId w:val="2101219089"/>
        <w:rPr>
          <w:rFonts w:eastAsia="Times New Roman"/>
        </w:rPr>
      </w:pPr>
      <w:r>
        <w:rPr>
          <w:rFonts w:eastAsia="Times New Roman"/>
          <w:color w:val="000000"/>
          <w:sz w:val="20"/>
          <w:szCs w:val="20"/>
        </w:rPr>
        <w:t>•Certain investments that are valued using the NAV per share (or its equivalent) as a practical expedient are not categorized in the fair value hi</w:t>
      </w:r>
      <w:r>
        <w:rPr>
          <w:rFonts w:eastAsia="Times New Roman"/>
          <w:color w:val="000000"/>
          <w:sz w:val="20"/>
          <w:szCs w:val="20"/>
        </w:rPr>
        <w:t>erarchy and are included in the table to permit reconciliation of the fair value hierarchy to the aggregate postretirement benefit plan assets.</w:t>
      </w:r>
    </w:p>
    <w:p w14:paraId="5A691051" w14:textId="77777777" w:rsidR="00000000" w:rsidRDefault="001A570A">
      <w:pPr>
        <w:ind w:firstLine="450"/>
        <w:divId w:val="229927418"/>
        <w:rPr>
          <w:rFonts w:eastAsia="Times New Roman"/>
        </w:rPr>
      </w:pPr>
      <w:r>
        <w:rPr>
          <w:rFonts w:eastAsia="Times New Roman"/>
          <w:color w:val="000000"/>
          <w:sz w:val="20"/>
          <w:szCs w:val="20"/>
        </w:rPr>
        <w:t>The following tables provide the fair value of plan assets held by our defined benefit plans by asset category and by fair value hierarchy level:</w:t>
      </w:r>
    </w:p>
    <w:tbl>
      <w:tblPr>
        <w:tblW w:w="4899" w:type="pct"/>
        <w:tblCellMar>
          <w:top w:w="15" w:type="dxa"/>
          <w:left w:w="15" w:type="dxa"/>
          <w:bottom w:w="15" w:type="dxa"/>
          <w:right w:w="15" w:type="dxa"/>
        </w:tblCellMar>
        <w:tblLook w:val="04A0" w:firstRow="1" w:lastRow="0" w:firstColumn="1" w:lastColumn="0" w:noHBand="0" w:noVBand="1"/>
      </w:tblPr>
      <w:tblGrid>
        <w:gridCol w:w="41"/>
        <w:gridCol w:w="3620"/>
        <w:gridCol w:w="40"/>
        <w:gridCol w:w="120"/>
        <w:gridCol w:w="909"/>
        <w:gridCol w:w="36"/>
        <w:gridCol w:w="36"/>
        <w:gridCol w:w="36"/>
        <w:gridCol w:w="36"/>
        <w:gridCol w:w="120"/>
        <w:gridCol w:w="851"/>
        <w:gridCol w:w="36"/>
        <w:gridCol w:w="36"/>
        <w:gridCol w:w="36"/>
        <w:gridCol w:w="36"/>
        <w:gridCol w:w="120"/>
        <w:gridCol w:w="864"/>
        <w:gridCol w:w="36"/>
        <w:gridCol w:w="36"/>
        <w:gridCol w:w="36"/>
        <w:gridCol w:w="36"/>
        <w:gridCol w:w="121"/>
        <w:gridCol w:w="864"/>
        <w:gridCol w:w="36"/>
      </w:tblGrid>
      <w:tr w:rsidR="00000000" w14:paraId="081E6539" w14:textId="77777777">
        <w:trPr>
          <w:divId w:val="379323253"/>
        </w:trPr>
        <w:tc>
          <w:tcPr>
            <w:tcW w:w="50" w:type="pct"/>
            <w:vAlign w:val="center"/>
            <w:hideMark/>
          </w:tcPr>
          <w:p w14:paraId="0BA3DF40" w14:textId="77777777" w:rsidR="00000000" w:rsidRDefault="001A570A">
            <w:pPr>
              <w:ind w:firstLine="450"/>
              <w:rPr>
                <w:rFonts w:eastAsia="Times New Roman"/>
              </w:rPr>
            </w:pPr>
          </w:p>
        </w:tc>
        <w:tc>
          <w:tcPr>
            <w:tcW w:w="2261" w:type="pct"/>
            <w:vAlign w:val="center"/>
            <w:hideMark/>
          </w:tcPr>
          <w:p w14:paraId="28B85C57" w14:textId="77777777" w:rsidR="00000000" w:rsidRDefault="001A570A">
            <w:pPr>
              <w:rPr>
                <w:rFonts w:eastAsia="Times New Roman"/>
                <w:sz w:val="20"/>
                <w:szCs w:val="20"/>
              </w:rPr>
            </w:pPr>
          </w:p>
        </w:tc>
        <w:tc>
          <w:tcPr>
            <w:tcW w:w="5" w:type="pct"/>
            <w:vAlign w:val="center"/>
            <w:hideMark/>
          </w:tcPr>
          <w:p w14:paraId="43BB3106" w14:textId="77777777" w:rsidR="00000000" w:rsidRDefault="001A570A">
            <w:pPr>
              <w:rPr>
                <w:rFonts w:eastAsia="Times New Roman"/>
                <w:sz w:val="20"/>
                <w:szCs w:val="20"/>
              </w:rPr>
            </w:pPr>
          </w:p>
        </w:tc>
        <w:tc>
          <w:tcPr>
            <w:tcW w:w="50" w:type="pct"/>
            <w:vAlign w:val="center"/>
            <w:hideMark/>
          </w:tcPr>
          <w:p w14:paraId="7F548E97" w14:textId="77777777" w:rsidR="00000000" w:rsidRDefault="001A570A">
            <w:pPr>
              <w:rPr>
                <w:rFonts w:eastAsia="Times New Roman"/>
                <w:sz w:val="20"/>
                <w:szCs w:val="20"/>
              </w:rPr>
            </w:pPr>
          </w:p>
        </w:tc>
        <w:tc>
          <w:tcPr>
            <w:tcW w:w="590" w:type="pct"/>
            <w:vAlign w:val="center"/>
            <w:hideMark/>
          </w:tcPr>
          <w:p w14:paraId="69EF27C5" w14:textId="77777777" w:rsidR="00000000" w:rsidRDefault="001A570A">
            <w:pPr>
              <w:rPr>
                <w:rFonts w:eastAsia="Times New Roman"/>
                <w:sz w:val="20"/>
                <w:szCs w:val="20"/>
              </w:rPr>
            </w:pPr>
          </w:p>
        </w:tc>
        <w:tc>
          <w:tcPr>
            <w:tcW w:w="5" w:type="pct"/>
            <w:vAlign w:val="center"/>
            <w:hideMark/>
          </w:tcPr>
          <w:p w14:paraId="16D5A695" w14:textId="77777777" w:rsidR="00000000" w:rsidRDefault="001A570A">
            <w:pPr>
              <w:rPr>
                <w:rFonts w:eastAsia="Times New Roman"/>
                <w:sz w:val="20"/>
                <w:szCs w:val="20"/>
              </w:rPr>
            </w:pPr>
          </w:p>
        </w:tc>
        <w:tc>
          <w:tcPr>
            <w:tcW w:w="5" w:type="pct"/>
            <w:vAlign w:val="center"/>
            <w:hideMark/>
          </w:tcPr>
          <w:p w14:paraId="1D6458D4" w14:textId="77777777" w:rsidR="00000000" w:rsidRDefault="001A570A">
            <w:pPr>
              <w:rPr>
                <w:rFonts w:eastAsia="Times New Roman"/>
                <w:sz w:val="20"/>
                <w:szCs w:val="20"/>
              </w:rPr>
            </w:pPr>
          </w:p>
        </w:tc>
        <w:tc>
          <w:tcPr>
            <w:tcW w:w="26" w:type="pct"/>
            <w:vAlign w:val="center"/>
            <w:hideMark/>
          </w:tcPr>
          <w:p w14:paraId="2DB0876C" w14:textId="77777777" w:rsidR="00000000" w:rsidRDefault="001A570A">
            <w:pPr>
              <w:rPr>
                <w:rFonts w:eastAsia="Times New Roman"/>
                <w:sz w:val="20"/>
                <w:szCs w:val="20"/>
              </w:rPr>
            </w:pPr>
          </w:p>
        </w:tc>
        <w:tc>
          <w:tcPr>
            <w:tcW w:w="5" w:type="pct"/>
            <w:vAlign w:val="center"/>
            <w:hideMark/>
          </w:tcPr>
          <w:p w14:paraId="6847FBDF" w14:textId="77777777" w:rsidR="00000000" w:rsidRDefault="001A570A">
            <w:pPr>
              <w:rPr>
                <w:rFonts w:eastAsia="Times New Roman"/>
                <w:sz w:val="20"/>
                <w:szCs w:val="20"/>
              </w:rPr>
            </w:pPr>
          </w:p>
        </w:tc>
        <w:tc>
          <w:tcPr>
            <w:tcW w:w="50" w:type="pct"/>
            <w:vAlign w:val="center"/>
            <w:hideMark/>
          </w:tcPr>
          <w:p w14:paraId="2C967859" w14:textId="77777777" w:rsidR="00000000" w:rsidRDefault="001A570A">
            <w:pPr>
              <w:rPr>
                <w:rFonts w:eastAsia="Times New Roman"/>
                <w:sz w:val="20"/>
                <w:szCs w:val="20"/>
              </w:rPr>
            </w:pPr>
          </w:p>
        </w:tc>
        <w:tc>
          <w:tcPr>
            <w:tcW w:w="582" w:type="pct"/>
            <w:vAlign w:val="center"/>
            <w:hideMark/>
          </w:tcPr>
          <w:p w14:paraId="2393BC1C" w14:textId="77777777" w:rsidR="00000000" w:rsidRDefault="001A570A">
            <w:pPr>
              <w:rPr>
                <w:rFonts w:eastAsia="Times New Roman"/>
                <w:sz w:val="20"/>
                <w:szCs w:val="20"/>
              </w:rPr>
            </w:pPr>
          </w:p>
        </w:tc>
        <w:tc>
          <w:tcPr>
            <w:tcW w:w="5" w:type="pct"/>
            <w:vAlign w:val="center"/>
            <w:hideMark/>
          </w:tcPr>
          <w:p w14:paraId="75A4467A" w14:textId="77777777" w:rsidR="00000000" w:rsidRDefault="001A570A">
            <w:pPr>
              <w:rPr>
                <w:rFonts w:eastAsia="Times New Roman"/>
                <w:sz w:val="20"/>
                <w:szCs w:val="20"/>
              </w:rPr>
            </w:pPr>
          </w:p>
        </w:tc>
        <w:tc>
          <w:tcPr>
            <w:tcW w:w="5" w:type="pct"/>
            <w:vAlign w:val="center"/>
            <w:hideMark/>
          </w:tcPr>
          <w:p w14:paraId="3A309B06" w14:textId="77777777" w:rsidR="00000000" w:rsidRDefault="001A570A">
            <w:pPr>
              <w:rPr>
                <w:rFonts w:eastAsia="Times New Roman"/>
                <w:sz w:val="20"/>
                <w:szCs w:val="20"/>
              </w:rPr>
            </w:pPr>
          </w:p>
        </w:tc>
        <w:tc>
          <w:tcPr>
            <w:tcW w:w="26" w:type="pct"/>
            <w:vAlign w:val="center"/>
            <w:hideMark/>
          </w:tcPr>
          <w:p w14:paraId="75B813D0" w14:textId="77777777" w:rsidR="00000000" w:rsidRDefault="001A570A">
            <w:pPr>
              <w:rPr>
                <w:rFonts w:eastAsia="Times New Roman"/>
                <w:sz w:val="20"/>
                <w:szCs w:val="20"/>
              </w:rPr>
            </w:pPr>
          </w:p>
        </w:tc>
        <w:tc>
          <w:tcPr>
            <w:tcW w:w="5" w:type="pct"/>
            <w:vAlign w:val="center"/>
            <w:hideMark/>
          </w:tcPr>
          <w:p w14:paraId="31DCFC36" w14:textId="77777777" w:rsidR="00000000" w:rsidRDefault="001A570A">
            <w:pPr>
              <w:rPr>
                <w:rFonts w:eastAsia="Times New Roman"/>
                <w:sz w:val="20"/>
                <w:szCs w:val="20"/>
              </w:rPr>
            </w:pPr>
          </w:p>
        </w:tc>
        <w:tc>
          <w:tcPr>
            <w:tcW w:w="50" w:type="pct"/>
            <w:vAlign w:val="center"/>
            <w:hideMark/>
          </w:tcPr>
          <w:p w14:paraId="05C481F5" w14:textId="77777777" w:rsidR="00000000" w:rsidRDefault="001A570A">
            <w:pPr>
              <w:rPr>
                <w:rFonts w:eastAsia="Times New Roman"/>
                <w:sz w:val="20"/>
                <w:szCs w:val="20"/>
              </w:rPr>
            </w:pPr>
          </w:p>
        </w:tc>
        <w:tc>
          <w:tcPr>
            <w:tcW w:w="590" w:type="pct"/>
            <w:vAlign w:val="center"/>
            <w:hideMark/>
          </w:tcPr>
          <w:p w14:paraId="5EBA3B6A" w14:textId="77777777" w:rsidR="00000000" w:rsidRDefault="001A570A">
            <w:pPr>
              <w:rPr>
                <w:rFonts w:eastAsia="Times New Roman"/>
                <w:sz w:val="20"/>
                <w:szCs w:val="20"/>
              </w:rPr>
            </w:pPr>
          </w:p>
        </w:tc>
        <w:tc>
          <w:tcPr>
            <w:tcW w:w="5" w:type="pct"/>
            <w:vAlign w:val="center"/>
            <w:hideMark/>
          </w:tcPr>
          <w:p w14:paraId="2986402E" w14:textId="77777777" w:rsidR="00000000" w:rsidRDefault="001A570A">
            <w:pPr>
              <w:rPr>
                <w:rFonts w:eastAsia="Times New Roman"/>
                <w:sz w:val="20"/>
                <w:szCs w:val="20"/>
              </w:rPr>
            </w:pPr>
          </w:p>
        </w:tc>
        <w:tc>
          <w:tcPr>
            <w:tcW w:w="5" w:type="pct"/>
            <w:vAlign w:val="center"/>
            <w:hideMark/>
          </w:tcPr>
          <w:p w14:paraId="1E58E30E" w14:textId="77777777" w:rsidR="00000000" w:rsidRDefault="001A570A">
            <w:pPr>
              <w:rPr>
                <w:rFonts w:eastAsia="Times New Roman"/>
                <w:sz w:val="20"/>
                <w:szCs w:val="20"/>
              </w:rPr>
            </w:pPr>
          </w:p>
        </w:tc>
        <w:tc>
          <w:tcPr>
            <w:tcW w:w="26" w:type="pct"/>
            <w:vAlign w:val="center"/>
            <w:hideMark/>
          </w:tcPr>
          <w:p w14:paraId="530B485B" w14:textId="77777777" w:rsidR="00000000" w:rsidRDefault="001A570A">
            <w:pPr>
              <w:rPr>
                <w:rFonts w:eastAsia="Times New Roman"/>
                <w:sz w:val="20"/>
                <w:szCs w:val="20"/>
              </w:rPr>
            </w:pPr>
          </w:p>
        </w:tc>
        <w:tc>
          <w:tcPr>
            <w:tcW w:w="5" w:type="pct"/>
            <w:vAlign w:val="center"/>
            <w:hideMark/>
          </w:tcPr>
          <w:p w14:paraId="72E3B4B4" w14:textId="77777777" w:rsidR="00000000" w:rsidRDefault="001A570A">
            <w:pPr>
              <w:rPr>
                <w:rFonts w:eastAsia="Times New Roman"/>
                <w:sz w:val="20"/>
                <w:szCs w:val="20"/>
              </w:rPr>
            </w:pPr>
          </w:p>
        </w:tc>
        <w:tc>
          <w:tcPr>
            <w:tcW w:w="50" w:type="pct"/>
            <w:vAlign w:val="center"/>
            <w:hideMark/>
          </w:tcPr>
          <w:p w14:paraId="249861F1" w14:textId="77777777" w:rsidR="00000000" w:rsidRDefault="001A570A">
            <w:pPr>
              <w:rPr>
                <w:rFonts w:eastAsia="Times New Roman"/>
                <w:sz w:val="20"/>
                <w:szCs w:val="20"/>
              </w:rPr>
            </w:pPr>
          </w:p>
        </w:tc>
        <w:tc>
          <w:tcPr>
            <w:tcW w:w="590" w:type="pct"/>
            <w:vAlign w:val="center"/>
            <w:hideMark/>
          </w:tcPr>
          <w:p w14:paraId="04F21A78" w14:textId="77777777" w:rsidR="00000000" w:rsidRDefault="001A570A">
            <w:pPr>
              <w:rPr>
                <w:rFonts w:eastAsia="Times New Roman"/>
                <w:sz w:val="20"/>
                <w:szCs w:val="20"/>
              </w:rPr>
            </w:pPr>
          </w:p>
        </w:tc>
        <w:tc>
          <w:tcPr>
            <w:tcW w:w="5" w:type="pct"/>
            <w:vAlign w:val="center"/>
            <w:hideMark/>
          </w:tcPr>
          <w:p w14:paraId="56EE1EBF" w14:textId="77777777" w:rsidR="00000000" w:rsidRDefault="001A570A">
            <w:pPr>
              <w:rPr>
                <w:rFonts w:eastAsia="Times New Roman"/>
                <w:sz w:val="20"/>
                <w:szCs w:val="20"/>
              </w:rPr>
            </w:pPr>
          </w:p>
        </w:tc>
      </w:tr>
      <w:tr w:rsidR="00000000" w14:paraId="75D177F4" w14:textId="77777777">
        <w:trPr>
          <w:divId w:val="379323253"/>
        </w:trPr>
        <w:tc>
          <w:tcPr>
            <w:tcW w:w="0" w:type="auto"/>
            <w:gridSpan w:val="3"/>
            <w:tcMar>
              <w:top w:w="30" w:type="dxa"/>
              <w:left w:w="20" w:type="dxa"/>
              <w:bottom w:w="30" w:type="dxa"/>
              <w:right w:w="20" w:type="dxa"/>
            </w:tcMar>
            <w:vAlign w:val="bottom"/>
            <w:hideMark/>
          </w:tcPr>
          <w:p w14:paraId="111DFB66" w14:textId="77777777" w:rsidR="00000000" w:rsidRDefault="001A570A">
            <w:pPr>
              <w:rPr>
                <w:rFonts w:eastAsia="Times New Roman"/>
              </w:rPr>
            </w:pPr>
            <w:r>
              <w:rPr>
                <w:rFonts w:eastAsia="Times New Roman"/>
                <w:color w:val="000000"/>
                <w:sz w:val="16"/>
                <w:szCs w:val="16"/>
              </w:rPr>
              <w:t> </w:t>
            </w:r>
          </w:p>
        </w:tc>
        <w:tc>
          <w:tcPr>
            <w:tcW w:w="0" w:type="auto"/>
            <w:gridSpan w:val="21"/>
            <w:shd w:val="clear" w:color="auto" w:fill="FFFFFF"/>
            <w:tcMar>
              <w:top w:w="30" w:type="dxa"/>
              <w:left w:w="20" w:type="dxa"/>
              <w:bottom w:w="30" w:type="dxa"/>
              <w:right w:w="20" w:type="dxa"/>
            </w:tcMar>
            <w:vAlign w:val="bottom"/>
            <w:hideMark/>
          </w:tcPr>
          <w:p w14:paraId="46423AAA" w14:textId="77777777" w:rsidR="00000000" w:rsidRDefault="001A570A">
            <w:pPr>
              <w:jc w:val="center"/>
              <w:rPr>
                <w:rFonts w:eastAsia="Times New Roman"/>
              </w:rPr>
            </w:pPr>
            <w:r>
              <w:rPr>
                <w:rFonts w:eastAsia="Times New Roman"/>
                <w:b/>
                <w:bCs/>
                <w:color w:val="000000"/>
                <w:sz w:val="16"/>
                <w:szCs w:val="16"/>
              </w:rPr>
              <w:t>January 1, 2021</w:t>
            </w:r>
          </w:p>
        </w:tc>
      </w:tr>
      <w:tr w:rsidR="00000000" w14:paraId="4281E5F0" w14:textId="77777777">
        <w:trPr>
          <w:divId w:val="379323253"/>
        </w:trPr>
        <w:tc>
          <w:tcPr>
            <w:tcW w:w="0" w:type="auto"/>
            <w:gridSpan w:val="3"/>
            <w:tcMar>
              <w:top w:w="30" w:type="dxa"/>
              <w:left w:w="20" w:type="dxa"/>
              <w:bottom w:w="30" w:type="dxa"/>
              <w:right w:w="20" w:type="dxa"/>
            </w:tcMar>
            <w:vAlign w:val="bottom"/>
            <w:hideMark/>
          </w:tcPr>
          <w:p w14:paraId="7FF3B091"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2C99E4A"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4BCA613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0036C6" w14:textId="77777777" w:rsidR="00000000" w:rsidRDefault="001A570A">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94221D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185199" w14:textId="77777777" w:rsidR="00000000" w:rsidRDefault="001A570A">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14FF526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08B12E" w14:textId="77777777" w:rsidR="00000000" w:rsidRDefault="001A570A">
            <w:pPr>
              <w:jc w:val="center"/>
              <w:rPr>
                <w:rFonts w:eastAsia="Times New Roman"/>
              </w:rPr>
            </w:pPr>
            <w:r>
              <w:rPr>
                <w:rFonts w:eastAsia="Times New Roman"/>
                <w:b/>
                <w:bCs/>
                <w:color w:val="000000"/>
                <w:sz w:val="16"/>
                <w:szCs w:val="16"/>
              </w:rPr>
              <w:t>Level 3</w:t>
            </w:r>
          </w:p>
        </w:tc>
      </w:tr>
      <w:tr w:rsidR="00000000" w14:paraId="1B45B9DF" w14:textId="77777777">
        <w:trPr>
          <w:divId w:val="379323253"/>
          <w:trHeight w:val="60"/>
        </w:trPr>
        <w:tc>
          <w:tcPr>
            <w:tcW w:w="0" w:type="auto"/>
            <w:gridSpan w:val="3"/>
            <w:tcMar>
              <w:top w:w="0" w:type="dxa"/>
              <w:left w:w="20" w:type="dxa"/>
              <w:bottom w:w="0" w:type="dxa"/>
              <w:right w:w="20" w:type="dxa"/>
            </w:tcMar>
            <w:vAlign w:val="center"/>
            <w:hideMark/>
          </w:tcPr>
          <w:p w14:paraId="0C5EF2D2"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196127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54F579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DF249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E8AFF8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78EB7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AEE8B9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6D6197" w14:textId="77777777" w:rsidR="00000000" w:rsidRDefault="001A570A">
            <w:pPr>
              <w:rPr>
                <w:rFonts w:eastAsia="Times New Roman"/>
                <w:sz w:val="20"/>
                <w:szCs w:val="20"/>
              </w:rPr>
            </w:pPr>
          </w:p>
        </w:tc>
      </w:tr>
      <w:tr w:rsidR="00000000" w14:paraId="4046E061" w14:textId="77777777">
        <w:trPr>
          <w:divId w:val="379323253"/>
        </w:trPr>
        <w:tc>
          <w:tcPr>
            <w:tcW w:w="0" w:type="auto"/>
            <w:gridSpan w:val="3"/>
            <w:shd w:val="clear" w:color="auto" w:fill="CCEEFF"/>
            <w:tcMar>
              <w:top w:w="30" w:type="dxa"/>
              <w:left w:w="20" w:type="dxa"/>
              <w:bottom w:w="30" w:type="dxa"/>
              <w:right w:w="20" w:type="dxa"/>
            </w:tcMar>
            <w:hideMark/>
          </w:tcPr>
          <w:p w14:paraId="5CF85596" w14:textId="77777777" w:rsidR="00000000" w:rsidRDefault="001A570A">
            <w:pPr>
              <w:rPr>
                <w:rFonts w:eastAsia="Times New Roman"/>
              </w:rPr>
            </w:pPr>
            <w:r>
              <w:rPr>
                <w:rFonts w:eastAsia="Times New Roman"/>
                <w:color w:val="000000"/>
                <w:sz w:val="20"/>
                <w:szCs w:val="20"/>
              </w:rPr>
              <w:t>Asset Category</w:t>
            </w:r>
          </w:p>
        </w:tc>
        <w:tc>
          <w:tcPr>
            <w:tcW w:w="0" w:type="auto"/>
            <w:gridSpan w:val="3"/>
            <w:shd w:val="clear" w:color="auto" w:fill="CCEEFF"/>
            <w:tcMar>
              <w:top w:w="0" w:type="dxa"/>
              <w:left w:w="20" w:type="dxa"/>
              <w:bottom w:w="0" w:type="dxa"/>
              <w:right w:w="20" w:type="dxa"/>
            </w:tcMar>
            <w:vAlign w:val="center"/>
            <w:hideMark/>
          </w:tcPr>
          <w:p w14:paraId="3DF83076"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7F7F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A04AB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5F511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65D1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1EC3C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498382" w14:textId="77777777" w:rsidR="00000000" w:rsidRDefault="001A570A">
            <w:pPr>
              <w:rPr>
                <w:rFonts w:eastAsia="Times New Roman"/>
                <w:sz w:val="20"/>
                <w:szCs w:val="20"/>
              </w:rPr>
            </w:pPr>
          </w:p>
        </w:tc>
      </w:tr>
      <w:tr w:rsidR="00000000" w14:paraId="10EF19E0" w14:textId="77777777">
        <w:trPr>
          <w:divId w:val="379323253"/>
        </w:trPr>
        <w:tc>
          <w:tcPr>
            <w:tcW w:w="0" w:type="auto"/>
            <w:gridSpan w:val="3"/>
            <w:shd w:val="clear" w:color="auto" w:fill="FFFFFF"/>
            <w:tcMar>
              <w:top w:w="30" w:type="dxa"/>
              <w:left w:w="155" w:type="dxa"/>
              <w:bottom w:w="30" w:type="dxa"/>
              <w:right w:w="20" w:type="dxa"/>
            </w:tcMar>
            <w:hideMark/>
          </w:tcPr>
          <w:p w14:paraId="7A1AAE05" w14:textId="77777777" w:rsidR="00000000" w:rsidRDefault="001A570A">
            <w:pPr>
              <w:rPr>
                <w:rFonts w:eastAsia="Times New Roman"/>
              </w:rPr>
            </w:pPr>
            <w:r>
              <w:rPr>
                <w:rFonts w:eastAsia="Times New Roman"/>
                <w:color w:val="000000"/>
                <w:sz w:val="20"/>
                <w:szCs w:val="20"/>
              </w:rPr>
              <w:t>Equities:</w:t>
            </w:r>
          </w:p>
        </w:tc>
        <w:tc>
          <w:tcPr>
            <w:tcW w:w="0" w:type="auto"/>
            <w:gridSpan w:val="3"/>
            <w:shd w:val="clear" w:color="auto" w:fill="FFFFFF"/>
            <w:tcMar>
              <w:top w:w="0" w:type="dxa"/>
              <w:left w:w="20" w:type="dxa"/>
              <w:bottom w:w="0" w:type="dxa"/>
              <w:right w:w="20" w:type="dxa"/>
            </w:tcMar>
            <w:vAlign w:val="center"/>
            <w:hideMark/>
          </w:tcPr>
          <w:p w14:paraId="6C92EC47"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F406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D581F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7811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5087E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7A915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27A4EE" w14:textId="77777777" w:rsidR="00000000" w:rsidRDefault="001A570A">
            <w:pPr>
              <w:rPr>
                <w:rFonts w:eastAsia="Times New Roman"/>
                <w:sz w:val="20"/>
                <w:szCs w:val="20"/>
              </w:rPr>
            </w:pPr>
          </w:p>
        </w:tc>
      </w:tr>
      <w:tr w:rsidR="00000000" w14:paraId="74E78348" w14:textId="77777777">
        <w:trPr>
          <w:divId w:val="379323253"/>
        </w:trPr>
        <w:tc>
          <w:tcPr>
            <w:tcW w:w="0" w:type="auto"/>
            <w:gridSpan w:val="3"/>
            <w:shd w:val="clear" w:color="auto" w:fill="CCEEFF"/>
            <w:tcMar>
              <w:top w:w="30" w:type="dxa"/>
              <w:left w:w="380" w:type="dxa"/>
              <w:bottom w:w="30" w:type="dxa"/>
              <w:right w:w="20" w:type="dxa"/>
            </w:tcMar>
            <w:hideMark/>
          </w:tcPr>
          <w:p w14:paraId="3FC070EE" w14:textId="77777777" w:rsidR="00000000" w:rsidRDefault="001A570A">
            <w:pPr>
              <w:rPr>
                <w:rFonts w:eastAsia="Times New Roman"/>
              </w:rPr>
            </w:pPr>
            <w:r>
              <w:rPr>
                <w:rFonts w:eastAsia="Times New Roman"/>
                <w:color w:val="000000"/>
                <w:sz w:val="20"/>
                <w:szCs w:val="20"/>
              </w:rPr>
              <w:t>Domestic equities</w:t>
            </w:r>
          </w:p>
        </w:tc>
        <w:tc>
          <w:tcPr>
            <w:tcW w:w="0" w:type="auto"/>
            <w:shd w:val="clear" w:color="auto" w:fill="CCEEFF"/>
            <w:tcMar>
              <w:top w:w="30" w:type="dxa"/>
              <w:left w:w="20" w:type="dxa"/>
              <w:bottom w:w="30" w:type="dxa"/>
              <w:right w:w="0" w:type="dxa"/>
            </w:tcMar>
            <w:vAlign w:val="bottom"/>
            <w:hideMark/>
          </w:tcPr>
          <w:p w14:paraId="54B92A0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8E715C" w14:textId="77777777" w:rsidR="00000000" w:rsidRDefault="001A570A">
            <w:pPr>
              <w:jc w:val="right"/>
              <w:rPr>
                <w:rFonts w:eastAsia="Times New Roman"/>
              </w:rPr>
            </w:pPr>
            <w:r>
              <w:rPr>
                <w:rFonts w:eastAsia="Times New Roman"/>
                <w:color w:val="000000"/>
                <w:sz w:val="20"/>
                <w:szCs w:val="20"/>
              </w:rPr>
              <w:t>1,513 </w:t>
            </w:r>
          </w:p>
        </w:tc>
        <w:tc>
          <w:tcPr>
            <w:tcW w:w="0" w:type="auto"/>
            <w:shd w:val="clear" w:color="auto" w:fill="CCEEFF"/>
            <w:tcMar>
              <w:top w:w="30" w:type="dxa"/>
              <w:left w:w="0" w:type="dxa"/>
              <w:bottom w:w="30" w:type="dxa"/>
              <w:right w:w="20" w:type="dxa"/>
            </w:tcMar>
            <w:vAlign w:val="bottom"/>
            <w:hideMark/>
          </w:tcPr>
          <w:p w14:paraId="199FCB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77D5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9FBB0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D61E1C" w14:textId="77777777" w:rsidR="00000000" w:rsidRDefault="001A570A">
            <w:pPr>
              <w:jc w:val="right"/>
              <w:rPr>
                <w:rFonts w:eastAsia="Times New Roman"/>
              </w:rPr>
            </w:pPr>
            <w:r>
              <w:rPr>
                <w:rFonts w:eastAsia="Times New Roman"/>
                <w:color w:val="000000"/>
                <w:sz w:val="20"/>
                <w:szCs w:val="20"/>
              </w:rPr>
              <w:t>1,513 </w:t>
            </w:r>
          </w:p>
        </w:tc>
        <w:tc>
          <w:tcPr>
            <w:tcW w:w="0" w:type="auto"/>
            <w:shd w:val="clear" w:color="auto" w:fill="CCEEFF"/>
            <w:tcMar>
              <w:top w:w="30" w:type="dxa"/>
              <w:left w:w="0" w:type="dxa"/>
              <w:bottom w:w="30" w:type="dxa"/>
              <w:right w:w="20" w:type="dxa"/>
            </w:tcMar>
            <w:vAlign w:val="bottom"/>
            <w:hideMark/>
          </w:tcPr>
          <w:p w14:paraId="164DDE9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1B04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B3A68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09292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7C33A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664F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EBFC4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3ABBA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3E2A3F" w14:textId="77777777" w:rsidR="00000000" w:rsidRDefault="001A570A">
            <w:pPr>
              <w:jc w:val="right"/>
              <w:rPr>
                <w:rFonts w:eastAsia="Times New Roman"/>
              </w:rPr>
            </w:pPr>
          </w:p>
        </w:tc>
      </w:tr>
      <w:tr w:rsidR="00000000" w14:paraId="6E551668" w14:textId="77777777">
        <w:trPr>
          <w:divId w:val="379323253"/>
        </w:trPr>
        <w:tc>
          <w:tcPr>
            <w:tcW w:w="0" w:type="auto"/>
            <w:gridSpan w:val="3"/>
            <w:shd w:val="clear" w:color="auto" w:fill="FFFFFF"/>
            <w:tcMar>
              <w:top w:w="30" w:type="dxa"/>
              <w:left w:w="380" w:type="dxa"/>
              <w:bottom w:w="30" w:type="dxa"/>
              <w:right w:w="20" w:type="dxa"/>
            </w:tcMar>
            <w:hideMark/>
          </w:tcPr>
          <w:p w14:paraId="70A45D89" w14:textId="77777777" w:rsidR="00000000" w:rsidRDefault="001A570A">
            <w:pPr>
              <w:rPr>
                <w:rFonts w:eastAsia="Times New Roman"/>
              </w:rPr>
            </w:pPr>
            <w:r>
              <w:rPr>
                <w:rFonts w:eastAsia="Times New Roman"/>
                <w:color w:val="000000"/>
                <w:sz w:val="20"/>
                <w:szCs w:val="20"/>
              </w:rPr>
              <w:t>International equities</w:t>
            </w:r>
          </w:p>
        </w:tc>
        <w:tc>
          <w:tcPr>
            <w:tcW w:w="0" w:type="auto"/>
            <w:gridSpan w:val="2"/>
            <w:shd w:val="clear" w:color="auto" w:fill="FFFFFF"/>
            <w:tcMar>
              <w:top w:w="30" w:type="dxa"/>
              <w:left w:w="20" w:type="dxa"/>
              <w:bottom w:w="30" w:type="dxa"/>
              <w:right w:w="0" w:type="dxa"/>
            </w:tcMar>
            <w:vAlign w:val="bottom"/>
            <w:hideMark/>
          </w:tcPr>
          <w:p w14:paraId="6CA53EB0" w14:textId="77777777" w:rsidR="00000000" w:rsidRDefault="001A570A">
            <w:pPr>
              <w:jc w:val="right"/>
              <w:rPr>
                <w:rFonts w:eastAsia="Times New Roman"/>
              </w:rPr>
            </w:pPr>
            <w:r>
              <w:rPr>
                <w:rFonts w:eastAsia="Times New Roman"/>
                <w:color w:val="000000"/>
                <w:sz w:val="20"/>
                <w:szCs w:val="20"/>
              </w:rPr>
              <w:t>1,280 </w:t>
            </w:r>
          </w:p>
        </w:tc>
        <w:tc>
          <w:tcPr>
            <w:tcW w:w="0" w:type="auto"/>
            <w:shd w:val="clear" w:color="auto" w:fill="FFFFFF"/>
            <w:tcMar>
              <w:top w:w="30" w:type="dxa"/>
              <w:left w:w="0" w:type="dxa"/>
              <w:bottom w:w="30" w:type="dxa"/>
              <w:right w:w="20" w:type="dxa"/>
            </w:tcMar>
            <w:vAlign w:val="bottom"/>
            <w:hideMark/>
          </w:tcPr>
          <w:p w14:paraId="1A62D1C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5E80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7230C0" w14:textId="77777777" w:rsidR="00000000" w:rsidRDefault="001A570A">
            <w:pPr>
              <w:jc w:val="right"/>
              <w:rPr>
                <w:rFonts w:eastAsia="Times New Roman"/>
              </w:rPr>
            </w:pPr>
            <w:r>
              <w:rPr>
                <w:rFonts w:eastAsia="Times New Roman"/>
                <w:color w:val="000000"/>
                <w:sz w:val="20"/>
                <w:szCs w:val="20"/>
              </w:rPr>
              <w:t>1,280 </w:t>
            </w:r>
          </w:p>
        </w:tc>
        <w:tc>
          <w:tcPr>
            <w:tcW w:w="0" w:type="auto"/>
            <w:shd w:val="clear" w:color="auto" w:fill="FFFFFF"/>
            <w:tcMar>
              <w:top w:w="30" w:type="dxa"/>
              <w:left w:w="0" w:type="dxa"/>
              <w:bottom w:w="30" w:type="dxa"/>
              <w:right w:w="20" w:type="dxa"/>
            </w:tcMar>
            <w:vAlign w:val="bottom"/>
            <w:hideMark/>
          </w:tcPr>
          <w:p w14:paraId="6AC50D0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229E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F352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86DA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F2F6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B64F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6DB8BD" w14:textId="77777777" w:rsidR="00000000" w:rsidRDefault="001A570A">
            <w:pPr>
              <w:jc w:val="right"/>
              <w:rPr>
                <w:rFonts w:eastAsia="Times New Roman"/>
              </w:rPr>
            </w:pPr>
          </w:p>
        </w:tc>
      </w:tr>
      <w:tr w:rsidR="00000000" w14:paraId="561EF265" w14:textId="77777777">
        <w:trPr>
          <w:divId w:val="379323253"/>
        </w:trPr>
        <w:tc>
          <w:tcPr>
            <w:tcW w:w="0" w:type="auto"/>
            <w:gridSpan w:val="3"/>
            <w:shd w:val="clear" w:color="auto" w:fill="CCEEFF"/>
            <w:tcMar>
              <w:top w:w="30" w:type="dxa"/>
              <w:left w:w="380" w:type="dxa"/>
              <w:bottom w:w="30" w:type="dxa"/>
              <w:right w:w="20" w:type="dxa"/>
            </w:tcMar>
            <w:hideMark/>
          </w:tcPr>
          <w:p w14:paraId="51497543" w14:textId="77777777" w:rsidR="00000000" w:rsidRDefault="001A570A">
            <w:pPr>
              <w:rPr>
                <w:rFonts w:eastAsia="Times New Roman"/>
              </w:rPr>
            </w:pPr>
            <w:r>
              <w:rPr>
                <w:rFonts w:eastAsia="Times New Roman"/>
                <w:color w:val="000000"/>
                <w:sz w:val="20"/>
                <w:szCs w:val="20"/>
              </w:rPr>
              <w:t>Real Estate Investment Trusts</w:t>
            </w:r>
          </w:p>
        </w:tc>
        <w:tc>
          <w:tcPr>
            <w:tcW w:w="0" w:type="auto"/>
            <w:gridSpan w:val="2"/>
            <w:shd w:val="clear" w:color="auto" w:fill="CCEEFF"/>
            <w:tcMar>
              <w:top w:w="30" w:type="dxa"/>
              <w:left w:w="20" w:type="dxa"/>
              <w:bottom w:w="30" w:type="dxa"/>
              <w:right w:w="0" w:type="dxa"/>
            </w:tcMar>
            <w:vAlign w:val="bottom"/>
            <w:hideMark/>
          </w:tcPr>
          <w:p w14:paraId="0A247152" w14:textId="77777777" w:rsidR="00000000" w:rsidRDefault="001A570A">
            <w:pPr>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14:paraId="331C126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BF64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23E659" w14:textId="77777777" w:rsidR="00000000" w:rsidRDefault="001A570A">
            <w:pPr>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14:paraId="4B48B5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5BF6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DE2C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1119B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4A19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8712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69C7B3" w14:textId="77777777" w:rsidR="00000000" w:rsidRDefault="001A570A">
            <w:pPr>
              <w:jc w:val="right"/>
              <w:rPr>
                <w:rFonts w:eastAsia="Times New Roman"/>
              </w:rPr>
            </w:pPr>
          </w:p>
        </w:tc>
      </w:tr>
      <w:tr w:rsidR="00000000" w14:paraId="6D078C1B" w14:textId="77777777">
        <w:trPr>
          <w:divId w:val="379323253"/>
        </w:trPr>
        <w:tc>
          <w:tcPr>
            <w:tcW w:w="0" w:type="auto"/>
            <w:gridSpan w:val="3"/>
            <w:vAlign w:val="center"/>
            <w:hideMark/>
          </w:tcPr>
          <w:p w14:paraId="7C45FAC2" w14:textId="77777777" w:rsidR="00000000" w:rsidRDefault="001A570A">
            <w:pPr>
              <w:jc w:val="right"/>
              <w:rPr>
                <w:rFonts w:eastAsia="Times New Roman"/>
                <w:sz w:val="20"/>
                <w:szCs w:val="20"/>
              </w:rPr>
            </w:pPr>
          </w:p>
        </w:tc>
        <w:tc>
          <w:tcPr>
            <w:tcW w:w="0" w:type="auto"/>
            <w:gridSpan w:val="3"/>
            <w:vAlign w:val="center"/>
            <w:hideMark/>
          </w:tcPr>
          <w:p w14:paraId="23B1DE2A" w14:textId="77777777" w:rsidR="00000000" w:rsidRDefault="001A570A">
            <w:pPr>
              <w:rPr>
                <w:rFonts w:eastAsia="Times New Roman"/>
                <w:sz w:val="20"/>
                <w:szCs w:val="20"/>
              </w:rPr>
            </w:pPr>
          </w:p>
        </w:tc>
        <w:tc>
          <w:tcPr>
            <w:tcW w:w="0" w:type="auto"/>
            <w:gridSpan w:val="3"/>
            <w:vAlign w:val="center"/>
            <w:hideMark/>
          </w:tcPr>
          <w:p w14:paraId="79A4A422" w14:textId="77777777" w:rsidR="00000000" w:rsidRDefault="001A570A">
            <w:pPr>
              <w:rPr>
                <w:rFonts w:eastAsia="Times New Roman"/>
                <w:sz w:val="20"/>
                <w:szCs w:val="20"/>
              </w:rPr>
            </w:pPr>
          </w:p>
        </w:tc>
        <w:tc>
          <w:tcPr>
            <w:tcW w:w="0" w:type="auto"/>
            <w:gridSpan w:val="3"/>
            <w:vAlign w:val="center"/>
            <w:hideMark/>
          </w:tcPr>
          <w:p w14:paraId="3C399301" w14:textId="77777777" w:rsidR="00000000" w:rsidRDefault="001A570A">
            <w:pPr>
              <w:rPr>
                <w:rFonts w:eastAsia="Times New Roman"/>
                <w:sz w:val="20"/>
                <w:szCs w:val="20"/>
              </w:rPr>
            </w:pPr>
          </w:p>
        </w:tc>
        <w:tc>
          <w:tcPr>
            <w:tcW w:w="0" w:type="auto"/>
            <w:gridSpan w:val="3"/>
            <w:vAlign w:val="center"/>
            <w:hideMark/>
          </w:tcPr>
          <w:p w14:paraId="07C96183" w14:textId="77777777" w:rsidR="00000000" w:rsidRDefault="001A570A">
            <w:pPr>
              <w:rPr>
                <w:rFonts w:eastAsia="Times New Roman"/>
                <w:sz w:val="20"/>
                <w:szCs w:val="20"/>
              </w:rPr>
            </w:pPr>
          </w:p>
        </w:tc>
        <w:tc>
          <w:tcPr>
            <w:tcW w:w="0" w:type="auto"/>
            <w:gridSpan w:val="3"/>
            <w:vAlign w:val="center"/>
            <w:hideMark/>
          </w:tcPr>
          <w:p w14:paraId="53AE9164" w14:textId="77777777" w:rsidR="00000000" w:rsidRDefault="001A570A">
            <w:pPr>
              <w:rPr>
                <w:rFonts w:eastAsia="Times New Roman"/>
                <w:sz w:val="20"/>
                <w:szCs w:val="20"/>
              </w:rPr>
            </w:pPr>
          </w:p>
        </w:tc>
        <w:tc>
          <w:tcPr>
            <w:tcW w:w="0" w:type="auto"/>
            <w:gridSpan w:val="3"/>
            <w:vAlign w:val="center"/>
            <w:hideMark/>
          </w:tcPr>
          <w:p w14:paraId="6B0C8902" w14:textId="77777777" w:rsidR="00000000" w:rsidRDefault="001A570A">
            <w:pPr>
              <w:rPr>
                <w:rFonts w:eastAsia="Times New Roman"/>
                <w:sz w:val="20"/>
                <w:szCs w:val="20"/>
              </w:rPr>
            </w:pPr>
          </w:p>
        </w:tc>
        <w:tc>
          <w:tcPr>
            <w:tcW w:w="0" w:type="auto"/>
            <w:gridSpan w:val="3"/>
            <w:vAlign w:val="center"/>
            <w:hideMark/>
          </w:tcPr>
          <w:p w14:paraId="5AF11034" w14:textId="77777777" w:rsidR="00000000" w:rsidRDefault="001A570A">
            <w:pPr>
              <w:rPr>
                <w:rFonts w:eastAsia="Times New Roman"/>
                <w:sz w:val="20"/>
                <w:szCs w:val="20"/>
              </w:rPr>
            </w:pPr>
          </w:p>
        </w:tc>
      </w:tr>
      <w:tr w:rsidR="00000000" w14:paraId="555AEA3C" w14:textId="77777777">
        <w:trPr>
          <w:divId w:val="379323253"/>
        </w:trPr>
        <w:tc>
          <w:tcPr>
            <w:tcW w:w="0" w:type="auto"/>
            <w:gridSpan w:val="3"/>
            <w:vAlign w:val="center"/>
            <w:hideMark/>
          </w:tcPr>
          <w:p w14:paraId="5596D341" w14:textId="77777777" w:rsidR="00000000" w:rsidRDefault="001A570A">
            <w:pPr>
              <w:rPr>
                <w:rFonts w:eastAsia="Times New Roman"/>
                <w:sz w:val="20"/>
                <w:szCs w:val="20"/>
              </w:rPr>
            </w:pPr>
          </w:p>
        </w:tc>
        <w:tc>
          <w:tcPr>
            <w:tcW w:w="0" w:type="auto"/>
            <w:gridSpan w:val="3"/>
            <w:vAlign w:val="center"/>
            <w:hideMark/>
          </w:tcPr>
          <w:p w14:paraId="163350BD" w14:textId="77777777" w:rsidR="00000000" w:rsidRDefault="001A570A">
            <w:pPr>
              <w:rPr>
                <w:rFonts w:eastAsia="Times New Roman"/>
                <w:sz w:val="20"/>
                <w:szCs w:val="20"/>
              </w:rPr>
            </w:pPr>
          </w:p>
        </w:tc>
        <w:tc>
          <w:tcPr>
            <w:tcW w:w="0" w:type="auto"/>
            <w:gridSpan w:val="3"/>
            <w:vAlign w:val="center"/>
            <w:hideMark/>
          </w:tcPr>
          <w:p w14:paraId="49AD1A42" w14:textId="77777777" w:rsidR="00000000" w:rsidRDefault="001A570A">
            <w:pPr>
              <w:rPr>
                <w:rFonts w:eastAsia="Times New Roman"/>
                <w:sz w:val="20"/>
                <w:szCs w:val="20"/>
              </w:rPr>
            </w:pPr>
          </w:p>
        </w:tc>
        <w:tc>
          <w:tcPr>
            <w:tcW w:w="0" w:type="auto"/>
            <w:gridSpan w:val="3"/>
            <w:vAlign w:val="center"/>
            <w:hideMark/>
          </w:tcPr>
          <w:p w14:paraId="10D52747" w14:textId="77777777" w:rsidR="00000000" w:rsidRDefault="001A570A">
            <w:pPr>
              <w:rPr>
                <w:rFonts w:eastAsia="Times New Roman"/>
                <w:sz w:val="20"/>
                <w:szCs w:val="20"/>
              </w:rPr>
            </w:pPr>
          </w:p>
        </w:tc>
        <w:tc>
          <w:tcPr>
            <w:tcW w:w="0" w:type="auto"/>
            <w:gridSpan w:val="3"/>
            <w:vAlign w:val="center"/>
            <w:hideMark/>
          </w:tcPr>
          <w:p w14:paraId="5C508557" w14:textId="77777777" w:rsidR="00000000" w:rsidRDefault="001A570A">
            <w:pPr>
              <w:rPr>
                <w:rFonts w:eastAsia="Times New Roman"/>
                <w:sz w:val="20"/>
                <w:szCs w:val="20"/>
              </w:rPr>
            </w:pPr>
          </w:p>
        </w:tc>
        <w:tc>
          <w:tcPr>
            <w:tcW w:w="0" w:type="auto"/>
            <w:gridSpan w:val="3"/>
            <w:vAlign w:val="center"/>
            <w:hideMark/>
          </w:tcPr>
          <w:p w14:paraId="18183D70" w14:textId="77777777" w:rsidR="00000000" w:rsidRDefault="001A570A">
            <w:pPr>
              <w:rPr>
                <w:rFonts w:eastAsia="Times New Roman"/>
                <w:sz w:val="20"/>
                <w:szCs w:val="20"/>
              </w:rPr>
            </w:pPr>
          </w:p>
        </w:tc>
        <w:tc>
          <w:tcPr>
            <w:tcW w:w="0" w:type="auto"/>
            <w:gridSpan w:val="3"/>
            <w:vAlign w:val="center"/>
            <w:hideMark/>
          </w:tcPr>
          <w:p w14:paraId="74F9BB90" w14:textId="77777777" w:rsidR="00000000" w:rsidRDefault="001A570A">
            <w:pPr>
              <w:rPr>
                <w:rFonts w:eastAsia="Times New Roman"/>
                <w:sz w:val="20"/>
                <w:szCs w:val="20"/>
              </w:rPr>
            </w:pPr>
          </w:p>
        </w:tc>
        <w:tc>
          <w:tcPr>
            <w:tcW w:w="0" w:type="auto"/>
            <w:gridSpan w:val="3"/>
            <w:vAlign w:val="center"/>
            <w:hideMark/>
          </w:tcPr>
          <w:p w14:paraId="2B9D8743" w14:textId="77777777" w:rsidR="00000000" w:rsidRDefault="001A570A">
            <w:pPr>
              <w:rPr>
                <w:rFonts w:eastAsia="Times New Roman"/>
                <w:sz w:val="20"/>
                <w:szCs w:val="20"/>
              </w:rPr>
            </w:pPr>
          </w:p>
        </w:tc>
      </w:tr>
      <w:tr w:rsidR="00000000" w14:paraId="0C44DE69" w14:textId="77777777">
        <w:trPr>
          <w:divId w:val="379323253"/>
        </w:trPr>
        <w:tc>
          <w:tcPr>
            <w:tcW w:w="0" w:type="auto"/>
            <w:gridSpan w:val="3"/>
            <w:vAlign w:val="center"/>
            <w:hideMark/>
          </w:tcPr>
          <w:p w14:paraId="1BD8D1EC" w14:textId="77777777" w:rsidR="00000000" w:rsidRDefault="001A570A">
            <w:pPr>
              <w:rPr>
                <w:rFonts w:eastAsia="Times New Roman"/>
                <w:sz w:val="20"/>
                <w:szCs w:val="20"/>
              </w:rPr>
            </w:pPr>
          </w:p>
        </w:tc>
        <w:tc>
          <w:tcPr>
            <w:tcW w:w="0" w:type="auto"/>
            <w:gridSpan w:val="3"/>
            <w:vAlign w:val="center"/>
            <w:hideMark/>
          </w:tcPr>
          <w:p w14:paraId="67FA0135" w14:textId="77777777" w:rsidR="00000000" w:rsidRDefault="001A570A">
            <w:pPr>
              <w:rPr>
                <w:rFonts w:eastAsia="Times New Roman"/>
                <w:sz w:val="20"/>
                <w:szCs w:val="20"/>
              </w:rPr>
            </w:pPr>
          </w:p>
        </w:tc>
        <w:tc>
          <w:tcPr>
            <w:tcW w:w="0" w:type="auto"/>
            <w:gridSpan w:val="3"/>
            <w:vAlign w:val="center"/>
            <w:hideMark/>
          </w:tcPr>
          <w:p w14:paraId="7D0D2A1D" w14:textId="77777777" w:rsidR="00000000" w:rsidRDefault="001A570A">
            <w:pPr>
              <w:rPr>
                <w:rFonts w:eastAsia="Times New Roman"/>
                <w:sz w:val="20"/>
                <w:szCs w:val="20"/>
              </w:rPr>
            </w:pPr>
          </w:p>
        </w:tc>
        <w:tc>
          <w:tcPr>
            <w:tcW w:w="0" w:type="auto"/>
            <w:gridSpan w:val="3"/>
            <w:vAlign w:val="center"/>
            <w:hideMark/>
          </w:tcPr>
          <w:p w14:paraId="7D158EE5" w14:textId="77777777" w:rsidR="00000000" w:rsidRDefault="001A570A">
            <w:pPr>
              <w:rPr>
                <w:rFonts w:eastAsia="Times New Roman"/>
                <w:sz w:val="20"/>
                <w:szCs w:val="20"/>
              </w:rPr>
            </w:pPr>
          </w:p>
        </w:tc>
        <w:tc>
          <w:tcPr>
            <w:tcW w:w="0" w:type="auto"/>
            <w:gridSpan w:val="3"/>
            <w:vAlign w:val="center"/>
            <w:hideMark/>
          </w:tcPr>
          <w:p w14:paraId="3F17EAD7" w14:textId="77777777" w:rsidR="00000000" w:rsidRDefault="001A570A">
            <w:pPr>
              <w:rPr>
                <w:rFonts w:eastAsia="Times New Roman"/>
                <w:sz w:val="20"/>
                <w:szCs w:val="20"/>
              </w:rPr>
            </w:pPr>
          </w:p>
        </w:tc>
        <w:tc>
          <w:tcPr>
            <w:tcW w:w="0" w:type="auto"/>
            <w:gridSpan w:val="3"/>
            <w:vAlign w:val="center"/>
            <w:hideMark/>
          </w:tcPr>
          <w:p w14:paraId="1399197E" w14:textId="77777777" w:rsidR="00000000" w:rsidRDefault="001A570A">
            <w:pPr>
              <w:rPr>
                <w:rFonts w:eastAsia="Times New Roman"/>
                <w:sz w:val="20"/>
                <w:szCs w:val="20"/>
              </w:rPr>
            </w:pPr>
          </w:p>
        </w:tc>
        <w:tc>
          <w:tcPr>
            <w:tcW w:w="0" w:type="auto"/>
            <w:gridSpan w:val="3"/>
            <w:vAlign w:val="center"/>
            <w:hideMark/>
          </w:tcPr>
          <w:p w14:paraId="7373B303" w14:textId="77777777" w:rsidR="00000000" w:rsidRDefault="001A570A">
            <w:pPr>
              <w:rPr>
                <w:rFonts w:eastAsia="Times New Roman"/>
                <w:sz w:val="20"/>
                <w:szCs w:val="20"/>
              </w:rPr>
            </w:pPr>
          </w:p>
        </w:tc>
        <w:tc>
          <w:tcPr>
            <w:tcW w:w="0" w:type="auto"/>
            <w:gridSpan w:val="3"/>
            <w:vAlign w:val="center"/>
            <w:hideMark/>
          </w:tcPr>
          <w:p w14:paraId="38A77BCB" w14:textId="77777777" w:rsidR="00000000" w:rsidRDefault="001A570A">
            <w:pPr>
              <w:rPr>
                <w:rFonts w:eastAsia="Times New Roman"/>
                <w:sz w:val="20"/>
                <w:szCs w:val="20"/>
              </w:rPr>
            </w:pPr>
          </w:p>
        </w:tc>
      </w:tr>
      <w:tr w:rsidR="00000000" w14:paraId="6E16CF16" w14:textId="77777777">
        <w:trPr>
          <w:divId w:val="379323253"/>
        </w:trPr>
        <w:tc>
          <w:tcPr>
            <w:tcW w:w="0" w:type="auto"/>
            <w:gridSpan w:val="3"/>
            <w:vAlign w:val="center"/>
            <w:hideMark/>
          </w:tcPr>
          <w:p w14:paraId="49151672" w14:textId="77777777" w:rsidR="00000000" w:rsidRDefault="001A570A">
            <w:pPr>
              <w:rPr>
                <w:rFonts w:eastAsia="Times New Roman"/>
                <w:sz w:val="20"/>
                <w:szCs w:val="20"/>
              </w:rPr>
            </w:pPr>
          </w:p>
        </w:tc>
        <w:tc>
          <w:tcPr>
            <w:tcW w:w="0" w:type="auto"/>
            <w:gridSpan w:val="3"/>
            <w:vAlign w:val="center"/>
            <w:hideMark/>
          </w:tcPr>
          <w:p w14:paraId="490AE503" w14:textId="77777777" w:rsidR="00000000" w:rsidRDefault="001A570A">
            <w:pPr>
              <w:rPr>
                <w:rFonts w:eastAsia="Times New Roman"/>
                <w:sz w:val="20"/>
                <w:szCs w:val="20"/>
              </w:rPr>
            </w:pPr>
          </w:p>
        </w:tc>
        <w:tc>
          <w:tcPr>
            <w:tcW w:w="0" w:type="auto"/>
            <w:gridSpan w:val="3"/>
            <w:vAlign w:val="center"/>
            <w:hideMark/>
          </w:tcPr>
          <w:p w14:paraId="42007683" w14:textId="77777777" w:rsidR="00000000" w:rsidRDefault="001A570A">
            <w:pPr>
              <w:rPr>
                <w:rFonts w:eastAsia="Times New Roman"/>
                <w:sz w:val="20"/>
                <w:szCs w:val="20"/>
              </w:rPr>
            </w:pPr>
          </w:p>
        </w:tc>
        <w:tc>
          <w:tcPr>
            <w:tcW w:w="0" w:type="auto"/>
            <w:gridSpan w:val="3"/>
            <w:vAlign w:val="center"/>
            <w:hideMark/>
          </w:tcPr>
          <w:p w14:paraId="26CF51F0" w14:textId="77777777" w:rsidR="00000000" w:rsidRDefault="001A570A">
            <w:pPr>
              <w:rPr>
                <w:rFonts w:eastAsia="Times New Roman"/>
                <w:sz w:val="20"/>
                <w:szCs w:val="20"/>
              </w:rPr>
            </w:pPr>
          </w:p>
        </w:tc>
        <w:tc>
          <w:tcPr>
            <w:tcW w:w="0" w:type="auto"/>
            <w:gridSpan w:val="3"/>
            <w:vAlign w:val="center"/>
            <w:hideMark/>
          </w:tcPr>
          <w:p w14:paraId="7A872F90" w14:textId="77777777" w:rsidR="00000000" w:rsidRDefault="001A570A">
            <w:pPr>
              <w:rPr>
                <w:rFonts w:eastAsia="Times New Roman"/>
                <w:sz w:val="20"/>
                <w:szCs w:val="20"/>
              </w:rPr>
            </w:pPr>
          </w:p>
        </w:tc>
        <w:tc>
          <w:tcPr>
            <w:tcW w:w="0" w:type="auto"/>
            <w:gridSpan w:val="3"/>
            <w:vAlign w:val="center"/>
            <w:hideMark/>
          </w:tcPr>
          <w:p w14:paraId="2F389D2D" w14:textId="77777777" w:rsidR="00000000" w:rsidRDefault="001A570A">
            <w:pPr>
              <w:rPr>
                <w:rFonts w:eastAsia="Times New Roman"/>
                <w:sz w:val="20"/>
                <w:szCs w:val="20"/>
              </w:rPr>
            </w:pPr>
          </w:p>
        </w:tc>
        <w:tc>
          <w:tcPr>
            <w:tcW w:w="0" w:type="auto"/>
            <w:gridSpan w:val="3"/>
            <w:vAlign w:val="center"/>
            <w:hideMark/>
          </w:tcPr>
          <w:p w14:paraId="29F2968C" w14:textId="77777777" w:rsidR="00000000" w:rsidRDefault="001A570A">
            <w:pPr>
              <w:rPr>
                <w:rFonts w:eastAsia="Times New Roman"/>
                <w:sz w:val="20"/>
                <w:szCs w:val="20"/>
              </w:rPr>
            </w:pPr>
          </w:p>
        </w:tc>
        <w:tc>
          <w:tcPr>
            <w:tcW w:w="0" w:type="auto"/>
            <w:gridSpan w:val="3"/>
            <w:vAlign w:val="center"/>
            <w:hideMark/>
          </w:tcPr>
          <w:p w14:paraId="5A865279" w14:textId="77777777" w:rsidR="00000000" w:rsidRDefault="001A570A">
            <w:pPr>
              <w:rPr>
                <w:rFonts w:eastAsia="Times New Roman"/>
                <w:sz w:val="20"/>
                <w:szCs w:val="20"/>
              </w:rPr>
            </w:pPr>
          </w:p>
        </w:tc>
      </w:tr>
      <w:tr w:rsidR="00000000" w14:paraId="39B0ECEB" w14:textId="77777777">
        <w:trPr>
          <w:divId w:val="379323253"/>
        </w:trPr>
        <w:tc>
          <w:tcPr>
            <w:tcW w:w="0" w:type="auto"/>
            <w:gridSpan w:val="3"/>
            <w:shd w:val="clear" w:color="auto" w:fill="FFFFFF"/>
            <w:tcMar>
              <w:top w:w="30" w:type="dxa"/>
              <w:left w:w="155" w:type="dxa"/>
              <w:bottom w:w="30" w:type="dxa"/>
              <w:right w:w="20" w:type="dxa"/>
            </w:tcMar>
            <w:hideMark/>
          </w:tcPr>
          <w:p w14:paraId="7C1364BE" w14:textId="77777777" w:rsidR="00000000" w:rsidRDefault="001A570A">
            <w:pPr>
              <w:rPr>
                <w:rFonts w:eastAsia="Times New Roman"/>
              </w:rPr>
            </w:pPr>
            <w:r>
              <w:rPr>
                <w:rFonts w:eastAsia="Times New Roman"/>
                <w:color w:val="000000"/>
                <w:sz w:val="20"/>
                <w:szCs w:val="20"/>
              </w:rPr>
              <w:t>Fixed income:</w:t>
            </w:r>
          </w:p>
        </w:tc>
        <w:tc>
          <w:tcPr>
            <w:tcW w:w="0" w:type="auto"/>
            <w:gridSpan w:val="3"/>
            <w:shd w:val="clear" w:color="auto" w:fill="FFFFFF"/>
            <w:tcMar>
              <w:top w:w="0" w:type="dxa"/>
              <w:left w:w="20" w:type="dxa"/>
              <w:bottom w:w="0" w:type="dxa"/>
              <w:right w:w="20" w:type="dxa"/>
            </w:tcMar>
            <w:vAlign w:val="center"/>
            <w:hideMark/>
          </w:tcPr>
          <w:p w14:paraId="0F0CC0A4"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7118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78E3A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C255B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EEB1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6D2E7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B6650" w14:textId="77777777" w:rsidR="00000000" w:rsidRDefault="001A570A">
            <w:pPr>
              <w:rPr>
                <w:rFonts w:eastAsia="Times New Roman"/>
                <w:sz w:val="20"/>
                <w:szCs w:val="20"/>
              </w:rPr>
            </w:pPr>
          </w:p>
        </w:tc>
      </w:tr>
      <w:tr w:rsidR="00000000" w14:paraId="65B065B8" w14:textId="77777777">
        <w:trPr>
          <w:divId w:val="379323253"/>
        </w:trPr>
        <w:tc>
          <w:tcPr>
            <w:tcW w:w="0" w:type="auto"/>
            <w:gridSpan w:val="3"/>
            <w:shd w:val="clear" w:color="auto" w:fill="CCEEFF"/>
            <w:tcMar>
              <w:top w:w="30" w:type="dxa"/>
              <w:left w:w="380" w:type="dxa"/>
              <w:bottom w:w="30" w:type="dxa"/>
              <w:right w:w="20" w:type="dxa"/>
            </w:tcMar>
            <w:hideMark/>
          </w:tcPr>
          <w:p w14:paraId="537DD5C0" w14:textId="77777777" w:rsidR="00000000" w:rsidRDefault="001A570A">
            <w:pPr>
              <w:rPr>
                <w:rFonts w:eastAsia="Times New Roman"/>
              </w:rPr>
            </w:pPr>
            <w:r>
              <w:rPr>
                <w:rFonts w:eastAsia="Times New Roman"/>
                <w:color w:val="000000"/>
                <w:sz w:val="20"/>
                <w:szCs w:val="20"/>
              </w:rPr>
              <w:t>Corporate bonds</w:t>
            </w:r>
          </w:p>
        </w:tc>
        <w:tc>
          <w:tcPr>
            <w:tcW w:w="0" w:type="auto"/>
            <w:gridSpan w:val="2"/>
            <w:shd w:val="clear" w:color="auto" w:fill="CCEEFF"/>
            <w:tcMar>
              <w:top w:w="30" w:type="dxa"/>
              <w:left w:w="20" w:type="dxa"/>
              <w:bottom w:w="30" w:type="dxa"/>
              <w:right w:w="0" w:type="dxa"/>
            </w:tcMar>
            <w:vAlign w:val="bottom"/>
            <w:hideMark/>
          </w:tcPr>
          <w:p w14:paraId="1D7E138C" w14:textId="77777777" w:rsidR="00000000" w:rsidRDefault="001A570A">
            <w:pPr>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14:paraId="08C0B1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224C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979D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C463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3842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90AE25" w14:textId="77777777" w:rsidR="00000000" w:rsidRDefault="001A570A">
            <w:pPr>
              <w:jc w:val="right"/>
              <w:rPr>
                <w:rFonts w:eastAsia="Times New Roman"/>
              </w:rPr>
            </w:pPr>
            <w:r>
              <w:rPr>
                <w:rFonts w:eastAsia="Times New Roman"/>
                <w:color w:val="000000"/>
                <w:sz w:val="20"/>
                <w:szCs w:val="20"/>
              </w:rPr>
              <w:t>1,422 </w:t>
            </w:r>
          </w:p>
        </w:tc>
        <w:tc>
          <w:tcPr>
            <w:tcW w:w="0" w:type="auto"/>
            <w:shd w:val="clear" w:color="auto" w:fill="CCEEFF"/>
            <w:tcMar>
              <w:top w:w="30" w:type="dxa"/>
              <w:left w:w="0" w:type="dxa"/>
              <w:bottom w:w="30" w:type="dxa"/>
              <w:right w:w="20" w:type="dxa"/>
            </w:tcMar>
            <w:vAlign w:val="bottom"/>
            <w:hideMark/>
          </w:tcPr>
          <w:p w14:paraId="5075984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FF00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714C7"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2234FBE6" w14:textId="77777777" w:rsidR="00000000" w:rsidRDefault="001A570A">
            <w:pPr>
              <w:jc w:val="right"/>
              <w:rPr>
                <w:rFonts w:eastAsia="Times New Roman"/>
              </w:rPr>
            </w:pPr>
          </w:p>
        </w:tc>
      </w:tr>
      <w:tr w:rsidR="00000000" w14:paraId="5E102D53" w14:textId="77777777">
        <w:trPr>
          <w:divId w:val="379323253"/>
        </w:trPr>
        <w:tc>
          <w:tcPr>
            <w:tcW w:w="0" w:type="auto"/>
            <w:gridSpan w:val="3"/>
            <w:shd w:val="clear" w:color="auto" w:fill="FFFFFF"/>
            <w:tcMar>
              <w:top w:w="30" w:type="dxa"/>
              <w:left w:w="380" w:type="dxa"/>
              <w:bottom w:w="30" w:type="dxa"/>
              <w:right w:w="20" w:type="dxa"/>
            </w:tcMar>
            <w:hideMark/>
          </w:tcPr>
          <w:p w14:paraId="3B3B2267" w14:textId="77777777" w:rsidR="00000000" w:rsidRDefault="001A570A">
            <w:pPr>
              <w:rPr>
                <w:rFonts w:eastAsia="Times New Roman"/>
              </w:rPr>
            </w:pPr>
            <w:r>
              <w:rPr>
                <w:rFonts w:eastAsia="Times New Roman"/>
                <w:color w:val="000000"/>
                <w:sz w:val="20"/>
                <w:szCs w:val="20"/>
              </w:rPr>
              <w:t>Government securities</w:t>
            </w:r>
          </w:p>
        </w:tc>
        <w:tc>
          <w:tcPr>
            <w:tcW w:w="0" w:type="auto"/>
            <w:gridSpan w:val="2"/>
            <w:shd w:val="clear" w:color="auto" w:fill="FFFFFF"/>
            <w:tcMar>
              <w:top w:w="30" w:type="dxa"/>
              <w:left w:w="20" w:type="dxa"/>
              <w:bottom w:w="30" w:type="dxa"/>
              <w:right w:w="0" w:type="dxa"/>
            </w:tcMar>
            <w:vAlign w:val="bottom"/>
            <w:hideMark/>
          </w:tcPr>
          <w:p w14:paraId="66A3AC19" w14:textId="77777777" w:rsidR="00000000" w:rsidRDefault="001A570A">
            <w:pPr>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14:paraId="300E1D6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A44C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7DF3D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FF6B2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D681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E2BEB" w14:textId="77777777" w:rsidR="00000000" w:rsidRDefault="001A570A">
            <w:pPr>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14:paraId="10F7A4C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80D1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9A7C0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93EDA1" w14:textId="77777777" w:rsidR="00000000" w:rsidRDefault="001A570A">
            <w:pPr>
              <w:jc w:val="right"/>
              <w:rPr>
                <w:rFonts w:eastAsia="Times New Roman"/>
              </w:rPr>
            </w:pPr>
          </w:p>
        </w:tc>
      </w:tr>
      <w:tr w:rsidR="00000000" w14:paraId="08774DAB" w14:textId="77777777">
        <w:trPr>
          <w:divId w:val="379323253"/>
        </w:trPr>
        <w:tc>
          <w:tcPr>
            <w:tcW w:w="0" w:type="auto"/>
            <w:gridSpan w:val="3"/>
            <w:shd w:val="clear" w:color="auto" w:fill="CCEEFF"/>
            <w:tcMar>
              <w:top w:w="30" w:type="dxa"/>
              <w:left w:w="380" w:type="dxa"/>
              <w:bottom w:w="30" w:type="dxa"/>
              <w:right w:w="20" w:type="dxa"/>
            </w:tcMar>
            <w:hideMark/>
          </w:tcPr>
          <w:p w14:paraId="2DA7C276" w14:textId="77777777" w:rsidR="00000000" w:rsidRDefault="001A570A">
            <w:pPr>
              <w:rPr>
                <w:rFonts w:eastAsia="Times New Roman"/>
              </w:rPr>
            </w:pPr>
            <w:r>
              <w:rPr>
                <w:rFonts w:eastAsia="Times New Roman"/>
                <w:color w:val="000000"/>
                <w:sz w:val="20"/>
                <w:szCs w:val="20"/>
              </w:rPr>
              <w:t>Securitized assets</w:t>
            </w:r>
          </w:p>
        </w:tc>
        <w:tc>
          <w:tcPr>
            <w:tcW w:w="0" w:type="auto"/>
            <w:gridSpan w:val="2"/>
            <w:shd w:val="clear" w:color="auto" w:fill="CCEEFF"/>
            <w:tcMar>
              <w:top w:w="30" w:type="dxa"/>
              <w:left w:w="20" w:type="dxa"/>
              <w:bottom w:w="30" w:type="dxa"/>
              <w:right w:w="0" w:type="dxa"/>
            </w:tcMar>
            <w:vAlign w:val="bottom"/>
            <w:hideMark/>
          </w:tcPr>
          <w:p w14:paraId="17DC05A2" w14:textId="77777777" w:rsidR="00000000" w:rsidRDefault="001A570A">
            <w:pPr>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14:paraId="6ED0C66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76FB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5E90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AA26D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193E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4A1F2" w14:textId="77777777" w:rsidR="00000000" w:rsidRDefault="001A570A">
            <w:pPr>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14:paraId="7AB5994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5326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A45B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C2850E" w14:textId="77777777" w:rsidR="00000000" w:rsidRDefault="001A570A">
            <w:pPr>
              <w:jc w:val="right"/>
              <w:rPr>
                <w:rFonts w:eastAsia="Times New Roman"/>
              </w:rPr>
            </w:pPr>
          </w:p>
        </w:tc>
      </w:tr>
      <w:tr w:rsidR="00000000" w14:paraId="63731E44" w14:textId="77777777">
        <w:trPr>
          <w:divId w:val="379323253"/>
        </w:trPr>
        <w:tc>
          <w:tcPr>
            <w:tcW w:w="0" w:type="auto"/>
            <w:gridSpan w:val="3"/>
            <w:shd w:val="clear" w:color="auto" w:fill="FFFFFF"/>
            <w:tcMar>
              <w:top w:w="30" w:type="dxa"/>
              <w:left w:w="380" w:type="dxa"/>
              <w:bottom w:w="30" w:type="dxa"/>
              <w:right w:w="20" w:type="dxa"/>
            </w:tcMar>
            <w:hideMark/>
          </w:tcPr>
          <w:p w14:paraId="63EB5C08" w14:textId="77777777" w:rsidR="00000000" w:rsidRDefault="001A570A">
            <w:pPr>
              <w:rPr>
                <w:rFonts w:eastAsia="Times New Roman"/>
              </w:rPr>
            </w:pPr>
            <w:r>
              <w:rPr>
                <w:rFonts w:eastAsia="Times New Roman"/>
                <w:color w:val="000000"/>
                <w:sz w:val="20"/>
                <w:szCs w:val="20"/>
              </w:rPr>
              <w:t>Fixed income funds</w:t>
            </w:r>
          </w:p>
        </w:tc>
        <w:tc>
          <w:tcPr>
            <w:tcW w:w="0" w:type="auto"/>
            <w:gridSpan w:val="2"/>
            <w:shd w:val="clear" w:color="auto" w:fill="FFFFFF"/>
            <w:tcMar>
              <w:top w:w="30" w:type="dxa"/>
              <w:left w:w="20" w:type="dxa"/>
              <w:bottom w:w="30" w:type="dxa"/>
              <w:right w:w="0" w:type="dxa"/>
            </w:tcMar>
            <w:vAlign w:val="bottom"/>
            <w:hideMark/>
          </w:tcPr>
          <w:p w14:paraId="5736809D" w14:textId="77777777" w:rsidR="00000000" w:rsidRDefault="001A570A">
            <w:pPr>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14:paraId="60F0DB7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0CC5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CB49E" w14:textId="77777777" w:rsidR="00000000" w:rsidRDefault="001A570A">
            <w:pPr>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14:paraId="55BA116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9730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FDD31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98F3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F1D5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048FD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0F9FD3" w14:textId="77777777" w:rsidR="00000000" w:rsidRDefault="001A570A">
            <w:pPr>
              <w:jc w:val="right"/>
              <w:rPr>
                <w:rFonts w:eastAsia="Times New Roman"/>
              </w:rPr>
            </w:pPr>
          </w:p>
        </w:tc>
      </w:tr>
      <w:tr w:rsidR="00000000" w14:paraId="0AC50126" w14:textId="77777777">
        <w:trPr>
          <w:divId w:val="379323253"/>
        </w:trPr>
        <w:tc>
          <w:tcPr>
            <w:tcW w:w="0" w:type="auto"/>
            <w:gridSpan w:val="3"/>
            <w:shd w:val="clear" w:color="auto" w:fill="CCEEFF"/>
            <w:tcMar>
              <w:top w:w="30" w:type="dxa"/>
              <w:left w:w="155" w:type="dxa"/>
              <w:bottom w:w="30" w:type="dxa"/>
              <w:right w:w="20" w:type="dxa"/>
            </w:tcMar>
            <w:hideMark/>
          </w:tcPr>
          <w:p w14:paraId="525D14E2"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57F6F772"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87FA5F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F78A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4A32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437B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E80B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FD698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C5AFC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5B31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584D4"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0258752" w14:textId="77777777" w:rsidR="00000000" w:rsidRDefault="001A570A">
            <w:pPr>
              <w:jc w:val="right"/>
              <w:rPr>
                <w:rFonts w:eastAsia="Times New Roman"/>
              </w:rPr>
            </w:pPr>
          </w:p>
        </w:tc>
      </w:tr>
      <w:tr w:rsidR="00000000" w14:paraId="4471B96F" w14:textId="77777777">
        <w:trPr>
          <w:divId w:val="379323253"/>
        </w:trPr>
        <w:tc>
          <w:tcPr>
            <w:tcW w:w="0" w:type="auto"/>
            <w:gridSpan w:val="3"/>
            <w:shd w:val="clear" w:color="auto" w:fill="FFFFFF"/>
            <w:tcMar>
              <w:top w:w="30" w:type="dxa"/>
              <w:left w:w="155" w:type="dxa"/>
              <w:bottom w:w="30" w:type="dxa"/>
              <w:right w:w="20" w:type="dxa"/>
            </w:tcMar>
            <w:hideMark/>
          </w:tcPr>
          <w:p w14:paraId="42C9D6A9" w14:textId="77777777" w:rsidR="00000000" w:rsidRDefault="001A570A">
            <w:pPr>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14:paraId="543CF2A7" w14:textId="77777777" w:rsidR="00000000" w:rsidRDefault="001A570A">
            <w:pPr>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14:paraId="4135C1A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37E2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BB7D9" w14:textId="77777777" w:rsidR="00000000" w:rsidRDefault="001A570A">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1E68C83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5AB4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91066" w14:textId="77777777" w:rsidR="00000000" w:rsidRDefault="001A570A">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14:paraId="5096DC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E332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CE40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65260D" w14:textId="77777777" w:rsidR="00000000" w:rsidRDefault="001A570A">
            <w:pPr>
              <w:jc w:val="right"/>
              <w:rPr>
                <w:rFonts w:eastAsia="Times New Roman"/>
              </w:rPr>
            </w:pPr>
          </w:p>
        </w:tc>
      </w:tr>
      <w:tr w:rsidR="00000000" w14:paraId="76A209CC" w14:textId="77777777">
        <w:trPr>
          <w:divId w:val="379323253"/>
        </w:trPr>
        <w:tc>
          <w:tcPr>
            <w:tcW w:w="0" w:type="auto"/>
            <w:gridSpan w:val="3"/>
            <w:shd w:val="clear" w:color="auto" w:fill="CCEEFF"/>
            <w:tcMar>
              <w:top w:w="30" w:type="dxa"/>
              <w:left w:w="20" w:type="dxa"/>
              <w:bottom w:w="30" w:type="dxa"/>
              <w:right w:w="20" w:type="dxa"/>
            </w:tcMar>
            <w:hideMark/>
          </w:tcPr>
          <w:p w14:paraId="59E3A2C7" w14:textId="77777777" w:rsidR="00000000" w:rsidRDefault="001A570A">
            <w:pPr>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E882C3" w14:textId="77777777" w:rsidR="00000000" w:rsidRDefault="001A570A">
            <w:pPr>
              <w:jc w:val="right"/>
              <w:rPr>
                <w:rFonts w:eastAsia="Times New Roman"/>
              </w:rPr>
            </w:pPr>
            <w:r>
              <w:rPr>
                <w:rFonts w:eastAsia="Times New Roman"/>
                <w:color w:val="000000"/>
                <w:sz w:val="20"/>
                <w:szCs w:val="20"/>
              </w:rPr>
              <w:t>5,395 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ED3DD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A5A7C"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1E512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1BA2EE" w14:textId="77777777" w:rsidR="00000000" w:rsidRDefault="001A570A">
            <w:pPr>
              <w:jc w:val="right"/>
              <w:rPr>
                <w:rFonts w:eastAsia="Times New Roman"/>
              </w:rPr>
            </w:pPr>
            <w:r>
              <w:rPr>
                <w:rFonts w:eastAsia="Times New Roman"/>
                <w:color w:val="000000"/>
                <w:sz w:val="20"/>
                <w:szCs w:val="20"/>
              </w:rPr>
              <w:t>3,129 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6379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E6481"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F296D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924246" w14:textId="77777777" w:rsidR="00000000" w:rsidRDefault="001A570A">
            <w:pPr>
              <w:jc w:val="right"/>
              <w:rPr>
                <w:rFonts w:eastAsia="Times New Roman"/>
              </w:rPr>
            </w:pPr>
            <w:r>
              <w:rPr>
                <w:rFonts w:eastAsia="Times New Roman"/>
                <w:color w:val="000000"/>
                <w:sz w:val="20"/>
                <w:szCs w:val="20"/>
              </w:rPr>
              <w:t>2,239 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0554D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58F87"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B027F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F9836D" w14:textId="77777777" w:rsidR="00000000" w:rsidRDefault="001A570A">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33A086" w14:textId="77777777" w:rsidR="00000000" w:rsidRDefault="001A570A">
            <w:pPr>
              <w:jc w:val="right"/>
              <w:rPr>
                <w:rFonts w:eastAsia="Times New Roman"/>
              </w:rPr>
            </w:pPr>
          </w:p>
        </w:tc>
      </w:tr>
      <w:tr w:rsidR="00000000" w14:paraId="6C4DBEA9" w14:textId="77777777">
        <w:trPr>
          <w:divId w:val="379323253"/>
        </w:trPr>
        <w:tc>
          <w:tcPr>
            <w:tcW w:w="0" w:type="auto"/>
            <w:gridSpan w:val="3"/>
            <w:shd w:val="clear" w:color="auto" w:fill="FFFFFF"/>
            <w:tcMar>
              <w:top w:w="30" w:type="dxa"/>
              <w:left w:w="20" w:type="dxa"/>
              <w:bottom w:w="30" w:type="dxa"/>
              <w:right w:w="20" w:type="dxa"/>
            </w:tcMar>
            <w:hideMark/>
          </w:tcPr>
          <w:p w14:paraId="415EBE23" w14:textId="77777777" w:rsidR="00000000" w:rsidRDefault="001A570A">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6AB11543"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98F4C"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4B15E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94EB3C"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11110E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C11E10"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AB50F5" w14:textId="77777777" w:rsidR="00000000" w:rsidRDefault="001A570A">
            <w:pPr>
              <w:rPr>
                <w:rFonts w:eastAsia="Times New Roman"/>
                <w:sz w:val="20"/>
                <w:szCs w:val="20"/>
              </w:rPr>
            </w:pPr>
          </w:p>
        </w:tc>
      </w:tr>
      <w:tr w:rsidR="00000000" w14:paraId="2E17DE9D" w14:textId="77777777">
        <w:trPr>
          <w:divId w:val="379323253"/>
        </w:trPr>
        <w:tc>
          <w:tcPr>
            <w:tcW w:w="0" w:type="auto"/>
            <w:gridSpan w:val="3"/>
            <w:shd w:val="clear" w:color="auto" w:fill="CCEEFF"/>
            <w:tcMar>
              <w:top w:w="30" w:type="dxa"/>
              <w:left w:w="245" w:type="dxa"/>
              <w:bottom w:w="30" w:type="dxa"/>
              <w:right w:w="20" w:type="dxa"/>
            </w:tcMar>
            <w:hideMark/>
          </w:tcPr>
          <w:p w14:paraId="7D985CAA" w14:textId="77777777" w:rsidR="00000000" w:rsidRDefault="001A570A">
            <w:pPr>
              <w:rPr>
                <w:rFonts w:eastAsia="Times New Roman"/>
              </w:rPr>
            </w:pPr>
            <w:r>
              <w:rPr>
                <w:rFonts w:eastAsia="Times New Roman"/>
                <w:color w:val="000000"/>
                <w:sz w:val="20"/>
                <w:szCs w:val="20"/>
              </w:rPr>
              <w:t>Equity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927EEF3" w14:textId="77777777" w:rsidR="00000000" w:rsidRDefault="001A570A">
            <w:pPr>
              <w:jc w:val="right"/>
              <w:rPr>
                <w:rFonts w:eastAsia="Times New Roman"/>
              </w:rPr>
            </w:pPr>
            <w:r>
              <w:rPr>
                <w:rFonts w:eastAsia="Times New Roman"/>
                <w:color w:val="000000"/>
                <w:sz w:val="20"/>
                <w:szCs w:val="20"/>
              </w:rPr>
              <w:t>3,088 </w:t>
            </w:r>
          </w:p>
        </w:tc>
        <w:tc>
          <w:tcPr>
            <w:tcW w:w="0" w:type="auto"/>
            <w:shd w:val="clear" w:color="auto" w:fill="CCEEFF"/>
            <w:tcMar>
              <w:top w:w="30" w:type="dxa"/>
              <w:left w:w="0" w:type="dxa"/>
              <w:bottom w:w="30" w:type="dxa"/>
              <w:right w:w="20" w:type="dxa"/>
            </w:tcMar>
            <w:vAlign w:val="bottom"/>
            <w:hideMark/>
          </w:tcPr>
          <w:p w14:paraId="6C06D09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D3BC5"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AEBC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40AC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D89A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17531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C7241" w14:textId="77777777" w:rsidR="00000000" w:rsidRDefault="001A570A">
            <w:pPr>
              <w:rPr>
                <w:rFonts w:eastAsia="Times New Roman"/>
                <w:sz w:val="20"/>
                <w:szCs w:val="20"/>
              </w:rPr>
            </w:pPr>
          </w:p>
        </w:tc>
      </w:tr>
      <w:tr w:rsidR="00000000" w14:paraId="22785F2D" w14:textId="77777777">
        <w:trPr>
          <w:divId w:val="379323253"/>
        </w:trPr>
        <w:tc>
          <w:tcPr>
            <w:tcW w:w="0" w:type="auto"/>
            <w:gridSpan w:val="3"/>
            <w:shd w:val="clear" w:color="auto" w:fill="FFFFFF"/>
            <w:tcMar>
              <w:top w:w="30" w:type="dxa"/>
              <w:left w:w="245" w:type="dxa"/>
              <w:bottom w:w="30" w:type="dxa"/>
              <w:right w:w="20" w:type="dxa"/>
            </w:tcMar>
            <w:hideMark/>
          </w:tcPr>
          <w:p w14:paraId="64C3ECF2" w14:textId="77777777" w:rsidR="00000000" w:rsidRDefault="001A570A">
            <w:pPr>
              <w:rPr>
                <w:rFonts w:eastAsia="Times New Roman"/>
              </w:rPr>
            </w:pPr>
            <w:r>
              <w:rPr>
                <w:rFonts w:eastAsia="Times New Roman"/>
                <w:color w:val="000000"/>
                <w:sz w:val="20"/>
                <w:szCs w:val="20"/>
              </w:rPr>
              <w:t>Fixed income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B65FDCB" w14:textId="77777777" w:rsidR="00000000" w:rsidRDefault="001A570A">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14:paraId="22C6349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BF7D2"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BEF5E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EC64C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E1FEA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F4266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718140" w14:textId="77777777" w:rsidR="00000000" w:rsidRDefault="001A570A">
            <w:pPr>
              <w:rPr>
                <w:rFonts w:eastAsia="Times New Roman"/>
                <w:sz w:val="20"/>
                <w:szCs w:val="20"/>
              </w:rPr>
            </w:pPr>
          </w:p>
        </w:tc>
      </w:tr>
      <w:tr w:rsidR="00000000" w14:paraId="3C26BA00" w14:textId="77777777">
        <w:trPr>
          <w:divId w:val="379323253"/>
        </w:trPr>
        <w:tc>
          <w:tcPr>
            <w:tcW w:w="0" w:type="auto"/>
            <w:gridSpan w:val="3"/>
            <w:shd w:val="clear" w:color="auto" w:fill="CCEEFF"/>
            <w:tcMar>
              <w:top w:w="30" w:type="dxa"/>
              <w:left w:w="245" w:type="dxa"/>
              <w:bottom w:w="30" w:type="dxa"/>
              <w:right w:w="20" w:type="dxa"/>
            </w:tcMar>
            <w:hideMark/>
          </w:tcPr>
          <w:p w14:paraId="7EE7FC8A" w14:textId="77777777" w:rsidR="00000000" w:rsidRDefault="001A570A">
            <w:pPr>
              <w:rPr>
                <w:rFonts w:eastAsia="Times New Roman"/>
              </w:rPr>
            </w:pPr>
            <w:r>
              <w:rPr>
                <w:rFonts w:eastAsia="Times New Roman"/>
                <w:color w:val="000000"/>
                <w:sz w:val="20"/>
                <w:szCs w:val="20"/>
              </w:rPr>
              <w:t>Hedge fund</w:t>
            </w:r>
            <w:r>
              <w:rPr>
                <w:rFonts w:eastAsia="Times New Roman"/>
                <w:color w:val="000000"/>
                <w:sz w:val="20"/>
                <w:szCs w:val="20"/>
              </w:rPr>
              <w:t>s</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14:paraId="24D02701" w14:textId="77777777" w:rsidR="00000000" w:rsidRDefault="001A570A">
            <w:pPr>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14:paraId="6075285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A007B"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124D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BFCBE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FE884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BEF57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DACE3C" w14:textId="77777777" w:rsidR="00000000" w:rsidRDefault="001A570A">
            <w:pPr>
              <w:rPr>
                <w:rFonts w:eastAsia="Times New Roman"/>
                <w:sz w:val="20"/>
                <w:szCs w:val="20"/>
              </w:rPr>
            </w:pPr>
          </w:p>
        </w:tc>
      </w:tr>
      <w:tr w:rsidR="00000000" w14:paraId="1C4759DD" w14:textId="77777777">
        <w:trPr>
          <w:divId w:val="379323253"/>
        </w:trPr>
        <w:tc>
          <w:tcPr>
            <w:tcW w:w="0" w:type="auto"/>
            <w:gridSpan w:val="3"/>
            <w:shd w:val="clear" w:color="auto" w:fill="FFFFFF"/>
            <w:tcMar>
              <w:top w:w="30" w:type="dxa"/>
              <w:left w:w="245" w:type="dxa"/>
              <w:bottom w:w="30" w:type="dxa"/>
              <w:right w:w="20" w:type="dxa"/>
            </w:tcMar>
            <w:hideMark/>
          </w:tcPr>
          <w:p w14:paraId="34BA628D" w14:textId="77777777" w:rsidR="00000000" w:rsidRDefault="001A570A">
            <w:pPr>
              <w:rPr>
                <w:rFonts w:eastAsia="Times New Roman"/>
              </w:rPr>
            </w:pPr>
            <w:r>
              <w:rPr>
                <w:rFonts w:eastAsia="Times New Roman"/>
                <w:color w:val="000000"/>
                <w:sz w:val="20"/>
                <w:szCs w:val="20"/>
              </w:rPr>
              <w:t>Private equity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D6378D0" w14:textId="77777777" w:rsidR="00000000" w:rsidRDefault="001A570A">
            <w:pPr>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14:paraId="1C1EA93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F75BB"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64685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03B08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987D4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0B73F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6BF29D" w14:textId="77777777" w:rsidR="00000000" w:rsidRDefault="001A570A">
            <w:pPr>
              <w:rPr>
                <w:rFonts w:eastAsia="Times New Roman"/>
                <w:sz w:val="20"/>
                <w:szCs w:val="20"/>
              </w:rPr>
            </w:pPr>
          </w:p>
        </w:tc>
      </w:tr>
      <w:tr w:rsidR="00000000" w14:paraId="106740C2" w14:textId="77777777">
        <w:trPr>
          <w:divId w:val="379323253"/>
        </w:trPr>
        <w:tc>
          <w:tcPr>
            <w:tcW w:w="0" w:type="auto"/>
            <w:gridSpan w:val="3"/>
            <w:shd w:val="clear" w:color="auto" w:fill="CCEEFF"/>
            <w:tcMar>
              <w:top w:w="30" w:type="dxa"/>
              <w:left w:w="245" w:type="dxa"/>
              <w:bottom w:w="30" w:type="dxa"/>
              <w:right w:w="20" w:type="dxa"/>
            </w:tcMar>
            <w:hideMark/>
          </w:tcPr>
          <w:p w14:paraId="784F2B2E" w14:textId="77777777" w:rsidR="00000000" w:rsidRDefault="001A570A">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103870E2"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604F5A9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3B13E"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3758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81C73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C461C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7A5D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D24329" w14:textId="77777777" w:rsidR="00000000" w:rsidRDefault="001A570A">
            <w:pPr>
              <w:rPr>
                <w:rFonts w:eastAsia="Times New Roman"/>
                <w:sz w:val="20"/>
                <w:szCs w:val="20"/>
              </w:rPr>
            </w:pPr>
          </w:p>
        </w:tc>
      </w:tr>
      <w:tr w:rsidR="00000000" w14:paraId="18E06F1A" w14:textId="77777777">
        <w:trPr>
          <w:divId w:val="379323253"/>
        </w:trPr>
        <w:tc>
          <w:tcPr>
            <w:tcW w:w="0" w:type="auto"/>
            <w:gridSpan w:val="3"/>
            <w:shd w:val="clear" w:color="auto" w:fill="FFFFFF"/>
            <w:tcMar>
              <w:top w:w="30" w:type="dxa"/>
              <w:left w:w="20" w:type="dxa"/>
              <w:bottom w:w="30" w:type="dxa"/>
              <w:right w:w="20" w:type="dxa"/>
            </w:tcMar>
            <w:hideMark/>
          </w:tcPr>
          <w:p w14:paraId="642C032E" w14:textId="77777777" w:rsidR="00000000" w:rsidRDefault="001A570A">
            <w:pPr>
              <w:rPr>
                <w:rFonts w:eastAsia="Times New Roman"/>
              </w:rPr>
            </w:pPr>
            <w:r>
              <w:rPr>
                <w:rFonts w:eastAsia="Times New Roman"/>
                <w:color w:val="000000"/>
                <w:sz w:val="20"/>
                <w:szCs w:val="20"/>
              </w:rPr>
              <w:t>Total Investments Measured at NAV</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82D81A" w14:textId="77777777" w:rsidR="00000000" w:rsidRDefault="001A570A">
            <w:pPr>
              <w:jc w:val="right"/>
              <w:rPr>
                <w:rFonts w:eastAsia="Times New Roman"/>
              </w:rPr>
            </w:pPr>
            <w:r>
              <w:rPr>
                <w:rFonts w:eastAsia="Times New Roman"/>
                <w:color w:val="000000"/>
                <w:sz w:val="20"/>
                <w:szCs w:val="20"/>
              </w:rPr>
              <w:t>4,254 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A90F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461DE"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EB364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8CFC5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A175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1EF84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272C6F" w14:textId="77777777" w:rsidR="00000000" w:rsidRDefault="001A570A">
            <w:pPr>
              <w:rPr>
                <w:rFonts w:eastAsia="Times New Roman"/>
                <w:sz w:val="20"/>
                <w:szCs w:val="20"/>
              </w:rPr>
            </w:pPr>
          </w:p>
        </w:tc>
      </w:tr>
      <w:tr w:rsidR="00000000" w14:paraId="75842BEF" w14:textId="77777777">
        <w:trPr>
          <w:divId w:val="379323253"/>
        </w:trPr>
        <w:tc>
          <w:tcPr>
            <w:tcW w:w="0" w:type="auto"/>
            <w:gridSpan w:val="3"/>
            <w:shd w:val="clear" w:color="auto" w:fill="CCEEFF"/>
            <w:tcMar>
              <w:top w:w="30" w:type="dxa"/>
              <w:left w:w="20" w:type="dxa"/>
              <w:bottom w:w="30" w:type="dxa"/>
              <w:right w:w="20" w:type="dxa"/>
            </w:tcMar>
            <w:hideMark/>
          </w:tcPr>
          <w:p w14:paraId="7512E493" w14:textId="77777777" w:rsidR="00000000" w:rsidRDefault="001A570A">
            <w:pPr>
              <w:rPr>
                <w:rFonts w:eastAsia="Times New Roman"/>
              </w:rPr>
            </w:pPr>
            <w:r>
              <w:rPr>
                <w:rFonts w:eastAsia="Times New Roman"/>
                <w:color w:val="000000"/>
                <w:sz w:val="20"/>
                <w:szCs w:val="20"/>
              </w:rPr>
              <w:t>Payables, net</w:t>
            </w:r>
          </w:p>
        </w:tc>
        <w:tc>
          <w:tcPr>
            <w:tcW w:w="0" w:type="auto"/>
            <w:gridSpan w:val="2"/>
            <w:shd w:val="clear" w:color="auto" w:fill="CCEEFF"/>
            <w:tcMar>
              <w:top w:w="30" w:type="dxa"/>
              <w:left w:w="20" w:type="dxa"/>
              <w:bottom w:w="30" w:type="dxa"/>
              <w:right w:w="0" w:type="dxa"/>
            </w:tcMar>
            <w:vAlign w:val="bottom"/>
            <w:hideMark/>
          </w:tcPr>
          <w:p w14:paraId="70D7DB14" w14:textId="77777777" w:rsidR="00000000" w:rsidRDefault="001A570A">
            <w:pPr>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14:paraId="23FC7BE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9836A"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A34C1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AA7B8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52935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C00A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E28E92" w14:textId="77777777" w:rsidR="00000000" w:rsidRDefault="001A570A">
            <w:pPr>
              <w:rPr>
                <w:rFonts w:eastAsia="Times New Roman"/>
                <w:sz w:val="20"/>
                <w:szCs w:val="20"/>
              </w:rPr>
            </w:pPr>
          </w:p>
        </w:tc>
      </w:tr>
      <w:tr w:rsidR="00000000" w14:paraId="382A19EF" w14:textId="77777777">
        <w:trPr>
          <w:divId w:val="379323253"/>
        </w:trPr>
        <w:tc>
          <w:tcPr>
            <w:tcW w:w="0" w:type="auto"/>
            <w:gridSpan w:val="3"/>
            <w:shd w:val="clear" w:color="auto" w:fill="FFFFFF"/>
            <w:tcMar>
              <w:top w:w="30" w:type="dxa"/>
              <w:left w:w="20" w:type="dxa"/>
              <w:bottom w:w="30" w:type="dxa"/>
              <w:right w:w="20" w:type="dxa"/>
            </w:tcMar>
            <w:hideMark/>
          </w:tcPr>
          <w:p w14:paraId="6A96792A" w14:textId="77777777" w:rsidR="00000000" w:rsidRDefault="001A570A">
            <w:pPr>
              <w:rPr>
                <w:rFonts w:eastAsia="Times New Roman"/>
              </w:rPr>
            </w:pPr>
            <w:r>
              <w:rPr>
                <w:rFonts w:eastAsia="Times New Roman"/>
                <w:color w:val="000000"/>
                <w:sz w:val="20"/>
                <w:szCs w:val="20"/>
              </w:rPr>
              <w:t>Total fair value of plan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B33E8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7203E6" w14:textId="77777777" w:rsidR="00000000" w:rsidRDefault="001A570A">
            <w:pPr>
              <w:jc w:val="right"/>
              <w:rPr>
                <w:rFonts w:eastAsia="Times New Roman"/>
              </w:rPr>
            </w:pPr>
            <w:r>
              <w:rPr>
                <w:rFonts w:eastAsia="Times New Roman"/>
                <w:color w:val="000000"/>
                <w:sz w:val="20"/>
                <w:szCs w:val="20"/>
              </w:rPr>
              <w:t>9,600 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0C865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B88A3"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5897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67EA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E6AFC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F1511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C087E5" w14:textId="77777777" w:rsidR="00000000" w:rsidRDefault="001A570A">
            <w:pPr>
              <w:rPr>
                <w:rFonts w:eastAsia="Times New Roman"/>
                <w:sz w:val="20"/>
                <w:szCs w:val="20"/>
              </w:rPr>
            </w:pPr>
          </w:p>
        </w:tc>
      </w:tr>
    </w:tbl>
    <w:p w14:paraId="4231B313" w14:textId="77777777" w:rsidR="00000000" w:rsidRDefault="001A570A">
      <w:pPr>
        <w:ind w:firstLine="450"/>
        <w:divId w:val="933635056"/>
        <w:rPr>
          <w:rFonts w:eastAsia="Times New Roman"/>
        </w:rPr>
      </w:pPr>
    </w:p>
    <w:p w14:paraId="07AFC429" w14:textId="77777777" w:rsidR="00000000" w:rsidRDefault="001A570A">
      <w:pPr>
        <w:ind w:firstLine="450"/>
        <w:jc w:val="center"/>
        <w:divId w:val="876434642"/>
        <w:rPr>
          <w:rFonts w:eastAsia="Times New Roman"/>
        </w:rPr>
      </w:pPr>
      <w:r>
        <w:rPr>
          <w:rFonts w:eastAsia="Times New Roman"/>
          <w:color w:val="000000"/>
          <w:sz w:val="20"/>
          <w:szCs w:val="20"/>
        </w:rPr>
        <w:t>111</w:t>
      </w:r>
    </w:p>
    <w:p w14:paraId="7D050DB7" w14:textId="77777777" w:rsidR="00000000" w:rsidRDefault="001A570A">
      <w:pPr>
        <w:rPr>
          <w:rFonts w:eastAsia="Times New Roman"/>
        </w:rPr>
      </w:pPr>
      <w:r>
        <w:rPr>
          <w:rFonts w:eastAsia="Times New Roman"/>
        </w:rPr>
        <w:pict w14:anchorId="33C4695D">
          <v:rect id="_x0000_i1139" style="width:0;height:1.5pt" o:hralign="center" o:hrstd="t" o:hr="t" fillcolor="#a0a0a0" stroked="f"/>
        </w:pict>
      </w:r>
    </w:p>
    <w:p w14:paraId="45EC27DB" w14:textId="77777777" w:rsidR="00000000" w:rsidRDefault="001A570A">
      <w:pPr>
        <w:ind w:firstLine="450"/>
        <w:divId w:val="1694191549"/>
        <w:rPr>
          <w:rFonts w:eastAsia="Times New Roman"/>
        </w:rPr>
      </w:pPr>
    </w:p>
    <w:tbl>
      <w:tblPr>
        <w:tblW w:w="4899" w:type="pct"/>
        <w:tblCellMar>
          <w:top w:w="15" w:type="dxa"/>
          <w:left w:w="15" w:type="dxa"/>
          <w:bottom w:w="15" w:type="dxa"/>
          <w:right w:w="15" w:type="dxa"/>
        </w:tblCellMar>
        <w:tblLook w:val="04A0" w:firstRow="1" w:lastRow="0" w:firstColumn="1" w:lastColumn="0" w:noHBand="0" w:noVBand="1"/>
      </w:tblPr>
      <w:tblGrid>
        <w:gridCol w:w="41"/>
        <w:gridCol w:w="3621"/>
        <w:gridCol w:w="39"/>
        <w:gridCol w:w="120"/>
        <w:gridCol w:w="909"/>
        <w:gridCol w:w="36"/>
        <w:gridCol w:w="36"/>
        <w:gridCol w:w="36"/>
        <w:gridCol w:w="36"/>
        <w:gridCol w:w="120"/>
        <w:gridCol w:w="851"/>
        <w:gridCol w:w="36"/>
        <w:gridCol w:w="36"/>
        <w:gridCol w:w="36"/>
        <w:gridCol w:w="36"/>
        <w:gridCol w:w="120"/>
        <w:gridCol w:w="864"/>
        <w:gridCol w:w="36"/>
        <w:gridCol w:w="36"/>
        <w:gridCol w:w="36"/>
        <w:gridCol w:w="36"/>
        <w:gridCol w:w="121"/>
        <w:gridCol w:w="864"/>
        <w:gridCol w:w="36"/>
      </w:tblGrid>
      <w:tr w:rsidR="00000000" w14:paraId="7F0016C5" w14:textId="77777777">
        <w:trPr>
          <w:divId w:val="1073576924"/>
        </w:trPr>
        <w:tc>
          <w:tcPr>
            <w:tcW w:w="50" w:type="pct"/>
            <w:vAlign w:val="center"/>
            <w:hideMark/>
          </w:tcPr>
          <w:p w14:paraId="0FC1D880" w14:textId="77777777" w:rsidR="00000000" w:rsidRDefault="001A570A">
            <w:pPr>
              <w:ind w:firstLine="450"/>
              <w:rPr>
                <w:rFonts w:eastAsia="Times New Roman"/>
              </w:rPr>
            </w:pPr>
          </w:p>
        </w:tc>
        <w:tc>
          <w:tcPr>
            <w:tcW w:w="2261" w:type="pct"/>
            <w:vAlign w:val="center"/>
            <w:hideMark/>
          </w:tcPr>
          <w:p w14:paraId="1A9B551C" w14:textId="77777777" w:rsidR="00000000" w:rsidRDefault="001A570A">
            <w:pPr>
              <w:rPr>
                <w:rFonts w:eastAsia="Times New Roman"/>
                <w:sz w:val="20"/>
                <w:szCs w:val="20"/>
              </w:rPr>
            </w:pPr>
          </w:p>
        </w:tc>
        <w:tc>
          <w:tcPr>
            <w:tcW w:w="5" w:type="pct"/>
            <w:vAlign w:val="center"/>
            <w:hideMark/>
          </w:tcPr>
          <w:p w14:paraId="541CC5E6" w14:textId="77777777" w:rsidR="00000000" w:rsidRDefault="001A570A">
            <w:pPr>
              <w:rPr>
                <w:rFonts w:eastAsia="Times New Roman"/>
                <w:sz w:val="20"/>
                <w:szCs w:val="20"/>
              </w:rPr>
            </w:pPr>
          </w:p>
        </w:tc>
        <w:tc>
          <w:tcPr>
            <w:tcW w:w="50" w:type="pct"/>
            <w:vAlign w:val="center"/>
            <w:hideMark/>
          </w:tcPr>
          <w:p w14:paraId="6EE0E144" w14:textId="77777777" w:rsidR="00000000" w:rsidRDefault="001A570A">
            <w:pPr>
              <w:rPr>
                <w:rFonts w:eastAsia="Times New Roman"/>
                <w:sz w:val="20"/>
                <w:szCs w:val="20"/>
              </w:rPr>
            </w:pPr>
          </w:p>
        </w:tc>
        <w:tc>
          <w:tcPr>
            <w:tcW w:w="590" w:type="pct"/>
            <w:vAlign w:val="center"/>
            <w:hideMark/>
          </w:tcPr>
          <w:p w14:paraId="442EF04E" w14:textId="77777777" w:rsidR="00000000" w:rsidRDefault="001A570A">
            <w:pPr>
              <w:rPr>
                <w:rFonts w:eastAsia="Times New Roman"/>
                <w:sz w:val="20"/>
                <w:szCs w:val="20"/>
              </w:rPr>
            </w:pPr>
          </w:p>
        </w:tc>
        <w:tc>
          <w:tcPr>
            <w:tcW w:w="5" w:type="pct"/>
            <w:vAlign w:val="center"/>
            <w:hideMark/>
          </w:tcPr>
          <w:p w14:paraId="57C5AAE3" w14:textId="77777777" w:rsidR="00000000" w:rsidRDefault="001A570A">
            <w:pPr>
              <w:rPr>
                <w:rFonts w:eastAsia="Times New Roman"/>
                <w:sz w:val="20"/>
                <w:szCs w:val="20"/>
              </w:rPr>
            </w:pPr>
          </w:p>
        </w:tc>
        <w:tc>
          <w:tcPr>
            <w:tcW w:w="5" w:type="pct"/>
            <w:vAlign w:val="center"/>
            <w:hideMark/>
          </w:tcPr>
          <w:p w14:paraId="5539BC67" w14:textId="77777777" w:rsidR="00000000" w:rsidRDefault="001A570A">
            <w:pPr>
              <w:rPr>
                <w:rFonts w:eastAsia="Times New Roman"/>
                <w:sz w:val="20"/>
                <w:szCs w:val="20"/>
              </w:rPr>
            </w:pPr>
          </w:p>
        </w:tc>
        <w:tc>
          <w:tcPr>
            <w:tcW w:w="26" w:type="pct"/>
            <w:vAlign w:val="center"/>
            <w:hideMark/>
          </w:tcPr>
          <w:p w14:paraId="22FD9183" w14:textId="77777777" w:rsidR="00000000" w:rsidRDefault="001A570A">
            <w:pPr>
              <w:rPr>
                <w:rFonts w:eastAsia="Times New Roman"/>
                <w:sz w:val="20"/>
                <w:szCs w:val="20"/>
              </w:rPr>
            </w:pPr>
          </w:p>
        </w:tc>
        <w:tc>
          <w:tcPr>
            <w:tcW w:w="5" w:type="pct"/>
            <w:vAlign w:val="center"/>
            <w:hideMark/>
          </w:tcPr>
          <w:p w14:paraId="74C41D1D" w14:textId="77777777" w:rsidR="00000000" w:rsidRDefault="001A570A">
            <w:pPr>
              <w:rPr>
                <w:rFonts w:eastAsia="Times New Roman"/>
                <w:sz w:val="20"/>
                <w:szCs w:val="20"/>
              </w:rPr>
            </w:pPr>
          </w:p>
        </w:tc>
        <w:tc>
          <w:tcPr>
            <w:tcW w:w="50" w:type="pct"/>
            <w:vAlign w:val="center"/>
            <w:hideMark/>
          </w:tcPr>
          <w:p w14:paraId="229DC92A" w14:textId="77777777" w:rsidR="00000000" w:rsidRDefault="001A570A">
            <w:pPr>
              <w:rPr>
                <w:rFonts w:eastAsia="Times New Roman"/>
                <w:sz w:val="20"/>
                <w:szCs w:val="20"/>
              </w:rPr>
            </w:pPr>
          </w:p>
        </w:tc>
        <w:tc>
          <w:tcPr>
            <w:tcW w:w="582" w:type="pct"/>
            <w:vAlign w:val="center"/>
            <w:hideMark/>
          </w:tcPr>
          <w:p w14:paraId="1A3B0BD4" w14:textId="77777777" w:rsidR="00000000" w:rsidRDefault="001A570A">
            <w:pPr>
              <w:rPr>
                <w:rFonts w:eastAsia="Times New Roman"/>
                <w:sz w:val="20"/>
                <w:szCs w:val="20"/>
              </w:rPr>
            </w:pPr>
          </w:p>
        </w:tc>
        <w:tc>
          <w:tcPr>
            <w:tcW w:w="5" w:type="pct"/>
            <w:vAlign w:val="center"/>
            <w:hideMark/>
          </w:tcPr>
          <w:p w14:paraId="66418700" w14:textId="77777777" w:rsidR="00000000" w:rsidRDefault="001A570A">
            <w:pPr>
              <w:rPr>
                <w:rFonts w:eastAsia="Times New Roman"/>
                <w:sz w:val="20"/>
                <w:szCs w:val="20"/>
              </w:rPr>
            </w:pPr>
          </w:p>
        </w:tc>
        <w:tc>
          <w:tcPr>
            <w:tcW w:w="5" w:type="pct"/>
            <w:vAlign w:val="center"/>
            <w:hideMark/>
          </w:tcPr>
          <w:p w14:paraId="7AE4F3AC" w14:textId="77777777" w:rsidR="00000000" w:rsidRDefault="001A570A">
            <w:pPr>
              <w:rPr>
                <w:rFonts w:eastAsia="Times New Roman"/>
                <w:sz w:val="20"/>
                <w:szCs w:val="20"/>
              </w:rPr>
            </w:pPr>
          </w:p>
        </w:tc>
        <w:tc>
          <w:tcPr>
            <w:tcW w:w="26" w:type="pct"/>
            <w:vAlign w:val="center"/>
            <w:hideMark/>
          </w:tcPr>
          <w:p w14:paraId="3C65042C" w14:textId="77777777" w:rsidR="00000000" w:rsidRDefault="001A570A">
            <w:pPr>
              <w:rPr>
                <w:rFonts w:eastAsia="Times New Roman"/>
                <w:sz w:val="20"/>
                <w:szCs w:val="20"/>
              </w:rPr>
            </w:pPr>
          </w:p>
        </w:tc>
        <w:tc>
          <w:tcPr>
            <w:tcW w:w="5" w:type="pct"/>
            <w:vAlign w:val="center"/>
            <w:hideMark/>
          </w:tcPr>
          <w:p w14:paraId="0A5DDB0A" w14:textId="77777777" w:rsidR="00000000" w:rsidRDefault="001A570A">
            <w:pPr>
              <w:rPr>
                <w:rFonts w:eastAsia="Times New Roman"/>
                <w:sz w:val="20"/>
                <w:szCs w:val="20"/>
              </w:rPr>
            </w:pPr>
          </w:p>
        </w:tc>
        <w:tc>
          <w:tcPr>
            <w:tcW w:w="50" w:type="pct"/>
            <w:vAlign w:val="center"/>
            <w:hideMark/>
          </w:tcPr>
          <w:p w14:paraId="4DA8B3F2" w14:textId="77777777" w:rsidR="00000000" w:rsidRDefault="001A570A">
            <w:pPr>
              <w:rPr>
                <w:rFonts w:eastAsia="Times New Roman"/>
                <w:sz w:val="20"/>
                <w:szCs w:val="20"/>
              </w:rPr>
            </w:pPr>
          </w:p>
        </w:tc>
        <w:tc>
          <w:tcPr>
            <w:tcW w:w="590" w:type="pct"/>
            <w:vAlign w:val="center"/>
            <w:hideMark/>
          </w:tcPr>
          <w:p w14:paraId="5C0C3649" w14:textId="77777777" w:rsidR="00000000" w:rsidRDefault="001A570A">
            <w:pPr>
              <w:rPr>
                <w:rFonts w:eastAsia="Times New Roman"/>
                <w:sz w:val="20"/>
                <w:szCs w:val="20"/>
              </w:rPr>
            </w:pPr>
          </w:p>
        </w:tc>
        <w:tc>
          <w:tcPr>
            <w:tcW w:w="5" w:type="pct"/>
            <w:vAlign w:val="center"/>
            <w:hideMark/>
          </w:tcPr>
          <w:p w14:paraId="5B8B7386" w14:textId="77777777" w:rsidR="00000000" w:rsidRDefault="001A570A">
            <w:pPr>
              <w:rPr>
                <w:rFonts w:eastAsia="Times New Roman"/>
                <w:sz w:val="20"/>
                <w:szCs w:val="20"/>
              </w:rPr>
            </w:pPr>
          </w:p>
        </w:tc>
        <w:tc>
          <w:tcPr>
            <w:tcW w:w="5" w:type="pct"/>
            <w:vAlign w:val="center"/>
            <w:hideMark/>
          </w:tcPr>
          <w:p w14:paraId="0FDBAFD4" w14:textId="77777777" w:rsidR="00000000" w:rsidRDefault="001A570A">
            <w:pPr>
              <w:rPr>
                <w:rFonts w:eastAsia="Times New Roman"/>
                <w:sz w:val="20"/>
                <w:szCs w:val="20"/>
              </w:rPr>
            </w:pPr>
          </w:p>
        </w:tc>
        <w:tc>
          <w:tcPr>
            <w:tcW w:w="26" w:type="pct"/>
            <w:vAlign w:val="center"/>
            <w:hideMark/>
          </w:tcPr>
          <w:p w14:paraId="79F50AD0" w14:textId="77777777" w:rsidR="00000000" w:rsidRDefault="001A570A">
            <w:pPr>
              <w:rPr>
                <w:rFonts w:eastAsia="Times New Roman"/>
                <w:sz w:val="20"/>
                <w:szCs w:val="20"/>
              </w:rPr>
            </w:pPr>
          </w:p>
        </w:tc>
        <w:tc>
          <w:tcPr>
            <w:tcW w:w="5" w:type="pct"/>
            <w:vAlign w:val="center"/>
            <w:hideMark/>
          </w:tcPr>
          <w:p w14:paraId="48ACD39C" w14:textId="77777777" w:rsidR="00000000" w:rsidRDefault="001A570A">
            <w:pPr>
              <w:rPr>
                <w:rFonts w:eastAsia="Times New Roman"/>
                <w:sz w:val="20"/>
                <w:szCs w:val="20"/>
              </w:rPr>
            </w:pPr>
          </w:p>
        </w:tc>
        <w:tc>
          <w:tcPr>
            <w:tcW w:w="50" w:type="pct"/>
            <w:vAlign w:val="center"/>
            <w:hideMark/>
          </w:tcPr>
          <w:p w14:paraId="293EDFDD" w14:textId="77777777" w:rsidR="00000000" w:rsidRDefault="001A570A">
            <w:pPr>
              <w:rPr>
                <w:rFonts w:eastAsia="Times New Roman"/>
                <w:sz w:val="20"/>
                <w:szCs w:val="20"/>
              </w:rPr>
            </w:pPr>
          </w:p>
        </w:tc>
        <w:tc>
          <w:tcPr>
            <w:tcW w:w="590" w:type="pct"/>
            <w:vAlign w:val="center"/>
            <w:hideMark/>
          </w:tcPr>
          <w:p w14:paraId="6C1EF31B" w14:textId="77777777" w:rsidR="00000000" w:rsidRDefault="001A570A">
            <w:pPr>
              <w:rPr>
                <w:rFonts w:eastAsia="Times New Roman"/>
                <w:sz w:val="20"/>
                <w:szCs w:val="20"/>
              </w:rPr>
            </w:pPr>
          </w:p>
        </w:tc>
        <w:tc>
          <w:tcPr>
            <w:tcW w:w="5" w:type="pct"/>
            <w:vAlign w:val="center"/>
            <w:hideMark/>
          </w:tcPr>
          <w:p w14:paraId="7A613A22" w14:textId="77777777" w:rsidR="00000000" w:rsidRDefault="001A570A">
            <w:pPr>
              <w:rPr>
                <w:rFonts w:eastAsia="Times New Roman"/>
                <w:sz w:val="20"/>
                <w:szCs w:val="20"/>
              </w:rPr>
            </w:pPr>
          </w:p>
        </w:tc>
      </w:tr>
      <w:tr w:rsidR="00000000" w14:paraId="350D949B" w14:textId="77777777">
        <w:trPr>
          <w:divId w:val="1073576924"/>
        </w:trPr>
        <w:tc>
          <w:tcPr>
            <w:tcW w:w="0" w:type="auto"/>
            <w:gridSpan w:val="3"/>
            <w:tcMar>
              <w:top w:w="0" w:type="dxa"/>
              <w:left w:w="20" w:type="dxa"/>
              <w:bottom w:w="0" w:type="dxa"/>
              <w:right w:w="20" w:type="dxa"/>
            </w:tcMar>
            <w:vAlign w:val="center"/>
            <w:hideMark/>
          </w:tcPr>
          <w:p w14:paraId="41767D7A" w14:textId="77777777" w:rsidR="00000000" w:rsidRDefault="001A570A">
            <w:pPr>
              <w:rPr>
                <w:rFonts w:eastAsia="Times New Roman"/>
                <w:sz w:val="20"/>
                <w:szCs w:val="20"/>
              </w:rPr>
            </w:pPr>
          </w:p>
        </w:tc>
        <w:tc>
          <w:tcPr>
            <w:tcW w:w="0" w:type="auto"/>
            <w:gridSpan w:val="21"/>
            <w:tcMar>
              <w:top w:w="30" w:type="dxa"/>
              <w:left w:w="20" w:type="dxa"/>
              <w:bottom w:w="30" w:type="dxa"/>
              <w:right w:w="20" w:type="dxa"/>
            </w:tcMar>
            <w:vAlign w:val="bottom"/>
            <w:hideMark/>
          </w:tcPr>
          <w:p w14:paraId="79B8792C" w14:textId="77777777" w:rsidR="00000000" w:rsidRDefault="001A570A">
            <w:pPr>
              <w:jc w:val="center"/>
              <w:rPr>
                <w:rFonts w:eastAsia="Times New Roman"/>
              </w:rPr>
            </w:pPr>
            <w:r>
              <w:rPr>
                <w:rFonts w:eastAsia="Times New Roman"/>
                <w:b/>
                <w:bCs/>
                <w:color w:val="000000"/>
                <w:sz w:val="16"/>
                <w:szCs w:val="16"/>
              </w:rPr>
              <w:t>January 3, 2020</w:t>
            </w:r>
          </w:p>
        </w:tc>
      </w:tr>
      <w:tr w:rsidR="00000000" w14:paraId="1DC0E6AF" w14:textId="77777777">
        <w:trPr>
          <w:divId w:val="1073576924"/>
        </w:trPr>
        <w:tc>
          <w:tcPr>
            <w:tcW w:w="0" w:type="auto"/>
            <w:gridSpan w:val="3"/>
            <w:tcMar>
              <w:top w:w="30" w:type="dxa"/>
              <w:left w:w="20" w:type="dxa"/>
              <w:bottom w:w="30" w:type="dxa"/>
              <w:right w:w="20" w:type="dxa"/>
            </w:tcMar>
            <w:vAlign w:val="bottom"/>
            <w:hideMark/>
          </w:tcPr>
          <w:p w14:paraId="650ACF74"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AC58A7A" w14:textId="77777777" w:rsidR="00000000" w:rsidRDefault="001A570A">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375E556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FECCE6" w14:textId="77777777" w:rsidR="00000000" w:rsidRDefault="001A570A">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220758C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E610EE" w14:textId="77777777" w:rsidR="00000000" w:rsidRDefault="001A570A">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2B24423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0E1ED0" w14:textId="77777777" w:rsidR="00000000" w:rsidRDefault="001A570A">
            <w:pPr>
              <w:jc w:val="center"/>
              <w:rPr>
                <w:rFonts w:eastAsia="Times New Roman"/>
              </w:rPr>
            </w:pPr>
            <w:r>
              <w:rPr>
                <w:rFonts w:eastAsia="Times New Roman"/>
                <w:b/>
                <w:bCs/>
                <w:color w:val="000000"/>
                <w:sz w:val="16"/>
                <w:szCs w:val="16"/>
              </w:rPr>
              <w:t>Level 3</w:t>
            </w:r>
          </w:p>
        </w:tc>
      </w:tr>
      <w:tr w:rsidR="00000000" w14:paraId="6438EFCC" w14:textId="77777777">
        <w:trPr>
          <w:divId w:val="1073576924"/>
          <w:trHeight w:val="60"/>
        </w:trPr>
        <w:tc>
          <w:tcPr>
            <w:tcW w:w="0" w:type="auto"/>
            <w:gridSpan w:val="3"/>
            <w:tcMar>
              <w:top w:w="0" w:type="dxa"/>
              <w:left w:w="20" w:type="dxa"/>
              <w:bottom w:w="0" w:type="dxa"/>
              <w:right w:w="20" w:type="dxa"/>
            </w:tcMar>
            <w:vAlign w:val="center"/>
            <w:hideMark/>
          </w:tcPr>
          <w:p w14:paraId="0C5E883E"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19D5CA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CF78FD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55EE8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BAD104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556B9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D0CB7D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F5EAAE" w14:textId="77777777" w:rsidR="00000000" w:rsidRDefault="001A570A">
            <w:pPr>
              <w:rPr>
                <w:rFonts w:eastAsia="Times New Roman"/>
                <w:sz w:val="20"/>
                <w:szCs w:val="20"/>
              </w:rPr>
            </w:pPr>
          </w:p>
        </w:tc>
      </w:tr>
      <w:tr w:rsidR="00000000" w14:paraId="78812FBA" w14:textId="77777777">
        <w:trPr>
          <w:divId w:val="1073576924"/>
        </w:trPr>
        <w:tc>
          <w:tcPr>
            <w:tcW w:w="0" w:type="auto"/>
            <w:gridSpan w:val="3"/>
            <w:shd w:val="clear" w:color="auto" w:fill="CCEEFF"/>
            <w:tcMar>
              <w:top w:w="30" w:type="dxa"/>
              <w:left w:w="20" w:type="dxa"/>
              <w:bottom w:w="30" w:type="dxa"/>
              <w:right w:w="20" w:type="dxa"/>
            </w:tcMar>
            <w:hideMark/>
          </w:tcPr>
          <w:p w14:paraId="77545619" w14:textId="77777777" w:rsidR="00000000" w:rsidRDefault="001A570A">
            <w:pPr>
              <w:rPr>
                <w:rFonts w:eastAsia="Times New Roman"/>
              </w:rPr>
            </w:pPr>
            <w:r>
              <w:rPr>
                <w:rFonts w:eastAsia="Times New Roman"/>
                <w:color w:val="000000"/>
                <w:sz w:val="20"/>
                <w:szCs w:val="20"/>
              </w:rPr>
              <w:t>Asset Category</w:t>
            </w:r>
          </w:p>
        </w:tc>
        <w:tc>
          <w:tcPr>
            <w:tcW w:w="0" w:type="auto"/>
            <w:gridSpan w:val="3"/>
            <w:shd w:val="clear" w:color="auto" w:fill="CCEEFF"/>
            <w:tcMar>
              <w:top w:w="0" w:type="dxa"/>
              <w:left w:w="20" w:type="dxa"/>
              <w:bottom w:w="0" w:type="dxa"/>
              <w:right w:w="20" w:type="dxa"/>
            </w:tcMar>
            <w:vAlign w:val="center"/>
            <w:hideMark/>
          </w:tcPr>
          <w:p w14:paraId="7977F9FC"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E30F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8FCF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BCB6D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02C2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6AB55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BC07B9" w14:textId="77777777" w:rsidR="00000000" w:rsidRDefault="001A570A">
            <w:pPr>
              <w:rPr>
                <w:rFonts w:eastAsia="Times New Roman"/>
                <w:sz w:val="20"/>
                <w:szCs w:val="20"/>
              </w:rPr>
            </w:pPr>
          </w:p>
        </w:tc>
      </w:tr>
      <w:tr w:rsidR="00000000" w14:paraId="0ED89D7F" w14:textId="77777777">
        <w:trPr>
          <w:divId w:val="1073576924"/>
        </w:trPr>
        <w:tc>
          <w:tcPr>
            <w:tcW w:w="0" w:type="auto"/>
            <w:gridSpan w:val="3"/>
            <w:shd w:val="clear" w:color="auto" w:fill="FFFFFF"/>
            <w:tcMar>
              <w:top w:w="30" w:type="dxa"/>
              <w:left w:w="245" w:type="dxa"/>
              <w:bottom w:w="30" w:type="dxa"/>
              <w:right w:w="20" w:type="dxa"/>
            </w:tcMar>
            <w:hideMark/>
          </w:tcPr>
          <w:p w14:paraId="0F10E597" w14:textId="77777777" w:rsidR="00000000" w:rsidRDefault="001A570A">
            <w:pPr>
              <w:rPr>
                <w:rFonts w:eastAsia="Times New Roman"/>
              </w:rPr>
            </w:pPr>
            <w:r>
              <w:rPr>
                <w:rFonts w:eastAsia="Times New Roman"/>
                <w:color w:val="000000"/>
                <w:sz w:val="20"/>
                <w:szCs w:val="20"/>
              </w:rPr>
              <w:t>Equities:</w:t>
            </w:r>
          </w:p>
        </w:tc>
        <w:tc>
          <w:tcPr>
            <w:tcW w:w="0" w:type="auto"/>
            <w:gridSpan w:val="3"/>
            <w:shd w:val="clear" w:color="auto" w:fill="FFFFFF"/>
            <w:tcMar>
              <w:top w:w="0" w:type="dxa"/>
              <w:left w:w="20" w:type="dxa"/>
              <w:bottom w:w="0" w:type="dxa"/>
              <w:right w:w="20" w:type="dxa"/>
            </w:tcMar>
            <w:vAlign w:val="center"/>
            <w:hideMark/>
          </w:tcPr>
          <w:p w14:paraId="16447E71"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36B7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2DEFA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506B9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3CF62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BBC56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8FEF35" w14:textId="77777777" w:rsidR="00000000" w:rsidRDefault="001A570A">
            <w:pPr>
              <w:rPr>
                <w:rFonts w:eastAsia="Times New Roman"/>
                <w:sz w:val="20"/>
                <w:szCs w:val="20"/>
              </w:rPr>
            </w:pPr>
          </w:p>
        </w:tc>
      </w:tr>
      <w:tr w:rsidR="00000000" w14:paraId="1405CAB7" w14:textId="77777777">
        <w:trPr>
          <w:divId w:val="1073576924"/>
        </w:trPr>
        <w:tc>
          <w:tcPr>
            <w:tcW w:w="0" w:type="auto"/>
            <w:gridSpan w:val="3"/>
            <w:shd w:val="clear" w:color="auto" w:fill="CCEEFF"/>
            <w:tcMar>
              <w:top w:w="30" w:type="dxa"/>
              <w:left w:w="500" w:type="dxa"/>
              <w:bottom w:w="30" w:type="dxa"/>
              <w:right w:w="20" w:type="dxa"/>
            </w:tcMar>
            <w:hideMark/>
          </w:tcPr>
          <w:p w14:paraId="271ED16D" w14:textId="77777777" w:rsidR="00000000" w:rsidRDefault="001A570A">
            <w:pPr>
              <w:rPr>
                <w:rFonts w:eastAsia="Times New Roman"/>
              </w:rPr>
            </w:pPr>
            <w:r>
              <w:rPr>
                <w:rFonts w:eastAsia="Times New Roman"/>
                <w:color w:val="000000"/>
                <w:sz w:val="20"/>
                <w:szCs w:val="20"/>
              </w:rPr>
              <w:t>Domestic equities</w:t>
            </w:r>
          </w:p>
        </w:tc>
        <w:tc>
          <w:tcPr>
            <w:tcW w:w="0" w:type="auto"/>
            <w:shd w:val="clear" w:color="auto" w:fill="CCEEFF"/>
            <w:tcMar>
              <w:top w:w="30" w:type="dxa"/>
              <w:left w:w="20" w:type="dxa"/>
              <w:bottom w:w="30" w:type="dxa"/>
              <w:right w:w="0" w:type="dxa"/>
            </w:tcMar>
            <w:vAlign w:val="bottom"/>
            <w:hideMark/>
          </w:tcPr>
          <w:p w14:paraId="64551697"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509073" w14:textId="77777777" w:rsidR="00000000" w:rsidRDefault="001A570A">
            <w:pPr>
              <w:jc w:val="right"/>
              <w:rPr>
                <w:rFonts w:eastAsia="Times New Roman"/>
              </w:rPr>
            </w:pPr>
            <w:r>
              <w:rPr>
                <w:rFonts w:eastAsia="Times New Roman"/>
                <w:color w:val="000000"/>
                <w:sz w:val="20"/>
                <w:szCs w:val="20"/>
              </w:rPr>
              <w:t>2,968 </w:t>
            </w:r>
          </w:p>
        </w:tc>
        <w:tc>
          <w:tcPr>
            <w:tcW w:w="0" w:type="auto"/>
            <w:shd w:val="clear" w:color="auto" w:fill="CCEEFF"/>
            <w:tcMar>
              <w:top w:w="30" w:type="dxa"/>
              <w:left w:w="0" w:type="dxa"/>
              <w:bottom w:w="30" w:type="dxa"/>
              <w:right w:w="20" w:type="dxa"/>
            </w:tcMar>
            <w:vAlign w:val="bottom"/>
            <w:hideMark/>
          </w:tcPr>
          <w:p w14:paraId="40C24D5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DD9F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3FF75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012610" w14:textId="77777777" w:rsidR="00000000" w:rsidRDefault="001A570A">
            <w:pPr>
              <w:jc w:val="right"/>
              <w:rPr>
                <w:rFonts w:eastAsia="Times New Roman"/>
              </w:rPr>
            </w:pPr>
            <w:r>
              <w:rPr>
                <w:rFonts w:eastAsia="Times New Roman"/>
                <w:color w:val="000000"/>
                <w:sz w:val="20"/>
                <w:szCs w:val="20"/>
              </w:rPr>
              <w:t>2,968 </w:t>
            </w:r>
          </w:p>
        </w:tc>
        <w:tc>
          <w:tcPr>
            <w:tcW w:w="0" w:type="auto"/>
            <w:shd w:val="clear" w:color="auto" w:fill="CCEEFF"/>
            <w:tcMar>
              <w:top w:w="30" w:type="dxa"/>
              <w:left w:w="0" w:type="dxa"/>
              <w:bottom w:w="30" w:type="dxa"/>
              <w:right w:w="20" w:type="dxa"/>
            </w:tcMar>
            <w:vAlign w:val="bottom"/>
            <w:hideMark/>
          </w:tcPr>
          <w:p w14:paraId="251E230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1CC7C"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7E72D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0841A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CB693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FB8F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B6F99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91583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F116D5" w14:textId="77777777" w:rsidR="00000000" w:rsidRDefault="001A570A">
            <w:pPr>
              <w:jc w:val="right"/>
              <w:rPr>
                <w:rFonts w:eastAsia="Times New Roman"/>
              </w:rPr>
            </w:pPr>
          </w:p>
        </w:tc>
      </w:tr>
      <w:tr w:rsidR="00000000" w14:paraId="54DD2DAB" w14:textId="77777777">
        <w:trPr>
          <w:divId w:val="1073576924"/>
        </w:trPr>
        <w:tc>
          <w:tcPr>
            <w:tcW w:w="0" w:type="auto"/>
            <w:gridSpan w:val="3"/>
            <w:shd w:val="clear" w:color="auto" w:fill="FFFFFF"/>
            <w:tcMar>
              <w:top w:w="30" w:type="dxa"/>
              <w:left w:w="500" w:type="dxa"/>
              <w:bottom w:w="30" w:type="dxa"/>
              <w:right w:w="20" w:type="dxa"/>
            </w:tcMar>
            <w:hideMark/>
          </w:tcPr>
          <w:p w14:paraId="3D3E8015" w14:textId="77777777" w:rsidR="00000000" w:rsidRDefault="001A570A">
            <w:pPr>
              <w:rPr>
                <w:rFonts w:eastAsia="Times New Roman"/>
              </w:rPr>
            </w:pPr>
            <w:r>
              <w:rPr>
                <w:rFonts w:eastAsia="Times New Roman"/>
                <w:color w:val="000000"/>
                <w:sz w:val="20"/>
                <w:szCs w:val="20"/>
              </w:rPr>
              <w:t>International equities</w:t>
            </w:r>
          </w:p>
        </w:tc>
        <w:tc>
          <w:tcPr>
            <w:tcW w:w="0" w:type="auto"/>
            <w:gridSpan w:val="2"/>
            <w:shd w:val="clear" w:color="auto" w:fill="FFFFFF"/>
            <w:tcMar>
              <w:top w:w="30" w:type="dxa"/>
              <w:left w:w="20" w:type="dxa"/>
              <w:bottom w:w="30" w:type="dxa"/>
              <w:right w:w="0" w:type="dxa"/>
            </w:tcMar>
            <w:vAlign w:val="bottom"/>
            <w:hideMark/>
          </w:tcPr>
          <w:p w14:paraId="21C488E9" w14:textId="77777777" w:rsidR="00000000" w:rsidRDefault="001A570A">
            <w:pPr>
              <w:jc w:val="right"/>
              <w:rPr>
                <w:rFonts w:eastAsia="Times New Roman"/>
              </w:rPr>
            </w:pPr>
            <w:r>
              <w:rPr>
                <w:rFonts w:eastAsia="Times New Roman"/>
                <w:color w:val="000000"/>
                <w:sz w:val="20"/>
                <w:szCs w:val="20"/>
              </w:rPr>
              <w:t>1,217 </w:t>
            </w:r>
          </w:p>
        </w:tc>
        <w:tc>
          <w:tcPr>
            <w:tcW w:w="0" w:type="auto"/>
            <w:shd w:val="clear" w:color="auto" w:fill="FFFFFF"/>
            <w:tcMar>
              <w:top w:w="30" w:type="dxa"/>
              <w:left w:w="0" w:type="dxa"/>
              <w:bottom w:w="30" w:type="dxa"/>
              <w:right w:w="20" w:type="dxa"/>
            </w:tcMar>
            <w:vAlign w:val="bottom"/>
            <w:hideMark/>
          </w:tcPr>
          <w:p w14:paraId="0BC51FF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8585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0F27E" w14:textId="77777777" w:rsidR="00000000" w:rsidRDefault="001A570A">
            <w:pPr>
              <w:jc w:val="right"/>
              <w:rPr>
                <w:rFonts w:eastAsia="Times New Roman"/>
              </w:rPr>
            </w:pPr>
            <w:r>
              <w:rPr>
                <w:rFonts w:eastAsia="Times New Roman"/>
                <w:color w:val="000000"/>
                <w:sz w:val="20"/>
                <w:szCs w:val="20"/>
              </w:rPr>
              <w:t>1,217 </w:t>
            </w:r>
          </w:p>
        </w:tc>
        <w:tc>
          <w:tcPr>
            <w:tcW w:w="0" w:type="auto"/>
            <w:shd w:val="clear" w:color="auto" w:fill="FFFFFF"/>
            <w:tcMar>
              <w:top w:w="30" w:type="dxa"/>
              <w:left w:w="0" w:type="dxa"/>
              <w:bottom w:w="30" w:type="dxa"/>
              <w:right w:w="20" w:type="dxa"/>
            </w:tcMar>
            <w:vAlign w:val="bottom"/>
            <w:hideMark/>
          </w:tcPr>
          <w:p w14:paraId="6F33A8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7055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38E6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1BC69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D496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6762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C049D3" w14:textId="77777777" w:rsidR="00000000" w:rsidRDefault="001A570A">
            <w:pPr>
              <w:jc w:val="right"/>
              <w:rPr>
                <w:rFonts w:eastAsia="Times New Roman"/>
              </w:rPr>
            </w:pPr>
          </w:p>
        </w:tc>
      </w:tr>
      <w:tr w:rsidR="00000000" w14:paraId="0A4F3B70" w14:textId="77777777">
        <w:trPr>
          <w:divId w:val="1073576924"/>
        </w:trPr>
        <w:tc>
          <w:tcPr>
            <w:tcW w:w="0" w:type="auto"/>
            <w:gridSpan w:val="3"/>
            <w:shd w:val="clear" w:color="auto" w:fill="CCEEFF"/>
            <w:tcMar>
              <w:top w:w="30" w:type="dxa"/>
              <w:left w:w="500" w:type="dxa"/>
              <w:bottom w:w="30" w:type="dxa"/>
              <w:right w:w="20" w:type="dxa"/>
            </w:tcMar>
            <w:hideMark/>
          </w:tcPr>
          <w:p w14:paraId="442DE970" w14:textId="77777777" w:rsidR="00000000" w:rsidRDefault="001A570A">
            <w:pPr>
              <w:rPr>
                <w:rFonts w:eastAsia="Times New Roman"/>
              </w:rPr>
            </w:pPr>
            <w:r>
              <w:rPr>
                <w:rFonts w:eastAsia="Times New Roman"/>
                <w:color w:val="000000"/>
                <w:sz w:val="20"/>
                <w:szCs w:val="20"/>
              </w:rPr>
              <w:t>Real Estate Investment Trusts</w:t>
            </w:r>
          </w:p>
        </w:tc>
        <w:tc>
          <w:tcPr>
            <w:tcW w:w="0" w:type="auto"/>
            <w:gridSpan w:val="2"/>
            <w:shd w:val="clear" w:color="auto" w:fill="CCEEFF"/>
            <w:tcMar>
              <w:top w:w="30" w:type="dxa"/>
              <w:left w:w="20" w:type="dxa"/>
              <w:bottom w:w="30" w:type="dxa"/>
              <w:right w:w="0" w:type="dxa"/>
            </w:tcMar>
            <w:vAlign w:val="bottom"/>
            <w:hideMark/>
          </w:tcPr>
          <w:p w14:paraId="3061523E" w14:textId="77777777" w:rsidR="00000000" w:rsidRDefault="001A570A">
            <w:pPr>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14:paraId="209CE5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2873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DAE63B" w14:textId="77777777" w:rsidR="00000000" w:rsidRDefault="001A570A">
            <w:pPr>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14:paraId="53BF52A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3B09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B0A8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3F4C7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6057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ED817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8BE7FA" w14:textId="77777777" w:rsidR="00000000" w:rsidRDefault="001A570A">
            <w:pPr>
              <w:jc w:val="right"/>
              <w:rPr>
                <w:rFonts w:eastAsia="Times New Roman"/>
              </w:rPr>
            </w:pPr>
          </w:p>
        </w:tc>
      </w:tr>
      <w:tr w:rsidR="00000000" w14:paraId="18FDD340" w14:textId="77777777">
        <w:trPr>
          <w:divId w:val="1073576924"/>
        </w:trPr>
        <w:tc>
          <w:tcPr>
            <w:tcW w:w="0" w:type="auto"/>
            <w:gridSpan w:val="3"/>
            <w:vAlign w:val="center"/>
            <w:hideMark/>
          </w:tcPr>
          <w:p w14:paraId="1CA7F475" w14:textId="77777777" w:rsidR="00000000" w:rsidRDefault="001A570A">
            <w:pPr>
              <w:jc w:val="right"/>
              <w:rPr>
                <w:rFonts w:eastAsia="Times New Roman"/>
                <w:sz w:val="20"/>
                <w:szCs w:val="20"/>
              </w:rPr>
            </w:pPr>
          </w:p>
        </w:tc>
        <w:tc>
          <w:tcPr>
            <w:tcW w:w="0" w:type="auto"/>
            <w:gridSpan w:val="3"/>
            <w:vAlign w:val="center"/>
            <w:hideMark/>
          </w:tcPr>
          <w:p w14:paraId="7259EBE4" w14:textId="77777777" w:rsidR="00000000" w:rsidRDefault="001A570A">
            <w:pPr>
              <w:rPr>
                <w:rFonts w:eastAsia="Times New Roman"/>
                <w:sz w:val="20"/>
                <w:szCs w:val="20"/>
              </w:rPr>
            </w:pPr>
          </w:p>
        </w:tc>
        <w:tc>
          <w:tcPr>
            <w:tcW w:w="0" w:type="auto"/>
            <w:gridSpan w:val="3"/>
            <w:vAlign w:val="center"/>
            <w:hideMark/>
          </w:tcPr>
          <w:p w14:paraId="7EBB7D4A" w14:textId="77777777" w:rsidR="00000000" w:rsidRDefault="001A570A">
            <w:pPr>
              <w:rPr>
                <w:rFonts w:eastAsia="Times New Roman"/>
                <w:sz w:val="20"/>
                <w:szCs w:val="20"/>
              </w:rPr>
            </w:pPr>
          </w:p>
        </w:tc>
        <w:tc>
          <w:tcPr>
            <w:tcW w:w="0" w:type="auto"/>
            <w:gridSpan w:val="3"/>
            <w:vAlign w:val="center"/>
            <w:hideMark/>
          </w:tcPr>
          <w:p w14:paraId="79C27CA3" w14:textId="77777777" w:rsidR="00000000" w:rsidRDefault="001A570A">
            <w:pPr>
              <w:rPr>
                <w:rFonts w:eastAsia="Times New Roman"/>
                <w:sz w:val="20"/>
                <w:szCs w:val="20"/>
              </w:rPr>
            </w:pPr>
          </w:p>
        </w:tc>
        <w:tc>
          <w:tcPr>
            <w:tcW w:w="0" w:type="auto"/>
            <w:gridSpan w:val="3"/>
            <w:vAlign w:val="center"/>
            <w:hideMark/>
          </w:tcPr>
          <w:p w14:paraId="353463B0" w14:textId="77777777" w:rsidR="00000000" w:rsidRDefault="001A570A">
            <w:pPr>
              <w:rPr>
                <w:rFonts w:eastAsia="Times New Roman"/>
                <w:sz w:val="20"/>
                <w:szCs w:val="20"/>
              </w:rPr>
            </w:pPr>
          </w:p>
        </w:tc>
        <w:tc>
          <w:tcPr>
            <w:tcW w:w="0" w:type="auto"/>
            <w:gridSpan w:val="3"/>
            <w:vAlign w:val="center"/>
            <w:hideMark/>
          </w:tcPr>
          <w:p w14:paraId="35E13520" w14:textId="77777777" w:rsidR="00000000" w:rsidRDefault="001A570A">
            <w:pPr>
              <w:rPr>
                <w:rFonts w:eastAsia="Times New Roman"/>
                <w:sz w:val="20"/>
                <w:szCs w:val="20"/>
              </w:rPr>
            </w:pPr>
          </w:p>
        </w:tc>
        <w:tc>
          <w:tcPr>
            <w:tcW w:w="0" w:type="auto"/>
            <w:gridSpan w:val="3"/>
            <w:vAlign w:val="center"/>
            <w:hideMark/>
          </w:tcPr>
          <w:p w14:paraId="1BBFCC77" w14:textId="77777777" w:rsidR="00000000" w:rsidRDefault="001A570A">
            <w:pPr>
              <w:rPr>
                <w:rFonts w:eastAsia="Times New Roman"/>
                <w:sz w:val="20"/>
                <w:szCs w:val="20"/>
              </w:rPr>
            </w:pPr>
          </w:p>
        </w:tc>
        <w:tc>
          <w:tcPr>
            <w:tcW w:w="0" w:type="auto"/>
            <w:gridSpan w:val="3"/>
            <w:vAlign w:val="center"/>
            <w:hideMark/>
          </w:tcPr>
          <w:p w14:paraId="2813C1C8" w14:textId="77777777" w:rsidR="00000000" w:rsidRDefault="001A570A">
            <w:pPr>
              <w:rPr>
                <w:rFonts w:eastAsia="Times New Roman"/>
                <w:sz w:val="20"/>
                <w:szCs w:val="20"/>
              </w:rPr>
            </w:pPr>
          </w:p>
        </w:tc>
      </w:tr>
      <w:tr w:rsidR="00000000" w14:paraId="0A548E76" w14:textId="77777777">
        <w:trPr>
          <w:divId w:val="1073576924"/>
        </w:trPr>
        <w:tc>
          <w:tcPr>
            <w:tcW w:w="0" w:type="auto"/>
            <w:gridSpan w:val="3"/>
            <w:vAlign w:val="center"/>
            <w:hideMark/>
          </w:tcPr>
          <w:p w14:paraId="5C9DFD90" w14:textId="77777777" w:rsidR="00000000" w:rsidRDefault="001A570A">
            <w:pPr>
              <w:rPr>
                <w:rFonts w:eastAsia="Times New Roman"/>
                <w:sz w:val="20"/>
                <w:szCs w:val="20"/>
              </w:rPr>
            </w:pPr>
          </w:p>
        </w:tc>
        <w:tc>
          <w:tcPr>
            <w:tcW w:w="0" w:type="auto"/>
            <w:gridSpan w:val="3"/>
            <w:vAlign w:val="center"/>
            <w:hideMark/>
          </w:tcPr>
          <w:p w14:paraId="341569CF" w14:textId="77777777" w:rsidR="00000000" w:rsidRDefault="001A570A">
            <w:pPr>
              <w:rPr>
                <w:rFonts w:eastAsia="Times New Roman"/>
                <w:sz w:val="20"/>
                <w:szCs w:val="20"/>
              </w:rPr>
            </w:pPr>
          </w:p>
        </w:tc>
        <w:tc>
          <w:tcPr>
            <w:tcW w:w="0" w:type="auto"/>
            <w:gridSpan w:val="3"/>
            <w:vAlign w:val="center"/>
            <w:hideMark/>
          </w:tcPr>
          <w:p w14:paraId="348904A4" w14:textId="77777777" w:rsidR="00000000" w:rsidRDefault="001A570A">
            <w:pPr>
              <w:rPr>
                <w:rFonts w:eastAsia="Times New Roman"/>
                <w:sz w:val="20"/>
                <w:szCs w:val="20"/>
              </w:rPr>
            </w:pPr>
          </w:p>
        </w:tc>
        <w:tc>
          <w:tcPr>
            <w:tcW w:w="0" w:type="auto"/>
            <w:gridSpan w:val="3"/>
            <w:vAlign w:val="center"/>
            <w:hideMark/>
          </w:tcPr>
          <w:p w14:paraId="0783C446" w14:textId="77777777" w:rsidR="00000000" w:rsidRDefault="001A570A">
            <w:pPr>
              <w:rPr>
                <w:rFonts w:eastAsia="Times New Roman"/>
                <w:sz w:val="20"/>
                <w:szCs w:val="20"/>
              </w:rPr>
            </w:pPr>
          </w:p>
        </w:tc>
        <w:tc>
          <w:tcPr>
            <w:tcW w:w="0" w:type="auto"/>
            <w:gridSpan w:val="3"/>
            <w:vAlign w:val="center"/>
            <w:hideMark/>
          </w:tcPr>
          <w:p w14:paraId="650D69D9" w14:textId="77777777" w:rsidR="00000000" w:rsidRDefault="001A570A">
            <w:pPr>
              <w:rPr>
                <w:rFonts w:eastAsia="Times New Roman"/>
                <w:sz w:val="20"/>
                <w:szCs w:val="20"/>
              </w:rPr>
            </w:pPr>
          </w:p>
        </w:tc>
        <w:tc>
          <w:tcPr>
            <w:tcW w:w="0" w:type="auto"/>
            <w:gridSpan w:val="3"/>
            <w:vAlign w:val="center"/>
            <w:hideMark/>
          </w:tcPr>
          <w:p w14:paraId="4EA2A16B" w14:textId="77777777" w:rsidR="00000000" w:rsidRDefault="001A570A">
            <w:pPr>
              <w:rPr>
                <w:rFonts w:eastAsia="Times New Roman"/>
                <w:sz w:val="20"/>
                <w:szCs w:val="20"/>
              </w:rPr>
            </w:pPr>
          </w:p>
        </w:tc>
        <w:tc>
          <w:tcPr>
            <w:tcW w:w="0" w:type="auto"/>
            <w:gridSpan w:val="3"/>
            <w:vAlign w:val="center"/>
            <w:hideMark/>
          </w:tcPr>
          <w:p w14:paraId="50175BD0" w14:textId="77777777" w:rsidR="00000000" w:rsidRDefault="001A570A">
            <w:pPr>
              <w:rPr>
                <w:rFonts w:eastAsia="Times New Roman"/>
                <w:sz w:val="20"/>
                <w:szCs w:val="20"/>
              </w:rPr>
            </w:pPr>
          </w:p>
        </w:tc>
        <w:tc>
          <w:tcPr>
            <w:tcW w:w="0" w:type="auto"/>
            <w:gridSpan w:val="3"/>
            <w:vAlign w:val="center"/>
            <w:hideMark/>
          </w:tcPr>
          <w:p w14:paraId="2B2A2184" w14:textId="77777777" w:rsidR="00000000" w:rsidRDefault="001A570A">
            <w:pPr>
              <w:rPr>
                <w:rFonts w:eastAsia="Times New Roman"/>
                <w:sz w:val="20"/>
                <w:szCs w:val="20"/>
              </w:rPr>
            </w:pPr>
          </w:p>
        </w:tc>
      </w:tr>
      <w:tr w:rsidR="00000000" w14:paraId="1D51CBF9" w14:textId="77777777">
        <w:trPr>
          <w:divId w:val="1073576924"/>
        </w:trPr>
        <w:tc>
          <w:tcPr>
            <w:tcW w:w="0" w:type="auto"/>
            <w:gridSpan w:val="3"/>
            <w:vAlign w:val="center"/>
            <w:hideMark/>
          </w:tcPr>
          <w:p w14:paraId="68E9FF9C" w14:textId="77777777" w:rsidR="00000000" w:rsidRDefault="001A570A">
            <w:pPr>
              <w:rPr>
                <w:rFonts w:eastAsia="Times New Roman"/>
                <w:sz w:val="20"/>
                <w:szCs w:val="20"/>
              </w:rPr>
            </w:pPr>
          </w:p>
        </w:tc>
        <w:tc>
          <w:tcPr>
            <w:tcW w:w="0" w:type="auto"/>
            <w:gridSpan w:val="3"/>
            <w:vAlign w:val="center"/>
            <w:hideMark/>
          </w:tcPr>
          <w:p w14:paraId="73FFED18" w14:textId="77777777" w:rsidR="00000000" w:rsidRDefault="001A570A">
            <w:pPr>
              <w:rPr>
                <w:rFonts w:eastAsia="Times New Roman"/>
                <w:sz w:val="20"/>
                <w:szCs w:val="20"/>
              </w:rPr>
            </w:pPr>
          </w:p>
        </w:tc>
        <w:tc>
          <w:tcPr>
            <w:tcW w:w="0" w:type="auto"/>
            <w:gridSpan w:val="3"/>
            <w:vAlign w:val="center"/>
            <w:hideMark/>
          </w:tcPr>
          <w:p w14:paraId="3C37A15D" w14:textId="77777777" w:rsidR="00000000" w:rsidRDefault="001A570A">
            <w:pPr>
              <w:rPr>
                <w:rFonts w:eastAsia="Times New Roman"/>
                <w:sz w:val="20"/>
                <w:szCs w:val="20"/>
              </w:rPr>
            </w:pPr>
          </w:p>
        </w:tc>
        <w:tc>
          <w:tcPr>
            <w:tcW w:w="0" w:type="auto"/>
            <w:gridSpan w:val="3"/>
            <w:vAlign w:val="center"/>
            <w:hideMark/>
          </w:tcPr>
          <w:p w14:paraId="3D363923" w14:textId="77777777" w:rsidR="00000000" w:rsidRDefault="001A570A">
            <w:pPr>
              <w:rPr>
                <w:rFonts w:eastAsia="Times New Roman"/>
                <w:sz w:val="20"/>
                <w:szCs w:val="20"/>
              </w:rPr>
            </w:pPr>
          </w:p>
        </w:tc>
        <w:tc>
          <w:tcPr>
            <w:tcW w:w="0" w:type="auto"/>
            <w:gridSpan w:val="3"/>
            <w:vAlign w:val="center"/>
            <w:hideMark/>
          </w:tcPr>
          <w:p w14:paraId="643AD113" w14:textId="77777777" w:rsidR="00000000" w:rsidRDefault="001A570A">
            <w:pPr>
              <w:rPr>
                <w:rFonts w:eastAsia="Times New Roman"/>
                <w:sz w:val="20"/>
                <w:szCs w:val="20"/>
              </w:rPr>
            </w:pPr>
          </w:p>
        </w:tc>
        <w:tc>
          <w:tcPr>
            <w:tcW w:w="0" w:type="auto"/>
            <w:gridSpan w:val="3"/>
            <w:vAlign w:val="center"/>
            <w:hideMark/>
          </w:tcPr>
          <w:p w14:paraId="3F73AC2E" w14:textId="77777777" w:rsidR="00000000" w:rsidRDefault="001A570A">
            <w:pPr>
              <w:rPr>
                <w:rFonts w:eastAsia="Times New Roman"/>
                <w:sz w:val="20"/>
                <w:szCs w:val="20"/>
              </w:rPr>
            </w:pPr>
          </w:p>
        </w:tc>
        <w:tc>
          <w:tcPr>
            <w:tcW w:w="0" w:type="auto"/>
            <w:gridSpan w:val="3"/>
            <w:vAlign w:val="center"/>
            <w:hideMark/>
          </w:tcPr>
          <w:p w14:paraId="53A1383A" w14:textId="77777777" w:rsidR="00000000" w:rsidRDefault="001A570A">
            <w:pPr>
              <w:rPr>
                <w:rFonts w:eastAsia="Times New Roman"/>
                <w:sz w:val="20"/>
                <w:szCs w:val="20"/>
              </w:rPr>
            </w:pPr>
          </w:p>
        </w:tc>
        <w:tc>
          <w:tcPr>
            <w:tcW w:w="0" w:type="auto"/>
            <w:gridSpan w:val="3"/>
            <w:vAlign w:val="center"/>
            <w:hideMark/>
          </w:tcPr>
          <w:p w14:paraId="6AF6E8E7" w14:textId="77777777" w:rsidR="00000000" w:rsidRDefault="001A570A">
            <w:pPr>
              <w:rPr>
                <w:rFonts w:eastAsia="Times New Roman"/>
                <w:sz w:val="20"/>
                <w:szCs w:val="20"/>
              </w:rPr>
            </w:pPr>
          </w:p>
        </w:tc>
      </w:tr>
      <w:tr w:rsidR="00000000" w14:paraId="4F67237D" w14:textId="77777777">
        <w:trPr>
          <w:divId w:val="1073576924"/>
        </w:trPr>
        <w:tc>
          <w:tcPr>
            <w:tcW w:w="0" w:type="auto"/>
            <w:gridSpan w:val="3"/>
            <w:vAlign w:val="center"/>
            <w:hideMark/>
          </w:tcPr>
          <w:p w14:paraId="660AD237" w14:textId="77777777" w:rsidR="00000000" w:rsidRDefault="001A570A">
            <w:pPr>
              <w:rPr>
                <w:rFonts w:eastAsia="Times New Roman"/>
                <w:sz w:val="20"/>
                <w:szCs w:val="20"/>
              </w:rPr>
            </w:pPr>
          </w:p>
        </w:tc>
        <w:tc>
          <w:tcPr>
            <w:tcW w:w="0" w:type="auto"/>
            <w:gridSpan w:val="3"/>
            <w:vAlign w:val="center"/>
            <w:hideMark/>
          </w:tcPr>
          <w:p w14:paraId="482F821D" w14:textId="77777777" w:rsidR="00000000" w:rsidRDefault="001A570A">
            <w:pPr>
              <w:rPr>
                <w:rFonts w:eastAsia="Times New Roman"/>
                <w:sz w:val="20"/>
                <w:szCs w:val="20"/>
              </w:rPr>
            </w:pPr>
          </w:p>
        </w:tc>
        <w:tc>
          <w:tcPr>
            <w:tcW w:w="0" w:type="auto"/>
            <w:gridSpan w:val="3"/>
            <w:vAlign w:val="center"/>
            <w:hideMark/>
          </w:tcPr>
          <w:p w14:paraId="619F6F38" w14:textId="77777777" w:rsidR="00000000" w:rsidRDefault="001A570A">
            <w:pPr>
              <w:rPr>
                <w:rFonts w:eastAsia="Times New Roman"/>
                <w:sz w:val="20"/>
                <w:szCs w:val="20"/>
              </w:rPr>
            </w:pPr>
          </w:p>
        </w:tc>
        <w:tc>
          <w:tcPr>
            <w:tcW w:w="0" w:type="auto"/>
            <w:gridSpan w:val="3"/>
            <w:vAlign w:val="center"/>
            <w:hideMark/>
          </w:tcPr>
          <w:p w14:paraId="3C7AABA2" w14:textId="77777777" w:rsidR="00000000" w:rsidRDefault="001A570A">
            <w:pPr>
              <w:rPr>
                <w:rFonts w:eastAsia="Times New Roman"/>
                <w:sz w:val="20"/>
                <w:szCs w:val="20"/>
              </w:rPr>
            </w:pPr>
          </w:p>
        </w:tc>
        <w:tc>
          <w:tcPr>
            <w:tcW w:w="0" w:type="auto"/>
            <w:gridSpan w:val="3"/>
            <w:vAlign w:val="center"/>
            <w:hideMark/>
          </w:tcPr>
          <w:p w14:paraId="49173C18" w14:textId="77777777" w:rsidR="00000000" w:rsidRDefault="001A570A">
            <w:pPr>
              <w:rPr>
                <w:rFonts w:eastAsia="Times New Roman"/>
                <w:sz w:val="20"/>
                <w:szCs w:val="20"/>
              </w:rPr>
            </w:pPr>
          </w:p>
        </w:tc>
        <w:tc>
          <w:tcPr>
            <w:tcW w:w="0" w:type="auto"/>
            <w:gridSpan w:val="3"/>
            <w:vAlign w:val="center"/>
            <w:hideMark/>
          </w:tcPr>
          <w:p w14:paraId="1B69412F" w14:textId="77777777" w:rsidR="00000000" w:rsidRDefault="001A570A">
            <w:pPr>
              <w:rPr>
                <w:rFonts w:eastAsia="Times New Roman"/>
                <w:sz w:val="20"/>
                <w:szCs w:val="20"/>
              </w:rPr>
            </w:pPr>
          </w:p>
        </w:tc>
        <w:tc>
          <w:tcPr>
            <w:tcW w:w="0" w:type="auto"/>
            <w:gridSpan w:val="3"/>
            <w:vAlign w:val="center"/>
            <w:hideMark/>
          </w:tcPr>
          <w:p w14:paraId="2FF66119" w14:textId="77777777" w:rsidR="00000000" w:rsidRDefault="001A570A">
            <w:pPr>
              <w:rPr>
                <w:rFonts w:eastAsia="Times New Roman"/>
                <w:sz w:val="20"/>
                <w:szCs w:val="20"/>
              </w:rPr>
            </w:pPr>
          </w:p>
        </w:tc>
        <w:tc>
          <w:tcPr>
            <w:tcW w:w="0" w:type="auto"/>
            <w:gridSpan w:val="3"/>
            <w:vAlign w:val="center"/>
            <w:hideMark/>
          </w:tcPr>
          <w:p w14:paraId="19F7B854" w14:textId="77777777" w:rsidR="00000000" w:rsidRDefault="001A570A">
            <w:pPr>
              <w:rPr>
                <w:rFonts w:eastAsia="Times New Roman"/>
                <w:sz w:val="20"/>
                <w:szCs w:val="20"/>
              </w:rPr>
            </w:pPr>
          </w:p>
        </w:tc>
      </w:tr>
      <w:tr w:rsidR="00000000" w14:paraId="7F3EB734" w14:textId="77777777">
        <w:trPr>
          <w:divId w:val="1073576924"/>
        </w:trPr>
        <w:tc>
          <w:tcPr>
            <w:tcW w:w="0" w:type="auto"/>
            <w:gridSpan w:val="3"/>
            <w:shd w:val="clear" w:color="auto" w:fill="FFFFFF"/>
            <w:tcMar>
              <w:top w:w="30" w:type="dxa"/>
              <w:left w:w="245" w:type="dxa"/>
              <w:bottom w:w="30" w:type="dxa"/>
              <w:right w:w="20" w:type="dxa"/>
            </w:tcMar>
            <w:hideMark/>
          </w:tcPr>
          <w:p w14:paraId="42C95C5C" w14:textId="77777777" w:rsidR="00000000" w:rsidRDefault="001A570A">
            <w:pPr>
              <w:rPr>
                <w:rFonts w:eastAsia="Times New Roman"/>
              </w:rPr>
            </w:pPr>
            <w:r>
              <w:rPr>
                <w:rFonts w:eastAsia="Times New Roman"/>
                <w:color w:val="000000"/>
                <w:sz w:val="20"/>
                <w:szCs w:val="20"/>
              </w:rPr>
              <w:t>Fixed income:</w:t>
            </w:r>
          </w:p>
        </w:tc>
        <w:tc>
          <w:tcPr>
            <w:tcW w:w="0" w:type="auto"/>
            <w:gridSpan w:val="3"/>
            <w:shd w:val="clear" w:color="auto" w:fill="FFFFFF"/>
            <w:tcMar>
              <w:top w:w="0" w:type="dxa"/>
              <w:left w:w="20" w:type="dxa"/>
              <w:bottom w:w="0" w:type="dxa"/>
              <w:right w:w="20" w:type="dxa"/>
            </w:tcMar>
            <w:vAlign w:val="center"/>
            <w:hideMark/>
          </w:tcPr>
          <w:p w14:paraId="41E9091E"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F999E"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5147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E2F4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18BD2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1CDBB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25691F" w14:textId="77777777" w:rsidR="00000000" w:rsidRDefault="001A570A">
            <w:pPr>
              <w:rPr>
                <w:rFonts w:eastAsia="Times New Roman"/>
                <w:sz w:val="20"/>
                <w:szCs w:val="20"/>
              </w:rPr>
            </w:pPr>
          </w:p>
        </w:tc>
      </w:tr>
      <w:tr w:rsidR="00000000" w14:paraId="1A16271E" w14:textId="77777777">
        <w:trPr>
          <w:divId w:val="1073576924"/>
        </w:trPr>
        <w:tc>
          <w:tcPr>
            <w:tcW w:w="0" w:type="auto"/>
            <w:gridSpan w:val="3"/>
            <w:shd w:val="clear" w:color="auto" w:fill="CCEEFF"/>
            <w:tcMar>
              <w:top w:w="30" w:type="dxa"/>
              <w:left w:w="500" w:type="dxa"/>
              <w:bottom w:w="30" w:type="dxa"/>
              <w:right w:w="20" w:type="dxa"/>
            </w:tcMar>
            <w:hideMark/>
          </w:tcPr>
          <w:p w14:paraId="24074A24" w14:textId="77777777" w:rsidR="00000000" w:rsidRDefault="001A570A">
            <w:pPr>
              <w:rPr>
                <w:rFonts w:eastAsia="Times New Roman"/>
              </w:rPr>
            </w:pPr>
            <w:r>
              <w:rPr>
                <w:rFonts w:eastAsia="Times New Roman"/>
                <w:color w:val="000000"/>
                <w:sz w:val="20"/>
                <w:szCs w:val="20"/>
              </w:rPr>
              <w:t>Corporate bonds</w:t>
            </w:r>
          </w:p>
        </w:tc>
        <w:tc>
          <w:tcPr>
            <w:tcW w:w="0" w:type="auto"/>
            <w:gridSpan w:val="2"/>
            <w:shd w:val="clear" w:color="auto" w:fill="CCEEFF"/>
            <w:tcMar>
              <w:top w:w="30" w:type="dxa"/>
              <w:left w:w="20" w:type="dxa"/>
              <w:bottom w:w="30" w:type="dxa"/>
              <w:right w:w="0" w:type="dxa"/>
            </w:tcMar>
            <w:vAlign w:val="bottom"/>
            <w:hideMark/>
          </w:tcPr>
          <w:p w14:paraId="46B4117B" w14:textId="77777777" w:rsidR="00000000" w:rsidRDefault="001A570A">
            <w:pPr>
              <w:jc w:val="right"/>
              <w:rPr>
                <w:rFonts w:eastAsia="Times New Roman"/>
              </w:rPr>
            </w:pPr>
            <w:r>
              <w:rPr>
                <w:rFonts w:eastAsia="Times New Roman"/>
                <w:color w:val="000000"/>
                <w:sz w:val="20"/>
                <w:szCs w:val="20"/>
              </w:rPr>
              <w:t>1,176 </w:t>
            </w:r>
          </w:p>
        </w:tc>
        <w:tc>
          <w:tcPr>
            <w:tcW w:w="0" w:type="auto"/>
            <w:shd w:val="clear" w:color="auto" w:fill="CCEEFF"/>
            <w:tcMar>
              <w:top w:w="30" w:type="dxa"/>
              <w:left w:w="0" w:type="dxa"/>
              <w:bottom w:w="30" w:type="dxa"/>
              <w:right w:w="20" w:type="dxa"/>
            </w:tcMar>
            <w:vAlign w:val="bottom"/>
            <w:hideMark/>
          </w:tcPr>
          <w:p w14:paraId="050F83B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BAE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1EE6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146D8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B2BE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906F3F" w14:textId="77777777" w:rsidR="00000000" w:rsidRDefault="001A570A">
            <w:pPr>
              <w:jc w:val="right"/>
              <w:rPr>
                <w:rFonts w:eastAsia="Times New Roman"/>
              </w:rPr>
            </w:pPr>
            <w:r>
              <w:rPr>
                <w:rFonts w:eastAsia="Times New Roman"/>
                <w:color w:val="000000"/>
                <w:sz w:val="20"/>
                <w:szCs w:val="20"/>
              </w:rPr>
              <w:t>1,159 </w:t>
            </w:r>
          </w:p>
        </w:tc>
        <w:tc>
          <w:tcPr>
            <w:tcW w:w="0" w:type="auto"/>
            <w:shd w:val="clear" w:color="auto" w:fill="CCEEFF"/>
            <w:tcMar>
              <w:top w:w="30" w:type="dxa"/>
              <w:left w:w="0" w:type="dxa"/>
              <w:bottom w:w="30" w:type="dxa"/>
              <w:right w:w="20" w:type="dxa"/>
            </w:tcMar>
            <w:vAlign w:val="bottom"/>
            <w:hideMark/>
          </w:tcPr>
          <w:p w14:paraId="5D08A96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8261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93CDB"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1D607FDE" w14:textId="77777777" w:rsidR="00000000" w:rsidRDefault="001A570A">
            <w:pPr>
              <w:jc w:val="right"/>
              <w:rPr>
                <w:rFonts w:eastAsia="Times New Roman"/>
              </w:rPr>
            </w:pPr>
          </w:p>
        </w:tc>
      </w:tr>
      <w:tr w:rsidR="00000000" w14:paraId="553DAF7B" w14:textId="77777777">
        <w:trPr>
          <w:divId w:val="1073576924"/>
        </w:trPr>
        <w:tc>
          <w:tcPr>
            <w:tcW w:w="0" w:type="auto"/>
            <w:gridSpan w:val="3"/>
            <w:shd w:val="clear" w:color="auto" w:fill="FFFFFF"/>
            <w:tcMar>
              <w:top w:w="30" w:type="dxa"/>
              <w:left w:w="500" w:type="dxa"/>
              <w:bottom w:w="30" w:type="dxa"/>
              <w:right w:w="20" w:type="dxa"/>
            </w:tcMar>
            <w:hideMark/>
          </w:tcPr>
          <w:p w14:paraId="5EE7579A" w14:textId="77777777" w:rsidR="00000000" w:rsidRDefault="001A570A">
            <w:pPr>
              <w:rPr>
                <w:rFonts w:eastAsia="Times New Roman"/>
              </w:rPr>
            </w:pPr>
            <w:r>
              <w:rPr>
                <w:rFonts w:eastAsia="Times New Roman"/>
                <w:color w:val="000000"/>
                <w:sz w:val="20"/>
                <w:szCs w:val="20"/>
              </w:rPr>
              <w:t>Government securities</w:t>
            </w:r>
          </w:p>
        </w:tc>
        <w:tc>
          <w:tcPr>
            <w:tcW w:w="0" w:type="auto"/>
            <w:gridSpan w:val="2"/>
            <w:shd w:val="clear" w:color="auto" w:fill="FFFFFF"/>
            <w:tcMar>
              <w:top w:w="30" w:type="dxa"/>
              <w:left w:w="20" w:type="dxa"/>
              <w:bottom w:w="30" w:type="dxa"/>
              <w:right w:w="0" w:type="dxa"/>
            </w:tcMar>
            <w:vAlign w:val="bottom"/>
            <w:hideMark/>
          </w:tcPr>
          <w:p w14:paraId="6C18A781" w14:textId="77777777" w:rsidR="00000000" w:rsidRDefault="001A570A">
            <w:pPr>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14:paraId="08DEE3A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0EED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862A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9DC71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B5AB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047335" w14:textId="77777777" w:rsidR="00000000" w:rsidRDefault="001A570A">
            <w:pPr>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14:paraId="16C45F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B6BF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B8F1B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1EBCCC" w14:textId="77777777" w:rsidR="00000000" w:rsidRDefault="001A570A">
            <w:pPr>
              <w:jc w:val="right"/>
              <w:rPr>
                <w:rFonts w:eastAsia="Times New Roman"/>
              </w:rPr>
            </w:pPr>
          </w:p>
        </w:tc>
      </w:tr>
      <w:tr w:rsidR="00000000" w14:paraId="785F2E9B" w14:textId="77777777">
        <w:trPr>
          <w:divId w:val="1073576924"/>
        </w:trPr>
        <w:tc>
          <w:tcPr>
            <w:tcW w:w="0" w:type="auto"/>
            <w:gridSpan w:val="3"/>
            <w:shd w:val="clear" w:color="auto" w:fill="CCEEFF"/>
            <w:tcMar>
              <w:top w:w="30" w:type="dxa"/>
              <w:left w:w="500" w:type="dxa"/>
              <w:bottom w:w="30" w:type="dxa"/>
              <w:right w:w="20" w:type="dxa"/>
            </w:tcMar>
            <w:hideMark/>
          </w:tcPr>
          <w:p w14:paraId="3A81E590" w14:textId="77777777" w:rsidR="00000000" w:rsidRDefault="001A570A">
            <w:pPr>
              <w:rPr>
                <w:rFonts w:eastAsia="Times New Roman"/>
              </w:rPr>
            </w:pPr>
            <w:r>
              <w:rPr>
                <w:rFonts w:eastAsia="Times New Roman"/>
                <w:color w:val="000000"/>
                <w:sz w:val="20"/>
                <w:szCs w:val="20"/>
              </w:rPr>
              <w:t>Securitized assets</w:t>
            </w:r>
          </w:p>
        </w:tc>
        <w:tc>
          <w:tcPr>
            <w:tcW w:w="0" w:type="auto"/>
            <w:gridSpan w:val="2"/>
            <w:shd w:val="clear" w:color="auto" w:fill="CCEEFF"/>
            <w:tcMar>
              <w:top w:w="30" w:type="dxa"/>
              <w:left w:w="20" w:type="dxa"/>
              <w:bottom w:w="30" w:type="dxa"/>
              <w:right w:w="0" w:type="dxa"/>
            </w:tcMar>
            <w:vAlign w:val="bottom"/>
            <w:hideMark/>
          </w:tcPr>
          <w:p w14:paraId="2450A406" w14:textId="77777777" w:rsidR="00000000" w:rsidRDefault="001A570A">
            <w:pPr>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44B1446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B306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9C2C8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659D8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8ED0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8A0D18" w14:textId="77777777" w:rsidR="00000000" w:rsidRDefault="001A570A">
            <w:pPr>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17252C9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D1CD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B71D9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CF8303C" w14:textId="77777777" w:rsidR="00000000" w:rsidRDefault="001A570A">
            <w:pPr>
              <w:jc w:val="right"/>
              <w:rPr>
                <w:rFonts w:eastAsia="Times New Roman"/>
              </w:rPr>
            </w:pPr>
          </w:p>
        </w:tc>
      </w:tr>
      <w:tr w:rsidR="00000000" w14:paraId="20578833" w14:textId="77777777">
        <w:trPr>
          <w:divId w:val="1073576924"/>
        </w:trPr>
        <w:tc>
          <w:tcPr>
            <w:tcW w:w="0" w:type="auto"/>
            <w:gridSpan w:val="3"/>
            <w:shd w:val="clear" w:color="auto" w:fill="FFFFFF"/>
            <w:tcMar>
              <w:top w:w="30" w:type="dxa"/>
              <w:left w:w="500" w:type="dxa"/>
              <w:bottom w:w="30" w:type="dxa"/>
              <w:right w:w="20" w:type="dxa"/>
            </w:tcMar>
            <w:hideMark/>
          </w:tcPr>
          <w:p w14:paraId="768BF514" w14:textId="77777777" w:rsidR="00000000" w:rsidRDefault="001A570A">
            <w:pPr>
              <w:rPr>
                <w:rFonts w:eastAsia="Times New Roman"/>
              </w:rPr>
            </w:pPr>
            <w:r>
              <w:rPr>
                <w:rFonts w:eastAsia="Times New Roman"/>
                <w:color w:val="000000"/>
                <w:sz w:val="20"/>
                <w:szCs w:val="20"/>
              </w:rPr>
              <w:t>Fixed income funds</w:t>
            </w:r>
          </w:p>
        </w:tc>
        <w:tc>
          <w:tcPr>
            <w:tcW w:w="0" w:type="auto"/>
            <w:gridSpan w:val="2"/>
            <w:shd w:val="clear" w:color="auto" w:fill="FFFFFF"/>
            <w:tcMar>
              <w:top w:w="30" w:type="dxa"/>
              <w:left w:w="20" w:type="dxa"/>
              <w:bottom w:w="30" w:type="dxa"/>
              <w:right w:w="0" w:type="dxa"/>
            </w:tcMar>
            <w:vAlign w:val="bottom"/>
            <w:hideMark/>
          </w:tcPr>
          <w:p w14:paraId="7245FB5F"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01C9562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A427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4F9EB" w14:textId="77777777" w:rsidR="00000000" w:rsidRDefault="001A570A">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4F8494A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85E5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7A02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A881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7F91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6B2DC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C94B39" w14:textId="77777777" w:rsidR="00000000" w:rsidRDefault="001A570A">
            <w:pPr>
              <w:jc w:val="right"/>
              <w:rPr>
                <w:rFonts w:eastAsia="Times New Roman"/>
              </w:rPr>
            </w:pPr>
          </w:p>
        </w:tc>
      </w:tr>
      <w:tr w:rsidR="00000000" w14:paraId="314A3936" w14:textId="77777777">
        <w:trPr>
          <w:divId w:val="1073576924"/>
        </w:trPr>
        <w:tc>
          <w:tcPr>
            <w:tcW w:w="0" w:type="auto"/>
            <w:gridSpan w:val="3"/>
            <w:shd w:val="clear" w:color="auto" w:fill="CCEEFF"/>
            <w:tcMar>
              <w:top w:w="30" w:type="dxa"/>
              <w:left w:w="245" w:type="dxa"/>
              <w:bottom w:w="30" w:type="dxa"/>
              <w:right w:w="20" w:type="dxa"/>
            </w:tcMar>
            <w:hideMark/>
          </w:tcPr>
          <w:p w14:paraId="5910D2BC"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757157B3"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183E73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B166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6A8A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B0326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B8F2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FFF2A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0C206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4947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009323"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51993DC" w14:textId="77777777" w:rsidR="00000000" w:rsidRDefault="001A570A">
            <w:pPr>
              <w:jc w:val="right"/>
              <w:rPr>
                <w:rFonts w:eastAsia="Times New Roman"/>
              </w:rPr>
            </w:pPr>
          </w:p>
        </w:tc>
      </w:tr>
      <w:tr w:rsidR="00000000" w14:paraId="303F1840" w14:textId="77777777">
        <w:trPr>
          <w:divId w:val="1073576924"/>
        </w:trPr>
        <w:tc>
          <w:tcPr>
            <w:tcW w:w="0" w:type="auto"/>
            <w:gridSpan w:val="3"/>
            <w:shd w:val="clear" w:color="auto" w:fill="FFFFFF"/>
            <w:tcMar>
              <w:top w:w="30" w:type="dxa"/>
              <w:left w:w="245" w:type="dxa"/>
              <w:bottom w:w="30" w:type="dxa"/>
              <w:right w:w="20" w:type="dxa"/>
            </w:tcMar>
            <w:hideMark/>
          </w:tcPr>
          <w:p w14:paraId="0781A1BD" w14:textId="77777777" w:rsidR="00000000" w:rsidRDefault="001A570A">
            <w:pPr>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14:paraId="13269054" w14:textId="77777777" w:rsidR="00000000" w:rsidRDefault="001A570A">
            <w:pPr>
              <w:jc w:val="right"/>
              <w:rPr>
                <w:rFonts w:eastAsia="Times New Roman"/>
              </w:rPr>
            </w:pPr>
            <w:r>
              <w:rPr>
                <w:rFonts w:eastAsia="Times New Roman"/>
                <w:color w:val="000000"/>
                <w:sz w:val="20"/>
                <w:szCs w:val="20"/>
              </w:rPr>
              <w:t>691 </w:t>
            </w:r>
          </w:p>
        </w:tc>
        <w:tc>
          <w:tcPr>
            <w:tcW w:w="0" w:type="auto"/>
            <w:shd w:val="clear" w:color="auto" w:fill="FFFFFF"/>
            <w:tcMar>
              <w:top w:w="30" w:type="dxa"/>
              <w:left w:w="0" w:type="dxa"/>
              <w:bottom w:w="30" w:type="dxa"/>
              <w:right w:w="20" w:type="dxa"/>
            </w:tcMar>
            <w:vAlign w:val="bottom"/>
            <w:hideMark/>
          </w:tcPr>
          <w:p w14:paraId="497B90A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8271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146F8"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0DFC843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90FF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561D8" w14:textId="77777777" w:rsidR="00000000" w:rsidRDefault="001A570A">
            <w:pPr>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14:paraId="15D79E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1C1D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6B87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FE7E47" w14:textId="77777777" w:rsidR="00000000" w:rsidRDefault="001A570A">
            <w:pPr>
              <w:jc w:val="right"/>
              <w:rPr>
                <w:rFonts w:eastAsia="Times New Roman"/>
              </w:rPr>
            </w:pPr>
          </w:p>
        </w:tc>
      </w:tr>
      <w:tr w:rsidR="00000000" w14:paraId="5FAE485A" w14:textId="77777777">
        <w:trPr>
          <w:divId w:val="1073576924"/>
        </w:trPr>
        <w:tc>
          <w:tcPr>
            <w:tcW w:w="0" w:type="auto"/>
            <w:gridSpan w:val="3"/>
            <w:shd w:val="clear" w:color="auto" w:fill="CCEEFF"/>
            <w:tcMar>
              <w:top w:w="30" w:type="dxa"/>
              <w:left w:w="20" w:type="dxa"/>
              <w:bottom w:w="30" w:type="dxa"/>
              <w:right w:w="20" w:type="dxa"/>
            </w:tcMar>
            <w:hideMark/>
          </w:tcPr>
          <w:p w14:paraId="7F921A66" w14:textId="77777777" w:rsidR="00000000" w:rsidRDefault="001A570A">
            <w:pPr>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0BC261" w14:textId="77777777" w:rsidR="00000000" w:rsidRDefault="001A570A">
            <w:pPr>
              <w:jc w:val="right"/>
              <w:rPr>
                <w:rFonts w:eastAsia="Times New Roman"/>
              </w:rPr>
            </w:pPr>
            <w:r>
              <w:rPr>
                <w:rFonts w:eastAsia="Times New Roman"/>
                <w:color w:val="000000"/>
                <w:sz w:val="20"/>
                <w:szCs w:val="20"/>
              </w:rPr>
              <w:t>6,986 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2CB88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F590C"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F80AE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C84A1E" w14:textId="77777777" w:rsidR="00000000" w:rsidRDefault="001A570A">
            <w:pPr>
              <w:jc w:val="right"/>
              <w:rPr>
                <w:rFonts w:eastAsia="Times New Roman"/>
              </w:rPr>
            </w:pPr>
            <w:r>
              <w:rPr>
                <w:rFonts w:eastAsia="Times New Roman"/>
                <w:color w:val="000000"/>
                <w:sz w:val="20"/>
                <w:szCs w:val="20"/>
              </w:rPr>
              <w:t>4,514 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D02BD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E3012"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F6E40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96B0F2" w14:textId="77777777" w:rsidR="00000000" w:rsidRDefault="001A570A">
            <w:pPr>
              <w:jc w:val="right"/>
              <w:rPr>
                <w:rFonts w:eastAsia="Times New Roman"/>
              </w:rPr>
            </w:pPr>
            <w:r>
              <w:rPr>
                <w:rFonts w:eastAsia="Times New Roman"/>
                <w:color w:val="000000"/>
                <w:sz w:val="20"/>
                <w:szCs w:val="20"/>
              </w:rPr>
              <w:t>2,453 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0EE39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D1F99"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F1F5F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75E636" w14:textId="77777777" w:rsidR="00000000" w:rsidRDefault="001A570A">
            <w:pPr>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0D8B85" w14:textId="77777777" w:rsidR="00000000" w:rsidRDefault="001A570A">
            <w:pPr>
              <w:jc w:val="right"/>
              <w:rPr>
                <w:rFonts w:eastAsia="Times New Roman"/>
              </w:rPr>
            </w:pPr>
          </w:p>
        </w:tc>
      </w:tr>
      <w:tr w:rsidR="00000000" w14:paraId="67CAA51C" w14:textId="77777777">
        <w:trPr>
          <w:divId w:val="1073576924"/>
        </w:trPr>
        <w:tc>
          <w:tcPr>
            <w:tcW w:w="0" w:type="auto"/>
            <w:gridSpan w:val="3"/>
            <w:shd w:val="clear" w:color="auto" w:fill="FFFFFF"/>
            <w:tcMar>
              <w:top w:w="30" w:type="dxa"/>
              <w:left w:w="20" w:type="dxa"/>
              <w:bottom w:w="30" w:type="dxa"/>
              <w:right w:w="20" w:type="dxa"/>
            </w:tcMar>
            <w:hideMark/>
          </w:tcPr>
          <w:p w14:paraId="3C1A9922" w14:textId="77777777" w:rsidR="00000000" w:rsidRDefault="001A570A">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14:paraId="63719187"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8E2A1"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4AF44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96389"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BC7DC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31EA46"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DF55500" w14:textId="77777777" w:rsidR="00000000" w:rsidRDefault="001A570A">
            <w:pPr>
              <w:rPr>
                <w:rFonts w:eastAsia="Times New Roman"/>
                <w:sz w:val="20"/>
                <w:szCs w:val="20"/>
              </w:rPr>
            </w:pPr>
          </w:p>
        </w:tc>
      </w:tr>
      <w:tr w:rsidR="00000000" w14:paraId="732E0204" w14:textId="77777777">
        <w:trPr>
          <w:divId w:val="1073576924"/>
        </w:trPr>
        <w:tc>
          <w:tcPr>
            <w:tcW w:w="0" w:type="auto"/>
            <w:gridSpan w:val="3"/>
            <w:shd w:val="clear" w:color="auto" w:fill="CCEEFF"/>
            <w:tcMar>
              <w:top w:w="30" w:type="dxa"/>
              <w:left w:w="260" w:type="dxa"/>
              <w:bottom w:w="30" w:type="dxa"/>
              <w:right w:w="20" w:type="dxa"/>
            </w:tcMar>
            <w:hideMark/>
          </w:tcPr>
          <w:p w14:paraId="642D0148" w14:textId="77777777" w:rsidR="00000000" w:rsidRDefault="001A570A">
            <w:pPr>
              <w:rPr>
                <w:rFonts w:eastAsia="Times New Roman"/>
              </w:rPr>
            </w:pPr>
            <w:r>
              <w:rPr>
                <w:rFonts w:eastAsia="Times New Roman"/>
                <w:color w:val="000000"/>
                <w:sz w:val="20"/>
                <w:szCs w:val="20"/>
              </w:rPr>
              <w:t>Equity fund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D970664" w14:textId="77777777" w:rsidR="00000000" w:rsidRDefault="001A570A">
            <w:pPr>
              <w:jc w:val="right"/>
              <w:rPr>
                <w:rFonts w:eastAsia="Times New Roman"/>
              </w:rPr>
            </w:pPr>
            <w:r>
              <w:rPr>
                <w:rFonts w:eastAsia="Times New Roman"/>
                <w:color w:val="000000"/>
                <w:sz w:val="20"/>
                <w:szCs w:val="20"/>
              </w:rPr>
              <w:t>933 </w:t>
            </w:r>
          </w:p>
        </w:tc>
        <w:tc>
          <w:tcPr>
            <w:tcW w:w="0" w:type="auto"/>
            <w:shd w:val="clear" w:color="auto" w:fill="CCEEFF"/>
            <w:tcMar>
              <w:top w:w="30" w:type="dxa"/>
              <w:left w:w="0" w:type="dxa"/>
              <w:bottom w:w="30" w:type="dxa"/>
              <w:right w:w="20" w:type="dxa"/>
            </w:tcMar>
            <w:vAlign w:val="bottom"/>
            <w:hideMark/>
          </w:tcPr>
          <w:p w14:paraId="15DCFF0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F6037"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8B072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9F4A7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F7F65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B25C6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905588" w14:textId="77777777" w:rsidR="00000000" w:rsidRDefault="001A570A">
            <w:pPr>
              <w:rPr>
                <w:rFonts w:eastAsia="Times New Roman"/>
                <w:sz w:val="20"/>
                <w:szCs w:val="20"/>
              </w:rPr>
            </w:pPr>
          </w:p>
        </w:tc>
      </w:tr>
      <w:tr w:rsidR="00000000" w14:paraId="721DD14E" w14:textId="77777777">
        <w:trPr>
          <w:divId w:val="1073576924"/>
        </w:trPr>
        <w:tc>
          <w:tcPr>
            <w:tcW w:w="0" w:type="auto"/>
            <w:gridSpan w:val="3"/>
            <w:shd w:val="clear" w:color="auto" w:fill="FFFFFF"/>
            <w:tcMar>
              <w:top w:w="30" w:type="dxa"/>
              <w:left w:w="260" w:type="dxa"/>
              <w:bottom w:w="30" w:type="dxa"/>
              <w:right w:w="20" w:type="dxa"/>
            </w:tcMar>
            <w:hideMark/>
          </w:tcPr>
          <w:p w14:paraId="47105BD3" w14:textId="77777777" w:rsidR="00000000" w:rsidRDefault="001A570A">
            <w:pPr>
              <w:rPr>
                <w:rFonts w:eastAsia="Times New Roman"/>
              </w:rPr>
            </w:pPr>
            <w:r>
              <w:rPr>
                <w:rFonts w:eastAsia="Times New Roman"/>
                <w:color w:val="000000"/>
                <w:sz w:val="20"/>
                <w:szCs w:val="20"/>
              </w:rPr>
              <w:t>Fixed income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99F779B" w14:textId="77777777" w:rsidR="00000000" w:rsidRDefault="001A570A">
            <w:pPr>
              <w:jc w:val="right"/>
              <w:rPr>
                <w:rFonts w:eastAsia="Times New Roman"/>
              </w:rPr>
            </w:pPr>
            <w:r>
              <w:rPr>
                <w:rFonts w:eastAsia="Times New Roman"/>
                <w:color w:val="000000"/>
                <w:sz w:val="20"/>
                <w:szCs w:val="20"/>
              </w:rPr>
              <w:t>323 </w:t>
            </w:r>
          </w:p>
        </w:tc>
        <w:tc>
          <w:tcPr>
            <w:tcW w:w="0" w:type="auto"/>
            <w:shd w:val="clear" w:color="auto" w:fill="FFFFFF"/>
            <w:tcMar>
              <w:top w:w="30" w:type="dxa"/>
              <w:left w:w="0" w:type="dxa"/>
              <w:bottom w:w="30" w:type="dxa"/>
              <w:right w:w="20" w:type="dxa"/>
            </w:tcMar>
            <w:vAlign w:val="bottom"/>
            <w:hideMark/>
          </w:tcPr>
          <w:p w14:paraId="55BC59D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043FC"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CCE61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A3445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1847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C482F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E0B8C9" w14:textId="77777777" w:rsidR="00000000" w:rsidRDefault="001A570A">
            <w:pPr>
              <w:rPr>
                <w:rFonts w:eastAsia="Times New Roman"/>
                <w:sz w:val="20"/>
                <w:szCs w:val="20"/>
              </w:rPr>
            </w:pPr>
          </w:p>
        </w:tc>
      </w:tr>
      <w:tr w:rsidR="00000000" w14:paraId="75028C1A" w14:textId="77777777">
        <w:trPr>
          <w:divId w:val="1073576924"/>
        </w:trPr>
        <w:tc>
          <w:tcPr>
            <w:tcW w:w="0" w:type="auto"/>
            <w:gridSpan w:val="3"/>
            <w:shd w:val="clear" w:color="auto" w:fill="CCEEFF"/>
            <w:tcMar>
              <w:top w:w="30" w:type="dxa"/>
              <w:left w:w="260" w:type="dxa"/>
              <w:bottom w:w="30" w:type="dxa"/>
              <w:right w:w="20" w:type="dxa"/>
            </w:tcMar>
            <w:hideMark/>
          </w:tcPr>
          <w:p w14:paraId="7CF398D0" w14:textId="77777777" w:rsidR="00000000" w:rsidRDefault="001A570A">
            <w:pPr>
              <w:rPr>
                <w:rFonts w:eastAsia="Times New Roman"/>
              </w:rPr>
            </w:pPr>
            <w:r>
              <w:rPr>
                <w:rFonts w:eastAsia="Times New Roman"/>
                <w:color w:val="000000"/>
                <w:sz w:val="20"/>
                <w:szCs w:val="20"/>
              </w:rPr>
              <w:t>Hedge fund</w:t>
            </w:r>
            <w:r>
              <w:rPr>
                <w:rFonts w:eastAsia="Times New Roman"/>
                <w:color w:val="000000"/>
                <w:sz w:val="20"/>
                <w:szCs w:val="20"/>
              </w:rPr>
              <w:t>s</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14:paraId="283A70F4" w14:textId="77777777" w:rsidR="00000000" w:rsidRDefault="001A570A">
            <w:pPr>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14:paraId="650C113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C4265"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8BDC0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3FED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5185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14647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5F7B1C" w14:textId="77777777" w:rsidR="00000000" w:rsidRDefault="001A570A">
            <w:pPr>
              <w:rPr>
                <w:rFonts w:eastAsia="Times New Roman"/>
                <w:sz w:val="20"/>
                <w:szCs w:val="20"/>
              </w:rPr>
            </w:pPr>
          </w:p>
        </w:tc>
      </w:tr>
      <w:tr w:rsidR="00000000" w14:paraId="27F30571" w14:textId="77777777">
        <w:trPr>
          <w:divId w:val="1073576924"/>
        </w:trPr>
        <w:tc>
          <w:tcPr>
            <w:tcW w:w="0" w:type="auto"/>
            <w:gridSpan w:val="3"/>
            <w:shd w:val="clear" w:color="auto" w:fill="FFFFFF"/>
            <w:tcMar>
              <w:top w:w="30" w:type="dxa"/>
              <w:left w:w="260" w:type="dxa"/>
              <w:bottom w:w="30" w:type="dxa"/>
              <w:right w:w="20" w:type="dxa"/>
            </w:tcMar>
            <w:hideMark/>
          </w:tcPr>
          <w:p w14:paraId="7DC5C4B7" w14:textId="77777777" w:rsidR="00000000" w:rsidRDefault="001A570A">
            <w:pPr>
              <w:rPr>
                <w:rFonts w:eastAsia="Times New Roman"/>
              </w:rPr>
            </w:pPr>
            <w:r>
              <w:rPr>
                <w:rFonts w:eastAsia="Times New Roman"/>
                <w:color w:val="000000"/>
                <w:sz w:val="20"/>
                <w:szCs w:val="20"/>
              </w:rPr>
              <w:t>Private equity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718A9AD" w14:textId="77777777" w:rsidR="00000000" w:rsidRDefault="001A570A">
            <w:pPr>
              <w:jc w:val="right"/>
              <w:rPr>
                <w:rFonts w:eastAsia="Times New Roman"/>
              </w:rPr>
            </w:pPr>
            <w:r>
              <w:rPr>
                <w:rFonts w:eastAsia="Times New Roman"/>
                <w:color w:val="000000"/>
                <w:sz w:val="20"/>
                <w:szCs w:val="20"/>
              </w:rPr>
              <w:t>302 </w:t>
            </w:r>
          </w:p>
        </w:tc>
        <w:tc>
          <w:tcPr>
            <w:tcW w:w="0" w:type="auto"/>
            <w:shd w:val="clear" w:color="auto" w:fill="FFFFFF"/>
            <w:tcMar>
              <w:top w:w="30" w:type="dxa"/>
              <w:left w:w="0" w:type="dxa"/>
              <w:bottom w:w="30" w:type="dxa"/>
              <w:right w:w="20" w:type="dxa"/>
            </w:tcMar>
            <w:vAlign w:val="bottom"/>
            <w:hideMark/>
          </w:tcPr>
          <w:p w14:paraId="78321B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16C07"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7A196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CEAC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8431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29EE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47AE36" w14:textId="77777777" w:rsidR="00000000" w:rsidRDefault="001A570A">
            <w:pPr>
              <w:rPr>
                <w:rFonts w:eastAsia="Times New Roman"/>
                <w:sz w:val="20"/>
                <w:szCs w:val="20"/>
              </w:rPr>
            </w:pPr>
          </w:p>
        </w:tc>
      </w:tr>
      <w:tr w:rsidR="00000000" w14:paraId="193AB00A" w14:textId="77777777">
        <w:trPr>
          <w:divId w:val="1073576924"/>
        </w:trPr>
        <w:tc>
          <w:tcPr>
            <w:tcW w:w="0" w:type="auto"/>
            <w:gridSpan w:val="3"/>
            <w:shd w:val="clear" w:color="auto" w:fill="CCEEFF"/>
            <w:tcMar>
              <w:top w:w="30" w:type="dxa"/>
              <w:left w:w="260" w:type="dxa"/>
              <w:bottom w:w="30" w:type="dxa"/>
              <w:right w:w="20" w:type="dxa"/>
            </w:tcMar>
            <w:hideMark/>
          </w:tcPr>
          <w:p w14:paraId="31247FE4" w14:textId="77777777" w:rsidR="00000000" w:rsidRDefault="001A570A">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604B1E60"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CD92CD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9A6B1"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9CC0C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D2C8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C2D9E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EC4C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070F8" w14:textId="77777777" w:rsidR="00000000" w:rsidRDefault="001A570A">
            <w:pPr>
              <w:rPr>
                <w:rFonts w:eastAsia="Times New Roman"/>
                <w:sz w:val="20"/>
                <w:szCs w:val="20"/>
              </w:rPr>
            </w:pPr>
          </w:p>
        </w:tc>
      </w:tr>
      <w:tr w:rsidR="00000000" w14:paraId="6D214D9F" w14:textId="77777777">
        <w:trPr>
          <w:divId w:val="1073576924"/>
        </w:trPr>
        <w:tc>
          <w:tcPr>
            <w:tcW w:w="0" w:type="auto"/>
            <w:gridSpan w:val="3"/>
            <w:shd w:val="clear" w:color="auto" w:fill="FFFFFF"/>
            <w:tcMar>
              <w:top w:w="30" w:type="dxa"/>
              <w:left w:w="20" w:type="dxa"/>
              <w:bottom w:w="30" w:type="dxa"/>
              <w:right w:w="20" w:type="dxa"/>
            </w:tcMar>
            <w:hideMark/>
          </w:tcPr>
          <w:p w14:paraId="7B803038" w14:textId="77777777" w:rsidR="00000000" w:rsidRDefault="001A570A">
            <w:pPr>
              <w:rPr>
                <w:rFonts w:eastAsia="Times New Roman"/>
              </w:rPr>
            </w:pPr>
            <w:r>
              <w:rPr>
                <w:rFonts w:eastAsia="Times New Roman"/>
                <w:color w:val="000000"/>
                <w:sz w:val="20"/>
                <w:szCs w:val="20"/>
              </w:rPr>
              <w:t>Total Investments Measured at NAV</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C6C435" w14:textId="77777777" w:rsidR="00000000" w:rsidRDefault="001A570A">
            <w:pPr>
              <w:jc w:val="right"/>
              <w:rPr>
                <w:rFonts w:eastAsia="Times New Roman"/>
              </w:rPr>
            </w:pPr>
            <w:r>
              <w:rPr>
                <w:rFonts w:eastAsia="Times New Roman"/>
                <w:color w:val="000000"/>
                <w:sz w:val="20"/>
                <w:szCs w:val="20"/>
              </w:rPr>
              <w:t>1,901 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622CC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D7E93"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CDBFE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477CA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85B89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070286"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F892B7" w14:textId="77777777" w:rsidR="00000000" w:rsidRDefault="001A570A">
            <w:pPr>
              <w:rPr>
                <w:rFonts w:eastAsia="Times New Roman"/>
                <w:sz w:val="20"/>
                <w:szCs w:val="20"/>
              </w:rPr>
            </w:pPr>
          </w:p>
        </w:tc>
      </w:tr>
      <w:tr w:rsidR="00000000" w14:paraId="3ABC59D8" w14:textId="77777777">
        <w:trPr>
          <w:divId w:val="1073576924"/>
        </w:trPr>
        <w:tc>
          <w:tcPr>
            <w:tcW w:w="0" w:type="auto"/>
            <w:gridSpan w:val="3"/>
            <w:shd w:val="clear" w:color="auto" w:fill="CCEEFF"/>
            <w:tcMar>
              <w:top w:w="30" w:type="dxa"/>
              <w:left w:w="20" w:type="dxa"/>
              <w:bottom w:w="30" w:type="dxa"/>
              <w:right w:w="20" w:type="dxa"/>
            </w:tcMar>
            <w:hideMark/>
          </w:tcPr>
          <w:p w14:paraId="31ABB01E" w14:textId="77777777" w:rsidR="00000000" w:rsidRDefault="001A570A">
            <w:pPr>
              <w:rPr>
                <w:rFonts w:eastAsia="Times New Roman"/>
              </w:rPr>
            </w:pPr>
            <w:r>
              <w:rPr>
                <w:rFonts w:eastAsia="Times New Roman"/>
                <w:color w:val="000000"/>
                <w:sz w:val="20"/>
                <w:szCs w:val="20"/>
              </w:rPr>
              <w:t>Receivables, net</w:t>
            </w:r>
          </w:p>
        </w:tc>
        <w:tc>
          <w:tcPr>
            <w:tcW w:w="0" w:type="auto"/>
            <w:gridSpan w:val="2"/>
            <w:shd w:val="clear" w:color="auto" w:fill="CCEEFF"/>
            <w:tcMar>
              <w:top w:w="30" w:type="dxa"/>
              <w:left w:w="20" w:type="dxa"/>
              <w:bottom w:w="30" w:type="dxa"/>
              <w:right w:w="0" w:type="dxa"/>
            </w:tcMar>
            <w:vAlign w:val="bottom"/>
            <w:hideMark/>
          </w:tcPr>
          <w:p w14:paraId="22904358"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137455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66A23"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2C0B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47296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D46B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EA79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4FD572" w14:textId="77777777" w:rsidR="00000000" w:rsidRDefault="001A570A">
            <w:pPr>
              <w:rPr>
                <w:rFonts w:eastAsia="Times New Roman"/>
                <w:sz w:val="20"/>
                <w:szCs w:val="20"/>
              </w:rPr>
            </w:pPr>
          </w:p>
        </w:tc>
      </w:tr>
      <w:tr w:rsidR="00000000" w14:paraId="51FEE8B6" w14:textId="77777777">
        <w:trPr>
          <w:divId w:val="1073576924"/>
        </w:trPr>
        <w:tc>
          <w:tcPr>
            <w:tcW w:w="0" w:type="auto"/>
            <w:gridSpan w:val="3"/>
            <w:shd w:val="clear" w:color="auto" w:fill="FFFFFF"/>
            <w:tcMar>
              <w:top w:w="30" w:type="dxa"/>
              <w:left w:w="20" w:type="dxa"/>
              <w:bottom w:w="30" w:type="dxa"/>
              <w:right w:w="20" w:type="dxa"/>
            </w:tcMar>
            <w:hideMark/>
          </w:tcPr>
          <w:p w14:paraId="66CF8EBB" w14:textId="77777777" w:rsidR="00000000" w:rsidRDefault="001A570A">
            <w:pPr>
              <w:rPr>
                <w:rFonts w:eastAsia="Times New Roman"/>
              </w:rPr>
            </w:pPr>
            <w:r>
              <w:rPr>
                <w:rFonts w:eastAsia="Times New Roman"/>
                <w:color w:val="000000"/>
                <w:sz w:val="20"/>
                <w:szCs w:val="20"/>
              </w:rPr>
              <w:t>Total fair value of plan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A37EE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48AED2" w14:textId="77777777" w:rsidR="00000000" w:rsidRDefault="001A570A">
            <w:pPr>
              <w:jc w:val="right"/>
              <w:rPr>
                <w:rFonts w:eastAsia="Times New Roman"/>
              </w:rPr>
            </w:pPr>
            <w:r>
              <w:rPr>
                <w:rFonts w:eastAsia="Times New Roman"/>
                <w:color w:val="000000"/>
                <w:sz w:val="20"/>
                <w:szCs w:val="20"/>
              </w:rPr>
              <w:t>8,892 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67A9F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17148"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93A23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C3B1C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884BB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CD108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FF1615" w14:textId="77777777" w:rsidR="00000000" w:rsidRDefault="001A570A">
            <w:pPr>
              <w:rPr>
                <w:rFonts w:eastAsia="Times New Roman"/>
                <w:sz w:val="20"/>
                <w:szCs w:val="20"/>
              </w:rPr>
            </w:pPr>
          </w:p>
        </w:tc>
      </w:tr>
    </w:tbl>
    <w:p w14:paraId="3B327A17" w14:textId="77777777" w:rsidR="00000000" w:rsidRDefault="001A570A">
      <w:pPr>
        <w:divId w:val="1194270094"/>
        <w:rPr>
          <w:rFonts w:eastAsia="Times New Roman"/>
        </w:rPr>
      </w:pPr>
      <w:r>
        <w:rPr>
          <w:rFonts w:eastAsia="Times New Roman"/>
          <w:b/>
          <w:bCs/>
          <w:color w:val="000000"/>
          <w:sz w:val="20"/>
          <w:szCs w:val="20"/>
        </w:rPr>
        <w:t>Contributions</w:t>
      </w:r>
    </w:p>
    <w:p w14:paraId="1A829462" w14:textId="77777777" w:rsidR="00000000" w:rsidRDefault="001A570A">
      <w:pPr>
        <w:ind w:firstLine="450"/>
        <w:divId w:val="1652516247"/>
        <w:rPr>
          <w:rFonts w:eastAsia="Times New Roman"/>
        </w:rPr>
      </w:pPr>
      <w:r>
        <w:rPr>
          <w:rFonts w:eastAsia="Times New Roman"/>
          <w:color w:val="000000"/>
          <w:sz w:val="20"/>
          <w:szCs w:val="20"/>
        </w:rPr>
        <w:t>Funding requirements under Internal Revenue Service (“IRS”</w:t>
      </w:r>
      <w:r>
        <w:rPr>
          <w:rFonts w:eastAsia="Times New Roman"/>
          <w:color w:val="000000"/>
          <w:sz w:val="20"/>
          <w:szCs w:val="20"/>
        </w:rPr>
        <w:t>) rules are a major consideration in making contributions to our postretirement benefit plans. With respect to U.S. qualified pension plans, we intend to contribute annually not less than the required minimum funding thresholds.</w:t>
      </w:r>
    </w:p>
    <w:p w14:paraId="1E8326C8" w14:textId="77777777" w:rsidR="00000000" w:rsidRDefault="001A570A">
      <w:pPr>
        <w:ind w:firstLine="450"/>
        <w:divId w:val="161745578"/>
        <w:rPr>
          <w:rFonts w:eastAsia="Times New Roman"/>
        </w:rPr>
      </w:pPr>
      <w:r>
        <w:rPr>
          <w:rFonts w:eastAsia="Times New Roman"/>
          <w:color w:val="000000"/>
          <w:sz w:val="20"/>
          <w:szCs w:val="20"/>
        </w:rPr>
        <w:t>The Highway and Transportat</w:t>
      </w:r>
      <w:r>
        <w:rPr>
          <w:rFonts w:eastAsia="Times New Roman"/>
          <w:color w:val="000000"/>
          <w:sz w:val="20"/>
          <w:szCs w:val="20"/>
        </w:rPr>
        <w:t>ion Funding Act of 2014 and the Bipartisan Budget Act of 2015 (“BBA 2015”) further extended the interest rate stabilization provision of MAP-21 until 2020. We made a $302 million voluntary contribution to our U.S. qualified defined benefit pension plans du</w:t>
      </w:r>
      <w:r>
        <w:rPr>
          <w:rFonts w:eastAsia="Times New Roman"/>
          <w:color w:val="000000"/>
          <w:sz w:val="20"/>
          <w:szCs w:val="20"/>
        </w:rPr>
        <w:t>ring the two quarters ended January 3, 2020. As a result of this voluntary contribution, as well as $300 million and $400 million of voluntary contributions in fiscal 2018 and 2017, respectively, we made no material contributions to our U.S. qualified defi</w:t>
      </w:r>
      <w:r>
        <w:rPr>
          <w:rFonts w:eastAsia="Times New Roman"/>
          <w:color w:val="000000"/>
          <w:sz w:val="20"/>
          <w:szCs w:val="20"/>
        </w:rPr>
        <w:t xml:space="preserve">ned benefit pension plans during fiscal 2020 or 2019. Furthermore, we are not required to make any contributions to our U.S. qualified defined benefit pension plans in fiscal 2021. </w:t>
      </w:r>
    </w:p>
    <w:p w14:paraId="28737C75" w14:textId="77777777" w:rsidR="00000000" w:rsidRDefault="001A570A">
      <w:pPr>
        <w:divId w:val="938760992"/>
        <w:rPr>
          <w:rFonts w:eastAsia="Times New Roman"/>
        </w:rPr>
      </w:pPr>
      <w:r>
        <w:rPr>
          <w:rFonts w:eastAsia="Times New Roman"/>
          <w:b/>
          <w:bCs/>
          <w:color w:val="000000"/>
          <w:sz w:val="20"/>
          <w:szCs w:val="20"/>
        </w:rPr>
        <w:t>Estimated Future Benefit Payments</w:t>
      </w:r>
    </w:p>
    <w:p w14:paraId="717A5803" w14:textId="77777777" w:rsidR="00000000" w:rsidRDefault="001A570A">
      <w:pPr>
        <w:ind w:firstLine="450"/>
        <w:divId w:val="2078622576"/>
        <w:rPr>
          <w:rFonts w:eastAsia="Times New Roman"/>
        </w:rPr>
      </w:pPr>
      <w:r>
        <w:rPr>
          <w:rFonts w:eastAsia="Times New Roman"/>
          <w:color w:val="000000"/>
          <w:sz w:val="20"/>
          <w:szCs w:val="20"/>
        </w:rPr>
        <w:t>The following table provides the project</w:t>
      </w:r>
      <w:r>
        <w:rPr>
          <w:rFonts w:eastAsia="Times New Roman"/>
          <w:color w:val="000000"/>
          <w:sz w:val="20"/>
          <w:szCs w:val="20"/>
        </w:rPr>
        <w:t xml:space="preserve">ed timing of payments for benefits earned to date and benefits expected to be earned for future service by current active employees under our defined benefit plans. </w:t>
      </w:r>
    </w:p>
    <w:tbl>
      <w:tblPr>
        <w:tblW w:w="4849" w:type="pct"/>
        <w:tblCellMar>
          <w:top w:w="15" w:type="dxa"/>
          <w:left w:w="15" w:type="dxa"/>
          <w:bottom w:w="15" w:type="dxa"/>
          <w:right w:w="15" w:type="dxa"/>
        </w:tblCellMar>
        <w:tblLook w:val="04A0" w:firstRow="1" w:lastRow="0" w:firstColumn="1" w:lastColumn="0" w:noHBand="0" w:noVBand="1"/>
      </w:tblPr>
      <w:tblGrid>
        <w:gridCol w:w="37"/>
        <w:gridCol w:w="4478"/>
        <w:gridCol w:w="36"/>
        <w:gridCol w:w="121"/>
        <w:gridCol w:w="948"/>
        <w:gridCol w:w="36"/>
        <w:gridCol w:w="36"/>
        <w:gridCol w:w="36"/>
        <w:gridCol w:w="36"/>
        <w:gridCol w:w="121"/>
        <w:gridCol w:w="940"/>
        <w:gridCol w:w="36"/>
        <w:gridCol w:w="36"/>
        <w:gridCol w:w="36"/>
        <w:gridCol w:w="36"/>
        <w:gridCol w:w="121"/>
        <w:gridCol w:w="929"/>
        <w:gridCol w:w="36"/>
      </w:tblGrid>
      <w:tr w:rsidR="00000000" w14:paraId="3C790AF5" w14:textId="77777777">
        <w:trPr>
          <w:divId w:val="1607613322"/>
        </w:trPr>
        <w:tc>
          <w:tcPr>
            <w:tcW w:w="50" w:type="pct"/>
            <w:vAlign w:val="center"/>
            <w:hideMark/>
          </w:tcPr>
          <w:p w14:paraId="7D8F5E2D" w14:textId="77777777" w:rsidR="00000000" w:rsidRDefault="001A570A">
            <w:pPr>
              <w:ind w:firstLine="450"/>
              <w:rPr>
                <w:rFonts w:eastAsia="Times New Roman"/>
              </w:rPr>
            </w:pPr>
          </w:p>
        </w:tc>
        <w:tc>
          <w:tcPr>
            <w:tcW w:w="2811" w:type="pct"/>
            <w:vAlign w:val="center"/>
            <w:hideMark/>
          </w:tcPr>
          <w:p w14:paraId="001CE48E" w14:textId="77777777" w:rsidR="00000000" w:rsidRDefault="001A570A">
            <w:pPr>
              <w:rPr>
                <w:rFonts w:eastAsia="Times New Roman"/>
                <w:sz w:val="20"/>
                <w:szCs w:val="20"/>
              </w:rPr>
            </w:pPr>
          </w:p>
        </w:tc>
        <w:tc>
          <w:tcPr>
            <w:tcW w:w="5" w:type="pct"/>
            <w:vAlign w:val="center"/>
            <w:hideMark/>
          </w:tcPr>
          <w:p w14:paraId="6F78C6F8" w14:textId="77777777" w:rsidR="00000000" w:rsidRDefault="001A570A">
            <w:pPr>
              <w:rPr>
                <w:rFonts w:eastAsia="Times New Roman"/>
                <w:sz w:val="20"/>
                <w:szCs w:val="20"/>
              </w:rPr>
            </w:pPr>
          </w:p>
        </w:tc>
        <w:tc>
          <w:tcPr>
            <w:tcW w:w="50" w:type="pct"/>
            <w:vAlign w:val="center"/>
            <w:hideMark/>
          </w:tcPr>
          <w:p w14:paraId="0775F875" w14:textId="77777777" w:rsidR="00000000" w:rsidRDefault="001A570A">
            <w:pPr>
              <w:rPr>
                <w:rFonts w:eastAsia="Times New Roman"/>
                <w:sz w:val="20"/>
                <w:szCs w:val="20"/>
              </w:rPr>
            </w:pPr>
          </w:p>
        </w:tc>
        <w:tc>
          <w:tcPr>
            <w:tcW w:w="619" w:type="pct"/>
            <w:vAlign w:val="center"/>
            <w:hideMark/>
          </w:tcPr>
          <w:p w14:paraId="53C952A1" w14:textId="77777777" w:rsidR="00000000" w:rsidRDefault="001A570A">
            <w:pPr>
              <w:rPr>
                <w:rFonts w:eastAsia="Times New Roman"/>
                <w:sz w:val="20"/>
                <w:szCs w:val="20"/>
              </w:rPr>
            </w:pPr>
          </w:p>
        </w:tc>
        <w:tc>
          <w:tcPr>
            <w:tcW w:w="5" w:type="pct"/>
            <w:vAlign w:val="center"/>
            <w:hideMark/>
          </w:tcPr>
          <w:p w14:paraId="6D73D82E" w14:textId="77777777" w:rsidR="00000000" w:rsidRDefault="001A570A">
            <w:pPr>
              <w:rPr>
                <w:rFonts w:eastAsia="Times New Roman"/>
                <w:sz w:val="20"/>
                <w:szCs w:val="20"/>
              </w:rPr>
            </w:pPr>
          </w:p>
        </w:tc>
        <w:tc>
          <w:tcPr>
            <w:tcW w:w="5" w:type="pct"/>
            <w:vAlign w:val="center"/>
            <w:hideMark/>
          </w:tcPr>
          <w:p w14:paraId="103959EB" w14:textId="77777777" w:rsidR="00000000" w:rsidRDefault="001A570A">
            <w:pPr>
              <w:rPr>
                <w:rFonts w:eastAsia="Times New Roman"/>
                <w:sz w:val="20"/>
                <w:szCs w:val="20"/>
              </w:rPr>
            </w:pPr>
          </w:p>
        </w:tc>
        <w:tc>
          <w:tcPr>
            <w:tcW w:w="41" w:type="pct"/>
            <w:vAlign w:val="center"/>
            <w:hideMark/>
          </w:tcPr>
          <w:p w14:paraId="033B53EF" w14:textId="77777777" w:rsidR="00000000" w:rsidRDefault="001A570A">
            <w:pPr>
              <w:rPr>
                <w:rFonts w:eastAsia="Times New Roman"/>
                <w:sz w:val="20"/>
                <w:szCs w:val="20"/>
              </w:rPr>
            </w:pPr>
          </w:p>
        </w:tc>
        <w:tc>
          <w:tcPr>
            <w:tcW w:w="5" w:type="pct"/>
            <w:vAlign w:val="center"/>
            <w:hideMark/>
          </w:tcPr>
          <w:p w14:paraId="160F96D9" w14:textId="77777777" w:rsidR="00000000" w:rsidRDefault="001A570A">
            <w:pPr>
              <w:rPr>
                <w:rFonts w:eastAsia="Times New Roman"/>
                <w:sz w:val="20"/>
                <w:szCs w:val="20"/>
              </w:rPr>
            </w:pPr>
          </w:p>
        </w:tc>
        <w:tc>
          <w:tcPr>
            <w:tcW w:w="50" w:type="pct"/>
            <w:vAlign w:val="center"/>
            <w:hideMark/>
          </w:tcPr>
          <w:p w14:paraId="6F1ABDF3" w14:textId="77777777" w:rsidR="00000000" w:rsidRDefault="001A570A">
            <w:pPr>
              <w:rPr>
                <w:rFonts w:eastAsia="Times New Roman"/>
                <w:sz w:val="20"/>
                <w:szCs w:val="20"/>
              </w:rPr>
            </w:pPr>
          </w:p>
        </w:tc>
        <w:tc>
          <w:tcPr>
            <w:tcW w:w="626" w:type="pct"/>
            <w:vAlign w:val="center"/>
            <w:hideMark/>
          </w:tcPr>
          <w:p w14:paraId="6FF6102E" w14:textId="77777777" w:rsidR="00000000" w:rsidRDefault="001A570A">
            <w:pPr>
              <w:rPr>
                <w:rFonts w:eastAsia="Times New Roman"/>
                <w:sz w:val="20"/>
                <w:szCs w:val="20"/>
              </w:rPr>
            </w:pPr>
          </w:p>
        </w:tc>
        <w:tc>
          <w:tcPr>
            <w:tcW w:w="5" w:type="pct"/>
            <w:vAlign w:val="center"/>
            <w:hideMark/>
          </w:tcPr>
          <w:p w14:paraId="4DD7AD1F" w14:textId="77777777" w:rsidR="00000000" w:rsidRDefault="001A570A">
            <w:pPr>
              <w:rPr>
                <w:rFonts w:eastAsia="Times New Roman"/>
                <w:sz w:val="20"/>
                <w:szCs w:val="20"/>
              </w:rPr>
            </w:pPr>
          </w:p>
        </w:tc>
        <w:tc>
          <w:tcPr>
            <w:tcW w:w="5" w:type="pct"/>
            <w:vAlign w:val="center"/>
            <w:hideMark/>
          </w:tcPr>
          <w:p w14:paraId="66195434" w14:textId="77777777" w:rsidR="00000000" w:rsidRDefault="001A570A">
            <w:pPr>
              <w:rPr>
                <w:rFonts w:eastAsia="Times New Roman"/>
                <w:sz w:val="20"/>
                <w:szCs w:val="20"/>
              </w:rPr>
            </w:pPr>
          </w:p>
        </w:tc>
        <w:tc>
          <w:tcPr>
            <w:tcW w:w="41" w:type="pct"/>
            <w:vAlign w:val="center"/>
            <w:hideMark/>
          </w:tcPr>
          <w:p w14:paraId="74C035D7" w14:textId="77777777" w:rsidR="00000000" w:rsidRDefault="001A570A">
            <w:pPr>
              <w:rPr>
                <w:rFonts w:eastAsia="Times New Roman"/>
                <w:sz w:val="20"/>
                <w:szCs w:val="20"/>
              </w:rPr>
            </w:pPr>
          </w:p>
        </w:tc>
        <w:tc>
          <w:tcPr>
            <w:tcW w:w="5" w:type="pct"/>
            <w:vAlign w:val="center"/>
            <w:hideMark/>
          </w:tcPr>
          <w:p w14:paraId="0CDE68FA" w14:textId="77777777" w:rsidR="00000000" w:rsidRDefault="001A570A">
            <w:pPr>
              <w:rPr>
                <w:rFonts w:eastAsia="Times New Roman"/>
                <w:sz w:val="20"/>
                <w:szCs w:val="20"/>
              </w:rPr>
            </w:pPr>
          </w:p>
        </w:tc>
        <w:tc>
          <w:tcPr>
            <w:tcW w:w="50" w:type="pct"/>
            <w:vAlign w:val="center"/>
            <w:hideMark/>
          </w:tcPr>
          <w:p w14:paraId="4B6DF9A3" w14:textId="77777777" w:rsidR="00000000" w:rsidRDefault="001A570A">
            <w:pPr>
              <w:rPr>
                <w:rFonts w:eastAsia="Times New Roman"/>
                <w:sz w:val="20"/>
                <w:szCs w:val="20"/>
              </w:rPr>
            </w:pPr>
          </w:p>
        </w:tc>
        <w:tc>
          <w:tcPr>
            <w:tcW w:w="619" w:type="pct"/>
            <w:vAlign w:val="center"/>
            <w:hideMark/>
          </w:tcPr>
          <w:p w14:paraId="550ED29B" w14:textId="77777777" w:rsidR="00000000" w:rsidRDefault="001A570A">
            <w:pPr>
              <w:rPr>
                <w:rFonts w:eastAsia="Times New Roman"/>
                <w:sz w:val="20"/>
                <w:szCs w:val="20"/>
              </w:rPr>
            </w:pPr>
          </w:p>
        </w:tc>
        <w:tc>
          <w:tcPr>
            <w:tcW w:w="5" w:type="pct"/>
            <w:vAlign w:val="center"/>
            <w:hideMark/>
          </w:tcPr>
          <w:p w14:paraId="34B26FD5" w14:textId="77777777" w:rsidR="00000000" w:rsidRDefault="001A570A">
            <w:pPr>
              <w:rPr>
                <w:rFonts w:eastAsia="Times New Roman"/>
                <w:sz w:val="20"/>
                <w:szCs w:val="20"/>
              </w:rPr>
            </w:pPr>
          </w:p>
        </w:tc>
      </w:tr>
      <w:tr w:rsidR="00000000" w14:paraId="0477FDD6" w14:textId="77777777">
        <w:trPr>
          <w:divId w:val="1607613322"/>
        </w:trPr>
        <w:tc>
          <w:tcPr>
            <w:tcW w:w="0" w:type="auto"/>
            <w:gridSpan w:val="3"/>
            <w:tcMar>
              <w:top w:w="30" w:type="dxa"/>
              <w:left w:w="20" w:type="dxa"/>
              <w:bottom w:w="30" w:type="dxa"/>
              <w:right w:w="20" w:type="dxa"/>
            </w:tcMar>
            <w:vAlign w:val="bottom"/>
            <w:hideMark/>
          </w:tcPr>
          <w:p w14:paraId="0AA624E9"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22E2B233" w14:textId="77777777" w:rsidR="00000000" w:rsidRDefault="001A570A">
            <w:pPr>
              <w:jc w:val="center"/>
              <w:rPr>
                <w:rFonts w:eastAsia="Times New Roman"/>
              </w:rPr>
            </w:pPr>
            <w:r>
              <w:rPr>
                <w:rFonts w:eastAsia="Times New Roman"/>
                <w:b/>
                <w:bCs/>
                <w:color w:val="000000"/>
                <w:sz w:val="16"/>
                <w:szCs w:val="16"/>
              </w:rPr>
              <w:t>Pension</w:t>
            </w:r>
          </w:p>
        </w:tc>
        <w:tc>
          <w:tcPr>
            <w:tcW w:w="0" w:type="auto"/>
            <w:gridSpan w:val="3"/>
            <w:tcMar>
              <w:top w:w="0" w:type="dxa"/>
              <w:left w:w="20" w:type="dxa"/>
              <w:bottom w:w="0" w:type="dxa"/>
              <w:right w:w="20" w:type="dxa"/>
            </w:tcMar>
            <w:vAlign w:val="center"/>
            <w:hideMark/>
          </w:tcPr>
          <w:p w14:paraId="6DDB00C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5BAB41C" w14:textId="77777777" w:rsidR="00000000" w:rsidRDefault="001A570A">
            <w:pPr>
              <w:jc w:val="center"/>
              <w:rPr>
                <w:rFonts w:eastAsia="Times New Roman"/>
              </w:rPr>
            </w:pPr>
            <w:r>
              <w:rPr>
                <w:rFonts w:eastAsia="Times New Roman"/>
                <w:b/>
                <w:bCs/>
                <w:color w:val="000000"/>
                <w:sz w:val="16"/>
                <w:szCs w:val="16"/>
              </w:rPr>
              <w:t>Other</w:t>
            </w:r>
          </w:p>
          <w:p w14:paraId="669C3E8E" w14:textId="77777777" w:rsidR="00000000" w:rsidRDefault="001A570A">
            <w:pPr>
              <w:jc w:val="center"/>
              <w:rPr>
                <w:rFonts w:eastAsia="Times New Roman"/>
              </w:rPr>
            </w:pPr>
            <w:r>
              <w:rPr>
                <w:rFonts w:eastAsia="Times New Roman"/>
                <w:b/>
                <w:bCs/>
                <w:color w:val="000000"/>
                <w:sz w:val="16"/>
                <w:szCs w:val="16"/>
              </w:rPr>
              <w:t>    Benefit</w:t>
            </w:r>
            <w:r>
              <w:rPr>
                <w:rFonts w:eastAsia="Times New Roman"/>
                <w:b/>
                <w:bCs/>
                <w:color w:val="000000"/>
                <w:sz w:val="16"/>
                <w:szCs w:val="16"/>
              </w:rPr>
              <w:t>s</w:t>
            </w:r>
            <w:r>
              <w:rPr>
                <w:rFonts w:eastAsia="Times New Roman"/>
                <w:color w:val="000000"/>
                <w:sz w:val="13"/>
                <w:szCs w:val="13"/>
              </w:rPr>
              <w:t>(1</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14:paraId="1318CA1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90EB664" w14:textId="77777777" w:rsidR="00000000" w:rsidRDefault="001A570A">
            <w:pPr>
              <w:jc w:val="center"/>
              <w:rPr>
                <w:rFonts w:eastAsia="Times New Roman"/>
              </w:rPr>
            </w:pPr>
            <w:r>
              <w:rPr>
                <w:rFonts w:eastAsia="Times New Roman"/>
                <w:b/>
                <w:bCs/>
                <w:color w:val="000000"/>
                <w:sz w:val="16"/>
                <w:szCs w:val="16"/>
              </w:rPr>
              <w:t>Total</w:t>
            </w:r>
          </w:p>
        </w:tc>
      </w:tr>
      <w:tr w:rsidR="00000000" w14:paraId="0AD2ED4B" w14:textId="77777777">
        <w:trPr>
          <w:divId w:val="1607613322"/>
          <w:trHeight w:val="60"/>
        </w:trPr>
        <w:tc>
          <w:tcPr>
            <w:tcW w:w="0" w:type="auto"/>
            <w:gridSpan w:val="3"/>
            <w:tcMar>
              <w:top w:w="0" w:type="dxa"/>
              <w:left w:w="20" w:type="dxa"/>
              <w:bottom w:w="0" w:type="dxa"/>
              <w:right w:w="20" w:type="dxa"/>
            </w:tcMar>
            <w:vAlign w:val="center"/>
            <w:hideMark/>
          </w:tcPr>
          <w:p w14:paraId="0A51B69D"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BD75D8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02C029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6C797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37D2B9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FF0E43" w14:textId="77777777" w:rsidR="00000000" w:rsidRDefault="001A570A">
            <w:pPr>
              <w:rPr>
                <w:rFonts w:eastAsia="Times New Roman"/>
                <w:sz w:val="20"/>
                <w:szCs w:val="20"/>
              </w:rPr>
            </w:pPr>
          </w:p>
        </w:tc>
      </w:tr>
      <w:tr w:rsidR="00000000" w14:paraId="5EEAB667" w14:textId="77777777">
        <w:trPr>
          <w:divId w:val="1607613322"/>
        </w:trPr>
        <w:tc>
          <w:tcPr>
            <w:tcW w:w="0" w:type="auto"/>
            <w:gridSpan w:val="3"/>
            <w:shd w:val="clear" w:color="auto" w:fill="CCEEFF"/>
            <w:tcMar>
              <w:top w:w="30" w:type="dxa"/>
              <w:left w:w="20" w:type="dxa"/>
              <w:bottom w:w="30" w:type="dxa"/>
              <w:right w:w="20" w:type="dxa"/>
            </w:tcMar>
            <w:hideMark/>
          </w:tcPr>
          <w:p w14:paraId="58E61EA0" w14:textId="77777777" w:rsidR="00000000" w:rsidRDefault="001A570A">
            <w:pPr>
              <w:rPr>
                <w:rFonts w:eastAsia="Times New Roman"/>
              </w:rPr>
            </w:pPr>
            <w:r>
              <w:rPr>
                <w:rFonts w:eastAsia="Times New Roman"/>
                <w:color w:val="000000"/>
                <w:sz w:val="20"/>
                <w:szCs w:val="20"/>
              </w:rPr>
              <w:t>Fiscal Years:</w:t>
            </w:r>
          </w:p>
        </w:tc>
        <w:tc>
          <w:tcPr>
            <w:tcW w:w="0" w:type="auto"/>
            <w:gridSpan w:val="3"/>
            <w:shd w:val="clear" w:color="auto" w:fill="CCEEFF"/>
            <w:tcMar>
              <w:top w:w="0" w:type="dxa"/>
              <w:left w:w="20" w:type="dxa"/>
              <w:bottom w:w="0" w:type="dxa"/>
              <w:right w:w="20" w:type="dxa"/>
            </w:tcMar>
            <w:vAlign w:val="center"/>
            <w:hideMark/>
          </w:tcPr>
          <w:p w14:paraId="0F31CBCD"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42BA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EA5CC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665A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A7BC2D" w14:textId="77777777" w:rsidR="00000000" w:rsidRDefault="001A570A">
            <w:pPr>
              <w:rPr>
                <w:rFonts w:eastAsia="Times New Roman"/>
                <w:sz w:val="20"/>
                <w:szCs w:val="20"/>
              </w:rPr>
            </w:pPr>
          </w:p>
        </w:tc>
      </w:tr>
      <w:tr w:rsidR="00000000" w14:paraId="186FBBB2" w14:textId="77777777">
        <w:trPr>
          <w:divId w:val="1607613322"/>
        </w:trPr>
        <w:tc>
          <w:tcPr>
            <w:tcW w:w="0" w:type="auto"/>
            <w:gridSpan w:val="3"/>
            <w:shd w:val="clear" w:color="auto" w:fill="FFFFFF"/>
            <w:tcMar>
              <w:top w:w="30" w:type="dxa"/>
              <w:left w:w="20" w:type="dxa"/>
              <w:bottom w:w="30" w:type="dxa"/>
              <w:right w:w="20" w:type="dxa"/>
            </w:tcMar>
            <w:hideMark/>
          </w:tcPr>
          <w:p w14:paraId="6D648620" w14:textId="77777777" w:rsidR="00000000" w:rsidRDefault="001A570A">
            <w:pPr>
              <w:rPr>
                <w:rFonts w:eastAsia="Times New Roman"/>
              </w:rPr>
            </w:pPr>
            <w:r>
              <w:rPr>
                <w:rFonts w:eastAsia="Times New Roman"/>
                <w:color w:val="000000"/>
                <w:sz w:val="20"/>
                <w:szCs w:val="20"/>
              </w:rPr>
              <w:t>2021</w:t>
            </w:r>
          </w:p>
        </w:tc>
        <w:tc>
          <w:tcPr>
            <w:tcW w:w="0" w:type="auto"/>
            <w:shd w:val="clear" w:color="auto" w:fill="FFFFFF"/>
            <w:tcMar>
              <w:top w:w="30" w:type="dxa"/>
              <w:left w:w="20" w:type="dxa"/>
              <w:bottom w:w="30" w:type="dxa"/>
              <w:right w:w="0" w:type="dxa"/>
            </w:tcMar>
            <w:vAlign w:val="bottom"/>
            <w:hideMark/>
          </w:tcPr>
          <w:p w14:paraId="447A6B5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75C4CD" w14:textId="77777777" w:rsidR="00000000" w:rsidRDefault="001A570A">
            <w:pPr>
              <w:jc w:val="right"/>
              <w:rPr>
                <w:rFonts w:eastAsia="Times New Roman"/>
              </w:rPr>
            </w:pPr>
            <w:r>
              <w:rPr>
                <w:rFonts w:eastAsia="Times New Roman"/>
                <w:color w:val="000000"/>
                <w:sz w:val="20"/>
                <w:szCs w:val="20"/>
              </w:rPr>
              <w:t>581 </w:t>
            </w:r>
          </w:p>
        </w:tc>
        <w:tc>
          <w:tcPr>
            <w:tcW w:w="0" w:type="auto"/>
            <w:shd w:val="clear" w:color="auto" w:fill="FFFFFF"/>
            <w:tcMar>
              <w:top w:w="30" w:type="dxa"/>
              <w:left w:w="0" w:type="dxa"/>
              <w:bottom w:w="30" w:type="dxa"/>
              <w:right w:w="20" w:type="dxa"/>
            </w:tcMar>
            <w:vAlign w:val="bottom"/>
            <w:hideMark/>
          </w:tcPr>
          <w:p w14:paraId="6C0BA32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F996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2C530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7A8BEF"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4E573F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90A27"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4734F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C897F1" w14:textId="77777777" w:rsidR="00000000" w:rsidRDefault="001A570A">
            <w:pPr>
              <w:jc w:val="right"/>
              <w:rPr>
                <w:rFonts w:eastAsia="Times New Roman"/>
              </w:rPr>
            </w:pPr>
            <w:r>
              <w:rPr>
                <w:rFonts w:eastAsia="Times New Roman"/>
                <w:color w:val="000000"/>
                <w:sz w:val="20"/>
                <w:szCs w:val="20"/>
              </w:rPr>
              <w:t>612 </w:t>
            </w:r>
          </w:p>
        </w:tc>
        <w:tc>
          <w:tcPr>
            <w:tcW w:w="0" w:type="auto"/>
            <w:shd w:val="clear" w:color="auto" w:fill="FFFFFF"/>
            <w:tcMar>
              <w:top w:w="30" w:type="dxa"/>
              <w:left w:w="0" w:type="dxa"/>
              <w:bottom w:w="30" w:type="dxa"/>
              <w:right w:w="20" w:type="dxa"/>
            </w:tcMar>
            <w:vAlign w:val="bottom"/>
            <w:hideMark/>
          </w:tcPr>
          <w:p w14:paraId="4B79BDB6" w14:textId="77777777" w:rsidR="00000000" w:rsidRDefault="001A570A">
            <w:pPr>
              <w:jc w:val="right"/>
              <w:rPr>
                <w:rFonts w:eastAsia="Times New Roman"/>
              </w:rPr>
            </w:pPr>
          </w:p>
        </w:tc>
      </w:tr>
      <w:tr w:rsidR="00000000" w14:paraId="5747ABF1" w14:textId="77777777">
        <w:trPr>
          <w:divId w:val="1607613322"/>
        </w:trPr>
        <w:tc>
          <w:tcPr>
            <w:tcW w:w="0" w:type="auto"/>
            <w:gridSpan w:val="3"/>
            <w:shd w:val="clear" w:color="auto" w:fill="CCEEFF"/>
            <w:tcMar>
              <w:top w:w="30" w:type="dxa"/>
              <w:left w:w="20" w:type="dxa"/>
              <w:bottom w:w="30" w:type="dxa"/>
              <w:right w:w="20" w:type="dxa"/>
            </w:tcMar>
            <w:hideMark/>
          </w:tcPr>
          <w:p w14:paraId="11806792" w14:textId="77777777" w:rsidR="00000000" w:rsidRDefault="001A570A">
            <w:pPr>
              <w:rPr>
                <w:rFonts w:eastAsia="Times New Roman"/>
              </w:rPr>
            </w:pPr>
            <w:r>
              <w:rPr>
                <w:rFonts w:eastAsia="Times New Roman"/>
                <w:color w:val="000000"/>
                <w:sz w:val="20"/>
                <w:szCs w:val="20"/>
              </w:rPr>
              <w:t>2022</w:t>
            </w:r>
          </w:p>
        </w:tc>
        <w:tc>
          <w:tcPr>
            <w:tcW w:w="0" w:type="auto"/>
            <w:gridSpan w:val="2"/>
            <w:shd w:val="clear" w:color="auto" w:fill="CCEEFF"/>
            <w:tcMar>
              <w:top w:w="30" w:type="dxa"/>
              <w:left w:w="20" w:type="dxa"/>
              <w:bottom w:w="30" w:type="dxa"/>
              <w:right w:w="0" w:type="dxa"/>
            </w:tcMar>
            <w:vAlign w:val="bottom"/>
            <w:hideMark/>
          </w:tcPr>
          <w:p w14:paraId="0611FF98" w14:textId="77777777" w:rsidR="00000000" w:rsidRDefault="001A570A">
            <w:pPr>
              <w:jc w:val="right"/>
              <w:rPr>
                <w:rFonts w:eastAsia="Times New Roman"/>
              </w:rPr>
            </w:pPr>
            <w:r>
              <w:rPr>
                <w:rFonts w:eastAsia="Times New Roman"/>
                <w:color w:val="000000"/>
                <w:sz w:val="20"/>
                <w:szCs w:val="20"/>
              </w:rPr>
              <w:t>584 </w:t>
            </w:r>
          </w:p>
        </w:tc>
        <w:tc>
          <w:tcPr>
            <w:tcW w:w="0" w:type="auto"/>
            <w:shd w:val="clear" w:color="auto" w:fill="CCEEFF"/>
            <w:tcMar>
              <w:top w:w="30" w:type="dxa"/>
              <w:left w:w="0" w:type="dxa"/>
              <w:bottom w:w="30" w:type="dxa"/>
              <w:right w:w="20" w:type="dxa"/>
            </w:tcMar>
            <w:vAlign w:val="bottom"/>
            <w:hideMark/>
          </w:tcPr>
          <w:p w14:paraId="7B871C7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D096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3EA988" w14:textId="77777777" w:rsidR="00000000" w:rsidRDefault="001A570A">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6BFA9C9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588E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19CC5" w14:textId="77777777" w:rsidR="00000000" w:rsidRDefault="001A570A">
            <w:pPr>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14:paraId="25981AC5" w14:textId="77777777" w:rsidR="00000000" w:rsidRDefault="001A570A">
            <w:pPr>
              <w:jc w:val="right"/>
              <w:rPr>
                <w:rFonts w:eastAsia="Times New Roman"/>
              </w:rPr>
            </w:pPr>
          </w:p>
        </w:tc>
      </w:tr>
      <w:tr w:rsidR="00000000" w14:paraId="440773A9" w14:textId="77777777">
        <w:trPr>
          <w:divId w:val="1607613322"/>
        </w:trPr>
        <w:tc>
          <w:tcPr>
            <w:tcW w:w="0" w:type="auto"/>
            <w:gridSpan w:val="3"/>
            <w:shd w:val="clear" w:color="auto" w:fill="FFFFFF"/>
            <w:tcMar>
              <w:top w:w="30" w:type="dxa"/>
              <w:left w:w="20" w:type="dxa"/>
              <w:bottom w:w="30" w:type="dxa"/>
              <w:right w:w="20" w:type="dxa"/>
            </w:tcMar>
            <w:hideMark/>
          </w:tcPr>
          <w:p w14:paraId="739C151D" w14:textId="77777777" w:rsidR="00000000" w:rsidRDefault="001A570A">
            <w:pPr>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14:paraId="45E2EE33" w14:textId="77777777" w:rsidR="00000000" w:rsidRDefault="001A570A">
            <w:pPr>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bottom"/>
            <w:hideMark/>
          </w:tcPr>
          <w:p w14:paraId="2DD8ED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557F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DCEEF5" w14:textId="77777777" w:rsidR="00000000" w:rsidRDefault="001A570A">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55C7FE7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96C9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910B6" w14:textId="77777777" w:rsidR="00000000" w:rsidRDefault="001A570A">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14:paraId="1B130730" w14:textId="77777777" w:rsidR="00000000" w:rsidRDefault="001A570A">
            <w:pPr>
              <w:jc w:val="right"/>
              <w:rPr>
                <w:rFonts w:eastAsia="Times New Roman"/>
              </w:rPr>
            </w:pPr>
          </w:p>
        </w:tc>
      </w:tr>
      <w:tr w:rsidR="00000000" w14:paraId="7EF25F0A" w14:textId="77777777">
        <w:trPr>
          <w:divId w:val="1607613322"/>
        </w:trPr>
        <w:tc>
          <w:tcPr>
            <w:tcW w:w="0" w:type="auto"/>
            <w:gridSpan w:val="3"/>
            <w:shd w:val="clear" w:color="auto" w:fill="CCEEFF"/>
            <w:tcMar>
              <w:top w:w="30" w:type="dxa"/>
              <w:left w:w="20" w:type="dxa"/>
              <w:bottom w:w="30" w:type="dxa"/>
              <w:right w:w="20" w:type="dxa"/>
            </w:tcMar>
            <w:hideMark/>
          </w:tcPr>
          <w:p w14:paraId="6CECEF36" w14:textId="77777777" w:rsidR="00000000" w:rsidRDefault="001A570A">
            <w:pPr>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58A1DC22" w14:textId="77777777" w:rsidR="00000000" w:rsidRDefault="001A570A">
            <w:pPr>
              <w:jc w:val="right"/>
              <w:rPr>
                <w:rFonts w:eastAsia="Times New Roman"/>
              </w:rPr>
            </w:pPr>
            <w:r>
              <w:rPr>
                <w:rFonts w:eastAsia="Times New Roman"/>
                <w:color w:val="000000"/>
                <w:sz w:val="20"/>
                <w:szCs w:val="20"/>
              </w:rPr>
              <w:t>585 </w:t>
            </w:r>
          </w:p>
        </w:tc>
        <w:tc>
          <w:tcPr>
            <w:tcW w:w="0" w:type="auto"/>
            <w:shd w:val="clear" w:color="auto" w:fill="CCEEFF"/>
            <w:tcMar>
              <w:top w:w="30" w:type="dxa"/>
              <w:left w:w="0" w:type="dxa"/>
              <w:bottom w:w="30" w:type="dxa"/>
              <w:right w:w="20" w:type="dxa"/>
            </w:tcMar>
            <w:vAlign w:val="bottom"/>
            <w:hideMark/>
          </w:tcPr>
          <w:p w14:paraId="5486E5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AC30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B9E3D9" w14:textId="77777777" w:rsidR="00000000" w:rsidRDefault="001A570A">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0566EE0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62F2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ABB63" w14:textId="77777777" w:rsidR="00000000" w:rsidRDefault="001A570A">
            <w:pPr>
              <w:jc w:val="right"/>
              <w:rPr>
                <w:rFonts w:eastAsia="Times New Roman"/>
              </w:rPr>
            </w:pPr>
            <w:r>
              <w:rPr>
                <w:rFonts w:eastAsia="Times New Roman"/>
                <w:color w:val="000000"/>
                <w:sz w:val="20"/>
                <w:szCs w:val="20"/>
              </w:rPr>
              <w:t>613 </w:t>
            </w:r>
          </w:p>
        </w:tc>
        <w:tc>
          <w:tcPr>
            <w:tcW w:w="0" w:type="auto"/>
            <w:shd w:val="clear" w:color="auto" w:fill="CCEEFF"/>
            <w:tcMar>
              <w:top w:w="30" w:type="dxa"/>
              <w:left w:w="0" w:type="dxa"/>
              <w:bottom w:w="30" w:type="dxa"/>
              <w:right w:w="20" w:type="dxa"/>
            </w:tcMar>
            <w:vAlign w:val="bottom"/>
            <w:hideMark/>
          </w:tcPr>
          <w:p w14:paraId="24C399DC" w14:textId="77777777" w:rsidR="00000000" w:rsidRDefault="001A570A">
            <w:pPr>
              <w:jc w:val="right"/>
              <w:rPr>
                <w:rFonts w:eastAsia="Times New Roman"/>
              </w:rPr>
            </w:pPr>
          </w:p>
        </w:tc>
      </w:tr>
      <w:tr w:rsidR="00000000" w14:paraId="41169FFC" w14:textId="77777777">
        <w:trPr>
          <w:divId w:val="1607613322"/>
        </w:trPr>
        <w:tc>
          <w:tcPr>
            <w:tcW w:w="0" w:type="auto"/>
            <w:gridSpan w:val="3"/>
            <w:shd w:val="clear" w:color="auto" w:fill="FFFFFF"/>
            <w:tcMar>
              <w:top w:w="30" w:type="dxa"/>
              <w:left w:w="20" w:type="dxa"/>
              <w:bottom w:w="30" w:type="dxa"/>
              <w:right w:w="20" w:type="dxa"/>
            </w:tcMar>
            <w:hideMark/>
          </w:tcPr>
          <w:p w14:paraId="333505D5" w14:textId="77777777" w:rsidR="00000000" w:rsidRDefault="001A570A">
            <w:pPr>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14:paraId="142D9852" w14:textId="77777777" w:rsidR="00000000" w:rsidRDefault="001A570A">
            <w:pPr>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14:paraId="3439306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26BC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EDB060"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4D9408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0783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1380A" w14:textId="77777777" w:rsidR="00000000" w:rsidRDefault="001A570A">
            <w:pPr>
              <w:jc w:val="right"/>
              <w:rPr>
                <w:rFonts w:eastAsia="Times New Roman"/>
              </w:rPr>
            </w:pPr>
            <w:r>
              <w:rPr>
                <w:rFonts w:eastAsia="Times New Roman"/>
                <w:color w:val="000000"/>
                <w:sz w:val="20"/>
                <w:szCs w:val="20"/>
              </w:rPr>
              <w:t>609 </w:t>
            </w:r>
          </w:p>
        </w:tc>
        <w:tc>
          <w:tcPr>
            <w:tcW w:w="0" w:type="auto"/>
            <w:shd w:val="clear" w:color="auto" w:fill="FFFFFF"/>
            <w:tcMar>
              <w:top w:w="30" w:type="dxa"/>
              <w:left w:w="0" w:type="dxa"/>
              <w:bottom w:w="30" w:type="dxa"/>
              <w:right w:w="20" w:type="dxa"/>
            </w:tcMar>
            <w:vAlign w:val="bottom"/>
            <w:hideMark/>
          </w:tcPr>
          <w:p w14:paraId="5CBFB1D8" w14:textId="77777777" w:rsidR="00000000" w:rsidRDefault="001A570A">
            <w:pPr>
              <w:jc w:val="right"/>
              <w:rPr>
                <w:rFonts w:eastAsia="Times New Roman"/>
              </w:rPr>
            </w:pPr>
          </w:p>
        </w:tc>
      </w:tr>
      <w:tr w:rsidR="00000000" w14:paraId="512AB7DC" w14:textId="77777777">
        <w:trPr>
          <w:divId w:val="1607613322"/>
        </w:trPr>
        <w:tc>
          <w:tcPr>
            <w:tcW w:w="0" w:type="auto"/>
            <w:gridSpan w:val="3"/>
            <w:shd w:val="clear" w:color="auto" w:fill="CCEEFF"/>
            <w:tcMar>
              <w:top w:w="30" w:type="dxa"/>
              <w:left w:w="20" w:type="dxa"/>
              <w:bottom w:w="30" w:type="dxa"/>
              <w:right w:w="20" w:type="dxa"/>
            </w:tcMar>
            <w:hideMark/>
          </w:tcPr>
          <w:p w14:paraId="1C044B55" w14:textId="77777777" w:rsidR="00000000" w:rsidRDefault="001A570A">
            <w:pPr>
              <w:rPr>
                <w:rFonts w:eastAsia="Times New Roman"/>
              </w:rPr>
            </w:pPr>
            <w:r>
              <w:rPr>
                <w:rFonts w:eastAsia="Times New Roman"/>
                <w:color w:val="000000"/>
                <w:sz w:val="20"/>
                <w:szCs w:val="20"/>
              </w:rPr>
              <w:t>2026 — 2030</w:t>
            </w:r>
          </w:p>
        </w:tc>
        <w:tc>
          <w:tcPr>
            <w:tcW w:w="0" w:type="auto"/>
            <w:gridSpan w:val="2"/>
            <w:shd w:val="clear" w:color="auto" w:fill="CCEEFF"/>
            <w:tcMar>
              <w:top w:w="30" w:type="dxa"/>
              <w:left w:w="20" w:type="dxa"/>
              <w:bottom w:w="30" w:type="dxa"/>
              <w:right w:w="0" w:type="dxa"/>
            </w:tcMar>
            <w:vAlign w:val="bottom"/>
            <w:hideMark/>
          </w:tcPr>
          <w:p w14:paraId="6BCACBFA" w14:textId="77777777" w:rsidR="00000000" w:rsidRDefault="001A570A">
            <w:pPr>
              <w:jc w:val="right"/>
              <w:rPr>
                <w:rFonts w:eastAsia="Times New Roman"/>
              </w:rPr>
            </w:pPr>
            <w:r>
              <w:rPr>
                <w:rFonts w:eastAsia="Times New Roman"/>
                <w:color w:val="000000"/>
                <w:sz w:val="20"/>
                <w:szCs w:val="20"/>
              </w:rPr>
              <w:t>2,872 </w:t>
            </w:r>
          </w:p>
        </w:tc>
        <w:tc>
          <w:tcPr>
            <w:tcW w:w="0" w:type="auto"/>
            <w:shd w:val="clear" w:color="auto" w:fill="CCEEFF"/>
            <w:tcMar>
              <w:top w:w="30" w:type="dxa"/>
              <w:left w:w="0" w:type="dxa"/>
              <w:bottom w:w="30" w:type="dxa"/>
              <w:right w:w="20" w:type="dxa"/>
            </w:tcMar>
            <w:vAlign w:val="bottom"/>
            <w:hideMark/>
          </w:tcPr>
          <w:p w14:paraId="5E00165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56C8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26DD7" w14:textId="77777777" w:rsidR="00000000" w:rsidRDefault="001A570A">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14:paraId="323C73F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8F68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5EA24" w14:textId="77777777" w:rsidR="00000000" w:rsidRDefault="001A570A">
            <w:pPr>
              <w:jc w:val="right"/>
              <w:rPr>
                <w:rFonts w:eastAsia="Times New Roman"/>
              </w:rPr>
            </w:pPr>
            <w:r>
              <w:rPr>
                <w:rFonts w:eastAsia="Times New Roman"/>
                <w:color w:val="000000"/>
                <w:sz w:val="20"/>
                <w:szCs w:val="20"/>
              </w:rPr>
              <w:t>2,983 </w:t>
            </w:r>
          </w:p>
        </w:tc>
        <w:tc>
          <w:tcPr>
            <w:tcW w:w="0" w:type="auto"/>
            <w:shd w:val="clear" w:color="auto" w:fill="CCEEFF"/>
            <w:tcMar>
              <w:top w:w="30" w:type="dxa"/>
              <w:left w:w="0" w:type="dxa"/>
              <w:bottom w:w="30" w:type="dxa"/>
              <w:right w:w="20" w:type="dxa"/>
            </w:tcMar>
            <w:vAlign w:val="bottom"/>
            <w:hideMark/>
          </w:tcPr>
          <w:p w14:paraId="030425CC" w14:textId="77777777" w:rsidR="00000000" w:rsidRDefault="001A570A">
            <w:pPr>
              <w:jc w:val="right"/>
              <w:rPr>
                <w:rFonts w:eastAsia="Times New Roman"/>
              </w:rPr>
            </w:pPr>
          </w:p>
        </w:tc>
      </w:tr>
    </w:tbl>
    <w:p w14:paraId="6EDC47F7" w14:textId="77777777" w:rsidR="00000000" w:rsidRDefault="001A570A">
      <w:pPr>
        <w:divId w:val="1005399167"/>
        <w:rPr>
          <w:rFonts w:eastAsia="Times New Roman"/>
        </w:rPr>
      </w:pPr>
      <w:r>
        <w:rPr>
          <w:rFonts w:eastAsia="Times New Roman"/>
          <w:color w:val="000000"/>
          <w:sz w:val="16"/>
          <w:szCs w:val="16"/>
        </w:rPr>
        <w:t>_______________</w:t>
      </w:r>
    </w:p>
    <w:p w14:paraId="13C1C5CB" w14:textId="77777777" w:rsidR="00000000" w:rsidRDefault="001A570A">
      <w:pPr>
        <w:ind w:hanging="360"/>
        <w:divId w:val="117183500"/>
        <w:rPr>
          <w:rFonts w:eastAsia="Times New Roman"/>
        </w:rPr>
      </w:pPr>
      <w:r>
        <w:rPr>
          <w:rFonts w:eastAsia="Times New Roman"/>
          <w:color w:val="000000"/>
          <w:sz w:val="16"/>
          <w:szCs w:val="16"/>
        </w:rPr>
        <w:t>(1)</w:t>
      </w:r>
      <w:r>
        <w:rPr>
          <w:rFonts w:eastAsia="Times New Roman"/>
          <w:color w:val="000000"/>
          <w:sz w:val="16"/>
          <w:szCs w:val="16"/>
        </w:rPr>
        <w:t>Projected payments for Other Benefits reflect net payments from the Company, which include subsidies that reduce the gross payments by less than 10 percent.</w:t>
      </w:r>
    </w:p>
    <w:p w14:paraId="0BCDC85A" w14:textId="77777777" w:rsidR="00000000" w:rsidRDefault="001A570A">
      <w:pPr>
        <w:divId w:val="676616045"/>
        <w:rPr>
          <w:rFonts w:eastAsia="Times New Roman"/>
        </w:rPr>
      </w:pPr>
      <w:r>
        <w:rPr>
          <w:rFonts w:eastAsia="Times New Roman"/>
          <w:b/>
          <w:bCs/>
          <w:color w:val="000000"/>
          <w:sz w:val="20"/>
          <w:szCs w:val="20"/>
        </w:rPr>
        <w:t>Multi-employer Benefit Plans</w:t>
      </w:r>
    </w:p>
    <w:p w14:paraId="708BE2BC" w14:textId="77777777" w:rsidR="00000000" w:rsidRDefault="001A570A">
      <w:pPr>
        <w:ind w:firstLine="450"/>
        <w:divId w:val="327177974"/>
        <w:rPr>
          <w:rFonts w:eastAsia="Times New Roman"/>
        </w:rPr>
      </w:pPr>
      <w:r>
        <w:rPr>
          <w:rFonts w:eastAsia="Times New Roman"/>
          <w:color w:val="000000"/>
          <w:sz w:val="20"/>
          <w:szCs w:val="20"/>
        </w:rPr>
        <w:t xml:space="preserve">Certain of our businesses acquired in connection with the L3Harris Merger participate in multi-employer defined benefit pension plans. We make cash contributions to these plans under the terms of collective-bargaining agreements that cover union </w:t>
      </w:r>
    </w:p>
    <w:p w14:paraId="41862F6C" w14:textId="77777777" w:rsidR="00000000" w:rsidRDefault="001A570A">
      <w:pPr>
        <w:ind w:firstLine="450"/>
        <w:jc w:val="center"/>
        <w:divId w:val="1240599343"/>
        <w:rPr>
          <w:rFonts w:eastAsia="Times New Roman"/>
        </w:rPr>
      </w:pPr>
      <w:r>
        <w:rPr>
          <w:rFonts w:eastAsia="Times New Roman"/>
          <w:color w:val="000000"/>
          <w:sz w:val="20"/>
          <w:szCs w:val="20"/>
        </w:rPr>
        <w:t>112</w:t>
      </w:r>
    </w:p>
    <w:p w14:paraId="53D61614" w14:textId="77777777" w:rsidR="00000000" w:rsidRDefault="001A570A">
      <w:pPr>
        <w:rPr>
          <w:rFonts w:eastAsia="Times New Roman"/>
        </w:rPr>
      </w:pPr>
      <w:r>
        <w:rPr>
          <w:rFonts w:eastAsia="Times New Roman"/>
        </w:rPr>
        <w:pict w14:anchorId="110ADCB8">
          <v:rect id="_x0000_i1140" style="width:0;height:1.5pt" o:hralign="center" o:hrstd="t" o:hr="t" fillcolor="#a0a0a0" stroked="f"/>
        </w:pict>
      </w:r>
    </w:p>
    <w:p w14:paraId="5719E0EB" w14:textId="77777777" w:rsidR="00000000" w:rsidRDefault="001A570A">
      <w:pPr>
        <w:ind w:firstLine="450"/>
        <w:divId w:val="671447438"/>
        <w:rPr>
          <w:rFonts w:eastAsia="Times New Roman"/>
        </w:rPr>
      </w:pPr>
    </w:p>
    <w:p w14:paraId="16D6878B" w14:textId="77777777" w:rsidR="00000000" w:rsidRDefault="001A570A">
      <w:pPr>
        <w:divId w:val="1701661805"/>
        <w:rPr>
          <w:rFonts w:eastAsia="Times New Roman"/>
        </w:rPr>
      </w:pPr>
      <w:r>
        <w:rPr>
          <w:rFonts w:eastAsia="Times New Roman"/>
          <w:color w:val="000000"/>
          <w:sz w:val="20"/>
          <w:szCs w:val="20"/>
        </w:rPr>
        <w:t>employees based on a fixed rate per hour of service worked by the covered employees. The risks of participating in these multi-employer plans are different from single-employer plans in the following aspects: (1) assets contributed to the multi-employer pl</w:t>
      </w:r>
      <w:r>
        <w:rPr>
          <w:rFonts w:eastAsia="Times New Roman"/>
          <w:color w:val="000000"/>
          <w:sz w:val="20"/>
          <w:szCs w:val="20"/>
        </w:rPr>
        <w:t>an by one employer may be used to provide benefits to employees of other participating employers, (2) if a participating employer stops contributing to the plan, the unfunded obligations of the plan may be borne by the remaining participating employers and</w:t>
      </w:r>
      <w:r>
        <w:rPr>
          <w:rFonts w:eastAsia="Times New Roman"/>
          <w:color w:val="000000"/>
          <w:sz w:val="20"/>
          <w:szCs w:val="20"/>
        </w:rPr>
        <w:t xml:space="preserve"> (3) if we choose to stop participating in some of our multi-employer plans, we may be required to pay those plans an amount based on the underfunded status of the plan, referred to as a withdrawal liability. Cash contributed and expenses recorded for our </w:t>
      </w:r>
      <w:r>
        <w:rPr>
          <w:rFonts w:eastAsia="Times New Roman"/>
          <w:color w:val="000000"/>
          <w:sz w:val="20"/>
          <w:szCs w:val="20"/>
        </w:rPr>
        <w:t>multi-employer plans were not material in fiscal 2020 or in the two quarters ended January 3, 2020.</w:t>
      </w:r>
    </w:p>
    <w:p w14:paraId="3F1A8FC0" w14:textId="77777777" w:rsidR="00000000" w:rsidRDefault="001A570A">
      <w:pPr>
        <w:ind w:firstLine="450"/>
        <w:divId w:val="325281971"/>
        <w:rPr>
          <w:rFonts w:eastAsia="Times New Roman"/>
        </w:rPr>
      </w:pPr>
      <w:r>
        <w:rPr>
          <w:rFonts w:eastAsia="Times New Roman"/>
          <w:color w:val="000000"/>
          <w:sz w:val="20"/>
          <w:szCs w:val="20"/>
        </w:rPr>
        <w:t xml:space="preserve">See </w:t>
      </w:r>
      <w:r>
        <w:rPr>
          <w:rFonts w:eastAsia="Times New Roman"/>
          <w:i/>
          <w:iCs/>
          <w:color w:val="000000"/>
          <w:sz w:val="20"/>
          <w:szCs w:val="20"/>
        </w:rPr>
        <w:t>Note 5: Business Combination</w:t>
      </w:r>
      <w:r>
        <w:rPr>
          <w:rFonts w:eastAsia="Times New Roman"/>
          <w:color w:val="000000"/>
          <w:sz w:val="20"/>
          <w:szCs w:val="20"/>
        </w:rPr>
        <w:t xml:space="preserve"> in these Notes for information regarding postretirement benefit plan liabilities assumed in connection with the L3Harris Me</w:t>
      </w:r>
      <w:r>
        <w:rPr>
          <w:rFonts w:eastAsia="Times New Roman"/>
          <w:color w:val="000000"/>
          <w:sz w:val="20"/>
          <w:szCs w:val="20"/>
        </w:rPr>
        <w:t xml:space="preserve">rger. </w:t>
      </w:r>
    </w:p>
    <w:p w14:paraId="790991B0" w14:textId="77777777" w:rsidR="00000000" w:rsidRDefault="001A570A">
      <w:pPr>
        <w:divId w:val="1322540370"/>
        <w:rPr>
          <w:rFonts w:eastAsia="Times New Roman"/>
        </w:rPr>
      </w:pPr>
      <w:r>
        <w:rPr>
          <w:rFonts w:eastAsia="Times New Roman"/>
          <w:b/>
          <w:bCs/>
          <w:color w:val="000000"/>
          <w:sz w:val="20"/>
          <w:szCs w:val="20"/>
        </w:rPr>
        <w:t>NOTE 16: STOCK OPTIONS AND OTHER SHARE-BASED COMPENSATION</w:t>
      </w:r>
      <w:r>
        <w:rPr>
          <w:rFonts w:eastAsia="Times New Roman"/>
          <w:b/>
          <w:bCs/>
          <w:i/>
          <w:iCs/>
          <w:color w:val="000000"/>
          <w:sz w:val="20"/>
          <w:szCs w:val="20"/>
        </w:rPr>
        <w:t xml:space="preserve"> </w:t>
      </w:r>
    </w:p>
    <w:p w14:paraId="7F26FE13" w14:textId="77777777" w:rsidR="00000000" w:rsidRDefault="001A570A">
      <w:pPr>
        <w:ind w:firstLine="450"/>
        <w:divId w:val="650326375"/>
        <w:rPr>
          <w:rFonts w:eastAsia="Times New Roman"/>
        </w:rPr>
      </w:pPr>
      <w:r>
        <w:rPr>
          <w:rFonts w:eastAsia="Times New Roman"/>
          <w:color w:val="000000"/>
          <w:sz w:val="20"/>
          <w:szCs w:val="20"/>
        </w:rPr>
        <w:t>At January 1, 2021, we had options or other share-based compensation outstanding under two Harris shareholder-approved employee stock incentive plans (“SIPs”), the Harris Corporation 2005 Eq</w:t>
      </w:r>
      <w:r>
        <w:rPr>
          <w:rFonts w:eastAsia="Times New Roman"/>
          <w:color w:val="000000"/>
          <w:sz w:val="20"/>
          <w:szCs w:val="20"/>
        </w:rPr>
        <w:t xml:space="preserve">uity Incentive Plan (As Amended and Restated Effective August 27, 2010) and the L3Harris Technologies, Inc. 2015 Equity Incentive Plan (As Amended and Restated Effective August 28, 2020) (the “2015 EIP”), as well as under employee stock incentive plans of </w:t>
      </w:r>
      <w:r>
        <w:rPr>
          <w:rFonts w:eastAsia="Times New Roman"/>
          <w:color w:val="000000"/>
          <w:sz w:val="20"/>
          <w:szCs w:val="20"/>
        </w:rPr>
        <w:t xml:space="preserve">L3 assumed by L3Harris (collectively, “L3Harris SIPs”). We believe that share-based awards more closely align the interests of participants with those of shareholders. </w:t>
      </w:r>
    </w:p>
    <w:p w14:paraId="15EE29E6" w14:textId="77777777" w:rsidR="00000000" w:rsidRDefault="001A570A">
      <w:pPr>
        <w:ind w:firstLine="450"/>
        <w:divId w:val="1495415959"/>
        <w:rPr>
          <w:rFonts w:eastAsia="Times New Roman"/>
        </w:rPr>
      </w:pPr>
      <w:r>
        <w:rPr>
          <w:rFonts w:eastAsia="Times New Roman"/>
          <w:color w:val="000000"/>
          <w:sz w:val="20"/>
          <w:szCs w:val="20"/>
        </w:rPr>
        <w:t>Harris equity awards granted prior to October 12, 2018, in accordance with the terms an</w:t>
      </w:r>
      <w:r>
        <w:rPr>
          <w:rFonts w:eastAsia="Times New Roman"/>
          <w:color w:val="000000"/>
          <w:sz w:val="20"/>
          <w:szCs w:val="20"/>
        </w:rPr>
        <w:t>d conditions that were applicable to such awards prior to the L3Harris Merger, generally automatically vested upon closing of the L3Harris Merger and settled in L3Harris Common Stock, except stock options which automatically vested and remained outstanding</w:t>
      </w:r>
      <w:r>
        <w:rPr>
          <w:rFonts w:eastAsia="Times New Roman"/>
          <w:color w:val="000000"/>
          <w:sz w:val="20"/>
          <w:szCs w:val="20"/>
        </w:rPr>
        <w:t>. Harris equity awards granted on or after October 12, 2018 did not automatically vest upon closing of the L3Harris Merger, and instead remained outstanding as an award with respect to L3Harris common stock in accordance with the terms that were applicable</w:t>
      </w:r>
      <w:r>
        <w:rPr>
          <w:rFonts w:eastAsia="Times New Roman"/>
          <w:color w:val="000000"/>
          <w:sz w:val="20"/>
          <w:szCs w:val="20"/>
        </w:rPr>
        <w:t xml:space="preserve"> to such award prior to the L3Harris Merger. </w:t>
      </w:r>
    </w:p>
    <w:p w14:paraId="6CCA0DEE" w14:textId="77777777" w:rsidR="00000000" w:rsidRDefault="001A570A">
      <w:pPr>
        <w:ind w:firstLine="450"/>
        <w:divId w:val="368140457"/>
        <w:rPr>
          <w:rFonts w:eastAsia="Times New Roman"/>
        </w:rPr>
      </w:pPr>
      <w:r>
        <w:rPr>
          <w:rFonts w:eastAsia="Times New Roman"/>
          <w:color w:val="000000"/>
          <w:sz w:val="20"/>
          <w:szCs w:val="20"/>
        </w:rPr>
        <w:t>L3’s equity awards granted prior to October 12, 2018, in accordance with the terms and conditions that were applicable to such awards prior to the L3Harris Merger, generally automatically vested upon closing of</w:t>
      </w:r>
      <w:r>
        <w:rPr>
          <w:rFonts w:eastAsia="Times New Roman"/>
          <w:color w:val="000000"/>
          <w:sz w:val="20"/>
          <w:szCs w:val="20"/>
        </w:rPr>
        <w:t xml:space="preserve"> the L3Harris Merger and settled in L3Harris common stock (except stock options automatically converted into stock options with respect to L3Harris common stock and remained outstanding), in each case, after giving effect to the Exchange Ratio and appropri</w:t>
      </w:r>
      <w:r>
        <w:rPr>
          <w:rFonts w:eastAsia="Times New Roman"/>
          <w:color w:val="000000"/>
          <w:sz w:val="20"/>
          <w:szCs w:val="20"/>
        </w:rPr>
        <w:t>ate adjustments to reflect the consummation of the L3Harris Merger and the terms and conditions applicable to such awards prior to the L3Harris Merger. Any L3 restricted stock unit or L3 restricted stock award granted on or after October 12, 2018 was conve</w:t>
      </w:r>
      <w:r>
        <w:rPr>
          <w:rFonts w:eastAsia="Times New Roman"/>
          <w:color w:val="000000"/>
          <w:sz w:val="20"/>
          <w:szCs w:val="20"/>
        </w:rPr>
        <w:t>rted into a corresponding award with respect to L3Harris common stock, with the number of shares underlying such award adjusted based on the Exchange Ratio, and remained outstanding in accordance with the terms that were applicable to such award prior to t</w:t>
      </w:r>
      <w:r>
        <w:rPr>
          <w:rFonts w:eastAsia="Times New Roman"/>
          <w:color w:val="000000"/>
          <w:sz w:val="20"/>
          <w:szCs w:val="20"/>
        </w:rPr>
        <w:t>he L3Harris Merger. Pursuant to the Merger Agreement, L3Harris assumed the converted L3 equity awards.</w:t>
      </w:r>
    </w:p>
    <w:p w14:paraId="1E855834" w14:textId="77777777" w:rsidR="00000000" w:rsidRDefault="001A570A">
      <w:pPr>
        <w:divId w:val="1263996663"/>
        <w:rPr>
          <w:rFonts w:eastAsia="Times New Roman"/>
        </w:rPr>
      </w:pPr>
      <w:r>
        <w:rPr>
          <w:rFonts w:eastAsia="Times New Roman"/>
          <w:b/>
          <w:bCs/>
          <w:color w:val="000000"/>
          <w:sz w:val="20"/>
          <w:szCs w:val="20"/>
        </w:rPr>
        <w:t>Summary of Share-Based Compensation Expense</w:t>
      </w:r>
    </w:p>
    <w:p w14:paraId="7C95765D" w14:textId="77777777" w:rsidR="00000000" w:rsidRDefault="001A570A">
      <w:pPr>
        <w:ind w:firstLine="450"/>
        <w:divId w:val="696083004"/>
        <w:rPr>
          <w:rFonts w:eastAsia="Times New Roman"/>
        </w:rPr>
      </w:pPr>
      <w:r>
        <w:rPr>
          <w:rFonts w:eastAsia="Times New Roman"/>
          <w:color w:val="000000"/>
          <w:sz w:val="20"/>
          <w:szCs w:val="20"/>
        </w:rPr>
        <w:t>The following table summarizes the amounts and classification of share-based compensation expense:</w:t>
      </w:r>
    </w:p>
    <w:tbl>
      <w:tblPr>
        <w:tblW w:w="4992" w:type="pct"/>
        <w:tblCellMar>
          <w:top w:w="15" w:type="dxa"/>
          <w:left w:w="15" w:type="dxa"/>
          <w:bottom w:w="15" w:type="dxa"/>
          <w:right w:w="15" w:type="dxa"/>
        </w:tblCellMar>
        <w:tblLook w:val="04A0" w:firstRow="1" w:lastRow="0" w:firstColumn="1" w:lastColumn="0" w:noHBand="0" w:noVBand="1"/>
      </w:tblPr>
      <w:tblGrid>
        <w:gridCol w:w="40"/>
        <w:gridCol w:w="3336"/>
        <w:gridCol w:w="39"/>
        <w:gridCol w:w="122"/>
        <w:gridCol w:w="1015"/>
        <w:gridCol w:w="37"/>
        <w:gridCol w:w="36"/>
        <w:gridCol w:w="36"/>
        <w:gridCol w:w="36"/>
        <w:gridCol w:w="121"/>
        <w:gridCol w:w="969"/>
        <w:gridCol w:w="36"/>
        <w:gridCol w:w="36"/>
        <w:gridCol w:w="36"/>
        <w:gridCol w:w="36"/>
        <w:gridCol w:w="120"/>
        <w:gridCol w:w="969"/>
        <w:gridCol w:w="36"/>
        <w:gridCol w:w="36"/>
        <w:gridCol w:w="36"/>
        <w:gridCol w:w="36"/>
        <w:gridCol w:w="120"/>
        <w:gridCol w:w="973"/>
        <w:gridCol w:w="36"/>
      </w:tblGrid>
      <w:tr w:rsidR="00000000" w14:paraId="75316871" w14:textId="77777777">
        <w:trPr>
          <w:divId w:val="699939920"/>
        </w:trPr>
        <w:tc>
          <w:tcPr>
            <w:tcW w:w="50" w:type="pct"/>
            <w:vAlign w:val="center"/>
            <w:hideMark/>
          </w:tcPr>
          <w:p w14:paraId="0CEAC5D3" w14:textId="77777777" w:rsidR="00000000" w:rsidRDefault="001A570A">
            <w:pPr>
              <w:ind w:firstLine="450"/>
              <w:rPr>
                <w:rFonts w:eastAsia="Times New Roman"/>
              </w:rPr>
            </w:pPr>
          </w:p>
        </w:tc>
        <w:tc>
          <w:tcPr>
            <w:tcW w:w="2045" w:type="pct"/>
            <w:vAlign w:val="center"/>
            <w:hideMark/>
          </w:tcPr>
          <w:p w14:paraId="25B3E2D5" w14:textId="77777777" w:rsidR="00000000" w:rsidRDefault="001A570A">
            <w:pPr>
              <w:rPr>
                <w:rFonts w:eastAsia="Times New Roman"/>
                <w:sz w:val="20"/>
                <w:szCs w:val="20"/>
              </w:rPr>
            </w:pPr>
          </w:p>
        </w:tc>
        <w:tc>
          <w:tcPr>
            <w:tcW w:w="5" w:type="pct"/>
            <w:vAlign w:val="center"/>
            <w:hideMark/>
          </w:tcPr>
          <w:p w14:paraId="0111BB2E" w14:textId="77777777" w:rsidR="00000000" w:rsidRDefault="001A570A">
            <w:pPr>
              <w:rPr>
                <w:rFonts w:eastAsia="Times New Roman"/>
                <w:sz w:val="20"/>
                <w:szCs w:val="20"/>
              </w:rPr>
            </w:pPr>
          </w:p>
        </w:tc>
        <w:tc>
          <w:tcPr>
            <w:tcW w:w="50" w:type="pct"/>
            <w:vAlign w:val="center"/>
            <w:hideMark/>
          </w:tcPr>
          <w:p w14:paraId="20469739" w14:textId="77777777" w:rsidR="00000000" w:rsidRDefault="001A570A">
            <w:pPr>
              <w:rPr>
                <w:rFonts w:eastAsia="Times New Roman"/>
                <w:sz w:val="20"/>
                <w:szCs w:val="20"/>
              </w:rPr>
            </w:pPr>
          </w:p>
        </w:tc>
        <w:tc>
          <w:tcPr>
            <w:tcW w:w="642" w:type="pct"/>
            <w:vAlign w:val="center"/>
            <w:hideMark/>
          </w:tcPr>
          <w:p w14:paraId="4F24326F" w14:textId="77777777" w:rsidR="00000000" w:rsidRDefault="001A570A">
            <w:pPr>
              <w:rPr>
                <w:rFonts w:eastAsia="Times New Roman"/>
                <w:sz w:val="20"/>
                <w:szCs w:val="20"/>
              </w:rPr>
            </w:pPr>
          </w:p>
        </w:tc>
        <w:tc>
          <w:tcPr>
            <w:tcW w:w="5" w:type="pct"/>
            <w:vAlign w:val="center"/>
            <w:hideMark/>
          </w:tcPr>
          <w:p w14:paraId="3AAFB1AA" w14:textId="77777777" w:rsidR="00000000" w:rsidRDefault="001A570A">
            <w:pPr>
              <w:rPr>
                <w:rFonts w:eastAsia="Times New Roman"/>
                <w:sz w:val="20"/>
                <w:szCs w:val="20"/>
              </w:rPr>
            </w:pPr>
          </w:p>
        </w:tc>
        <w:tc>
          <w:tcPr>
            <w:tcW w:w="5" w:type="pct"/>
            <w:vAlign w:val="center"/>
            <w:hideMark/>
          </w:tcPr>
          <w:p w14:paraId="013FA71F" w14:textId="77777777" w:rsidR="00000000" w:rsidRDefault="001A570A">
            <w:pPr>
              <w:rPr>
                <w:rFonts w:eastAsia="Times New Roman"/>
                <w:sz w:val="20"/>
                <w:szCs w:val="20"/>
              </w:rPr>
            </w:pPr>
          </w:p>
        </w:tc>
        <w:tc>
          <w:tcPr>
            <w:tcW w:w="25" w:type="pct"/>
            <w:vAlign w:val="center"/>
            <w:hideMark/>
          </w:tcPr>
          <w:p w14:paraId="01FAF402" w14:textId="77777777" w:rsidR="00000000" w:rsidRDefault="001A570A">
            <w:pPr>
              <w:rPr>
                <w:rFonts w:eastAsia="Times New Roman"/>
                <w:sz w:val="20"/>
                <w:szCs w:val="20"/>
              </w:rPr>
            </w:pPr>
          </w:p>
        </w:tc>
        <w:tc>
          <w:tcPr>
            <w:tcW w:w="5" w:type="pct"/>
            <w:vAlign w:val="center"/>
            <w:hideMark/>
          </w:tcPr>
          <w:p w14:paraId="136F967F" w14:textId="77777777" w:rsidR="00000000" w:rsidRDefault="001A570A">
            <w:pPr>
              <w:rPr>
                <w:rFonts w:eastAsia="Times New Roman"/>
                <w:sz w:val="20"/>
                <w:szCs w:val="20"/>
              </w:rPr>
            </w:pPr>
          </w:p>
        </w:tc>
        <w:tc>
          <w:tcPr>
            <w:tcW w:w="50" w:type="pct"/>
            <w:vAlign w:val="center"/>
            <w:hideMark/>
          </w:tcPr>
          <w:p w14:paraId="3AED33BB" w14:textId="77777777" w:rsidR="00000000" w:rsidRDefault="001A570A">
            <w:pPr>
              <w:rPr>
                <w:rFonts w:eastAsia="Times New Roman"/>
                <w:sz w:val="20"/>
                <w:szCs w:val="20"/>
              </w:rPr>
            </w:pPr>
          </w:p>
        </w:tc>
        <w:tc>
          <w:tcPr>
            <w:tcW w:w="642" w:type="pct"/>
            <w:vAlign w:val="center"/>
            <w:hideMark/>
          </w:tcPr>
          <w:p w14:paraId="38E650DB" w14:textId="77777777" w:rsidR="00000000" w:rsidRDefault="001A570A">
            <w:pPr>
              <w:rPr>
                <w:rFonts w:eastAsia="Times New Roman"/>
                <w:sz w:val="20"/>
                <w:szCs w:val="20"/>
              </w:rPr>
            </w:pPr>
          </w:p>
        </w:tc>
        <w:tc>
          <w:tcPr>
            <w:tcW w:w="5" w:type="pct"/>
            <w:vAlign w:val="center"/>
            <w:hideMark/>
          </w:tcPr>
          <w:p w14:paraId="76B8C177" w14:textId="77777777" w:rsidR="00000000" w:rsidRDefault="001A570A">
            <w:pPr>
              <w:rPr>
                <w:rFonts w:eastAsia="Times New Roman"/>
                <w:sz w:val="20"/>
                <w:szCs w:val="20"/>
              </w:rPr>
            </w:pPr>
          </w:p>
        </w:tc>
        <w:tc>
          <w:tcPr>
            <w:tcW w:w="5" w:type="pct"/>
            <w:vAlign w:val="center"/>
            <w:hideMark/>
          </w:tcPr>
          <w:p w14:paraId="28E2DF41" w14:textId="77777777" w:rsidR="00000000" w:rsidRDefault="001A570A">
            <w:pPr>
              <w:rPr>
                <w:rFonts w:eastAsia="Times New Roman"/>
                <w:sz w:val="20"/>
                <w:szCs w:val="20"/>
              </w:rPr>
            </w:pPr>
          </w:p>
        </w:tc>
        <w:tc>
          <w:tcPr>
            <w:tcW w:w="25" w:type="pct"/>
            <w:vAlign w:val="center"/>
            <w:hideMark/>
          </w:tcPr>
          <w:p w14:paraId="229B7F2E" w14:textId="77777777" w:rsidR="00000000" w:rsidRDefault="001A570A">
            <w:pPr>
              <w:rPr>
                <w:rFonts w:eastAsia="Times New Roman"/>
                <w:sz w:val="20"/>
                <w:szCs w:val="20"/>
              </w:rPr>
            </w:pPr>
          </w:p>
        </w:tc>
        <w:tc>
          <w:tcPr>
            <w:tcW w:w="5" w:type="pct"/>
            <w:vAlign w:val="center"/>
            <w:hideMark/>
          </w:tcPr>
          <w:p w14:paraId="426AD4E3" w14:textId="77777777" w:rsidR="00000000" w:rsidRDefault="001A570A">
            <w:pPr>
              <w:rPr>
                <w:rFonts w:eastAsia="Times New Roman"/>
                <w:sz w:val="20"/>
                <w:szCs w:val="20"/>
              </w:rPr>
            </w:pPr>
          </w:p>
        </w:tc>
        <w:tc>
          <w:tcPr>
            <w:tcW w:w="50" w:type="pct"/>
            <w:vAlign w:val="center"/>
            <w:hideMark/>
          </w:tcPr>
          <w:p w14:paraId="1775E5C1" w14:textId="77777777" w:rsidR="00000000" w:rsidRDefault="001A570A">
            <w:pPr>
              <w:rPr>
                <w:rFonts w:eastAsia="Times New Roman"/>
                <w:sz w:val="20"/>
                <w:szCs w:val="20"/>
              </w:rPr>
            </w:pPr>
          </w:p>
        </w:tc>
        <w:tc>
          <w:tcPr>
            <w:tcW w:w="642" w:type="pct"/>
            <w:vAlign w:val="center"/>
            <w:hideMark/>
          </w:tcPr>
          <w:p w14:paraId="20FBD610" w14:textId="77777777" w:rsidR="00000000" w:rsidRDefault="001A570A">
            <w:pPr>
              <w:rPr>
                <w:rFonts w:eastAsia="Times New Roman"/>
                <w:sz w:val="20"/>
                <w:szCs w:val="20"/>
              </w:rPr>
            </w:pPr>
          </w:p>
        </w:tc>
        <w:tc>
          <w:tcPr>
            <w:tcW w:w="5" w:type="pct"/>
            <w:vAlign w:val="center"/>
            <w:hideMark/>
          </w:tcPr>
          <w:p w14:paraId="784FD915" w14:textId="77777777" w:rsidR="00000000" w:rsidRDefault="001A570A">
            <w:pPr>
              <w:rPr>
                <w:rFonts w:eastAsia="Times New Roman"/>
                <w:sz w:val="20"/>
                <w:szCs w:val="20"/>
              </w:rPr>
            </w:pPr>
          </w:p>
        </w:tc>
        <w:tc>
          <w:tcPr>
            <w:tcW w:w="5" w:type="pct"/>
            <w:vAlign w:val="center"/>
            <w:hideMark/>
          </w:tcPr>
          <w:p w14:paraId="2A480074" w14:textId="77777777" w:rsidR="00000000" w:rsidRDefault="001A570A">
            <w:pPr>
              <w:rPr>
                <w:rFonts w:eastAsia="Times New Roman"/>
                <w:sz w:val="20"/>
                <w:szCs w:val="20"/>
              </w:rPr>
            </w:pPr>
          </w:p>
        </w:tc>
        <w:tc>
          <w:tcPr>
            <w:tcW w:w="25" w:type="pct"/>
            <w:vAlign w:val="center"/>
            <w:hideMark/>
          </w:tcPr>
          <w:p w14:paraId="27462581" w14:textId="77777777" w:rsidR="00000000" w:rsidRDefault="001A570A">
            <w:pPr>
              <w:rPr>
                <w:rFonts w:eastAsia="Times New Roman"/>
                <w:sz w:val="20"/>
                <w:szCs w:val="20"/>
              </w:rPr>
            </w:pPr>
          </w:p>
        </w:tc>
        <w:tc>
          <w:tcPr>
            <w:tcW w:w="5" w:type="pct"/>
            <w:vAlign w:val="center"/>
            <w:hideMark/>
          </w:tcPr>
          <w:p w14:paraId="491984A7" w14:textId="77777777" w:rsidR="00000000" w:rsidRDefault="001A570A">
            <w:pPr>
              <w:rPr>
                <w:rFonts w:eastAsia="Times New Roman"/>
                <w:sz w:val="20"/>
                <w:szCs w:val="20"/>
              </w:rPr>
            </w:pPr>
          </w:p>
        </w:tc>
        <w:tc>
          <w:tcPr>
            <w:tcW w:w="50" w:type="pct"/>
            <w:vAlign w:val="center"/>
            <w:hideMark/>
          </w:tcPr>
          <w:p w14:paraId="7302DCBF" w14:textId="77777777" w:rsidR="00000000" w:rsidRDefault="001A570A">
            <w:pPr>
              <w:rPr>
                <w:rFonts w:eastAsia="Times New Roman"/>
                <w:sz w:val="20"/>
                <w:szCs w:val="20"/>
              </w:rPr>
            </w:pPr>
          </w:p>
        </w:tc>
        <w:tc>
          <w:tcPr>
            <w:tcW w:w="643" w:type="pct"/>
            <w:vAlign w:val="center"/>
            <w:hideMark/>
          </w:tcPr>
          <w:p w14:paraId="4FDB82AC" w14:textId="77777777" w:rsidR="00000000" w:rsidRDefault="001A570A">
            <w:pPr>
              <w:rPr>
                <w:rFonts w:eastAsia="Times New Roman"/>
                <w:sz w:val="20"/>
                <w:szCs w:val="20"/>
              </w:rPr>
            </w:pPr>
          </w:p>
        </w:tc>
        <w:tc>
          <w:tcPr>
            <w:tcW w:w="5" w:type="pct"/>
            <w:vAlign w:val="center"/>
            <w:hideMark/>
          </w:tcPr>
          <w:p w14:paraId="3330E0EB" w14:textId="77777777" w:rsidR="00000000" w:rsidRDefault="001A570A">
            <w:pPr>
              <w:rPr>
                <w:rFonts w:eastAsia="Times New Roman"/>
                <w:sz w:val="20"/>
                <w:szCs w:val="20"/>
              </w:rPr>
            </w:pPr>
          </w:p>
        </w:tc>
      </w:tr>
      <w:tr w:rsidR="00000000" w14:paraId="742A5BBC" w14:textId="77777777">
        <w:trPr>
          <w:divId w:val="699939920"/>
        </w:trPr>
        <w:tc>
          <w:tcPr>
            <w:tcW w:w="0" w:type="auto"/>
            <w:gridSpan w:val="3"/>
            <w:tcMar>
              <w:top w:w="0" w:type="dxa"/>
              <w:left w:w="20" w:type="dxa"/>
              <w:bottom w:w="0" w:type="dxa"/>
              <w:right w:w="20" w:type="dxa"/>
            </w:tcMar>
            <w:vAlign w:val="center"/>
            <w:hideMark/>
          </w:tcPr>
          <w:p w14:paraId="0380A56D"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7956E923"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163AD9C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AC27180"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40892825"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8D5FBD0"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8229B4B" w14:textId="77777777">
        <w:trPr>
          <w:divId w:val="699939920"/>
        </w:trPr>
        <w:tc>
          <w:tcPr>
            <w:tcW w:w="0" w:type="auto"/>
            <w:gridSpan w:val="3"/>
            <w:tcMar>
              <w:top w:w="30" w:type="dxa"/>
              <w:left w:w="20" w:type="dxa"/>
              <w:bottom w:w="30" w:type="dxa"/>
              <w:right w:w="20" w:type="dxa"/>
            </w:tcMar>
            <w:vAlign w:val="bottom"/>
            <w:hideMark/>
          </w:tcPr>
          <w:p w14:paraId="180E4132"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5E7E56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C5913E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5E9E8D" w14:textId="77777777" w:rsidR="00000000" w:rsidRDefault="001A570A">
            <w:pPr>
              <w:jc w:val="center"/>
              <w:rPr>
                <w:rFonts w:eastAsia="Times New Roman"/>
              </w:rPr>
            </w:pPr>
            <w:r>
              <w:rPr>
                <w:rFonts w:eastAsia="Times New Roman"/>
                <w:b/>
                <w:bCs/>
                <w:color w:val="000000"/>
                <w:sz w:val="16"/>
                <w:szCs w:val="16"/>
              </w:rPr>
              <w:t>January 3, 202</w:t>
            </w:r>
            <w:r>
              <w:rPr>
                <w:rFonts w:eastAsia="Times New Roman"/>
                <w:b/>
                <w:bCs/>
                <w:color w:val="000000"/>
                <w:sz w:val="16"/>
                <w:szCs w:val="16"/>
              </w:rPr>
              <w:t>0</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8F5623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C4928B"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5836C6C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553F4" w14:textId="77777777" w:rsidR="00000000" w:rsidRDefault="001A570A">
            <w:pPr>
              <w:jc w:val="center"/>
              <w:rPr>
                <w:rFonts w:eastAsia="Times New Roman"/>
              </w:rPr>
            </w:pPr>
            <w:r>
              <w:rPr>
                <w:rFonts w:eastAsia="Times New Roman"/>
                <w:b/>
                <w:bCs/>
                <w:color w:val="000000"/>
                <w:sz w:val="16"/>
                <w:szCs w:val="16"/>
              </w:rPr>
              <w:t>June 29, 2018</w:t>
            </w:r>
          </w:p>
        </w:tc>
      </w:tr>
      <w:tr w:rsidR="00000000" w14:paraId="2721EE81" w14:textId="77777777">
        <w:trPr>
          <w:divId w:val="699939920"/>
          <w:trHeight w:val="60"/>
        </w:trPr>
        <w:tc>
          <w:tcPr>
            <w:tcW w:w="0" w:type="auto"/>
            <w:gridSpan w:val="3"/>
            <w:tcMar>
              <w:top w:w="0" w:type="dxa"/>
              <w:left w:w="20" w:type="dxa"/>
              <w:bottom w:w="0" w:type="dxa"/>
              <w:right w:w="20" w:type="dxa"/>
            </w:tcMar>
            <w:vAlign w:val="center"/>
            <w:hideMark/>
          </w:tcPr>
          <w:p w14:paraId="42AC7C6A"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E2DC51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CF0359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43C68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124149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35CB4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AC3488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C1D556" w14:textId="77777777" w:rsidR="00000000" w:rsidRDefault="001A570A">
            <w:pPr>
              <w:rPr>
                <w:rFonts w:eastAsia="Times New Roman"/>
                <w:sz w:val="20"/>
                <w:szCs w:val="20"/>
              </w:rPr>
            </w:pPr>
          </w:p>
        </w:tc>
      </w:tr>
      <w:tr w:rsidR="00000000" w14:paraId="445286F3" w14:textId="77777777">
        <w:trPr>
          <w:divId w:val="699939920"/>
        </w:trPr>
        <w:tc>
          <w:tcPr>
            <w:tcW w:w="0" w:type="auto"/>
            <w:gridSpan w:val="3"/>
            <w:shd w:val="clear" w:color="auto" w:fill="CCEEFF"/>
            <w:tcMar>
              <w:top w:w="30" w:type="dxa"/>
              <w:left w:w="20" w:type="dxa"/>
              <w:bottom w:w="30" w:type="dxa"/>
              <w:right w:w="20" w:type="dxa"/>
            </w:tcMar>
            <w:hideMark/>
          </w:tcPr>
          <w:p w14:paraId="5BC78F6C" w14:textId="77777777" w:rsidR="00000000" w:rsidRDefault="001A570A">
            <w:pPr>
              <w:rPr>
                <w:rFonts w:eastAsia="Times New Roman"/>
              </w:rPr>
            </w:pPr>
            <w:r>
              <w:rPr>
                <w:rFonts w:eastAsia="Times New Roman"/>
                <w:color w:val="000000"/>
                <w:sz w:val="20"/>
                <w:szCs w:val="20"/>
              </w:rPr>
              <w:t>Total expense</w:t>
            </w:r>
          </w:p>
        </w:tc>
        <w:tc>
          <w:tcPr>
            <w:tcW w:w="0" w:type="auto"/>
            <w:shd w:val="clear" w:color="auto" w:fill="CCEEFF"/>
            <w:tcMar>
              <w:top w:w="30" w:type="dxa"/>
              <w:left w:w="20" w:type="dxa"/>
              <w:bottom w:w="30" w:type="dxa"/>
              <w:right w:w="0" w:type="dxa"/>
            </w:tcMar>
            <w:vAlign w:val="bottom"/>
            <w:hideMark/>
          </w:tcPr>
          <w:p w14:paraId="11D60F4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15855D" w14:textId="77777777" w:rsidR="00000000" w:rsidRDefault="001A570A">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40AA27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6270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D4614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A3E46A" w14:textId="77777777" w:rsidR="00000000" w:rsidRDefault="001A570A">
            <w:pPr>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0E7E7C4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21AAA"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75BD0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E29F00" w14:textId="77777777" w:rsidR="00000000" w:rsidRDefault="001A570A">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00FA7F7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8E87A"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FB478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F47FD0" w14:textId="77777777" w:rsidR="00000000" w:rsidRDefault="001A570A">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4BD84EC4" w14:textId="77777777" w:rsidR="00000000" w:rsidRDefault="001A570A">
            <w:pPr>
              <w:jc w:val="right"/>
              <w:rPr>
                <w:rFonts w:eastAsia="Times New Roman"/>
              </w:rPr>
            </w:pPr>
          </w:p>
        </w:tc>
      </w:tr>
      <w:tr w:rsidR="00000000" w14:paraId="4F5B71B4" w14:textId="77777777">
        <w:trPr>
          <w:divId w:val="699939920"/>
        </w:trPr>
        <w:tc>
          <w:tcPr>
            <w:tcW w:w="0" w:type="auto"/>
            <w:gridSpan w:val="3"/>
            <w:shd w:val="clear" w:color="auto" w:fill="FFFFFF"/>
            <w:tcMar>
              <w:top w:w="30" w:type="dxa"/>
              <w:left w:w="20" w:type="dxa"/>
              <w:bottom w:w="30" w:type="dxa"/>
              <w:right w:w="20" w:type="dxa"/>
            </w:tcMar>
            <w:hideMark/>
          </w:tcPr>
          <w:p w14:paraId="2D0FF8A3" w14:textId="77777777" w:rsidR="00000000" w:rsidRDefault="001A570A">
            <w:pPr>
              <w:rPr>
                <w:rFonts w:eastAsia="Times New Roman"/>
              </w:rPr>
            </w:pPr>
            <w:r>
              <w:rPr>
                <w:rFonts w:eastAsia="Times New Roman"/>
                <w:color w:val="000000"/>
                <w:sz w:val="20"/>
                <w:szCs w:val="20"/>
              </w:rPr>
              <w:t>Included in: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C24F51"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9C8EB"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4DA7D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2C3C4B"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11DFA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BD5A9E"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4A102D" w14:textId="77777777" w:rsidR="00000000" w:rsidRDefault="001A570A">
            <w:pPr>
              <w:rPr>
                <w:rFonts w:eastAsia="Times New Roman"/>
                <w:sz w:val="20"/>
                <w:szCs w:val="20"/>
              </w:rPr>
            </w:pPr>
          </w:p>
        </w:tc>
      </w:tr>
      <w:tr w:rsidR="00000000" w14:paraId="22EB1A6F" w14:textId="77777777">
        <w:trPr>
          <w:divId w:val="699939920"/>
        </w:trPr>
        <w:tc>
          <w:tcPr>
            <w:tcW w:w="0" w:type="auto"/>
            <w:gridSpan w:val="3"/>
            <w:shd w:val="clear" w:color="auto" w:fill="CCEEFF"/>
            <w:tcMar>
              <w:top w:w="30" w:type="dxa"/>
              <w:left w:w="245" w:type="dxa"/>
              <w:bottom w:w="30" w:type="dxa"/>
              <w:right w:w="20" w:type="dxa"/>
            </w:tcMar>
            <w:hideMark/>
          </w:tcPr>
          <w:p w14:paraId="0225DAB0" w14:textId="77777777" w:rsidR="00000000" w:rsidRDefault="001A570A">
            <w:pPr>
              <w:rPr>
                <w:rFonts w:eastAsia="Times New Roman"/>
              </w:rPr>
            </w:pPr>
            <w:r>
              <w:rPr>
                <w:rFonts w:eastAsia="Times New Roman"/>
                <w:color w:val="000000"/>
                <w:sz w:val="20"/>
                <w:szCs w:val="20"/>
              </w:rPr>
              <w:t>Cost of product sales and services</w:t>
            </w:r>
          </w:p>
        </w:tc>
        <w:tc>
          <w:tcPr>
            <w:tcW w:w="0" w:type="auto"/>
            <w:shd w:val="clear" w:color="auto" w:fill="CCEEFF"/>
            <w:tcMar>
              <w:top w:w="30" w:type="dxa"/>
              <w:left w:w="20" w:type="dxa"/>
              <w:bottom w:w="30" w:type="dxa"/>
              <w:right w:w="0" w:type="dxa"/>
            </w:tcMar>
            <w:vAlign w:val="bottom"/>
            <w:hideMark/>
          </w:tcPr>
          <w:p w14:paraId="014352A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C78E4B"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18AA9CB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C195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76103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58A43D"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5A1699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D816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393BC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B83850"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06550C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9407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89B6F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3E11DB"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423FC165" w14:textId="77777777" w:rsidR="00000000" w:rsidRDefault="001A570A">
            <w:pPr>
              <w:jc w:val="right"/>
              <w:rPr>
                <w:rFonts w:eastAsia="Times New Roman"/>
              </w:rPr>
            </w:pPr>
          </w:p>
        </w:tc>
      </w:tr>
      <w:tr w:rsidR="00000000" w14:paraId="7BB2BF6F" w14:textId="77777777">
        <w:trPr>
          <w:divId w:val="699939920"/>
        </w:trPr>
        <w:tc>
          <w:tcPr>
            <w:tcW w:w="0" w:type="auto"/>
            <w:gridSpan w:val="3"/>
            <w:shd w:val="clear" w:color="auto" w:fill="FFFFFF"/>
            <w:tcMar>
              <w:top w:w="30" w:type="dxa"/>
              <w:left w:w="245" w:type="dxa"/>
              <w:bottom w:w="30" w:type="dxa"/>
              <w:right w:w="20" w:type="dxa"/>
            </w:tcMar>
            <w:hideMark/>
          </w:tcPr>
          <w:p w14:paraId="3061C687" w14:textId="77777777" w:rsidR="00000000" w:rsidRDefault="001A570A">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14:paraId="3209F758" w14:textId="77777777" w:rsidR="00000000" w:rsidRDefault="001A570A">
            <w:pPr>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4362BDB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3F72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D9ACA" w14:textId="77777777" w:rsidR="00000000" w:rsidRDefault="001A570A">
            <w:pPr>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14:paraId="022808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658A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35888" w14:textId="77777777" w:rsidR="00000000" w:rsidRDefault="001A570A">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073838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77FF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5E83F" w14:textId="77777777" w:rsidR="00000000" w:rsidRDefault="001A570A">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074BA2D7" w14:textId="77777777" w:rsidR="00000000" w:rsidRDefault="001A570A">
            <w:pPr>
              <w:jc w:val="right"/>
              <w:rPr>
                <w:rFonts w:eastAsia="Times New Roman"/>
              </w:rPr>
            </w:pPr>
          </w:p>
        </w:tc>
      </w:tr>
      <w:tr w:rsidR="00000000" w14:paraId="2541D34A" w14:textId="77777777">
        <w:trPr>
          <w:divId w:val="699939920"/>
        </w:trPr>
        <w:tc>
          <w:tcPr>
            <w:tcW w:w="0" w:type="auto"/>
            <w:gridSpan w:val="3"/>
            <w:shd w:val="clear" w:color="auto" w:fill="CCEEFF"/>
            <w:tcMar>
              <w:top w:w="30" w:type="dxa"/>
              <w:left w:w="245" w:type="dxa"/>
              <w:bottom w:w="30" w:type="dxa"/>
              <w:right w:w="20" w:type="dxa"/>
            </w:tcMar>
            <w:hideMark/>
          </w:tcPr>
          <w:p w14:paraId="13670169" w14:textId="77777777" w:rsidR="00000000" w:rsidRDefault="001A570A">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ADC4D3" w14:textId="77777777" w:rsidR="00000000" w:rsidRDefault="001A570A">
            <w:pPr>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64CE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1943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809D5D" w14:textId="77777777" w:rsidR="00000000" w:rsidRDefault="001A570A">
            <w:pPr>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21AAE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69A5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7BD273" w14:textId="77777777" w:rsidR="00000000" w:rsidRDefault="001A570A">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54D4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1C1C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62EEB8" w14:textId="77777777" w:rsidR="00000000" w:rsidRDefault="001A570A">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6CC802" w14:textId="77777777" w:rsidR="00000000" w:rsidRDefault="001A570A">
            <w:pPr>
              <w:jc w:val="right"/>
              <w:rPr>
                <w:rFonts w:eastAsia="Times New Roman"/>
              </w:rPr>
            </w:pPr>
          </w:p>
        </w:tc>
      </w:tr>
      <w:tr w:rsidR="00000000" w14:paraId="438872C5" w14:textId="77777777">
        <w:trPr>
          <w:divId w:val="699939920"/>
        </w:trPr>
        <w:tc>
          <w:tcPr>
            <w:tcW w:w="0" w:type="auto"/>
            <w:gridSpan w:val="3"/>
            <w:shd w:val="clear" w:color="auto" w:fill="FFFFFF"/>
            <w:tcMar>
              <w:top w:w="30" w:type="dxa"/>
              <w:left w:w="20" w:type="dxa"/>
              <w:bottom w:w="30" w:type="dxa"/>
              <w:right w:w="20" w:type="dxa"/>
            </w:tcMar>
            <w:hideMark/>
          </w:tcPr>
          <w:p w14:paraId="69537A33" w14:textId="77777777" w:rsidR="00000000" w:rsidRDefault="001A570A">
            <w:pPr>
              <w:rPr>
                <w:rFonts w:eastAsia="Times New Roman"/>
              </w:rPr>
            </w:pPr>
            <w:r>
              <w:rPr>
                <w:rFonts w:eastAsia="Times New Roman"/>
                <w:color w:val="000000"/>
                <w:sz w:val="20"/>
                <w:szCs w:val="20"/>
              </w:rPr>
              <w:t>Tax effect on share-based compensation expense</w:t>
            </w:r>
          </w:p>
        </w:tc>
        <w:tc>
          <w:tcPr>
            <w:tcW w:w="0" w:type="auto"/>
            <w:gridSpan w:val="2"/>
            <w:shd w:val="clear" w:color="auto" w:fill="FFFFFF"/>
            <w:tcMar>
              <w:top w:w="30" w:type="dxa"/>
              <w:left w:w="20" w:type="dxa"/>
              <w:bottom w:w="30" w:type="dxa"/>
              <w:right w:w="0" w:type="dxa"/>
            </w:tcMar>
            <w:vAlign w:val="bottom"/>
            <w:hideMark/>
          </w:tcPr>
          <w:p w14:paraId="4283D8D5"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5722493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F4A5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32459" w14:textId="77777777" w:rsidR="00000000" w:rsidRDefault="001A570A">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6E864E2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06C7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D92F4" w14:textId="77777777" w:rsidR="00000000" w:rsidRDefault="001A570A">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5AFB7B4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5F89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E747F" w14:textId="77777777" w:rsidR="00000000" w:rsidRDefault="001A570A">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14:paraId="01981C75" w14:textId="77777777" w:rsidR="00000000" w:rsidRDefault="001A570A">
            <w:pPr>
              <w:jc w:val="right"/>
              <w:rPr>
                <w:rFonts w:eastAsia="Times New Roman"/>
              </w:rPr>
            </w:pPr>
          </w:p>
        </w:tc>
      </w:tr>
      <w:tr w:rsidR="00000000" w14:paraId="5E244682" w14:textId="77777777">
        <w:trPr>
          <w:divId w:val="699939920"/>
        </w:trPr>
        <w:tc>
          <w:tcPr>
            <w:tcW w:w="0" w:type="auto"/>
            <w:gridSpan w:val="3"/>
            <w:shd w:val="clear" w:color="auto" w:fill="CCEEFF"/>
            <w:tcMar>
              <w:top w:w="30" w:type="dxa"/>
              <w:left w:w="20" w:type="dxa"/>
              <w:bottom w:w="30" w:type="dxa"/>
              <w:right w:w="20" w:type="dxa"/>
            </w:tcMar>
            <w:hideMark/>
          </w:tcPr>
          <w:p w14:paraId="64A7C73B" w14:textId="77777777" w:rsidR="00000000" w:rsidRDefault="001A570A">
            <w:pPr>
              <w:rPr>
                <w:rFonts w:eastAsia="Times New Roman"/>
              </w:rPr>
            </w:pPr>
            <w:r>
              <w:rPr>
                <w:rFonts w:eastAsia="Times New Roman"/>
                <w:color w:val="000000"/>
                <w:sz w:val="20"/>
                <w:szCs w:val="20"/>
              </w:rPr>
              <w:t>Total share-based compensation expense after-tax</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931BA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9944EB" w14:textId="77777777" w:rsidR="00000000" w:rsidRDefault="001A570A">
            <w:pPr>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F59E0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C1DE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D4ED7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A66B9C" w14:textId="77777777" w:rsidR="00000000" w:rsidRDefault="001A570A">
            <w:pPr>
              <w:jc w:val="right"/>
              <w:rPr>
                <w:rFonts w:eastAsia="Times New Roman"/>
              </w:rPr>
            </w:pPr>
            <w:r>
              <w:rPr>
                <w:rFonts w:eastAsia="Times New Roman"/>
                <w:color w:val="000000"/>
                <w:sz w:val="20"/>
                <w:szCs w:val="20"/>
              </w:rPr>
              <w:t>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7B0BC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07FE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B899B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EEBE0D" w14:textId="77777777" w:rsidR="00000000" w:rsidRDefault="001A570A">
            <w:pPr>
              <w:jc w:val="right"/>
              <w:rPr>
                <w:rFonts w:eastAsia="Times New Roman"/>
              </w:rPr>
            </w:pPr>
            <w:r>
              <w:rPr>
                <w:rFonts w:eastAsia="Times New Roman"/>
                <w:color w:val="000000"/>
                <w:sz w:val="20"/>
                <w:szCs w:val="20"/>
              </w:rPr>
              <w:t>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FDE3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EF36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CC99C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341539" w14:textId="77777777" w:rsidR="00000000" w:rsidRDefault="001A570A">
            <w:pPr>
              <w:jc w:val="right"/>
              <w:rPr>
                <w:rFonts w:eastAsia="Times New Roman"/>
              </w:rPr>
            </w:pPr>
            <w:r>
              <w:rPr>
                <w:rFonts w:eastAsia="Times New Roman"/>
                <w:color w:val="000000"/>
                <w:sz w:val="20"/>
                <w:szCs w:val="20"/>
              </w:rPr>
              <w:t>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1F12E2" w14:textId="77777777" w:rsidR="00000000" w:rsidRDefault="001A570A">
            <w:pPr>
              <w:jc w:val="right"/>
              <w:rPr>
                <w:rFonts w:eastAsia="Times New Roman"/>
              </w:rPr>
            </w:pPr>
          </w:p>
        </w:tc>
      </w:tr>
    </w:tbl>
    <w:p w14:paraId="30B1E456" w14:textId="77777777" w:rsidR="00000000" w:rsidRDefault="001A570A">
      <w:pPr>
        <w:divId w:val="1704474480"/>
        <w:rPr>
          <w:rFonts w:eastAsia="Times New Roman"/>
        </w:rPr>
      </w:pPr>
      <w:r>
        <w:rPr>
          <w:rFonts w:eastAsia="Times New Roman"/>
          <w:color w:val="000000"/>
          <w:sz w:val="16"/>
          <w:szCs w:val="16"/>
        </w:rPr>
        <w:t>_______________</w:t>
      </w:r>
    </w:p>
    <w:p w14:paraId="33917B6E" w14:textId="77777777" w:rsidR="00000000" w:rsidRDefault="001A570A">
      <w:pPr>
        <w:ind w:hanging="360"/>
        <w:divId w:val="1643076810"/>
        <w:rPr>
          <w:rFonts w:eastAsia="Times New Roman"/>
        </w:rPr>
      </w:pPr>
      <w:r>
        <w:rPr>
          <w:rFonts w:eastAsia="Times New Roman"/>
          <w:color w:val="000000"/>
          <w:sz w:val="16"/>
          <w:szCs w:val="16"/>
        </w:rPr>
        <w:t>(1)Includes acceleration expense recogni</w:t>
      </w:r>
      <w:r>
        <w:rPr>
          <w:rFonts w:eastAsia="Times New Roman"/>
          <w:color w:val="000000"/>
          <w:sz w:val="16"/>
          <w:szCs w:val="16"/>
        </w:rPr>
        <w:t>zed in connection with the L3Harris Merger.</w:t>
      </w:r>
    </w:p>
    <w:p w14:paraId="6F38E9AC" w14:textId="77777777" w:rsidR="00000000" w:rsidRDefault="001A570A">
      <w:pPr>
        <w:ind w:firstLine="450"/>
        <w:divId w:val="1548102825"/>
        <w:rPr>
          <w:rFonts w:eastAsia="Times New Roman"/>
        </w:rPr>
      </w:pPr>
      <w:r>
        <w:rPr>
          <w:rFonts w:eastAsia="Times New Roman"/>
          <w:color w:val="000000"/>
          <w:sz w:val="20"/>
          <w:szCs w:val="20"/>
        </w:rPr>
        <w:t>Compensation cost related to share-based compensation arrangements that was capitalized as part of inventory or fixed assets was not material in fiscal 2020, the two quarters ended January 3, 2020, or fiscal 2019</w:t>
      </w:r>
      <w:r>
        <w:rPr>
          <w:rFonts w:eastAsia="Times New Roman"/>
          <w:color w:val="000000"/>
          <w:sz w:val="20"/>
          <w:szCs w:val="20"/>
        </w:rPr>
        <w:t xml:space="preserve"> or 2018.</w:t>
      </w:r>
    </w:p>
    <w:p w14:paraId="75696CF5" w14:textId="77777777" w:rsidR="00000000" w:rsidRDefault="001A570A">
      <w:pPr>
        <w:ind w:firstLine="450"/>
        <w:divId w:val="1556814260"/>
        <w:rPr>
          <w:rFonts w:eastAsia="Times New Roman"/>
        </w:rPr>
      </w:pPr>
      <w:r>
        <w:rPr>
          <w:rFonts w:eastAsia="Times New Roman"/>
          <w:color w:val="000000"/>
          <w:sz w:val="20"/>
          <w:szCs w:val="20"/>
        </w:rPr>
        <w:t xml:space="preserve">As of January 1, 2021, a total of 19.4 </w:t>
      </w:r>
      <w:r>
        <w:rPr>
          <w:rFonts w:eastAsia="Times New Roman"/>
          <w:color w:val="000000"/>
          <w:sz w:val="20"/>
          <w:szCs w:val="20"/>
        </w:rPr>
        <w:t>million shares of common stock remained available under our 2015 EIP for future issuance (excluding shares to be issued in respect of outstanding options and other share-based awards, and with each full-value award (e.g., restricted stock and restricted st</w:t>
      </w:r>
      <w:r>
        <w:rPr>
          <w:rFonts w:eastAsia="Times New Roman"/>
          <w:color w:val="000000"/>
          <w:sz w:val="20"/>
          <w:szCs w:val="20"/>
        </w:rPr>
        <w:t>ock unit awards and performance share and performances share unit awards) counting as 4.6 shares against the total remaining for future issuance). During fiscal 2020, we issued an aggregate of 803 thousand shares of common stock under the terms of our L3Ha</w:t>
      </w:r>
      <w:r>
        <w:rPr>
          <w:rFonts w:eastAsia="Times New Roman"/>
          <w:color w:val="000000"/>
          <w:sz w:val="20"/>
          <w:szCs w:val="20"/>
        </w:rPr>
        <w:t>rris SIPs, which is net of shares withheld for tax purposes.</w:t>
      </w:r>
    </w:p>
    <w:p w14:paraId="6885EE69" w14:textId="77777777" w:rsidR="00000000" w:rsidRDefault="001A570A">
      <w:pPr>
        <w:ind w:firstLine="450"/>
        <w:jc w:val="center"/>
        <w:divId w:val="512568919"/>
        <w:rPr>
          <w:rFonts w:eastAsia="Times New Roman"/>
        </w:rPr>
      </w:pPr>
      <w:r>
        <w:rPr>
          <w:rFonts w:eastAsia="Times New Roman"/>
          <w:color w:val="000000"/>
          <w:sz w:val="20"/>
          <w:szCs w:val="20"/>
        </w:rPr>
        <w:t>113</w:t>
      </w:r>
    </w:p>
    <w:p w14:paraId="75181246" w14:textId="77777777" w:rsidR="00000000" w:rsidRDefault="001A570A">
      <w:pPr>
        <w:rPr>
          <w:rFonts w:eastAsia="Times New Roman"/>
        </w:rPr>
      </w:pPr>
      <w:r>
        <w:rPr>
          <w:rFonts w:eastAsia="Times New Roman"/>
        </w:rPr>
        <w:pict w14:anchorId="68C240B4">
          <v:rect id="_x0000_i1141" style="width:0;height:1.5pt" o:hralign="center" o:hrstd="t" o:hr="t" fillcolor="#a0a0a0" stroked="f"/>
        </w:pict>
      </w:r>
    </w:p>
    <w:p w14:paraId="3782095B" w14:textId="77777777" w:rsidR="00000000" w:rsidRDefault="001A570A">
      <w:pPr>
        <w:ind w:firstLine="450"/>
        <w:divId w:val="8678730"/>
        <w:rPr>
          <w:rFonts w:eastAsia="Times New Roman"/>
        </w:rPr>
      </w:pPr>
    </w:p>
    <w:p w14:paraId="12ADC0B4" w14:textId="77777777" w:rsidR="00000000" w:rsidRDefault="001A570A">
      <w:pPr>
        <w:divId w:val="1198351169"/>
        <w:rPr>
          <w:rFonts w:eastAsia="Times New Roman"/>
        </w:rPr>
      </w:pPr>
      <w:r>
        <w:rPr>
          <w:rFonts w:eastAsia="Times New Roman"/>
          <w:b/>
          <w:bCs/>
          <w:color w:val="000000"/>
          <w:sz w:val="20"/>
          <w:szCs w:val="20"/>
        </w:rPr>
        <w:t>Stock Options</w:t>
      </w:r>
    </w:p>
    <w:p w14:paraId="2EC6684C" w14:textId="77777777" w:rsidR="00000000" w:rsidRDefault="001A570A">
      <w:pPr>
        <w:ind w:firstLine="450"/>
        <w:divId w:val="1684551476"/>
        <w:rPr>
          <w:rFonts w:eastAsia="Times New Roman"/>
        </w:rPr>
      </w:pPr>
      <w:r>
        <w:rPr>
          <w:rFonts w:eastAsia="Times New Roman"/>
          <w:color w:val="000000"/>
          <w:sz w:val="20"/>
          <w:szCs w:val="20"/>
        </w:rPr>
        <w:t>The following information relates to stock options, including performance stock options, that have been granted under shareholder-approved</w:t>
      </w:r>
      <w:r>
        <w:rPr>
          <w:rFonts w:eastAsia="Times New Roman"/>
          <w:color w:val="000000"/>
          <w:sz w:val="20"/>
          <w:szCs w:val="20"/>
        </w:rPr>
        <w:t xml:space="preserve"> L3Harris SIPs. Option exercise prices are equal to or greater than the fair market value of our common stock on the date the options are granted, using the closing stock price of our common stock. Options may be exercised for a period of ten years after t</w:t>
      </w:r>
      <w:r>
        <w:rPr>
          <w:rFonts w:eastAsia="Times New Roman"/>
          <w:color w:val="000000"/>
          <w:sz w:val="20"/>
          <w:szCs w:val="20"/>
        </w:rPr>
        <w:t>he date of grant, and options, other than performance stock options, generally become exercisable in installments, which are typically 33.3 percent one year from the grant date, 33.3 percent two years from the grant date and 33.3 percent three years from t</w:t>
      </w:r>
      <w:r>
        <w:rPr>
          <w:rFonts w:eastAsia="Times New Roman"/>
          <w:color w:val="000000"/>
          <w:sz w:val="20"/>
          <w:szCs w:val="20"/>
        </w:rPr>
        <w:t>he grant date. In certain instances, vesting and exercisability are also subject to performance criteria.</w:t>
      </w:r>
    </w:p>
    <w:p w14:paraId="0C9BFA36" w14:textId="77777777" w:rsidR="00000000" w:rsidRDefault="001A570A">
      <w:pPr>
        <w:ind w:firstLine="450"/>
        <w:divId w:val="1263760739"/>
        <w:rPr>
          <w:rFonts w:eastAsia="Times New Roman"/>
        </w:rPr>
      </w:pPr>
      <w:r>
        <w:rPr>
          <w:rFonts w:eastAsia="Times New Roman"/>
          <w:color w:val="000000"/>
          <w:sz w:val="20"/>
          <w:szCs w:val="20"/>
        </w:rPr>
        <w:t>The fair value as of the grant date of each option award was determined using the Black-Scholes-Merton option-pricing model which uses assumptions not</w:t>
      </w:r>
      <w:r>
        <w:rPr>
          <w:rFonts w:eastAsia="Times New Roman"/>
          <w:color w:val="000000"/>
          <w:sz w:val="20"/>
          <w:szCs w:val="20"/>
        </w:rPr>
        <w:t>ed in the following table. Expected volatility over the expected term of the options is based on implied volatility from traded options on our common stock and the historical volatility of our stock price. The expected term of the options is based on histo</w:t>
      </w:r>
      <w:r>
        <w:rPr>
          <w:rFonts w:eastAsia="Times New Roman"/>
          <w:color w:val="000000"/>
          <w:sz w:val="20"/>
          <w:szCs w:val="20"/>
        </w:rPr>
        <w:t>rical observations of our common stock, considering average years to exercise for all options exercised and average years to cancellation for all options canceled, as well as average years remaining for vested outstanding options, which is calculated based</w:t>
      </w:r>
      <w:r>
        <w:rPr>
          <w:rFonts w:eastAsia="Times New Roman"/>
          <w:color w:val="000000"/>
          <w:sz w:val="20"/>
          <w:szCs w:val="20"/>
        </w:rPr>
        <w:t xml:space="preserve"> on the weighted-average of these three inputs. The risk-free interest rate for periods within the contractual life of the option is based on the U.S. Treasury yield curve in effect at the time of grant.</w:t>
      </w:r>
    </w:p>
    <w:p w14:paraId="56DAB1D9" w14:textId="77777777" w:rsidR="00000000" w:rsidRDefault="001A570A">
      <w:pPr>
        <w:ind w:firstLine="450"/>
        <w:divId w:val="2043510175"/>
        <w:rPr>
          <w:rFonts w:eastAsia="Times New Roman"/>
        </w:rPr>
      </w:pPr>
      <w:r>
        <w:rPr>
          <w:rFonts w:eastAsia="Times New Roman"/>
          <w:color w:val="000000"/>
          <w:sz w:val="20"/>
          <w:szCs w:val="20"/>
        </w:rPr>
        <w:t>A summary of the significant assumptions used in det</w:t>
      </w:r>
      <w:r>
        <w:rPr>
          <w:rFonts w:eastAsia="Times New Roman"/>
          <w:color w:val="000000"/>
          <w:sz w:val="20"/>
          <w:szCs w:val="20"/>
        </w:rPr>
        <w:t>ermining the fair value of stock option grants under our L3Harris SIPs is as follows:</w:t>
      </w:r>
    </w:p>
    <w:tbl>
      <w:tblPr>
        <w:tblW w:w="4906" w:type="pct"/>
        <w:tblCellMar>
          <w:top w:w="15" w:type="dxa"/>
          <w:left w:w="15" w:type="dxa"/>
          <w:bottom w:w="15" w:type="dxa"/>
          <w:right w:w="15" w:type="dxa"/>
        </w:tblCellMar>
        <w:tblLook w:val="04A0" w:firstRow="1" w:lastRow="0" w:firstColumn="1" w:lastColumn="0" w:noHBand="0" w:noVBand="1"/>
      </w:tblPr>
      <w:tblGrid>
        <w:gridCol w:w="37"/>
        <w:gridCol w:w="3778"/>
        <w:gridCol w:w="36"/>
        <w:gridCol w:w="43"/>
        <w:gridCol w:w="810"/>
        <w:gridCol w:w="187"/>
        <w:gridCol w:w="36"/>
        <w:gridCol w:w="36"/>
        <w:gridCol w:w="36"/>
        <w:gridCol w:w="43"/>
        <w:gridCol w:w="747"/>
        <w:gridCol w:w="187"/>
        <w:gridCol w:w="36"/>
        <w:gridCol w:w="36"/>
        <w:gridCol w:w="36"/>
        <w:gridCol w:w="43"/>
        <w:gridCol w:w="748"/>
        <w:gridCol w:w="188"/>
        <w:gridCol w:w="36"/>
        <w:gridCol w:w="36"/>
        <w:gridCol w:w="36"/>
        <w:gridCol w:w="43"/>
        <w:gridCol w:w="749"/>
        <w:gridCol w:w="187"/>
      </w:tblGrid>
      <w:tr w:rsidR="00000000" w14:paraId="58CB9496" w14:textId="77777777">
        <w:trPr>
          <w:divId w:val="618536223"/>
        </w:trPr>
        <w:tc>
          <w:tcPr>
            <w:tcW w:w="50" w:type="pct"/>
            <w:vAlign w:val="center"/>
            <w:hideMark/>
          </w:tcPr>
          <w:p w14:paraId="1EE5AF92" w14:textId="77777777" w:rsidR="00000000" w:rsidRDefault="001A570A">
            <w:pPr>
              <w:ind w:firstLine="450"/>
              <w:rPr>
                <w:rFonts w:eastAsia="Times New Roman"/>
              </w:rPr>
            </w:pPr>
          </w:p>
        </w:tc>
        <w:tc>
          <w:tcPr>
            <w:tcW w:w="2375" w:type="pct"/>
            <w:vAlign w:val="center"/>
            <w:hideMark/>
          </w:tcPr>
          <w:p w14:paraId="6C8D306E" w14:textId="77777777" w:rsidR="00000000" w:rsidRDefault="001A570A">
            <w:pPr>
              <w:rPr>
                <w:rFonts w:eastAsia="Times New Roman"/>
                <w:sz w:val="20"/>
                <w:szCs w:val="20"/>
              </w:rPr>
            </w:pPr>
          </w:p>
        </w:tc>
        <w:tc>
          <w:tcPr>
            <w:tcW w:w="5" w:type="pct"/>
            <w:vAlign w:val="center"/>
            <w:hideMark/>
          </w:tcPr>
          <w:p w14:paraId="7F87D53B" w14:textId="77777777" w:rsidR="00000000" w:rsidRDefault="001A570A">
            <w:pPr>
              <w:rPr>
                <w:rFonts w:eastAsia="Times New Roman"/>
                <w:sz w:val="20"/>
                <w:szCs w:val="20"/>
              </w:rPr>
            </w:pPr>
          </w:p>
        </w:tc>
        <w:tc>
          <w:tcPr>
            <w:tcW w:w="50" w:type="pct"/>
            <w:vAlign w:val="center"/>
            <w:hideMark/>
          </w:tcPr>
          <w:p w14:paraId="190C4095" w14:textId="77777777" w:rsidR="00000000" w:rsidRDefault="001A570A">
            <w:pPr>
              <w:rPr>
                <w:rFonts w:eastAsia="Times New Roman"/>
                <w:sz w:val="20"/>
                <w:szCs w:val="20"/>
              </w:rPr>
            </w:pPr>
          </w:p>
        </w:tc>
        <w:tc>
          <w:tcPr>
            <w:tcW w:w="559" w:type="pct"/>
            <w:vAlign w:val="center"/>
            <w:hideMark/>
          </w:tcPr>
          <w:p w14:paraId="06164942" w14:textId="77777777" w:rsidR="00000000" w:rsidRDefault="001A570A">
            <w:pPr>
              <w:rPr>
                <w:rFonts w:eastAsia="Times New Roman"/>
                <w:sz w:val="20"/>
                <w:szCs w:val="20"/>
              </w:rPr>
            </w:pPr>
          </w:p>
        </w:tc>
        <w:tc>
          <w:tcPr>
            <w:tcW w:w="5" w:type="pct"/>
            <w:vAlign w:val="center"/>
            <w:hideMark/>
          </w:tcPr>
          <w:p w14:paraId="20051423" w14:textId="77777777" w:rsidR="00000000" w:rsidRDefault="001A570A">
            <w:pPr>
              <w:rPr>
                <w:rFonts w:eastAsia="Times New Roman"/>
                <w:sz w:val="20"/>
                <w:szCs w:val="20"/>
              </w:rPr>
            </w:pPr>
          </w:p>
        </w:tc>
        <w:tc>
          <w:tcPr>
            <w:tcW w:w="5" w:type="pct"/>
            <w:vAlign w:val="center"/>
            <w:hideMark/>
          </w:tcPr>
          <w:p w14:paraId="7DE24E2A" w14:textId="77777777" w:rsidR="00000000" w:rsidRDefault="001A570A">
            <w:pPr>
              <w:rPr>
                <w:rFonts w:eastAsia="Times New Roman"/>
                <w:sz w:val="20"/>
                <w:szCs w:val="20"/>
              </w:rPr>
            </w:pPr>
          </w:p>
        </w:tc>
        <w:tc>
          <w:tcPr>
            <w:tcW w:w="26" w:type="pct"/>
            <w:vAlign w:val="center"/>
            <w:hideMark/>
          </w:tcPr>
          <w:p w14:paraId="6DDD9E16" w14:textId="77777777" w:rsidR="00000000" w:rsidRDefault="001A570A">
            <w:pPr>
              <w:rPr>
                <w:rFonts w:eastAsia="Times New Roman"/>
                <w:sz w:val="20"/>
                <w:szCs w:val="20"/>
              </w:rPr>
            </w:pPr>
          </w:p>
        </w:tc>
        <w:tc>
          <w:tcPr>
            <w:tcW w:w="5" w:type="pct"/>
            <w:vAlign w:val="center"/>
            <w:hideMark/>
          </w:tcPr>
          <w:p w14:paraId="6A06A382" w14:textId="77777777" w:rsidR="00000000" w:rsidRDefault="001A570A">
            <w:pPr>
              <w:rPr>
                <w:rFonts w:eastAsia="Times New Roman"/>
                <w:sz w:val="20"/>
                <w:szCs w:val="20"/>
              </w:rPr>
            </w:pPr>
          </w:p>
        </w:tc>
        <w:tc>
          <w:tcPr>
            <w:tcW w:w="50" w:type="pct"/>
            <w:vAlign w:val="center"/>
            <w:hideMark/>
          </w:tcPr>
          <w:p w14:paraId="1BBB9343" w14:textId="77777777" w:rsidR="00000000" w:rsidRDefault="001A570A">
            <w:pPr>
              <w:rPr>
                <w:rFonts w:eastAsia="Times New Roman"/>
                <w:sz w:val="20"/>
                <w:szCs w:val="20"/>
              </w:rPr>
            </w:pPr>
          </w:p>
        </w:tc>
        <w:tc>
          <w:tcPr>
            <w:tcW w:w="559" w:type="pct"/>
            <w:vAlign w:val="center"/>
            <w:hideMark/>
          </w:tcPr>
          <w:p w14:paraId="060D2D70" w14:textId="77777777" w:rsidR="00000000" w:rsidRDefault="001A570A">
            <w:pPr>
              <w:rPr>
                <w:rFonts w:eastAsia="Times New Roman"/>
                <w:sz w:val="20"/>
                <w:szCs w:val="20"/>
              </w:rPr>
            </w:pPr>
          </w:p>
        </w:tc>
        <w:tc>
          <w:tcPr>
            <w:tcW w:w="5" w:type="pct"/>
            <w:vAlign w:val="center"/>
            <w:hideMark/>
          </w:tcPr>
          <w:p w14:paraId="4294C8BA" w14:textId="77777777" w:rsidR="00000000" w:rsidRDefault="001A570A">
            <w:pPr>
              <w:rPr>
                <w:rFonts w:eastAsia="Times New Roman"/>
                <w:sz w:val="20"/>
                <w:szCs w:val="20"/>
              </w:rPr>
            </w:pPr>
          </w:p>
        </w:tc>
        <w:tc>
          <w:tcPr>
            <w:tcW w:w="5" w:type="pct"/>
            <w:vAlign w:val="center"/>
            <w:hideMark/>
          </w:tcPr>
          <w:p w14:paraId="60E55365" w14:textId="77777777" w:rsidR="00000000" w:rsidRDefault="001A570A">
            <w:pPr>
              <w:rPr>
                <w:rFonts w:eastAsia="Times New Roman"/>
                <w:sz w:val="20"/>
                <w:szCs w:val="20"/>
              </w:rPr>
            </w:pPr>
          </w:p>
        </w:tc>
        <w:tc>
          <w:tcPr>
            <w:tcW w:w="26" w:type="pct"/>
            <w:vAlign w:val="center"/>
            <w:hideMark/>
          </w:tcPr>
          <w:p w14:paraId="58BD4300" w14:textId="77777777" w:rsidR="00000000" w:rsidRDefault="001A570A">
            <w:pPr>
              <w:rPr>
                <w:rFonts w:eastAsia="Times New Roman"/>
                <w:sz w:val="20"/>
                <w:szCs w:val="20"/>
              </w:rPr>
            </w:pPr>
          </w:p>
        </w:tc>
        <w:tc>
          <w:tcPr>
            <w:tcW w:w="5" w:type="pct"/>
            <w:vAlign w:val="center"/>
            <w:hideMark/>
          </w:tcPr>
          <w:p w14:paraId="6FC033C2" w14:textId="77777777" w:rsidR="00000000" w:rsidRDefault="001A570A">
            <w:pPr>
              <w:rPr>
                <w:rFonts w:eastAsia="Times New Roman"/>
                <w:sz w:val="20"/>
                <w:szCs w:val="20"/>
              </w:rPr>
            </w:pPr>
          </w:p>
        </w:tc>
        <w:tc>
          <w:tcPr>
            <w:tcW w:w="50" w:type="pct"/>
            <w:vAlign w:val="center"/>
            <w:hideMark/>
          </w:tcPr>
          <w:p w14:paraId="3B8E94BC" w14:textId="77777777" w:rsidR="00000000" w:rsidRDefault="001A570A">
            <w:pPr>
              <w:rPr>
                <w:rFonts w:eastAsia="Times New Roman"/>
                <w:sz w:val="20"/>
                <w:szCs w:val="20"/>
              </w:rPr>
            </w:pPr>
          </w:p>
        </w:tc>
        <w:tc>
          <w:tcPr>
            <w:tcW w:w="559" w:type="pct"/>
            <w:vAlign w:val="center"/>
            <w:hideMark/>
          </w:tcPr>
          <w:p w14:paraId="67ECC27E" w14:textId="77777777" w:rsidR="00000000" w:rsidRDefault="001A570A">
            <w:pPr>
              <w:rPr>
                <w:rFonts w:eastAsia="Times New Roman"/>
                <w:sz w:val="20"/>
                <w:szCs w:val="20"/>
              </w:rPr>
            </w:pPr>
          </w:p>
        </w:tc>
        <w:tc>
          <w:tcPr>
            <w:tcW w:w="5" w:type="pct"/>
            <w:vAlign w:val="center"/>
            <w:hideMark/>
          </w:tcPr>
          <w:p w14:paraId="00EE3F95" w14:textId="77777777" w:rsidR="00000000" w:rsidRDefault="001A570A">
            <w:pPr>
              <w:rPr>
                <w:rFonts w:eastAsia="Times New Roman"/>
                <w:sz w:val="20"/>
                <w:szCs w:val="20"/>
              </w:rPr>
            </w:pPr>
          </w:p>
        </w:tc>
        <w:tc>
          <w:tcPr>
            <w:tcW w:w="5" w:type="pct"/>
            <w:vAlign w:val="center"/>
            <w:hideMark/>
          </w:tcPr>
          <w:p w14:paraId="4F09E882" w14:textId="77777777" w:rsidR="00000000" w:rsidRDefault="001A570A">
            <w:pPr>
              <w:rPr>
                <w:rFonts w:eastAsia="Times New Roman"/>
                <w:sz w:val="20"/>
                <w:szCs w:val="20"/>
              </w:rPr>
            </w:pPr>
          </w:p>
        </w:tc>
        <w:tc>
          <w:tcPr>
            <w:tcW w:w="26" w:type="pct"/>
            <w:vAlign w:val="center"/>
            <w:hideMark/>
          </w:tcPr>
          <w:p w14:paraId="4A29919A" w14:textId="77777777" w:rsidR="00000000" w:rsidRDefault="001A570A">
            <w:pPr>
              <w:rPr>
                <w:rFonts w:eastAsia="Times New Roman"/>
                <w:sz w:val="20"/>
                <w:szCs w:val="20"/>
              </w:rPr>
            </w:pPr>
          </w:p>
        </w:tc>
        <w:tc>
          <w:tcPr>
            <w:tcW w:w="5" w:type="pct"/>
            <w:vAlign w:val="center"/>
            <w:hideMark/>
          </w:tcPr>
          <w:p w14:paraId="37C3A619" w14:textId="77777777" w:rsidR="00000000" w:rsidRDefault="001A570A">
            <w:pPr>
              <w:rPr>
                <w:rFonts w:eastAsia="Times New Roman"/>
                <w:sz w:val="20"/>
                <w:szCs w:val="20"/>
              </w:rPr>
            </w:pPr>
          </w:p>
        </w:tc>
        <w:tc>
          <w:tcPr>
            <w:tcW w:w="50" w:type="pct"/>
            <w:vAlign w:val="center"/>
            <w:hideMark/>
          </w:tcPr>
          <w:p w14:paraId="67C7EF29" w14:textId="77777777" w:rsidR="00000000" w:rsidRDefault="001A570A">
            <w:pPr>
              <w:rPr>
                <w:rFonts w:eastAsia="Times New Roman"/>
                <w:sz w:val="20"/>
                <w:szCs w:val="20"/>
              </w:rPr>
            </w:pPr>
          </w:p>
        </w:tc>
        <w:tc>
          <w:tcPr>
            <w:tcW w:w="560" w:type="pct"/>
            <w:vAlign w:val="center"/>
            <w:hideMark/>
          </w:tcPr>
          <w:p w14:paraId="7C2EEF2D" w14:textId="77777777" w:rsidR="00000000" w:rsidRDefault="001A570A">
            <w:pPr>
              <w:rPr>
                <w:rFonts w:eastAsia="Times New Roman"/>
                <w:sz w:val="20"/>
                <w:szCs w:val="20"/>
              </w:rPr>
            </w:pPr>
          </w:p>
        </w:tc>
        <w:tc>
          <w:tcPr>
            <w:tcW w:w="5" w:type="pct"/>
            <w:vAlign w:val="center"/>
            <w:hideMark/>
          </w:tcPr>
          <w:p w14:paraId="2F9A9825" w14:textId="77777777" w:rsidR="00000000" w:rsidRDefault="001A570A">
            <w:pPr>
              <w:rPr>
                <w:rFonts w:eastAsia="Times New Roman"/>
                <w:sz w:val="20"/>
                <w:szCs w:val="20"/>
              </w:rPr>
            </w:pPr>
          </w:p>
        </w:tc>
      </w:tr>
      <w:tr w:rsidR="00000000" w14:paraId="2112F14F" w14:textId="77777777">
        <w:trPr>
          <w:divId w:val="618536223"/>
        </w:trPr>
        <w:tc>
          <w:tcPr>
            <w:tcW w:w="0" w:type="auto"/>
            <w:gridSpan w:val="3"/>
            <w:tcMar>
              <w:top w:w="0" w:type="dxa"/>
              <w:left w:w="20" w:type="dxa"/>
              <w:bottom w:w="0" w:type="dxa"/>
              <w:right w:w="20" w:type="dxa"/>
            </w:tcMar>
            <w:vAlign w:val="center"/>
            <w:hideMark/>
          </w:tcPr>
          <w:p w14:paraId="151033D5"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29A13717"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28CB367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16F617AE" w14:textId="77777777" w:rsidR="00000000" w:rsidRDefault="001A570A">
            <w:pPr>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14:paraId="79F71F83"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1880D25D"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2BCED838" w14:textId="77777777">
        <w:trPr>
          <w:divId w:val="618536223"/>
        </w:trPr>
        <w:tc>
          <w:tcPr>
            <w:tcW w:w="0" w:type="auto"/>
            <w:gridSpan w:val="3"/>
            <w:tcMar>
              <w:top w:w="0" w:type="dxa"/>
              <w:left w:w="20" w:type="dxa"/>
              <w:bottom w:w="0" w:type="dxa"/>
              <w:right w:w="20" w:type="dxa"/>
            </w:tcMar>
            <w:vAlign w:val="center"/>
            <w:hideMark/>
          </w:tcPr>
          <w:p w14:paraId="6EC02E0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B2A393"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93A20E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0E4532"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5C8156D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EE7C54"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2024A21F"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6C3F8D" w14:textId="77777777" w:rsidR="00000000" w:rsidRDefault="001A570A">
            <w:pPr>
              <w:jc w:val="center"/>
              <w:rPr>
                <w:rFonts w:eastAsia="Times New Roman"/>
              </w:rPr>
            </w:pPr>
            <w:r>
              <w:rPr>
                <w:rFonts w:eastAsia="Times New Roman"/>
                <w:b/>
                <w:bCs/>
                <w:color w:val="000000"/>
                <w:sz w:val="16"/>
                <w:szCs w:val="16"/>
              </w:rPr>
              <w:t>June 29, 2018</w:t>
            </w:r>
          </w:p>
        </w:tc>
      </w:tr>
      <w:tr w:rsidR="00000000" w14:paraId="1FB1F569" w14:textId="77777777">
        <w:trPr>
          <w:divId w:val="618536223"/>
          <w:trHeight w:val="60"/>
        </w:trPr>
        <w:tc>
          <w:tcPr>
            <w:tcW w:w="0" w:type="auto"/>
            <w:gridSpan w:val="3"/>
            <w:tcMar>
              <w:top w:w="0" w:type="dxa"/>
              <w:left w:w="20" w:type="dxa"/>
              <w:bottom w:w="0" w:type="dxa"/>
              <w:right w:w="20" w:type="dxa"/>
            </w:tcMar>
            <w:vAlign w:val="center"/>
            <w:hideMark/>
          </w:tcPr>
          <w:p w14:paraId="3949A79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9AE73F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4A3A21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8E6AF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6AAE71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712BC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1A8A4B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C3E842" w14:textId="77777777" w:rsidR="00000000" w:rsidRDefault="001A570A">
            <w:pPr>
              <w:rPr>
                <w:rFonts w:eastAsia="Times New Roman"/>
                <w:sz w:val="20"/>
                <w:szCs w:val="20"/>
              </w:rPr>
            </w:pPr>
          </w:p>
        </w:tc>
      </w:tr>
      <w:tr w:rsidR="00000000" w14:paraId="428AF0A5" w14:textId="77777777">
        <w:trPr>
          <w:divId w:val="618536223"/>
        </w:trPr>
        <w:tc>
          <w:tcPr>
            <w:tcW w:w="0" w:type="auto"/>
            <w:gridSpan w:val="3"/>
            <w:shd w:val="clear" w:color="auto" w:fill="CCEEFF"/>
            <w:tcMar>
              <w:top w:w="30" w:type="dxa"/>
              <w:left w:w="20" w:type="dxa"/>
              <w:bottom w:w="30" w:type="dxa"/>
              <w:right w:w="20" w:type="dxa"/>
            </w:tcMar>
            <w:hideMark/>
          </w:tcPr>
          <w:p w14:paraId="09207C63" w14:textId="77777777" w:rsidR="00000000" w:rsidRDefault="001A570A">
            <w:pPr>
              <w:rPr>
                <w:rFonts w:eastAsia="Times New Roman"/>
              </w:rPr>
            </w:pPr>
            <w:r>
              <w:rPr>
                <w:rFonts w:eastAsia="Times New Roman"/>
                <w:color w:val="000000"/>
                <w:sz w:val="20"/>
                <w:szCs w:val="20"/>
              </w:rPr>
              <w:t>Expected dividends</w:t>
            </w:r>
          </w:p>
        </w:tc>
        <w:tc>
          <w:tcPr>
            <w:tcW w:w="0" w:type="auto"/>
            <w:gridSpan w:val="2"/>
            <w:shd w:val="clear" w:color="auto" w:fill="CCEEFF"/>
            <w:tcMar>
              <w:top w:w="30" w:type="dxa"/>
              <w:left w:w="20" w:type="dxa"/>
              <w:bottom w:w="30" w:type="dxa"/>
              <w:right w:w="0" w:type="dxa"/>
            </w:tcMar>
            <w:vAlign w:val="bottom"/>
            <w:hideMark/>
          </w:tcPr>
          <w:p w14:paraId="3E50A121" w14:textId="77777777" w:rsidR="00000000" w:rsidRDefault="001A570A">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36424D8C"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8A5D68B"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244E6F" w14:textId="77777777" w:rsidR="00000000" w:rsidRDefault="001A570A">
            <w:pPr>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14:paraId="74E2048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D4101A"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7A6852" w14:textId="77777777" w:rsidR="00000000" w:rsidRDefault="001A570A">
            <w:pPr>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14:paraId="5200F87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47DB33"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B0E655" w14:textId="77777777" w:rsidR="00000000" w:rsidRDefault="001A570A">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7A810432" w14:textId="77777777" w:rsidR="00000000" w:rsidRDefault="001A570A">
            <w:pPr>
              <w:jc w:val="right"/>
              <w:rPr>
                <w:rFonts w:eastAsia="Times New Roman"/>
              </w:rPr>
            </w:pPr>
            <w:r>
              <w:rPr>
                <w:rFonts w:eastAsia="Times New Roman"/>
                <w:color w:val="000000"/>
                <w:sz w:val="20"/>
                <w:szCs w:val="20"/>
              </w:rPr>
              <w:t>%</w:t>
            </w:r>
          </w:p>
        </w:tc>
      </w:tr>
      <w:tr w:rsidR="00000000" w14:paraId="33BF3D02" w14:textId="77777777">
        <w:trPr>
          <w:divId w:val="618536223"/>
        </w:trPr>
        <w:tc>
          <w:tcPr>
            <w:tcW w:w="0" w:type="auto"/>
            <w:gridSpan w:val="3"/>
            <w:shd w:val="clear" w:color="auto" w:fill="FFFFFF"/>
            <w:tcMar>
              <w:top w:w="30" w:type="dxa"/>
              <w:left w:w="20" w:type="dxa"/>
              <w:bottom w:w="30" w:type="dxa"/>
              <w:right w:w="20" w:type="dxa"/>
            </w:tcMar>
            <w:hideMark/>
          </w:tcPr>
          <w:p w14:paraId="673ECBDF" w14:textId="77777777" w:rsidR="00000000" w:rsidRDefault="001A570A">
            <w:pPr>
              <w:rPr>
                <w:rFonts w:eastAsia="Times New Roman"/>
              </w:rPr>
            </w:pPr>
            <w:r>
              <w:rPr>
                <w:rFonts w:eastAsia="Times New Roman"/>
                <w:color w:val="000000"/>
                <w:sz w:val="20"/>
                <w:szCs w:val="20"/>
              </w:rPr>
              <w:t>Expected volatility</w:t>
            </w:r>
          </w:p>
        </w:tc>
        <w:tc>
          <w:tcPr>
            <w:tcW w:w="0" w:type="auto"/>
            <w:gridSpan w:val="2"/>
            <w:shd w:val="clear" w:color="auto" w:fill="FFFFFF"/>
            <w:tcMar>
              <w:top w:w="30" w:type="dxa"/>
              <w:left w:w="20" w:type="dxa"/>
              <w:bottom w:w="30" w:type="dxa"/>
              <w:right w:w="0" w:type="dxa"/>
            </w:tcMar>
            <w:vAlign w:val="bottom"/>
            <w:hideMark/>
          </w:tcPr>
          <w:p w14:paraId="6F20135C" w14:textId="77777777" w:rsidR="00000000" w:rsidRDefault="001A570A">
            <w:pPr>
              <w:jc w:val="right"/>
              <w:rPr>
                <w:rFonts w:eastAsia="Times New Roman"/>
              </w:rPr>
            </w:pPr>
            <w:r>
              <w:rPr>
                <w:rFonts w:eastAsia="Times New Roman"/>
                <w:color w:val="000000"/>
                <w:sz w:val="20"/>
                <w:szCs w:val="20"/>
              </w:rPr>
              <w:t>22.74 </w:t>
            </w:r>
          </w:p>
        </w:tc>
        <w:tc>
          <w:tcPr>
            <w:tcW w:w="0" w:type="auto"/>
            <w:shd w:val="clear" w:color="auto" w:fill="FFFFFF"/>
            <w:tcMar>
              <w:top w:w="30" w:type="dxa"/>
              <w:left w:w="0" w:type="dxa"/>
              <w:bottom w:w="30" w:type="dxa"/>
              <w:right w:w="20" w:type="dxa"/>
            </w:tcMar>
            <w:vAlign w:val="bottom"/>
            <w:hideMark/>
          </w:tcPr>
          <w:p w14:paraId="3C939919"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65247C"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3558B4" w14:textId="77777777" w:rsidR="00000000" w:rsidRDefault="001A570A">
            <w:pPr>
              <w:jc w:val="right"/>
              <w:rPr>
                <w:rFonts w:eastAsia="Times New Roman"/>
              </w:rPr>
            </w:pPr>
            <w:r>
              <w:rPr>
                <w:rFonts w:eastAsia="Times New Roman"/>
                <w:color w:val="000000"/>
                <w:sz w:val="20"/>
                <w:szCs w:val="20"/>
              </w:rPr>
              <w:t>22.18 </w:t>
            </w:r>
          </w:p>
        </w:tc>
        <w:tc>
          <w:tcPr>
            <w:tcW w:w="0" w:type="auto"/>
            <w:shd w:val="clear" w:color="auto" w:fill="FFFFFF"/>
            <w:tcMar>
              <w:top w:w="30" w:type="dxa"/>
              <w:left w:w="0" w:type="dxa"/>
              <w:bottom w:w="30" w:type="dxa"/>
              <w:right w:w="20" w:type="dxa"/>
            </w:tcMar>
            <w:vAlign w:val="bottom"/>
            <w:hideMark/>
          </w:tcPr>
          <w:p w14:paraId="5D98B8F2"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FC07A9"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BEBFE0" w14:textId="77777777" w:rsidR="00000000" w:rsidRDefault="001A570A">
            <w:pPr>
              <w:jc w:val="right"/>
              <w:rPr>
                <w:rFonts w:eastAsia="Times New Roman"/>
              </w:rPr>
            </w:pPr>
            <w:r>
              <w:rPr>
                <w:rFonts w:eastAsia="Times New Roman"/>
                <w:color w:val="000000"/>
                <w:sz w:val="20"/>
                <w:szCs w:val="20"/>
              </w:rPr>
              <w:t>19.87 </w:t>
            </w:r>
          </w:p>
        </w:tc>
        <w:tc>
          <w:tcPr>
            <w:tcW w:w="0" w:type="auto"/>
            <w:shd w:val="clear" w:color="auto" w:fill="FFFFFF"/>
            <w:tcMar>
              <w:top w:w="30" w:type="dxa"/>
              <w:left w:w="0" w:type="dxa"/>
              <w:bottom w:w="30" w:type="dxa"/>
              <w:right w:w="20" w:type="dxa"/>
            </w:tcMar>
            <w:vAlign w:val="bottom"/>
            <w:hideMark/>
          </w:tcPr>
          <w:p w14:paraId="29D3DA47"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F69B0D5"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B1A974" w14:textId="77777777" w:rsidR="00000000" w:rsidRDefault="001A570A">
            <w:pPr>
              <w:jc w:val="right"/>
              <w:rPr>
                <w:rFonts w:eastAsia="Times New Roman"/>
              </w:rPr>
            </w:pPr>
            <w:r>
              <w:rPr>
                <w:rFonts w:eastAsia="Times New Roman"/>
                <w:color w:val="000000"/>
                <w:sz w:val="20"/>
                <w:szCs w:val="20"/>
              </w:rPr>
              <w:t>19.30 </w:t>
            </w:r>
          </w:p>
        </w:tc>
        <w:tc>
          <w:tcPr>
            <w:tcW w:w="0" w:type="auto"/>
            <w:shd w:val="clear" w:color="auto" w:fill="FFFFFF"/>
            <w:tcMar>
              <w:top w:w="30" w:type="dxa"/>
              <w:left w:w="0" w:type="dxa"/>
              <w:bottom w:w="30" w:type="dxa"/>
              <w:right w:w="20" w:type="dxa"/>
            </w:tcMar>
            <w:vAlign w:val="bottom"/>
            <w:hideMark/>
          </w:tcPr>
          <w:p w14:paraId="3EBEAB52" w14:textId="77777777" w:rsidR="00000000" w:rsidRDefault="001A570A">
            <w:pPr>
              <w:jc w:val="right"/>
              <w:rPr>
                <w:rFonts w:eastAsia="Times New Roman"/>
              </w:rPr>
            </w:pPr>
            <w:r>
              <w:rPr>
                <w:rFonts w:eastAsia="Times New Roman"/>
                <w:color w:val="000000"/>
                <w:sz w:val="20"/>
                <w:szCs w:val="20"/>
              </w:rPr>
              <w:t>%</w:t>
            </w:r>
          </w:p>
        </w:tc>
      </w:tr>
      <w:tr w:rsidR="00000000" w14:paraId="35B743BE" w14:textId="77777777">
        <w:trPr>
          <w:divId w:val="618536223"/>
        </w:trPr>
        <w:tc>
          <w:tcPr>
            <w:tcW w:w="0" w:type="auto"/>
            <w:gridSpan w:val="3"/>
            <w:shd w:val="clear" w:color="auto" w:fill="CCEEFF"/>
            <w:tcMar>
              <w:top w:w="30" w:type="dxa"/>
              <w:left w:w="20" w:type="dxa"/>
              <w:bottom w:w="30" w:type="dxa"/>
              <w:right w:w="20" w:type="dxa"/>
            </w:tcMar>
            <w:hideMark/>
          </w:tcPr>
          <w:p w14:paraId="4A9455DC" w14:textId="77777777" w:rsidR="00000000" w:rsidRDefault="001A570A">
            <w:pPr>
              <w:rPr>
                <w:rFonts w:eastAsia="Times New Roman"/>
              </w:rPr>
            </w:pPr>
            <w:r>
              <w:rPr>
                <w:rFonts w:eastAsia="Times New Roman"/>
                <w:color w:val="000000"/>
                <w:sz w:val="20"/>
                <w:szCs w:val="20"/>
              </w:rPr>
              <w:t>Risk-free interest rates</w:t>
            </w:r>
          </w:p>
        </w:tc>
        <w:tc>
          <w:tcPr>
            <w:tcW w:w="0" w:type="auto"/>
            <w:gridSpan w:val="2"/>
            <w:shd w:val="clear" w:color="auto" w:fill="CCEEFF"/>
            <w:tcMar>
              <w:top w:w="30" w:type="dxa"/>
              <w:left w:w="20" w:type="dxa"/>
              <w:bottom w:w="30" w:type="dxa"/>
              <w:right w:w="0" w:type="dxa"/>
            </w:tcMar>
            <w:vAlign w:val="bottom"/>
            <w:hideMark/>
          </w:tcPr>
          <w:p w14:paraId="37AEB47C" w14:textId="77777777" w:rsidR="00000000" w:rsidRDefault="001A570A">
            <w:pPr>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14:paraId="444ED18A"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EC96278"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D34613" w14:textId="77777777" w:rsidR="00000000" w:rsidRDefault="001A570A">
            <w:pPr>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14:paraId="7A340E6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A18AA61"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4D30EA" w14:textId="77777777" w:rsidR="00000000" w:rsidRDefault="001A570A">
            <w:pPr>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bottom"/>
            <w:hideMark/>
          </w:tcPr>
          <w:p w14:paraId="2F5A6D8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27C84D"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3C1508" w14:textId="77777777" w:rsidR="00000000" w:rsidRDefault="001A570A">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1BFF8C54" w14:textId="77777777" w:rsidR="00000000" w:rsidRDefault="001A570A">
            <w:pPr>
              <w:jc w:val="right"/>
              <w:rPr>
                <w:rFonts w:eastAsia="Times New Roman"/>
              </w:rPr>
            </w:pPr>
            <w:r>
              <w:rPr>
                <w:rFonts w:eastAsia="Times New Roman"/>
                <w:color w:val="000000"/>
                <w:sz w:val="20"/>
                <w:szCs w:val="20"/>
              </w:rPr>
              <w:t>%</w:t>
            </w:r>
          </w:p>
        </w:tc>
      </w:tr>
      <w:tr w:rsidR="00000000" w14:paraId="2B9151DF" w14:textId="77777777">
        <w:trPr>
          <w:divId w:val="618536223"/>
        </w:trPr>
        <w:tc>
          <w:tcPr>
            <w:tcW w:w="0" w:type="auto"/>
            <w:gridSpan w:val="3"/>
            <w:shd w:val="clear" w:color="auto" w:fill="FFFFFF"/>
            <w:tcMar>
              <w:top w:w="30" w:type="dxa"/>
              <w:left w:w="20" w:type="dxa"/>
              <w:bottom w:w="30" w:type="dxa"/>
              <w:right w:w="20" w:type="dxa"/>
            </w:tcMar>
            <w:hideMark/>
          </w:tcPr>
          <w:p w14:paraId="52AE8DFD" w14:textId="77777777" w:rsidR="00000000" w:rsidRDefault="001A570A">
            <w:pPr>
              <w:rPr>
                <w:rFonts w:eastAsia="Times New Roman"/>
              </w:rPr>
            </w:pPr>
            <w:r>
              <w:rPr>
                <w:rFonts w:eastAsia="Times New Roman"/>
                <w:color w:val="000000"/>
                <w:sz w:val="20"/>
                <w:szCs w:val="20"/>
              </w:rPr>
              <w:t>Expected term (years)</w:t>
            </w:r>
          </w:p>
        </w:tc>
        <w:tc>
          <w:tcPr>
            <w:tcW w:w="0" w:type="auto"/>
            <w:gridSpan w:val="3"/>
            <w:shd w:val="clear" w:color="auto" w:fill="FFFFFF"/>
            <w:tcMar>
              <w:top w:w="30" w:type="dxa"/>
              <w:left w:w="20" w:type="dxa"/>
              <w:bottom w:w="30" w:type="dxa"/>
              <w:right w:w="20" w:type="dxa"/>
            </w:tcMar>
            <w:vAlign w:val="bottom"/>
            <w:hideMark/>
          </w:tcPr>
          <w:p w14:paraId="0D8A0512" w14:textId="77777777" w:rsidR="00000000" w:rsidRDefault="001A570A">
            <w:pPr>
              <w:jc w:val="right"/>
              <w:rPr>
                <w:rFonts w:eastAsia="Times New Roman"/>
              </w:rPr>
            </w:pPr>
            <w:r>
              <w:rPr>
                <w:rFonts w:eastAsia="Times New Roman"/>
                <w:color w:val="000000"/>
                <w:sz w:val="20"/>
                <w:szCs w:val="20"/>
              </w:rPr>
              <w:t>5.04</w:t>
            </w:r>
          </w:p>
        </w:tc>
        <w:tc>
          <w:tcPr>
            <w:tcW w:w="0" w:type="auto"/>
            <w:gridSpan w:val="3"/>
            <w:shd w:val="clear" w:color="auto" w:fill="FFFFFF"/>
            <w:tcMar>
              <w:top w:w="0" w:type="dxa"/>
              <w:left w:w="20" w:type="dxa"/>
              <w:bottom w:w="0" w:type="dxa"/>
              <w:right w:w="20" w:type="dxa"/>
            </w:tcMar>
            <w:vAlign w:val="center"/>
            <w:hideMark/>
          </w:tcPr>
          <w:p w14:paraId="02F13512" w14:textId="77777777" w:rsidR="00000000" w:rsidRDefault="001A570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8DA97C" w14:textId="77777777" w:rsidR="00000000" w:rsidRDefault="001A570A">
            <w:pPr>
              <w:jc w:val="right"/>
              <w:rPr>
                <w:rFonts w:eastAsia="Times New Roman"/>
              </w:rPr>
            </w:pPr>
            <w:r>
              <w:rPr>
                <w:rFonts w:eastAsia="Times New Roman"/>
                <w:color w:val="000000"/>
                <w:sz w:val="20"/>
                <w:szCs w:val="20"/>
              </w:rPr>
              <w:t>5.65</w:t>
            </w:r>
          </w:p>
        </w:tc>
        <w:tc>
          <w:tcPr>
            <w:tcW w:w="0" w:type="auto"/>
            <w:gridSpan w:val="3"/>
            <w:shd w:val="clear" w:color="auto" w:fill="FFFFFF"/>
            <w:tcMar>
              <w:top w:w="0" w:type="dxa"/>
              <w:left w:w="20" w:type="dxa"/>
              <w:bottom w:w="0" w:type="dxa"/>
              <w:right w:w="20" w:type="dxa"/>
            </w:tcMar>
            <w:vAlign w:val="center"/>
            <w:hideMark/>
          </w:tcPr>
          <w:p w14:paraId="27ABF1DD" w14:textId="77777777" w:rsidR="00000000" w:rsidRDefault="001A570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6A606A" w14:textId="77777777" w:rsidR="00000000" w:rsidRDefault="001A570A">
            <w:pPr>
              <w:jc w:val="right"/>
              <w:rPr>
                <w:rFonts w:eastAsia="Times New Roman"/>
              </w:rPr>
            </w:pPr>
            <w:r>
              <w:rPr>
                <w:rFonts w:eastAsia="Times New Roman"/>
                <w:color w:val="000000"/>
                <w:sz w:val="20"/>
                <w:szCs w:val="20"/>
              </w:rPr>
              <w:t>5.03</w:t>
            </w:r>
          </w:p>
        </w:tc>
        <w:tc>
          <w:tcPr>
            <w:tcW w:w="0" w:type="auto"/>
            <w:gridSpan w:val="3"/>
            <w:shd w:val="clear" w:color="auto" w:fill="FFFFFF"/>
            <w:tcMar>
              <w:top w:w="0" w:type="dxa"/>
              <w:left w:w="20" w:type="dxa"/>
              <w:bottom w:w="0" w:type="dxa"/>
              <w:right w:w="20" w:type="dxa"/>
            </w:tcMar>
            <w:vAlign w:val="center"/>
            <w:hideMark/>
          </w:tcPr>
          <w:p w14:paraId="2E016DAB" w14:textId="77777777" w:rsidR="00000000" w:rsidRDefault="001A570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7D90494" w14:textId="77777777" w:rsidR="00000000" w:rsidRDefault="001A570A">
            <w:pPr>
              <w:jc w:val="right"/>
              <w:rPr>
                <w:rFonts w:eastAsia="Times New Roman"/>
              </w:rPr>
            </w:pPr>
            <w:r>
              <w:rPr>
                <w:rFonts w:eastAsia="Times New Roman"/>
                <w:color w:val="000000"/>
                <w:sz w:val="20"/>
                <w:szCs w:val="20"/>
              </w:rPr>
              <w:t>5.00</w:t>
            </w:r>
          </w:p>
        </w:tc>
      </w:tr>
    </w:tbl>
    <w:p w14:paraId="00FEA305" w14:textId="77777777" w:rsidR="00000000" w:rsidRDefault="001A570A">
      <w:pPr>
        <w:ind w:firstLine="450"/>
        <w:divId w:val="1112285907"/>
        <w:rPr>
          <w:rFonts w:eastAsia="Times New Roman"/>
        </w:rPr>
      </w:pPr>
      <w:r>
        <w:rPr>
          <w:rFonts w:eastAsia="Times New Roman"/>
          <w:color w:val="000000"/>
          <w:sz w:val="20"/>
          <w:szCs w:val="20"/>
        </w:rPr>
        <w:t>A summary of stock option activity under our L3Harris SIPs as of January 1, 2021 and changes during fiscal 2020 is as follows:</w:t>
      </w:r>
    </w:p>
    <w:tbl>
      <w:tblPr>
        <w:tblW w:w="4906" w:type="pct"/>
        <w:tblCellMar>
          <w:top w:w="15" w:type="dxa"/>
          <w:left w:w="15" w:type="dxa"/>
          <w:bottom w:w="15" w:type="dxa"/>
          <w:right w:w="15" w:type="dxa"/>
        </w:tblCellMar>
        <w:tblLook w:val="04A0" w:firstRow="1" w:lastRow="0" w:firstColumn="1" w:lastColumn="0" w:noHBand="0" w:noVBand="1"/>
      </w:tblPr>
      <w:tblGrid>
        <w:gridCol w:w="37"/>
        <w:gridCol w:w="3820"/>
        <w:gridCol w:w="36"/>
        <w:gridCol w:w="72"/>
        <w:gridCol w:w="823"/>
        <w:gridCol w:w="36"/>
        <w:gridCol w:w="36"/>
        <w:gridCol w:w="36"/>
        <w:gridCol w:w="36"/>
        <w:gridCol w:w="120"/>
        <w:gridCol w:w="820"/>
        <w:gridCol w:w="36"/>
        <w:gridCol w:w="36"/>
        <w:gridCol w:w="36"/>
        <w:gridCol w:w="36"/>
        <w:gridCol w:w="71"/>
        <w:gridCol w:w="790"/>
        <w:gridCol w:w="36"/>
        <w:gridCol w:w="36"/>
        <w:gridCol w:w="36"/>
        <w:gridCol w:w="36"/>
        <w:gridCol w:w="121"/>
        <w:gridCol w:w="972"/>
        <w:gridCol w:w="36"/>
      </w:tblGrid>
      <w:tr w:rsidR="00000000" w14:paraId="5E103C62" w14:textId="77777777">
        <w:trPr>
          <w:divId w:val="247009027"/>
        </w:trPr>
        <w:tc>
          <w:tcPr>
            <w:tcW w:w="50" w:type="pct"/>
            <w:vAlign w:val="center"/>
            <w:hideMark/>
          </w:tcPr>
          <w:p w14:paraId="43C0A379" w14:textId="77777777" w:rsidR="00000000" w:rsidRDefault="001A570A">
            <w:pPr>
              <w:ind w:firstLine="450"/>
              <w:rPr>
                <w:rFonts w:eastAsia="Times New Roman"/>
              </w:rPr>
            </w:pPr>
          </w:p>
        </w:tc>
        <w:tc>
          <w:tcPr>
            <w:tcW w:w="2375" w:type="pct"/>
            <w:vAlign w:val="center"/>
            <w:hideMark/>
          </w:tcPr>
          <w:p w14:paraId="504C3CB0" w14:textId="77777777" w:rsidR="00000000" w:rsidRDefault="001A570A">
            <w:pPr>
              <w:rPr>
                <w:rFonts w:eastAsia="Times New Roman"/>
                <w:sz w:val="20"/>
                <w:szCs w:val="20"/>
              </w:rPr>
            </w:pPr>
          </w:p>
        </w:tc>
        <w:tc>
          <w:tcPr>
            <w:tcW w:w="5" w:type="pct"/>
            <w:vAlign w:val="center"/>
            <w:hideMark/>
          </w:tcPr>
          <w:p w14:paraId="17C1082D" w14:textId="77777777" w:rsidR="00000000" w:rsidRDefault="001A570A">
            <w:pPr>
              <w:rPr>
                <w:rFonts w:eastAsia="Times New Roman"/>
                <w:sz w:val="20"/>
                <w:szCs w:val="20"/>
              </w:rPr>
            </w:pPr>
          </w:p>
        </w:tc>
        <w:tc>
          <w:tcPr>
            <w:tcW w:w="50" w:type="pct"/>
            <w:vAlign w:val="center"/>
            <w:hideMark/>
          </w:tcPr>
          <w:p w14:paraId="636370D3" w14:textId="77777777" w:rsidR="00000000" w:rsidRDefault="001A570A">
            <w:pPr>
              <w:rPr>
                <w:rFonts w:eastAsia="Times New Roman"/>
                <w:sz w:val="20"/>
                <w:szCs w:val="20"/>
              </w:rPr>
            </w:pPr>
          </w:p>
        </w:tc>
        <w:tc>
          <w:tcPr>
            <w:tcW w:w="559" w:type="pct"/>
            <w:vAlign w:val="center"/>
            <w:hideMark/>
          </w:tcPr>
          <w:p w14:paraId="78EC3D9E" w14:textId="77777777" w:rsidR="00000000" w:rsidRDefault="001A570A">
            <w:pPr>
              <w:rPr>
                <w:rFonts w:eastAsia="Times New Roman"/>
                <w:sz w:val="20"/>
                <w:szCs w:val="20"/>
              </w:rPr>
            </w:pPr>
          </w:p>
        </w:tc>
        <w:tc>
          <w:tcPr>
            <w:tcW w:w="5" w:type="pct"/>
            <w:vAlign w:val="center"/>
            <w:hideMark/>
          </w:tcPr>
          <w:p w14:paraId="1A04D6FA" w14:textId="77777777" w:rsidR="00000000" w:rsidRDefault="001A570A">
            <w:pPr>
              <w:rPr>
                <w:rFonts w:eastAsia="Times New Roman"/>
                <w:sz w:val="20"/>
                <w:szCs w:val="20"/>
              </w:rPr>
            </w:pPr>
          </w:p>
        </w:tc>
        <w:tc>
          <w:tcPr>
            <w:tcW w:w="5" w:type="pct"/>
            <w:vAlign w:val="center"/>
            <w:hideMark/>
          </w:tcPr>
          <w:p w14:paraId="46B802F8" w14:textId="77777777" w:rsidR="00000000" w:rsidRDefault="001A570A">
            <w:pPr>
              <w:rPr>
                <w:rFonts w:eastAsia="Times New Roman"/>
                <w:sz w:val="20"/>
                <w:szCs w:val="20"/>
              </w:rPr>
            </w:pPr>
          </w:p>
        </w:tc>
        <w:tc>
          <w:tcPr>
            <w:tcW w:w="26" w:type="pct"/>
            <w:vAlign w:val="center"/>
            <w:hideMark/>
          </w:tcPr>
          <w:p w14:paraId="1C56CF3E" w14:textId="77777777" w:rsidR="00000000" w:rsidRDefault="001A570A">
            <w:pPr>
              <w:rPr>
                <w:rFonts w:eastAsia="Times New Roman"/>
                <w:sz w:val="20"/>
                <w:szCs w:val="20"/>
              </w:rPr>
            </w:pPr>
          </w:p>
        </w:tc>
        <w:tc>
          <w:tcPr>
            <w:tcW w:w="5" w:type="pct"/>
            <w:vAlign w:val="center"/>
            <w:hideMark/>
          </w:tcPr>
          <w:p w14:paraId="49594D9F" w14:textId="77777777" w:rsidR="00000000" w:rsidRDefault="001A570A">
            <w:pPr>
              <w:rPr>
                <w:rFonts w:eastAsia="Times New Roman"/>
                <w:sz w:val="20"/>
                <w:szCs w:val="20"/>
              </w:rPr>
            </w:pPr>
          </w:p>
        </w:tc>
        <w:tc>
          <w:tcPr>
            <w:tcW w:w="50" w:type="pct"/>
            <w:vAlign w:val="center"/>
            <w:hideMark/>
          </w:tcPr>
          <w:p w14:paraId="0203AD46" w14:textId="77777777" w:rsidR="00000000" w:rsidRDefault="001A570A">
            <w:pPr>
              <w:rPr>
                <w:rFonts w:eastAsia="Times New Roman"/>
                <w:sz w:val="20"/>
                <w:szCs w:val="20"/>
              </w:rPr>
            </w:pPr>
          </w:p>
        </w:tc>
        <w:tc>
          <w:tcPr>
            <w:tcW w:w="559" w:type="pct"/>
            <w:vAlign w:val="center"/>
            <w:hideMark/>
          </w:tcPr>
          <w:p w14:paraId="621B081B" w14:textId="77777777" w:rsidR="00000000" w:rsidRDefault="001A570A">
            <w:pPr>
              <w:rPr>
                <w:rFonts w:eastAsia="Times New Roman"/>
                <w:sz w:val="20"/>
                <w:szCs w:val="20"/>
              </w:rPr>
            </w:pPr>
          </w:p>
        </w:tc>
        <w:tc>
          <w:tcPr>
            <w:tcW w:w="5" w:type="pct"/>
            <w:vAlign w:val="center"/>
            <w:hideMark/>
          </w:tcPr>
          <w:p w14:paraId="4212DE0F" w14:textId="77777777" w:rsidR="00000000" w:rsidRDefault="001A570A">
            <w:pPr>
              <w:rPr>
                <w:rFonts w:eastAsia="Times New Roman"/>
                <w:sz w:val="20"/>
                <w:szCs w:val="20"/>
              </w:rPr>
            </w:pPr>
          </w:p>
        </w:tc>
        <w:tc>
          <w:tcPr>
            <w:tcW w:w="5" w:type="pct"/>
            <w:vAlign w:val="center"/>
            <w:hideMark/>
          </w:tcPr>
          <w:p w14:paraId="68DDC5A8" w14:textId="77777777" w:rsidR="00000000" w:rsidRDefault="001A570A">
            <w:pPr>
              <w:rPr>
                <w:rFonts w:eastAsia="Times New Roman"/>
                <w:sz w:val="20"/>
                <w:szCs w:val="20"/>
              </w:rPr>
            </w:pPr>
          </w:p>
        </w:tc>
        <w:tc>
          <w:tcPr>
            <w:tcW w:w="26" w:type="pct"/>
            <w:vAlign w:val="center"/>
            <w:hideMark/>
          </w:tcPr>
          <w:p w14:paraId="1EF4A090" w14:textId="77777777" w:rsidR="00000000" w:rsidRDefault="001A570A">
            <w:pPr>
              <w:rPr>
                <w:rFonts w:eastAsia="Times New Roman"/>
                <w:sz w:val="20"/>
                <w:szCs w:val="20"/>
              </w:rPr>
            </w:pPr>
          </w:p>
        </w:tc>
        <w:tc>
          <w:tcPr>
            <w:tcW w:w="5" w:type="pct"/>
            <w:vAlign w:val="center"/>
            <w:hideMark/>
          </w:tcPr>
          <w:p w14:paraId="29C088AF" w14:textId="77777777" w:rsidR="00000000" w:rsidRDefault="001A570A">
            <w:pPr>
              <w:rPr>
                <w:rFonts w:eastAsia="Times New Roman"/>
                <w:sz w:val="20"/>
                <w:szCs w:val="20"/>
              </w:rPr>
            </w:pPr>
          </w:p>
        </w:tc>
        <w:tc>
          <w:tcPr>
            <w:tcW w:w="50" w:type="pct"/>
            <w:vAlign w:val="center"/>
            <w:hideMark/>
          </w:tcPr>
          <w:p w14:paraId="5A486948" w14:textId="77777777" w:rsidR="00000000" w:rsidRDefault="001A570A">
            <w:pPr>
              <w:rPr>
                <w:rFonts w:eastAsia="Times New Roman"/>
                <w:sz w:val="20"/>
                <w:szCs w:val="20"/>
              </w:rPr>
            </w:pPr>
          </w:p>
        </w:tc>
        <w:tc>
          <w:tcPr>
            <w:tcW w:w="559" w:type="pct"/>
            <w:vAlign w:val="center"/>
            <w:hideMark/>
          </w:tcPr>
          <w:p w14:paraId="26FBC27A" w14:textId="77777777" w:rsidR="00000000" w:rsidRDefault="001A570A">
            <w:pPr>
              <w:rPr>
                <w:rFonts w:eastAsia="Times New Roman"/>
                <w:sz w:val="20"/>
                <w:szCs w:val="20"/>
              </w:rPr>
            </w:pPr>
          </w:p>
        </w:tc>
        <w:tc>
          <w:tcPr>
            <w:tcW w:w="5" w:type="pct"/>
            <w:vAlign w:val="center"/>
            <w:hideMark/>
          </w:tcPr>
          <w:p w14:paraId="23609B90" w14:textId="77777777" w:rsidR="00000000" w:rsidRDefault="001A570A">
            <w:pPr>
              <w:rPr>
                <w:rFonts w:eastAsia="Times New Roman"/>
                <w:sz w:val="20"/>
                <w:szCs w:val="20"/>
              </w:rPr>
            </w:pPr>
          </w:p>
        </w:tc>
        <w:tc>
          <w:tcPr>
            <w:tcW w:w="5" w:type="pct"/>
            <w:vAlign w:val="center"/>
            <w:hideMark/>
          </w:tcPr>
          <w:p w14:paraId="4C3CA39A" w14:textId="77777777" w:rsidR="00000000" w:rsidRDefault="001A570A">
            <w:pPr>
              <w:rPr>
                <w:rFonts w:eastAsia="Times New Roman"/>
                <w:sz w:val="20"/>
                <w:szCs w:val="20"/>
              </w:rPr>
            </w:pPr>
          </w:p>
        </w:tc>
        <w:tc>
          <w:tcPr>
            <w:tcW w:w="26" w:type="pct"/>
            <w:vAlign w:val="center"/>
            <w:hideMark/>
          </w:tcPr>
          <w:p w14:paraId="4D5D1EF0" w14:textId="77777777" w:rsidR="00000000" w:rsidRDefault="001A570A">
            <w:pPr>
              <w:rPr>
                <w:rFonts w:eastAsia="Times New Roman"/>
                <w:sz w:val="20"/>
                <w:szCs w:val="20"/>
              </w:rPr>
            </w:pPr>
          </w:p>
        </w:tc>
        <w:tc>
          <w:tcPr>
            <w:tcW w:w="5" w:type="pct"/>
            <w:vAlign w:val="center"/>
            <w:hideMark/>
          </w:tcPr>
          <w:p w14:paraId="0878CEC8" w14:textId="77777777" w:rsidR="00000000" w:rsidRDefault="001A570A">
            <w:pPr>
              <w:rPr>
                <w:rFonts w:eastAsia="Times New Roman"/>
                <w:sz w:val="20"/>
                <w:szCs w:val="20"/>
              </w:rPr>
            </w:pPr>
          </w:p>
        </w:tc>
        <w:tc>
          <w:tcPr>
            <w:tcW w:w="50" w:type="pct"/>
            <w:vAlign w:val="center"/>
            <w:hideMark/>
          </w:tcPr>
          <w:p w14:paraId="1DA19039" w14:textId="77777777" w:rsidR="00000000" w:rsidRDefault="001A570A">
            <w:pPr>
              <w:rPr>
                <w:rFonts w:eastAsia="Times New Roman"/>
                <w:sz w:val="20"/>
                <w:szCs w:val="20"/>
              </w:rPr>
            </w:pPr>
          </w:p>
        </w:tc>
        <w:tc>
          <w:tcPr>
            <w:tcW w:w="560" w:type="pct"/>
            <w:vAlign w:val="center"/>
            <w:hideMark/>
          </w:tcPr>
          <w:p w14:paraId="5A268BB5" w14:textId="77777777" w:rsidR="00000000" w:rsidRDefault="001A570A">
            <w:pPr>
              <w:rPr>
                <w:rFonts w:eastAsia="Times New Roman"/>
                <w:sz w:val="20"/>
                <w:szCs w:val="20"/>
              </w:rPr>
            </w:pPr>
          </w:p>
        </w:tc>
        <w:tc>
          <w:tcPr>
            <w:tcW w:w="5" w:type="pct"/>
            <w:vAlign w:val="center"/>
            <w:hideMark/>
          </w:tcPr>
          <w:p w14:paraId="13CA9704" w14:textId="77777777" w:rsidR="00000000" w:rsidRDefault="001A570A">
            <w:pPr>
              <w:rPr>
                <w:rFonts w:eastAsia="Times New Roman"/>
                <w:sz w:val="20"/>
                <w:szCs w:val="20"/>
              </w:rPr>
            </w:pPr>
          </w:p>
        </w:tc>
      </w:tr>
      <w:tr w:rsidR="00000000" w14:paraId="18D631AD" w14:textId="77777777">
        <w:trPr>
          <w:divId w:val="247009027"/>
        </w:trPr>
        <w:tc>
          <w:tcPr>
            <w:tcW w:w="0" w:type="auto"/>
            <w:gridSpan w:val="3"/>
            <w:tcMar>
              <w:top w:w="0" w:type="dxa"/>
              <w:left w:w="20" w:type="dxa"/>
              <w:bottom w:w="0" w:type="dxa"/>
              <w:right w:w="20" w:type="dxa"/>
            </w:tcMar>
            <w:vAlign w:val="center"/>
            <w:hideMark/>
          </w:tcPr>
          <w:p w14:paraId="2FE963D4"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27A788E5" w14:textId="77777777" w:rsidR="00000000" w:rsidRDefault="001A570A">
            <w:pPr>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14:paraId="613B7A9A"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1DB55BD" w14:textId="77777777" w:rsidR="00000000" w:rsidRDefault="001A570A">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14:paraId="16750DC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39F38A8" w14:textId="77777777" w:rsidR="00000000" w:rsidRDefault="001A570A">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r>
            <w:r>
              <w:rPr>
                <w:rFonts w:eastAsia="Times New Roman"/>
                <w:b/>
                <w:bCs/>
                <w:color w:val="000000"/>
                <w:sz w:val="16"/>
                <w:szCs w:val="16"/>
              </w:rPr>
              <w:t>Contractual</w:t>
            </w:r>
            <w:r>
              <w:rPr>
                <w:rFonts w:eastAsia="Times New Roman"/>
                <w:b/>
                <w:bCs/>
                <w:color w:val="000000"/>
                <w:sz w:val="16"/>
                <w:szCs w:val="16"/>
              </w:rPr>
              <w:br/>
              <w:t>Term</w:t>
            </w:r>
          </w:p>
        </w:tc>
        <w:tc>
          <w:tcPr>
            <w:tcW w:w="0" w:type="auto"/>
            <w:gridSpan w:val="3"/>
            <w:tcMar>
              <w:top w:w="0" w:type="dxa"/>
              <w:left w:w="20" w:type="dxa"/>
              <w:bottom w:w="0" w:type="dxa"/>
              <w:right w:w="20" w:type="dxa"/>
            </w:tcMar>
            <w:vAlign w:val="center"/>
            <w:hideMark/>
          </w:tcPr>
          <w:p w14:paraId="2E4D4DF0"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6B3BFE9" w14:textId="77777777" w:rsidR="00000000" w:rsidRDefault="001A570A">
            <w:pPr>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 Value</w:t>
            </w:r>
          </w:p>
        </w:tc>
      </w:tr>
      <w:tr w:rsidR="00000000" w14:paraId="694E9D08" w14:textId="77777777">
        <w:trPr>
          <w:divId w:val="247009027"/>
          <w:trHeight w:val="60"/>
        </w:trPr>
        <w:tc>
          <w:tcPr>
            <w:tcW w:w="0" w:type="auto"/>
            <w:gridSpan w:val="3"/>
            <w:tcMar>
              <w:top w:w="0" w:type="dxa"/>
              <w:left w:w="20" w:type="dxa"/>
              <w:bottom w:w="0" w:type="dxa"/>
              <w:right w:w="20" w:type="dxa"/>
            </w:tcMar>
            <w:vAlign w:val="center"/>
            <w:hideMark/>
          </w:tcPr>
          <w:p w14:paraId="6C3C8021"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80C5A5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CF37CA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02B8F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77F87F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90089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AA5637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E690D2" w14:textId="77777777" w:rsidR="00000000" w:rsidRDefault="001A570A">
            <w:pPr>
              <w:rPr>
                <w:rFonts w:eastAsia="Times New Roman"/>
                <w:sz w:val="20"/>
                <w:szCs w:val="20"/>
              </w:rPr>
            </w:pPr>
          </w:p>
        </w:tc>
      </w:tr>
      <w:tr w:rsidR="00000000" w14:paraId="1AD6305B" w14:textId="77777777">
        <w:trPr>
          <w:divId w:val="247009027"/>
        </w:trPr>
        <w:tc>
          <w:tcPr>
            <w:tcW w:w="0" w:type="auto"/>
            <w:gridSpan w:val="3"/>
            <w:tcMar>
              <w:top w:w="30" w:type="dxa"/>
              <w:left w:w="20" w:type="dxa"/>
              <w:bottom w:w="30" w:type="dxa"/>
              <w:right w:w="20" w:type="dxa"/>
            </w:tcMar>
            <w:vAlign w:val="bottom"/>
            <w:hideMark/>
          </w:tcPr>
          <w:p w14:paraId="07EB2675"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32F1538"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04DE075"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66A8BD8C"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27C83EA"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2DDDA2F7" w14:textId="77777777" w:rsidR="00000000" w:rsidRDefault="001A570A">
            <w:pPr>
              <w:jc w:val="center"/>
              <w:rPr>
                <w:rFonts w:eastAsia="Times New Roman"/>
              </w:rPr>
            </w:pP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14:paraId="2AC1BA6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51968CB" w14:textId="77777777" w:rsidR="00000000" w:rsidRDefault="001A570A">
            <w:pPr>
              <w:jc w:val="center"/>
              <w:rPr>
                <w:rFonts w:eastAsia="Times New Roman"/>
              </w:rPr>
            </w:pPr>
            <w:r>
              <w:rPr>
                <w:rFonts w:eastAsia="Times New Roman"/>
                <w:b/>
                <w:bCs/>
                <w:color w:val="000000"/>
                <w:sz w:val="16"/>
                <w:szCs w:val="16"/>
              </w:rPr>
              <w:t>(In millions)</w:t>
            </w:r>
          </w:p>
        </w:tc>
      </w:tr>
      <w:tr w:rsidR="00000000" w14:paraId="26748AED" w14:textId="77777777">
        <w:trPr>
          <w:divId w:val="247009027"/>
        </w:trPr>
        <w:tc>
          <w:tcPr>
            <w:tcW w:w="0" w:type="auto"/>
            <w:gridSpan w:val="3"/>
            <w:shd w:val="clear" w:color="auto" w:fill="CCEEFF"/>
            <w:tcMar>
              <w:top w:w="30" w:type="dxa"/>
              <w:left w:w="20" w:type="dxa"/>
              <w:bottom w:w="30" w:type="dxa"/>
              <w:right w:w="20" w:type="dxa"/>
            </w:tcMar>
            <w:vAlign w:val="bottom"/>
            <w:hideMark/>
          </w:tcPr>
          <w:p w14:paraId="2609C929" w14:textId="77777777" w:rsidR="00000000" w:rsidRDefault="001A570A">
            <w:pPr>
              <w:rPr>
                <w:rFonts w:eastAsia="Times New Roman"/>
              </w:rPr>
            </w:pPr>
            <w:r>
              <w:rPr>
                <w:rFonts w:eastAsia="Times New Roman"/>
                <w:color w:val="000000"/>
                <w:sz w:val="20"/>
                <w:szCs w:val="20"/>
              </w:rPr>
              <w:t>Stock options outstanding January 3, 2020</w:t>
            </w:r>
          </w:p>
        </w:tc>
        <w:tc>
          <w:tcPr>
            <w:tcW w:w="0" w:type="auto"/>
            <w:gridSpan w:val="2"/>
            <w:shd w:val="clear" w:color="auto" w:fill="CCEEFF"/>
            <w:tcMar>
              <w:top w:w="30" w:type="dxa"/>
              <w:left w:w="20" w:type="dxa"/>
              <w:bottom w:w="30" w:type="dxa"/>
              <w:right w:w="0" w:type="dxa"/>
            </w:tcMar>
            <w:vAlign w:val="bottom"/>
            <w:hideMark/>
          </w:tcPr>
          <w:p w14:paraId="6076E2EA" w14:textId="77777777" w:rsidR="00000000" w:rsidRDefault="001A570A">
            <w:pPr>
              <w:jc w:val="right"/>
              <w:rPr>
                <w:rFonts w:eastAsia="Times New Roman"/>
              </w:rPr>
            </w:pPr>
            <w:r>
              <w:rPr>
                <w:rFonts w:eastAsia="Times New Roman"/>
                <w:color w:val="000000"/>
                <w:sz w:val="20"/>
                <w:szCs w:val="20"/>
              </w:rPr>
              <w:t>4,545,978 </w:t>
            </w:r>
          </w:p>
        </w:tc>
        <w:tc>
          <w:tcPr>
            <w:tcW w:w="0" w:type="auto"/>
            <w:shd w:val="clear" w:color="auto" w:fill="CCEEFF"/>
            <w:tcMar>
              <w:top w:w="30" w:type="dxa"/>
              <w:left w:w="0" w:type="dxa"/>
              <w:bottom w:w="30" w:type="dxa"/>
              <w:right w:w="20" w:type="dxa"/>
            </w:tcMar>
            <w:vAlign w:val="bottom"/>
            <w:hideMark/>
          </w:tcPr>
          <w:p w14:paraId="4BEC0D9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31B6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CDF57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4E838F" w14:textId="77777777" w:rsidR="00000000" w:rsidRDefault="001A570A">
            <w:pPr>
              <w:jc w:val="right"/>
              <w:rPr>
                <w:rFonts w:eastAsia="Times New Roman"/>
              </w:rPr>
            </w:pPr>
            <w:r>
              <w:rPr>
                <w:rFonts w:eastAsia="Times New Roman"/>
                <w:color w:val="000000"/>
                <w:sz w:val="20"/>
                <w:szCs w:val="20"/>
              </w:rPr>
              <w:t>110.48 </w:t>
            </w:r>
          </w:p>
        </w:tc>
        <w:tc>
          <w:tcPr>
            <w:tcW w:w="0" w:type="auto"/>
            <w:shd w:val="clear" w:color="auto" w:fill="CCEEFF"/>
            <w:tcMar>
              <w:top w:w="30" w:type="dxa"/>
              <w:left w:w="0" w:type="dxa"/>
              <w:bottom w:w="30" w:type="dxa"/>
              <w:right w:w="20" w:type="dxa"/>
            </w:tcMar>
            <w:vAlign w:val="bottom"/>
            <w:hideMark/>
          </w:tcPr>
          <w:p w14:paraId="791A011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941D2"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4F0D6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C1E27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AA68E" w14:textId="77777777" w:rsidR="00000000" w:rsidRDefault="001A570A">
            <w:pPr>
              <w:rPr>
                <w:rFonts w:eastAsia="Times New Roman"/>
                <w:sz w:val="20"/>
                <w:szCs w:val="20"/>
              </w:rPr>
            </w:pPr>
          </w:p>
        </w:tc>
      </w:tr>
      <w:tr w:rsidR="00000000" w14:paraId="69E03033" w14:textId="77777777">
        <w:trPr>
          <w:divId w:val="247009027"/>
        </w:trPr>
        <w:tc>
          <w:tcPr>
            <w:tcW w:w="0" w:type="auto"/>
            <w:gridSpan w:val="3"/>
            <w:shd w:val="clear" w:color="auto" w:fill="FFFFFF"/>
            <w:tcMar>
              <w:top w:w="30" w:type="dxa"/>
              <w:left w:w="20" w:type="dxa"/>
              <w:bottom w:w="30" w:type="dxa"/>
              <w:right w:w="20" w:type="dxa"/>
            </w:tcMar>
            <w:vAlign w:val="bottom"/>
            <w:hideMark/>
          </w:tcPr>
          <w:p w14:paraId="60026AF5" w14:textId="77777777" w:rsidR="00000000" w:rsidRDefault="001A570A">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57CE1012" w14:textId="77777777" w:rsidR="00000000" w:rsidRDefault="001A570A">
            <w:pPr>
              <w:jc w:val="right"/>
              <w:rPr>
                <w:rFonts w:eastAsia="Times New Roman"/>
              </w:rPr>
            </w:pPr>
            <w:r>
              <w:rPr>
                <w:rFonts w:eastAsia="Times New Roman"/>
                <w:color w:val="000000"/>
                <w:sz w:val="20"/>
                <w:szCs w:val="20"/>
              </w:rPr>
              <w:t>583,200 </w:t>
            </w:r>
          </w:p>
        </w:tc>
        <w:tc>
          <w:tcPr>
            <w:tcW w:w="0" w:type="auto"/>
            <w:shd w:val="clear" w:color="auto" w:fill="FFFFFF"/>
            <w:tcMar>
              <w:top w:w="30" w:type="dxa"/>
              <w:left w:w="0" w:type="dxa"/>
              <w:bottom w:w="30" w:type="dxa"/>
              <w:right w:w="20" w:type="dxa"/>
            </w:tcMar>
            <w:vAlign w:val="bottom"/>
            <w:hideMark/>
          </w:tcPr>
          <w:p w14:paraId="174B5EE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5828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ECC25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E77863" w14:textId="77777777" w:rsidR="00000000" w:rsidRDefault="001A570A">
            <w:pPr>
              <w:jc w:val="right"/>
              <w:rPr>
                <w:rFonts w:eastAsia="Times New Roman"/>
              </w:rPr>
            </w:pPr>
            <w:r>
              <w:rPr>
                <w:rFonts w:eastAsia="Times New Roman"/>
                <w:color w:val="000000"/>
                <w:sz w:val="20"/>
                <w:szCs w:val="20"/>
              </w:rPr>
              <w:t>197.73 </w:t>
            </w:r>
          </w:p>
        </w:tc>
        <w:tc>
          <w:tcPr>
            <w:tcW w:w="0" w:type="auto"/>
            <w:shd w:val="clear" w:color="auto" w:fill="FFFFFF"/>
            <w:tcMar>
              <w:top w:w="30" w:type="dxa"/>
              <w:left w:w="0" w:type="dxa"/>
              <w:bottom w:w="30" w:type="dxa"/>
              <w:right w:w="20" w:type="dxa"/>
            </w:tcMar>
            <w:vAlign w:val="bottom"/>
            <w:hideMark/>
          </w:tcPr>
          <w:p w14:paraId="2D025B7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A99A0"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462F8"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35A7C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713A8E" w14:textId="77777777" w:rsidR="00000000" w:rsidRDefault="001A570A">
            <w:pPr>
              <w:rPr>
                <w:rFonts w:eastAsia="Times New Roman"/>
                <w:sz w:val="20"/>
                <w:szCs w:val="20"/>
              </w:rPr>
            </w:pPr>
          </w:p>
        </w:tc>
      </w:tr>
      <w:tr w:rsidR="00000000" w14:paraId="74846B21" w14:textId="77777777">
        <w:trPr>
          <w:divId w:val="247009027"/>
        </w:trPr>
        <w:tc>
          <w:tcPr>
            <w:tcW w:w="0" w:type="auto"/>
            <w:gridSpan w:val="3"/>
            <w:shd w:val="clear" w:color="auto" w:fill="CCEEFF"/>
            <w:tcMar>
              <w:top w:w="30" w:type="dxa"/>
              <w:left w:w="20" w:type="dxa"/>
              <w:bottom w:w="30" w:type="dxa"/>
              <w:right w:w="20" w:type="dxa"/>
            </w:tcMar>
            <w:vAlign w:val="bottom"/>
            <w:hideMark/>
          </w:tcPr>
          <w:p w14:paraId="58A613D4" w14:textId="77777777" w:rsidR="00000000" w:rsidRDefault="001A570A">
            <w:pPr>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76539D28" w14:textId="77777777" w:rsidR="00000000" w:rsidRDefault="001A570A">
            <w:pPr>
              <w:jc w:val="right"/>
              <w:rPr>
                <w:rFonts w:eastAsia="Times New Roman"/>
              </w:rPr>
            </w:pPr>
            <w:r>
              <w:rPr>
                <w:rFonts w:eastAsia="Times New Roman"/>
                <w:color w:val="000000"/>
                <w:sz w:val="20"/>
                <w:szCs w:val="20"/>
              </w:rPr>
              <w:t>(774,458)</w:t>
            </w:r>
          </w:p>
        </w:tc>
        <w:tc>
          <w:tcPr>
            <w:tcW w:w="0" w:type="auto"/>
            <w:shd w:val="clear" w:color="auto" w:fill="CCEEFF"/>
            <w:tcMar>
              <w:top w:w="30" w:type="dxa"/>
              <w:left w:w="0" w:type="dxa"/>
              <w:bottom w:w="30" w:type="dxa"/>
              <w:right w:w="20" w:type="dxa"/>
            </w:tcMar>
            <w:vAlign w:val="bottom"/>
            <w:hideMark/>
          </w:tcPr>
          <w:p w14:paraId="00C0EC0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AF8E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9B3FC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EBCCA4" w14:textId="77777777" w:rsidR="00000000" w:rsidRDefault="001A570A">
            <w:pPr>
              <w:jc w:val="right"/>
              <w:rPr>
                <w:rFonts w:eastAsia="Times New Roman"/>
              </w:rPr>
            </w:pPr>
            <w:r>
              <w:rPr>
                <w:rFonts w:eastAsia="Times New Roman"/>
                <w:color w:val="000000"/>
                <w:sz w:val="20"/>
                <w:szCs w:val="20"/>
              </w:rPr>
              <w:t>74.98 </w:t>
            </w:r>
          </w:p>
        </w:tc>
        <w:tc>
          <w:tcPr>
            <w:tcW w:w="0" w:type="auto"/>
            <w:shd w:val="clear" w:color="auto" w:fill="CCEEFF"/>
            <w:tcMar>
              <w:top w:w="30" w:type="dxa"/>
              <w:left w:w="0" w:type="dxa"/>
              <w:bottom w:w="30" w:type="dxa"/>
              <w:right w:w="20" w:type="dxa"/>
            </w:tcMar>
            <w:vAlign w:val="bottom"/>
            <w:hideMark/>
          </w:tcPr>
          <w:p w14:paraId="4E165B1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22F78"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D3E77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635DA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D9E73" w14:textId="77777777" w:rsidR="00000000" w:rsidRDefault="001A570A">
            <w:pPr>
              <w:rPr>
                <w:rFonts w:eastAsia="Times New Roman"/>
                <w:sz w:val="20"/>
                <w:szCs w:val="20"/>
              </w:rPr>
            </w:pPr>
          </w:p>
        </w:tc>
      </w:tr>
      <w:tr w:rsidR="00000000" w14:paraId="4F82B285" w14:textId="77777777">
        <w:trPr>
          <w:divId w:val="247009027"/>
        </w:trPr>
        <w:tc>
          <w:tcPr>
            <w:tcW w:w="0" w:type="auto"/>
            <w:gridSpan w:val="3"/>
            <w:shd w:val="clear" w:color="auto" w:fill="FFFFFF"/>
            <w:tcMar>
              <w:top w:w="30" w:type="dxa"/>
              <w:left w:w="20" w:type="dxa"/>
              <w:bottom w:w="30" w:type="dxa"/>
              <w:right w:w="20" w:type="dxa"/>
            </w:tcMar>
            <w:vAlign w:val="bottom"/>
            <w:hideMark/>
          </w:tcPr>
          <w:p w14:paraId="170ECA86" w14:textId="77777777" w:rsidR="00000000" w:rsidRDefault="001A570A">
            <w:pPr>
              <w:rPr>
                <w:rFonts w:eastAsia="Times New Roman"/>
              </w:rPr>
            </w:pPr>
            <w:r>
              <w:rPr>
                <w:rFonts w:eastAsia="Times New Roman"/>
                <w:color w:val="000000"/>
                <w:sz w:val="20"/>
                <w:szCs w:val="20"/>
              </w:rPr>
              <w:t>Forfeited or expired</w:t>
            </w:r>
          </w:p>
        </w:tc>
        <w:tc>
          <w:tcPr>
            <w:tcW w:w="0" w:type="auto"/>
            <w:gridSpan w:val="2"/>
            <w:shd w:val="clear" w:color="auto" w:fill="FFFFFF"/>
            <w:tcMar>
              <w:top w:w="30" w:type="dxa"/>
              <w:left w:w="20" w:type="dxa"/>
              <w:bottom w:w="30" w:type="dxa"/>
              <w:right w:w="0" w:type="dxa"/>
            </w:tcMar>
            <w:vAlign w:val="bottom"/>
            <w:hideMark/>
          </w:tcPr>
          <w:p w14:paraId="2D7C4222" w14:textId="77777777" w:rsidR="00000000" w:rsidRDefault="001A570A">
            <w:pPr>
              <w:jc w:val="right"/>
              <w:rPr>
                <w:rFonts w:eastAsia="Times New Roman"/>
              </w:rPr>
            </w:pPr>
            <w:r>
              <w:rPr>
                <w:rFonts w:eastAsia="Times New Roman"/>
                <w:color w:val="000000"/>
                <w:sz w:val="20"/>
                <w:szCs w:val="20"/>
              </w:rPr>
              <w:t>(33,084)</w:t>
            </w:r>
          </w:p>
        </w:tc>
        <w:tc>
          <w:tcPr>
            <w:tcW w:w="0" w:type="auto"/>
            <w:shd w:val="clear" w:color="auto" w:fill="FFFFFF"/>
            <w:tcMar>
              <w:top w:w="30" w:type="dxa"/>
              <w:left w:w="0" w:type="dxa"/>
              <w:bottom w:w="30" w:type="dxa"/>
              <w:right w:w="20" w:type="dxa"/>
            </w:tcMar>
            <w:vAlign w:val="bottom"/>
            <w:hideMark/>
          </w:tcPr>
          <w:p w14:paraId="1301E8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D8B4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E58F4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B6076F" w14:textId="77777777" w:rsidR="00000000" w:rsidRDefault="001A570A">
            <w:pPr>
              <w:jc w:val="right"/>
              <w:rPr>
                <w:rFonts w:eastAsia="Times New Roman"/>
              </w:rPr>
            </w:pPr>
            <w:r>
              <w:rPr>
                <w:rFonts w:eastAsia="Times New Roman"/>
                <w:color w:val="000000"/>
                <w:sz w:val="20"/>
                <w:szCs w:val="20"/>
              </w:rPr>
              <w:t>196.83 </w:t>
            </w:r>
          </w:p>
        </w:tc>
        <w:tc>
          <w:tcPr>
            <w:tcW w:w="0" w:type="auto"/>
            <w:shd w:val="clear" w:color="auto" w:fill="FFFFFF"/>
            <w:tcMar>
              <w:top w:w="30" w:type="dxa"/>
              <w:left w:w="0" w:type="dxa"/>
              <w:bottom w:w="30" w:type="dxa"/>
              <w:right w:w="20" w:type="dxa"/>
            </w:tcMar>
            <w:vAlign w:val="bottom"/>
            <w:hideMark/>
          </w:tcPr>
          <w:p w14:paraId="7747FE2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EB773"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008C1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0C56D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6BED7E" w14:textId="77777777" w:rsidR="00000000" w:rsidRDefault="001A570A">
            <w:pPr>
              <w:rPr>
                <w:rFonts w:eastAsia="Times New Roman"/>
                <w:sz w:val="20"/>
                <w:szCs w:val="20"/>
              </w:rPr>
            </w:pPr>
          </w:p>
        </w:tc>
      </w:tr>
      <w:tr w:rsidR="00000000" w14:paraId="0460413B" w14:textId="77777777">
        <w:trPr>
          <w:divId w:val="247009027"/>
        </w:trPr>
        <w:tc>
          <w:tcPr>
            <w:tcW w:w="0" w:type="auto"/>
            <w:gridSpan w:val="3"/>
            <w:vAlign w:val="center"/>
            <w:hideMark/>
          </w:tcPr>
          <w:p w14:paraId="6407778C" w14:textId="77777777" w:rsidR="00000000" w:rsidRDefault="001A570A">
            <w:pPr>
              <w:rPr>
                <w:rFonts w:eastAsia="Times New Roman"/>
                <w:sz w:val="20"/>
                <w:szCs w:val="20"/>
              </w:rPr>
            </w:pPr>
          </w:p>
        </w:tc>
        <w:tc>
          <w:tcPr>
            <w:tcW w:w="0" w:type="auto"/>
            <w:gridSpan w:val="3"/>
            <w:vAlign w:val="center"/>
            <w:hideMark/>
          </w:tcPr>
          <w:p w14:paraId="0D8230E5" w14:textId="77777777" w:rsidR="00000000" w:rsidRDefault="001A570A">
            <w:pPr>
              <w:rPr>
                <w:rFonts w:eastAsia="Times New Roman"/>
                <w:sz w:val="20"/>
                <w:szCs w:val="20"/>
              </w:rPr>
            </w:pPr>
          </w:p>
        </w:tc>
        <w:tc>
          <w:tcPr>
            <w:tcW w:w="0" w:type="auto"/>
            <w:gridSpan w:val="3"/>
            <w:vAlign w:val="center"/>
            <w:hideMark/>
          </w:tcPr>
          <w:p w14:paraId="569A7E68" w14:textId="77777777" w:rsidR="00000000" w:rsidRDefault="001A570A">
            <w:pPr>
              <w:rPr>
                <w:rFonts w:eastAsia="Times New Roman"/>
                <w:sz w:val="20"/>
                <w:szCs w:val="20"/>
              </w:rPr>
            </w:pPr>
          </w:p>
        </w:tc>
        <w:tc>
          <w:tcPr>
            <w:tcW w:w="0" w:type="auto"/>
            <w:gridSpan w:val="3"/>
            <w:vAlign w:val="center"/>
            <w:hideMark/>
          </w:tcPr>
          <w:p w14:paraId="7FF044FA" w14:textId="77777777" w:rsidR="00000000" w:rsidRDefault="001A570A">
            <w:pPr>
              <w:rPr>
                <w:rFonts w:eastAsia="Times New Roman"/>
                <w:sz w:val="20"/>
                <w:szCs w:val="20"/>
              </w:rPr>
            </w:pPr>
          </w:p>
        </w:tc>
        <w:tc>
          <w:tcPr>
            <w:tcW w:w="0" w:type="auto"/>
            <w:gridSpan w:val="3"/>
            <w:vAlign w:val="center"/>
            <w:hideMark/>
          </w:tcPr>
          <w:p w14:paraId="3F932BEC" w14:textId="77777777" w:rsidR="00000000" w:rsidRDefault="001A570A">
            <w:pPr>
              <w:rPr>
                <w:rFonts w:eastAsia="Times New Roman"/>
                <w:sz w:val="20"/>
                <w:szCs w:val="20"/>
              </w:rPr>
            </w:pPr>
          </w:p>
        </w:tc>
        <w:tc>
          <w:tcPr>
            <w:tcW w:w="0" w:type="auto"/>
            <w:gridSpan w:val="3"/>
            <w:vAlign w:val="center"/>
            <w:hideMark/>
          </w:tcPr>
          <w:p w14:paraId="0C08D561" w14:textId="77777777" w:rsidR="00000000" w:rsidRDefault="001A570A">
            <w:pPr>
              <w:rPr>
                <w:rFonts w:eastAsia="Times New Roman"/>
                <w:sz w:val="20"/>
                <w:szCs w:val="20"/>
              </w:rPr>
            </w:pPr>
          </w:p>
        </w:tc>
        <w:tc>
          <w:tcPr>
            <w:tcW w:w="0" w:type="auto"/>
            <w:gridSpan w:val="3"/>
            <w:vAlign w:val="center"/>
            <w:hideMark/>
          </w:tcPr>
          <w:p w14:paraId="49EE9925" w14:textId="77777777" w:rsidR="00000000" w:rsidRDefault="001A570A">
            <w:pPr>
              <w:rPr>
                <w:rFonts w:eastAsia="Times New Roman"/>
                <w:sz w:val="20"/>
                <w:szCs w:val="20"/>
              </w:rPr>
            </w:pPr>
          </w:p>
        </w:tc>
        <w:tc>
          <w:tcPr>
            <w:tcW w:w="0" w:type="auto"/>
            <w:gridSpan w:val="3"/>
            <w:vAlign w:val="center"/>
            <w:hideMark/>
          </w:tcPr>
          <w:p w14:paraId="6175EF0A" w14:textId="77777777" w:rsidR="00000000" w:rsidRDefault="001A570A">
            <w:pPr>
              <w:rPr>
                <w:rFonts w:eastAsia="Times New Roman"/>
                <w:sz w:val="20"/>
                <w:szCs w:val="20"/>
              </w:rPr>
            </w:pPr>
          </w:p>
        </w:tc>
      </w:tr>
      <w:tr w:rsidR="00000000" w14:paraId="4C3CC060" w14:textId="77777777">
        <w:trPr>
          <w:divId w:val="247009027"/>
        </w:trPr>
        <w:tc>
          <w:tcPr>
            <w:tcW w:w="0" w:type="auto"/>
            <w:gridSpan w:val="3"/>
            <w:shd w:val="clear" w:color="auto" w:fill="CCEEFF"/>
            <w:tcMar>
              <w:top w:w="30" w:type="dxa"/>
              <w:left w:w="20" w:type="dxa"/>
              <w:bottom w:w="30" w:type="dxa"/>
              <w:right w:w="20" w:type="dxa"/>
            </w:tcMar>
            <w:vAlign w:val="bottom"/>
            <w:hideMark/>
          </w:tcPr>
          <w:p w14:paraId="7BB32BCD" w14:textId="77777777" w:rsidR="00000000" w:rsidRDefault="001A570A">
            <w:pPr>
              <w:rPr>
                <w:rFonts w:eastAsia="Times New Roman"/>
              </w:rPr>
            </w:pPr>
            <w:r>
              <w:rPr>
                <w:rFonts w:eastAsia="Times New Roman"/>
                <w:color w:val="000000"/>
                <w:sz w:val="20"/>
                <w:szCs w:val="20"/>
              </w:rPr>
              <w:t>Stock options outstanding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A46098" w14:textId="77777777" w:rsidR="00000000" w:rsidRDefault="001A570A">
            <w:pPr>
              <w:jc w:val="right"/>
              <w:rPr>
                <w:rFonts w:eastAsia="Times New Roman"/>
              </w:rPr>
            </w:pPr>
            <w:r>
              <w:rPr>
                <w:rFonts w:eastAsia="Times New Roman"/>
                <w:color w:val="000000"/>
                <w:sz w:val="20"/>
                <w:szCs w:val="20"/>
              </w:rPr>
              <w:t>4,321,636 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A6A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C157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7F360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48FAFE" w14:textId="77777777" w:rsidR="00000000" w:rsidRDefault="001A570A">
            <w:pPr>
              <w:jc w:val="right"/>
              <w:rPr>
                <w:rFonts w:eastAsia="Times New Roman"/>
              </w:rPr>
            </w:pPr>
            <w:r>
              <w:rPr>
                <w:rFonts w:eastAsia="Times New Roman"/>
                <w:color w:val="000000"/>
                <w:sz w:val="20"/>
                <w:szCs w:val="20"/>
              </w:rPr>
              <w:t>127.93 </w:t>
            </w:r>
          </w:p>
        </w:tc>
        <w:tc>
          <w:tcPr>
            <w:tcW w:w="0" w:type="auto"/>
            <w:shd w:val="clear" w:color="auto" w:fill="CCEEFF"/>
            <w:tcMar>
              <w:top w:w="30" w:type="dxa"/>
              <w:left w:w="0" w:type="dxa"/>
              <w:bottom w:w="30" w:type="dxa"/>
              <w:right w:w="20" w:type="dxa"/>
            </w:tcMar>
            <w:vAlign w:val="bottom"/>
            <w:hideMark/>
          </w:tcPr>
          <w:p w14:paraId="22D1C8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7A0D0" w14:textId="77777777" w:rsidR="00000000" w:rsidRDefault="001A570A">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0B1325D" w14:textId="77777777" w:rsidR="00000000" w:rsidRDefault="001A570A">
            <w:pPr>
              <w:jc w:val="right"/>
              <w:rPr>
                <w:rFonts w:eastAsia="Times New Roman"/>
              </w:rPr>
            </w:pPr>
            <w:r>
              <w:rPr>
                <w:rFonts w:eastAsia="Times New Roman"/>
                <w:color w:val="000000"/>
                <w:sz w:val="20"/>
                <w:szCs w:val="20"/>
              </w:rPr>
              <w:t>6.23</w:t>
            </w:r>
          </w:p>
        </w:tc>
        <w:tc>
          <w:tcPr>
            <w:tcW w:w="0" w:type="auto"/>
            <w:gridSpan w:val="3"/>
            <w:shd w:val="clear" w:color="auto" w:fill="CCEEFF"/>
            <w:tcMar>
              <w:top w:w="0" w:type="dxa"/>
              <w:left w:w="20" w:type="dxa"/>
              <w:bottom w:w="0" w:type="dxa"/>
              <w:right w:w="20" w:type="dxa"/>
            </w:tcMar>
            <w:vAlign w:val="center"/>
            <w:hideMark/>
          </w:tcPr>
          <w:p w14:paraId="58E5FBB7" w14:textId="77777777" w:rsidR="00000000" w:rsidRDefault="001A570A">
            <w:pPr>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9F684E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55818F" w14:textId="77777777" w:rsidR="00000000" w:rsidRDefault="001A570A">
            <w:pPr>
              <w:jc w:val="right"/>
              <w:rPr>
                <w:rFonts w:eastAsia="Times New Roman"/>
              </w:rPr>
            </w:pPr>
            <w:r>
              <w:rPr>
                <w:rFonts w:eastAsia="Times New Roman"/>
                <w:color w:val="000000"/>
                <w:sz w:val="20"/>
                <w:szCs w:val="20"/>
              </w:rPr>
              <w:t>280.42 </w:t>
            </w:r>
          </w:p>
        </w:tc>
        <w:tc>
          <w:tcPr>
            <w:tcW w:w="0" w:type="auto"/>
            <w:shd w:val="clear" w:color="auto" w:fill="CCEEFF"/>
            <w:tcMar>
              <w:top w:w="30" w:type="dxa"/>
              <w:left w:w="0" w:type="dxa"/>
              <w:bottom w:w="30" w:type="dxa"/>
              <w:right w:w="20" w:type="dxa"/>
            </w:tcMar>
            <w:vAlign w:val="bottom"/>
            <w:hideMark/>
          </w:tcPr>
          <w:p w14:paraId="58583D83" w14:textId="77777777" w:rsidR="00000000" w:rsidRDefault="001A570A">
            <w:pPr>
              <w:jc w:val="right"/>
              <w:rPr>
                <w:rFonts w:eastAsia="Times New Roman"/>
              </w:rPr>
            </w:pPr>
          </w:p>
        </w:tc>
      </w:tr>
      <w:tr w:rsidR="00000000" w14:paraId="0E04664F" w14:textId="77777777">
        <w:trPr>
          <w:divId w:val="247009027"/>
        </w:trPr>
        <w:tc>
          <w:tcPr>
            <w:tcW w:w="0" w:type="auto"/>
            <w:gridSpan w:val="3"/>
            <w:shd w:val="clear" w:color="auto" w:fill="FFFFFF"/>
            <w:tcMar>
              <w:top w:w="30" w:type="dxa"/>
              <w:left w:w="20" w:type="dxa"/>
              <w:bottom w:w="30" w:type="dxa"/>
              <w:right w:w="20" w:type="dxa"/>
            </w:tcMar>
            <w:vAlign w:val="bottom"/>
            <w:hideMark/>
          </w:tcPr>
          <w:p w14:paraId="51AD1165" w14:textId="77777777" w:rsidR="00000000" w:rsidRDefault="001A570A">
            <w:pPr>
              <w:rPr>
                <w:rFonts w:eastAsia="Times New Roman"/>
              </w:rPr>
            </w:pPr>
            <w:r>
              <w:rPr>
                <w:rFonts w:eastAsia="Times New Roman"/>
                <w:color w:val="000000"/>
                <w:sz w:val="20"/>
                <w:szCs w:val="20"/>
              </w:rPr>
              <w:t>Stock options exercisable January 1, 2021</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7812675" w14:textId="77777777" w:rsidR="00000000" w:rsidRDefault="001A570A">
            <w:pPr>
              <w:jc w:val="right"/>
              <w:rPr>
                <w:rFonts w:eastAsia="Times New Roman"/>
              </w:rPr>
            </w:pPr>
            <w:r>
              <w:rPr>
                <w:rFonts w:eastAsia="Times New Roman"/>
                <w:color w:val="000000"/>
                <w:sz w:val="20"/>
                <w:szCs w:val="20"/>
              </w:rPr>
              <w:t>3,032,005 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0AD3D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89B3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0752D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00DA7E" w14:textId="77777777" w:rsidR="00000000" w:rsidRDefault="001A570A">
            <w:pPr>
              <w:jc w:val="right"/>
              <w:rPr>
                <w:rFonts w:eastAsia="Times New Roman"/>
              </w:rPr>
            </w:pPr>
            <w:r>
              <w:rPr>
                <w:rFonts w:eastAsia="Times New Roman"/>
                <w:color w:val="000000"/>
                <w:sz w:val="20"/>
                <w:szCs w:val="20"/>
              </w:rPr>
              <w:t>96.53 </w:t>
            </w:r>
          </w:p>
        </w:tc>
        <w:tc>
          <w:tcPr>
            <w:tcW w:w="0" w:type="auto"/>
            <w:shd w:val="clear" w:color="auto" w:fill="FFFFFF"/>
            <w:tcMar>
              <w:top w:w="30" w:type="dxa"/>
              <w:left w:w="0" w:type="dxa"/>
              <w:bottom w:w="30" w:type="dxa"/>
              <w:right w:w="20" w:type="dxa"/>
            </w:tcMar>
            <w:vAlign w:val="bottom"/>
            <w:hideMark/>
          </w:tcPr>
          <w:p w14:paraId="07CAEC7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DE3AD" w14:textId="77777777" w:rsidR="00000000" w:rsidRDefault="001A570A">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1742CE6" w14:textId="77777777" w:rsidR="00000000" w:rsidRDefault="001A570A">
            <w:pPr>
              <w:jc w:val="right"/>
              <w:rPr>
                <w:rFonts w:eastAsia="Times New Roman"/>
              </w:rPr>
            </w:pPr>
            <w:r>
              <w:rPr>
                <w:rFonts w:eastAsia="Times New Roman"/>
                <w:color w:val="000000"/>
                <w:sz w:val="20"/>
                <w:szCs w:val="20"/>
              </w:rPr>
              <w:t>5.11</w:t>
            </w:r>
          </w:p>
        </w:tc>
        <w:tc>
          <w:tcPr>
            <w:tcW w:w="0" w:type="auto"/>
            <w:gridSpan w:val="3"/>
            <w:shd w:val="clear" w:color="auto" w:fill="FFFFFF"/>
            <w:tcMar>
              <w:top w:w="0" w:type="dxa"/>
              <w:left w:w="20" w:type="dxa"/>
              <w:bottom w:w="0" w:type="dxa"/>
              <w:right w:w="20" w:type="dxa"/>
            </w:tcMar>
            <w:vAlign w:val="center"/>
            <w:hideMark/>
          </w:tcPr>
          <w:p w14:paraId="10EB7795" w14:textId="77777777" w:rsidR="00000000" w:rsidRDefault="001A570A">
            <w:pPr>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45744B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F3825D" w14:textId="77777777" w:rsidR="00000000" w:rsidRDefault="001A570A">
            <w:pPr>
              <w:jc w:val="right"/>
              <w:rPr>
                <w:rFonts w:eastAsia="Times New Roman"/>
              </w:rPr>
            </w:pPr>
            <w:r>
              <w:rPr>
                <w:rFonts w:eastAsia="Times New Roman"/>
                <w:color w:val="000000"/>
                <w:sz w:val="20"/>
                <w:szCs w:val="20"/>
              </w:rPr>
              <w:t>280.42 </w:t>
            </w:r>
          </w:p>
        </w:tc>
        <w:tc>
          <w:tcPr>
            <w:tcW w:w="0" w:type="auto"/>
            <w:shd w:val="clear" w:color="auto" w:fill="FFFFFF"/>
            <w:tcMar>
              <w:top w:w="30" w:type="dxa"/>
              <w:left w:w="0" w:type="dxa"/>
              <w:bottom w:w="30" w:type="dxa"/>
              <w:right w:w="20" w:type="dxa"/>
            </w:tcMar>
            <w:vAlign w:val="bottom"/>
            <w:hideMark/>
          </w:tcPr>
          <w:p w14:paraId="22DCDC84" w14:textId="77777777" w:rsidR="00000000" w:rsidRDefault="001A570A">
            <w:pPr>
              <w:jc w:val="right"/>
              <w:rPr>
                <w:rFonts w:eastAsia="Times New Roman"/>
              </w:rPr>
            </w:pPr>
          </w:p>
        </w:tc>
      </w:tr>
    </w:tbl>
    <w:p w14:paraId="59D59A92" w14:textId="77777777" w:rsidR="00000000" w:rsidRDefault="001A570A">
      <w:pPr>
        <w:ind w:firstLine="450"/>
        <w:divId w:val="1768307361"/>
        <w:rPr>
          <w:rFonts w:eastAsia="Times New Roman"/>
        </w:rPr>
      </w:pPr>
      <w:r>
        <w:rPr>
          <w:rFonts w:eastAsia="Times New Roman"/>
          <w:color w:val="000000"/>
          <w:sz w:val="20"/>
          <w:szCs w:val="20"/>
        </w:rPr>
        <w:t>The weighted-average grant-date fair value per share was $34.49, $38.61, $30.05 and $18.60 for options granted in fiscal 2020, the two qu</w:t>
      </w:r>
      <w:r>
        <w:rPr>
          <w:rFonts w:eastAsia="Times New Roman"/>
          <w:color w:val="000000"/>
          <w:sz w:val="20"/>
          <w:szCs w:val="20"/>
        </w:rPr>
        <w:t>arters ended January 3, 2020, and fiscal 2019 and 2018, respectively. The total intrinsic value of options at the time of exercise was $103 million, $212 million, $75 million and $39 million for options exercised in fiscal 2020, the two quarters ended Janu</w:t>
      </w:r>
      <w:r>
        <w:rPr>
          <w:rFonts w:eastAsia="Times New Roman"/>
          <w:color w:val="000000"/>
          <w:sz w:val="20"/>
          <w:szCs w:val="20"/>
        </w:rPr>
        <w:t>ary 3, 2020, and fiscal 2019 and 2018, respectively.</w:t>
      </w:r>
    </w:p>
    <w:p w14:paraId="7297C3E1" w14:textId="77777777" w:rsidR="00000000" w:rsidRDefault="001A570A">
      <w:pPr>
        <w:ind w:firstLine="450"/>
        <w:jc w:val="center"/>
        <w:divId w:val="1371152738"/>
        <w:rPr>
          <w:rFonts w:eastAsia="Times New Roman"/>
        </w:rPr>
      </w:pPr>
      <w:r>
        <w:rPr>
          <w:rFonts w:eastAsia="Times New Roman"/>
          <w:color w:val="000000"/>
          <w:sz w:val="20"/>
          <w:szCs w:val="20"/>
        </w:rPr>
        <w:t>114</w:t>
      </w:r>
    </w:p>
    <w:p w14:paraId="43427DB5" w14:textId="77777777" w:rsidR="00000000" w:rsidRDefault="001A570A">
      <w:pPr>
        <w:rPr>
          <w:rFonts w:eastAsia="Times New Roman"/>
        </w:rPr>
      </w:pPr>
      <w:r>
        <w:rPr>
          <w:rFonts w:eastAsia="Times New Roman"/>
        </w:rPr>
        <w:pict w14:anchorId="7F392CA0">
          <v:rect id="_x0000_i1142" style="width:0;height:1.5pt" o:hralign="center" o:hrstd="t" o:hr="t" fillcolor="#a0a0a0" stroked="f"/>
        </w:pict>
      </w:r>
    </w:p>
    <w:p w14:paraId="68DD630A" w14:textId="77777777" w:rsidR="00000000" w:rsidRDefault="001A570A">
      <w:pPr>
        <w:ind w:firstLine="450"/>
        <w:divId w:val="1013339511"/>
        <w:rPr>
          <w:rFonts w:eastAsia="Times New Roman"/>
        </w:rPr>
      </w:pPr>
    </w:p>
    <w:p w14:paraId="102D721E" w14:textId="77777777" w:rsidR="00000000" w:rsidRDefault="001A570A">
      <w:pPr>
        <w:ind w:firstLine="450"/>
        <w:divId w:val="2015448355"/>
        <w:rPr>
          <w:rFonts w:eastAsia="Times New Roman"/>
        </w:rPr>
      </w:pPr>
      <w:r>
        <w:rPr>
          <w:rFonts w:eastAsia="Times New Roman"/>
          <w:color w:val="000000"/>
          <w:sz w:val="20"/>
          <w:szCs w:val="20"/>
        </w:rPr>
        <w:t>A summary of the status of our nonvested stock options at January 1, 2021 and changes during fiscal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53"/>
        <w:gridCol w:w="5466"/>
        <w:gridCol w:w="36"/>
        <w:gridCol w:w="55"/>
        <w:gridCol w:w="1203"/>
        <w:gridCol w:w="36"/>
        <w:gridCol w:w="36"/>
        <w:gridCol w:w="36"/>
        <w:gridCol w:w="36"/>
        <w:gridCol w:w="121"/>
        <w:gridCol w:w="1192"/>
        <w:gridCol w:w="36"/>
      </w:tblGrid>
      <w:tr w:rsidR="00000000" w14:paraId="28F8D855" w14:textId="77777777">
        <w:trPr>
          <w:divId w:val="1397364153"/>
        </w:trPr>
        <w:tc>
          <w:tcPr>
            <w:tcW w:w="50" w:type="pct"/>
            <w:vAlign w:val="center"/>
            <w:hideMark/>
          </w:tcPr>
          <w:p w14:paraId="3A7FA990" w14:textId="77777777" w:rsidR="00000000" w:rsidRDefault="001A570A">
            <w:pPr>
              <w:ind w:firstLine="450"/>
              <w:rPr>
                <w:rFonts w:eastAsia="Times New Roman"/>
              </w:rPr>
            </w:pPr>
          </w:p>
        </w:tc>
        <w:tc>
          <w:tcPr>
            <w:tcW w:w="3307" w:type="pct"/>
            <w:vAlign w:val="center"/>
            <w:hideMark/>
          </w:tcPr>
          <w:p w14:paraId="4E98C9C9" w14:textId="77777777" w:rsidR="00000000" w:rsidRDefault="001A570A">
            <w:pPr>
              <w:rPr>
                <w:rFonts w:eastAsia="Times New Roman"/>
                <w:sz w:val="20"/>
                <w:szCs w:val="20"/>
              </w:rPr>
            </w:pPr>
          </w:p>
        </w:tc>
        <w:tc>
          <w:tcPr>
            <w:tcW w:w="5" w:type="pct"/>
            <w:vAlign w:val="center"/>
            <w:hideMark/>
          </w:tcPr>
          <w:p w14:paraId="56820101" w14:textId="77777777" w:rsidR="00000000" w:rsidRDefault="001A570A">
            <w:pPr>
              <w:rPr>
                <w:rFonts w:eastAsia="Times New Roman"/>
                <w:sz w:val="20"/>
                <w:szCs w:val="20"/>
              </w:rPr>
            </w:pPr>
          </w:p>
        </w:tc>
        <w:tc>
          <w:tcPr>
            <w:tcW w:w="50" w:type="pct"/>
            <w:vAlign w:val="center"/>
            <w:hideMark/>
          </w:tcPr>
          <w:p w14:paraId="546D6D29" w14:textId="77777777" w:rsidR="00000000" w:rsidRDefault="001A570A">
            <w:pPr>
              <w:rPr>
                <w:rFonts w:eastAsia="Times New Roman"/>
                <w:sz w:val="20"/>
                <w:szCs w:val="20"/>
              </w:rPr>
            </w:pPr>
          </w:p>
        </w:tc>
        <w:tc>
          <w:tcPr>
            <w:tcW w:w="742" w:type="pct"/>
            <w:vAlign w:val="center"/>
            <w:hideMark/>
          </w:tcPr>
          <w:p w14:paraId="0501AA05" w14:textId="77777777" w:rsidR="00000000" w:rsidRDefault="001A570A">
            <w:pPr>
              <w:rPr>
                <w:rFonts w:eastAsia="Times New Roman"/>
                <w:sz w:val="20"/>
                <w:szCs w:val="20"/>
              </w:rPr>
            </w:pPr>
          </w:p>
        </w:tc>
        <w:tc>
          <w:tcPr>
            <w:tcW w:w="5" w:type="pct"/>
            <w:vAlign w:val="center"/>
            <w:hideMark/>
          </w:tcPr>
          <w:p w14:paraId="2BE4396A" w14:textId="77777777" w:rsidR="00000000" w:rsidRDefault="001A570A">
            <w:pPr>
              <w:rPr>
                <w:rFonts w:eastAsia="Times New Roman"/>
                <w:sz w:val="20"/>
                <w:szCs w:val="20"/>
              </w:rPr>
            </w:pPr>
          </w:p>
        </w:tc>
        <w:tc>
          <w:tcPr>
            <w:tcW w:w="5" w:type="pct"/>
            <w:vAlign w:val="center"/>
            <w:hideMark/>
          </w:tcPr>
          <w:p w14:paraId="6D7B68CD" w14:textId="77777777" w:rsidR="00000000" w:rsidRDefault="001A570A">
            <w:pPr>
              <w:rPr>
                <w:rFonts w:eastAsia="Times New Roman"/>
                <w:sz w:val="20"/>
                <w:szCs w:val="20"/>
              </w:rPr>
            </w:pPr>
          </w:p>
        </w:tc>
        <w:tc>
          <w:tcPr>
            <w:tcW w:w="25" w:type="pct"/>
            <w:vAlign w:val="center"/>
            <w:hideMark/>
          </w:tcPr>
          <w:p w14:paraId="327083C0" w14:textId="77777777" w:rsidR="00000000" w:rsidRDefault="001A570A">
            <w:pPr>
              <w:rPr>
                <w:rFonts w:eastAsia="Times New Roman"/>
                <w:sz w:val="20"/>
                <w:szCs w:val="20"/>
              </w:rPr>
            </w:pPr>
          </w:p>
        </w:tc>
        <w:tc>
          <w:tcPr>
            <w:tcW w:w="5" w:type="pct"/>
            <w:vAlign w:val="center"/>
            <w:hideMark/>
          </w:tcPr>
          <w:p w14:paraId="217B1938" w14:textId="77777777" w:rsidR="00000000" w:rsidRDefault="001A570A">
            <w:pPr>
              <w:rPr>
                <w:rFonts w:eastAsia="Times New Roman"/>
                <w:sz w:val="20"/>
                <w:szCs w:val="20"/>
              </w:rPr>
            </w:pPr>
          </w:p>
        </w:tc>
        <w:tc>
          <w:tcPr>
            <w:tcW w:w="50" w:type="pct"/>
            <w:vAlign w:val="center"/>
            <w:hideMark/>
          </w:tcPr>
          <w:p w14:paraId="0A83433A" w14:textId="77777777" w:rsidR="00000000" w:rsidRDefault="001A570A">
            <w:pPr>
              <w:rPr>
                <w:rFonts w:eastAsia="Times New Roman"/>
                <w:sz w:val="20"/>
                <w:szCs w:val="20"/>
              </w:rPr>
            </w:pPr>
          </w:p>
        </w:tc>
        <w:tc>
          <w:tcPr>
            <w:tcW w:w="749" w:type="pct"/>
            <w:vAlign w:val="center"/>
            <w:hideMark/>
          </w:tcPr>
          <w:p w14:paraId="68B6BF4A" w14:textId="77777777" w:rsidR="00000000" w:rsidRDefault="001A570A">
            <w:pPr>
              <w:rPr>
                <w:rFonts w:eastAsia="Times New Roman"/>
                <w:sz w:val="20"/>
                <w:szCs w:val="20"/>
              </w:rPr>
            </w:pPr>
          </w:p>
        </w:tc>
        <w:tc>
          <w:tcPr>
            <w:tcW w:w="5" w:type="pct"/>
            <w:vAlign w:val="center"/>
            <w:hideMark/>
          </w:tcPr>
          <w:p w14:paraId="45D57511" w14:textId="77777777" w:rsidR="00000000" w:rsidRDefault="001A570A">
            <w:pPr>
              <w:rPr>
                <w:rFonts w:eastAsia="Times New Roman"/>
                <w:sz w:val="20"/>
                <w:szCs w:val="20"/>
              </w:rPr>
            </w:pPr>
          </w:p>
        </w:tc>
      </w:tr>
      <w:tr w:rsidR="00000000" w14:paraId="1E23F3F0" w14:textId="77777777">
        <w:trPr>
          <w:divId w:val="1397364153"/>
        </w:trPr>
        <w:tc>
          <w:tcPr>
            <w:tcW w:w="0" w:type="auto"/>
            <w:gridSpan w:val="3"/>
            <w:tcMar>
              <w:top w:w="0" w:type="dxa"/>
              <w:left w:w="20" w:type="dxa"/>
              <w:bottom w:w="0" w:type="dxa"/>
              <w:right w:w="20" w:type="dxa"/>
            </w:tcMar>
            <w:vAlign w:val="center"/>
            <w:hideMark/>
          </w:tcPr>
          <w:p w14:paraId="6D8FEF78"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45E2D072" w14:textId="77777777" w:rsidR="00000000" w:rsidRDefault="001A570A">
            <w:pPr>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14:paraId="29637703"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7D98082" w14:textId="77777777" w:rsidR="00000000" w:rsidRDefault="001A570A">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Grant-Date Fair Value</w:t>
            </w:r>
            <w:r>
              <w:rPr>
                <w:rFonts w:eastAsia="Times New Roman"/>
                <w:b/>
                <w:bCs/>
                <w:color w:val="000000"/>
                <w:sz w:val="16"/>
                <w:szCs w:val="16"/>
              </w:rPr>
              <w:br/>
              <w:t>Per Share</w:t>
            </w:r>
          </w:p>
        </w:tc>
      </w:tr>
      <w:tr w:rsidR="00000000" w14:paraId="3C225F32" w14:textId="77777777">
        <w:trPr>
          <w:divId w:val="1397364153"/>
          <w:trHeight w:val="60"/>
        </w:trPr>
        <w:tc>
          <w:tcPr>
            <w:tcW w:w="0" w:type="auto"/>
            <w:gridSpan w:val="3"/>
            <w:tcMar>
              <w:top w:w="0" w:type="dxa"/>
              <w:left w:w="20" w:type="dxa"/>
              <w:bottom w:w="0" w:type="dxa"/>
              <w:right w:w="20" w:type="dxa"/>
            </w:tcMar>
            <w:vAlign w:val="center"/>
            <w:hideMark/>
          </w:tcPr>
          <w:p w14:paraId="64520990"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A45CF2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329C07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C9B49B" w14:textId="77777777" w:rsidR="00000000" w:rsidRDefault="001A570A">
            <w:pPr>
              <w:rPr>
                <w:rFonts w:eastAsia="Times New Roman"/>
                <w:sz w:val="20"/>
                <w:szCs w:val="20"/>
              </w:rPr>
            </w:pPr>
          </w:p>
        </w:tc>
      </w:tr>
      <w:tr w:rsidR="00000000" w14:paraId="0D6A60F6" w14:textId="77777777">
        <w:trPr>
          <w:divId w:val="1397364153"/>
        </w:trPr>
        <w:tc>
          <w:tcPr>
            <w:tcW w:w="0" w:type="auto"/>
            <w:gridSpan w:val="3"/>
            <w:shd w:val="clear" w:color="auto" w:fill="CCEEFF"/>
            <w:tcMar>
              <w:top w:w="30" w:type="dxa"/>
              <w:left w:w="20" w:type="dxa"/>
              <w:bottom w:w="30" w:type="dxa"/>
              <w:right w:w="20" w:type="dxa"/>
            </w:tcMar>
            <w:hideMark/>
          </w:tcPr>
          <w:p w14:paraId="0DAAE68C" w14:textId="77777777" w:rsidR="00000000" w:rsidRDefault="001A570A">
            <w:pPr>
              <w:rPr>
                <w:rFonts w:eastAsia="Times New Roman"/>
              </w:rPr>
            </w:pPr>
            <w:r>
              <w:rPr>
                <w:rFonts w:eastAsia="Times New Roman"/>
                <w:color w:val="000000"/>
                <w:sz w:val="20"/>
                <w:szCs w:val="20"/>
              </w:rPr>
              <w:t>Nonvested stock options January 3, 2020</w:t>
            </w:r>
          </w:p>
        </w:tc>
        <w:tc>
          <w:tcPr>
            <w:tcW w:w="0" w:type="auto"/>
            <w:gridSpan w:val="2"/>
            <w:shd w:val="clear" w:color="auto" w:fill="CCEEFF"/>
            <w:tcMar>
              <w:top w:w="30" w:type="dxa"/>
              <w:left w:w="20" w:type="dxa"/>
              <w:bottom w:w="30" w:type="dxa"/>
              <w:right w:w="0" w:type="dxa"/>
            </w:tcMar>
            <w:vAlign w:val="bottom"/>
            <w:hideMark/>
          </w:tcPr>
          <w:p w14:paraId="705B331E" w14:textId="77777777" w:rsidR="00000000" w:rsidRDefault="001A570A">
            <w:pPr>
              <w:jc w:val="right"/>
              <w:rPr>
                <w:rFonts w:eastAsia="Times New Roman"/>
              </w:rPr>
            </w:pPr>
            <w:r>
              <w:rPr>
                <w:rFonts w:eastAsia="Times New Roman"/>
                <w:color w:val="000000"/>
                <w:sz w:val="20"/>
                <w:szCs w:val="20"/>
              </w:rPr>
              <w:t>738,956 </w:t>
            </w:r>
          </w:p>
        </w:tc>
        <w:tc>
          <w:tcPr>
            <w:tcW w:w="0" w:type="auto"/>
            <w:shd w:val="clear" w:color="auto" w:fill="CCEEFF"/>
            <w:tcMar>
              <w:top w:w="30" w:type="dxa"/>
              <w:left w:w="0" w:type="dxa"/>
              <w:bottom w:w="30" w:type="dxa"/>
              <w:right w:w="20" w:type="dxa"/>
            </w:tcMar>
            <w:vAlign w:val="bottom"/>
            <w:hideMark/>
          </w:tcPr>
          <w:p w14:paraId="75C4F0D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789EC"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52F04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D8FA49" w14:textId="77777777" w:rsidR="00000000" w:rsidRDefault="001A570A">
            <w:pPr>
              <w:jc w:val="right"/>
              <w:rPr>
                <w:rFonts w:eastAsia="Times New Roman"/>
              </w:rPr>
            </w:pPr>
            <w:r>
              <w:rPr>
                <w:rFonts w:eastAsia="Times New Roman"/>
                <w:color w:val="000000"/>
                <w:sz w:val="20"/>
                <w:szCs w:val="20"/>
              </w:rPr>
              <w:t>38.61 </w:t>
            </w:r>
          </w:p>
        </w:tc>
        <w:tc>
          <w:tcPr>
            <w:tcW w:w="0" w:type="auto"/>
            <w:shd w:val="clear" w:color="auto" w:fill="CCEEFF"/>
            <w:tcMar>
              <w:top w:w="30" w:type="dxa"/>
              <w:left w:w="0" w:type="dxa"/>
              <w:bottom w:w="30" w:type="dxa"/>
              <w:right w:w="20" w:type="dxa"/>
            </w:tcMar>
            <w:vAlign w:val="bottom"/>
            <w:hideMark/>
          </w:tcPr>
          <w:p w14:paraId="63068D5F" w14:textId="77777777" w:rsidR="00000000" w:rsidRDefault="001A570A">
            <w:pPr>
              <w:jc w:val="right"/>
              <w:rPr>
                <w:rFonts w:eastAsia="Times New Roman"/>
              </w:rPr>
            </w:pPr>
          </w:p>
        </w:tc>
      </w:tr>
      <w:tr w:rsidR="00000000" w14:paraId="58B1F868" w14:textId="77777777">
        <w:trPr>
          <w:divId w:val="1397364153"/>
        </w:trPr>
        <w:tc>
          <w:tcPr>
            <w:tcW w:w="0" w:type="auto"/>
            <w:gridSpan w:val="3"/>
            <w:shd w:val="clear" w:color="auto" w:fill="FFFFFF"/>
            <w:tcMar>
              <w:top w:w="30" w:type="dxa"/>
              <w:left w:w="20" w:type="dxa"/>
              <w:bottom w:w="30" w:type="dxa"/>
              <w:right w:w="20" w:type="dxa"/>
            </w:tcMar>
            <w:hideMark/>
          </w:tcPr>
          <w:p w14:paraId="451682FA" w14:textId="77777777" w:rsidR="00000000" w:rsidRDefault="001A570A">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0BAB80D9" w14:textId="77777777" w:rsidR="00000000" w:rsidRDefault="001A570A">
            <w:pPr>
              <w:jc w:val="right"/>
              <w:rPr>
                <w:rFonts w:eastAsia="Times New Roman"/>
              </w:rPr>
            </w:pPr>
            <w:r>
              <w:rPr>
                <w:rFonts w:eastAsia="Times New Roman"/>
                <w:color w:val="000000"/>
                <w:sz w:val="20"/>
                <w:szCs w:val="20"/>
              </w:rPr>
              <w:t>583,200 </w:t>
            </w:r>
          </w:p>
        </w:tc>
        <w:tc>
          <w:tcPr>
            <w:tcW w:w="0" w:type="auto"/>
            <w:shd w:val="clear" w:color="auto" w:fill="FFFFFF"/>
            <w:tcMar>
              <w:top w:w="30" w:type="dxa"/>
              <w:left w:w="0" w:type="dxa"/>
              <w:bottom w:w="30" w:type="dxa"/>
              <w:right w:w="20" w:type="dxa"/>
            </w:tcMar>
            <w:vAlign w:val="bottom"/>
            <w:hideMark/>
          </w:tcPr>
          <w:p w14:paraId="4D7AB80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200E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18EE57"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7C4C68" w14:textId="77777777" w:rsidR="00000000" w:rsidRDefault="001A570A">
            <w:pPr>
              <w:jc w:val="right"/>
              <w:rPr>
                <w:rFonts w:eastAsia="Times New Roman"/>
              </w:rPr>
            </w:pPr>
            <w:r>
              <w:rPr>
                <w:rFonts w:eastAsia="Times New Roman"/>
                <w:color w:val="000000"/>
                <w:sz w:val="20"/>
                <w:szCs w:val="20"/>
              </w:rPr>
              <w:t>34.49 </w:t>
            </w:r>
          </w:p>
        </w:tc>
        <w:tc>
          <w:tcPr>
            <w:tcW w:w="0" w:type="auto"/>
            <w:shd w:val="clear" w:color="auto" w:fill="FFFFFF"/>
            <w:tcMar>
              <w:top w:w="30" w:type="dxa"/>
              <w:left w:w="0" w:type="dxa"/>
              <w:bottom w:w="30" w:type="dxa"/>
              <w:right w:w="20" w:type="dxa"/>
            </w:tcMar>
            <w:vAlign w:val="bottom"/>
            <w:hideMark/>
          </w:tcPr>
          <w:p w14:paraId="408C1297" w14:textId="77777777" w:rsidR="00000000" w:rsidRDefault="001A570A">
            <w:pPr>
              <w:jc w:val="right"/>
              <w:rPr>
                <w:rFonts w:eastAsia="Times New Roman"/>
              </w:rPr>
            </w:pPr>
          </w:p>
        </w:tc>
      </w:tr>
      <w:tr w:rsidR="00000000" w14:paraId="7E54B186" w14:textId="77777777">
        <w:trPr>
          <w:divId w:val="1397364153"/>
        </w:trPr>
        <w:tc>
          <w:tcPr>
            <w:tcW w:w="0" w:type="auto"/>
            <w:gridSpan w:val="3"/>
            <w:shd w:val="clear" w:color="auto" w:fill="CCEEFF"/>
            <w:tcMar>
              <w:top w:w="30" w:type="dxa"/>
              <w:left w:w="20" w:type="dxa"/>
              <w:bottom w:w="30" w:type="dxa"/>
              <w:right w:w="20" w:type="dxa"/>
            </w:tcMar>
            <w:hideMark/>
          </w:tcPr>
          <w:p w14:paraId="3E93878C" w14:textId="77777777" w:rsidR="00000000" w:rsidRDefault="001A570A">
            <w:pPr>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3CC3D090" w14:textId="77777777" w:rsidR="00000000" w:rsidRDefault="001A570A">
            <w:pPr>
              <w:jc w:val="right"/>
              <w:rPr>
                <w:rFonts w:eastAsia="Times New Roman"/>
              </w:rPr>
            </w:pPr>
            <w:r>
              <w:rPr>
                <w:rFonts w:eastAsia="Times New Roman"/>
                <w:color w:val="000000"/>
                <w:sz w:val="20"/>
                <w:szCs w:val="20"/>
              </w:rPr>
              <w:t>(32,525)</w:t>
            </w:r>
          </w:p>
        </w:tc>
        <w:tc>
          <w:tcPr>
            <w:tcW w:w="0" w:type="auto"/>
            <w:shd w:val="clear" w:color="auto" w:fill="CCEEFF"/>
            <w:tcMar>
              <w:top w:w="30" w:type="dxa"/>
              <w:left w:w="0" w:type="dxa"/>
              <w:bottom w:w="30" w:type="dxa"/>
              <w:right w:w="20" w:type="dxa"/>
            </w:tcMar>
            <w:vAlign w:val="bottom"/>
            <w:hideMark/>
          </w:tcPr>
          <w:p w14:paraId="3F2501D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3C98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16292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35044C" w14:textId="77777777" w:rsidR="00000000" w:rsidRDefault="001A570A">
            <w:pPr>
              <w:jc w:val="right"/>
              <w:rPr>
                <w:rFonts w:eastAsia="Times New Roman"/>
              </w:rPr>
            </w:pPr>
            <w:r>
              <w:rPr>
                <w:rFonts w:eastAsia="Times New Roman"/>
                <w:color w:val="000000"/>
                <w:sz w:val="20"/>
                <w:szCs w:val="20"/>
              </w:rPr>
              <w:t>35.86 </w:t>
            </w:r>
          </w:p>
        </w:tc>
        <w:tc>
          <w:tcPr>
            <w:tcW w:w="0" w:type="auto"/>
            <w:shd w:val="clear" w:color="auto" w:fill="CCEEFF"/>
            <w:tcMar>
              <w:top w:w="30" w:type="dxa"/>
              <w:left w:w="0" w:type="dxa"/>
              <w:bottom w:w="30" w:type="dxa"/>
              <w:right w:w="20" w:type="dxa"/>
            </w:tcMar>
            <w:vAlign w:val="bottom"/>
            <w:hideMark/>
          </w:tcPr>
          <w:p w14:paraId="54F2B69E" w14:textId="77777777" w:rsidR="00000000" w:rsidRDefault="001A570A">
            <w:pPr>
              <w:jc w:val="right"/>
              <w:rPr>
                <w:rFonts w:eastAsia="Times New Roman"/>
              </w:rPr>
            </w:pPr>
          </w:p>
        </w:tc>
      </w:tr>
      <w:tr w:rsidR="00000000" w14:paraId="3393DEF1" w14:textId="77777777">
        <w:trPr>
          <w:divId w:val="1397364153"/>
        </w:trPr>
        <w:tc>
          <w:tcPr>
            <w:tcW w:w="0" w:type="auto"/>
            <w:gridSpan w:val="3"/>
            <w:shd w:val="clear" w:color="auto" w:fill="FFFFFF"/>
            <w:tcMar>
              <w:top w:w="30" w:type="dxa"/>
              <w:left w:w="20" w:type="dxa"/>
              <w:bottom w:w="30" w:type="dxa"/>
              <w:right w:w="20" w:type="dxa"/>
            </w:tcMar>
            <w:hideMark/>
          </w:tcPr>
          <w:p w14:paraId="122B51A0" w14:textId="77777777" w:rsidR="00000000" w:rsidRDefault="001A570A">
            <w:pPr>
              <w:rPr>
                <w:rFonts w:eastAsia="Times New Roman"/>
              </w:rPr>
            </w:pPr>
            <w:r>
              <w:rPr>
                <w:rFonts w:eastAsia="Times New Roman"/>
                <w:color w:val="000000"/>
                <w:sz w:val="20"/>
                <w:szCs w:val="20"/>
              </w:rPr>
              <w:t>Nonvested stock options January 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E728FD" w14:textId="77777777" w:rsidR="00000000" w:rsidRDefault="001A570A">
            <w:pPr>
              <w:jc w:val="right"/>
              <w:rPr>
                <w:rFonts w:eastAsia="Times New Roman"/>
              </w:rPr>
            </w:pPr>
            <w:r>
              <w:rPr>
                <w:rFonts w:eastAsia="Times New Roman"/>
                <w:color w:val="000000"/>
                <w:sz w:val="20"/>
                <w:szCs w:val="20"/>
              </w:rPr>
              <w:t>1,289,631 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1C3EC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18CC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A3378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968346" w14:textId="77777777" w:rsidR="00000000" w:rsidRDefault="001A570A">
            <w:pPr>
              <w:jc w:val="right"/>
              <w:rPr>
                <w:rFonts w:eastAsia="Times New Roman"/>
              </w:rPr>
            </w:pPr>
            <w:r>
              <w:rPr>
                <w:rFonts w:eastAsia="Times New Roman"/>
                <w:color w:val="000000"/>
                <w:sz w:val="20"/>
                <w:szCs w:val="20"/>
              </w:rPr>
              <w:t>36.81 </w:t>
            </w:r>
          </w:p>
        </w:tc>
        <w:tc>
          <w:tcPr>
            <w:tcW w:w="0" w:type="auto"/>
            <w:shd w:val="clear" w:color="auto" w:fill="FFFFFF"/>
            <w:tcMar>
              <w:top w:w="30" w:type="dxa"/>
              <w:left w:w="0" w:type="dxa"/>
              <w:bottom w:w="30" w:type="dxa"/>
              <w:right w:w="20" w:type="dxa"/>
            </w:tcMar>
            <w:vAlign w:val="bottom"/>
            <w:hideMark/>
          </w:tcPr>
          <w:p w14:paraId="6036DB9C" w14:textId="77777777" w:rsidR="00000000" w:rsidRDefault="001A570A">
            <w:pPr>
              <w:jc w:val="right"/>
              <w:rPr>
                <w:rFonts w:eastAsia="Times New Roman"/>
              </w:rPr>
            </w:pPr>
          </w:p>
        </w:tc>
      </w:tr>
    </w:tbl>
    <w:p w14:paraId="4ADC9346" w14:textId="77777777" w:rsidR="00000000" w:rsidRDefault="001A570A">
      <w:pPr>
        <w:ind w:firstLine="450"/>
        <w:divId w:val="1778795428"/>
        <w:rPr>
          <w:rFonts w:eastAsia="Times New Roman"/>
        </w:rPr>
      </w:pPr>
      <w:r>
        <w:rPr>
          <w:rFonts w:eastAsia="Times New Roman"/>
          <w:color w:val="000000"/>
          <w:sz w:val="20"/>
          <w:szCs w:val="20"/>
        </w:rPr>
        <w:t xml:space="preserve">As of January 1, 2021, there was $25 </w:t>
      </w:r>
      <w:r>
        <w:rPr>
          <w:rFonts w:eastAsia="Times New Roman"/>
          <w:color w:val="000000"/>
          <w:sz w:val="20"/>
          <w:szCs w:val="20"/>
        </w:rPr>
        <w:t>million of total unrecognized compensation expense related to nonvested stock options granted under our L3Harris SIPs. This expense is expected to be recognized over a weighted-average period of 1.87 years. The total fair value of stock options that vested</w:t>
      </w:r>
      <w:r>
        <w:rPr>
          <w:rFonts w:eastAsia="Times New Roman"/>
          <w:color w:val="000000"/>
          <w:sz w:val="20"/>
          <w:szCs w:val="20"/>
        </w:rPr>
        <w:t xml:space="preserve"> in fiscal 2020 was not material and the total fair value of stock options that vested in the two quarters ended January 3, 2020, and in fiscal 2019 and 2018 was $17 million, $14 million and $18 million, respectively.</w:t>
      </w:r>
    </w:p>
    <w:p w14:paraId="0B0AC876" w14:textId="77777777" w:rsidR="00000000" w:rsidRDefault="001A570A">
      <w:pPr>
        <w:divId w:val="2114782304"/>
        <w:rPr>
          <w:rFonts w:eastAsia="Times New Roman"/>
        </w:rPr>
      </w:pPr>
      <w:r>
        <w:rPr>
          <w:rFonts w:eastAsia="Times New Roman"/>
          <w:b/>
          <w:bCs/>
          <w:color w:val="000000"/>
          <w:sz w:val="20"/>
          <w:szCs w:val="20"/>
        </w:rPr>
        <w:t xml:space="preserve">Restricted Stock and Restricted Stock </w:t>
      </w:r>
      <w:r>
        <w:rPr>
          <w:rFonts w:eastAsia="Times New Roman"/>
          <w:b/>
          <w:bCs/>
          <w:color w:val="000000"/>
          <w:sz w:val="20"/>
          <w:szCs w:val="20"/>
        </w:rPr>
        <w:t>Unit Awards</w:t>
      </w:r>
    </w:p>
    <w:p w14:paraId="37B91D27" w14:textId="77777777" w:rsidR="00000000" w:rsidRDefault="001A570A">
      <w:pPr>
        <w:ind w:firstLine="450"/>
        <w:divId w:val="1738937853"/>
        <w:rPr>
          <w:rFonts w:eastAsia="Times New Roman"/>
        </w:rPr>
      </w:pPr>
      <w:r>
        <w:rPr>
          <w:rFonts w:eastAsia="Times New Roman"/>
          <w:color w:val="000000"/>
          <w:sz w:val="20"/>
          <w:szCs w:val="20"/>
        </w:rPr>
        <w:t>The following information relates to awards of restricted stock and restricted stock units that have been granted to employees and non-employee directors under our L3Harris SIPs. These awards are not transferable until vested and the restrictions generally</w:t>
      </w:r>
      <w:r>
        <w:rPr>
          <w:rFonts w:eastAsia="Times New Roman"/>
          <w:color w:val="000000"/>
          <w:sz w:val="20"/>
          <w:szCs w:val="20"/>
        </w:rPr>
        <w:t xml:space="preserve"> lapse upon the achievement of continued employment (or board membership) over a specified time period.</w:t>
      </w:r>
    </w:p>
    <w:p w14:paraId="53A0232E" w14:textId="77777777" w:rsidR="00000000" w:rsidRDefault="001A570A">
      <w:pPr>
        <w:ind w:firstLine="450"/>
        <w:divId w:val="677733893"/>
        <w:rPr>
          <w:rFonts w:eastAsia="Times New Roman"/>
        </w:rPr>
      </w:pPr>
      <w:r>
        <w:rPr>
          <w:rFonts w:eastAsia="Times New Roman"/>
          <w:color w:val="000000"/>
          <w:sz w:val="20"/>
          <w:szCs w:val="20"/>
        </w:rPr>
        <w:t>The fair value as of the grant date of these awards was based on the closing price of our common stock on the grant date and is amortized to compensatio</w:t>
      </w:r>
      <w:r>
        <w:rPr>
          <w:rFonts w:eastAsia="Times New Roman"/>
          <w:color w:val="000000"/>
          <w:sz w:val="20"/>
          <w:szCs w:val="20"/>
        </w:rPr>
        <w:t>n expense over the vesting period. At January 1, 2021, there were 64,059 shares of restricted stock and 634,861 restricted stock units outstanding which were payable in shares.</w:t>
      </w:r>
    </w:p>
    <w:p w14:paraId="41727686" w14:textId="77777777" w:rsidR="00000000" w:rsidRDefault="001A570A">
      <w:pPr>
        <w:ind w:firstLine="450"/>
        <w:divId w:val="1833716979"/>
        <w:rPr>
          <w:rFonts w:eastAsia="Times New Roman"/>
        </w:rPr>
      </w:pPr>
      <w:r>
        <w:rPr>
          <w:rFonts w:eastAsia="Times New Roman"/>
          <w:color w:val="000000"/>
          <w:sz w:val="20"/>
          <w:szCs w:val="20"/>
        </w:rPr>
        <w:t>A summary of the status of these awards at January 1, 2021 and changes during f</w:t>
      </w:r>
      <w:r>
        <w:rPr>
          <w:rFonts w:eastAsia="Times New Roman"/>
          <w:color w:val="000000"/>
          <w:sz w:val="20"/>
          <w:szCs w:val="20"/>
        </w:rPr>
        <w:t>iscal 2020 is as follows:</w:t>
      </w:r>
    </w:p>
    <w:tbl>
      <w:tblPr>
        <w:tblW w:w="4992" w:type="pct"/>
        <w:tblCellMar>
          <w:top w:w="15" w:type="dxa"/>
          <w:left w:w="15" w:type="dxa"/>
          <w:bottom w:w="15" w:type="dxa"/>
          <w:right w:w="15" w:type="dxa"/>
        </w:tblCellMar>
        <w:tblLook w:val="04A0" w:firstRow="1" w:lastRow="0" w:firstColumn="1" w:lastColumn="0" w:noHBand="0" w:noVBand="1"/>
      </w:tblPr>
      <w:tblGrid>
        <w:gridCol w:w="54"/>
        <w:gridCol w:w="5512"/>
        <w:gridCol w:w="36"/>
        <w:gridCol w:w="54"/>
        <w:gridCol w:w="1180"/>
        <w:gridCol w:w="36"/>
        <w:gridCol w:w="36"/>
        <w:gridCol w:w="36"/>
        <w:gridCol w:w="36"/>
        <w:gridCol w:w="120"/>
        <w:gridCol w:w="1157"/>
        <w:gridCol w:w="36"/>
      </w:tblGrid>
      <w:tr w:rsidR="00000000" w14:paraId="175BA957" w14:textId="77777777">
        <w:trPr>
          <w:divId w:val="1281956866"/>
        </w:trPr>
        <w:tc>
          <w:tcPr>
            <w:tcW w:w="50" w:type="pct"/>
            <w:vAlign w:val="center"/>
            <w:hideMark/>
          </w:tcPr>
          <w:p w14:paraId="5F39D236" w14:textId="77777777" w:rsidR="00000000" w:rsidRDefault="001A570A">
            <w:pPr>
              <w:ind w:firstLine="450"/>
              <w:rPr>
                <w:rFonts w:eastAsia="Times New Roman"/>
              </w:rPr>
            </w:pPr>
          </w:p>
        </w:tc>
        <w:tc>
          <w:tcPr>
            <w:tcW w:w="3340" w:type="pct"/>
            <w:vAlign w:val="center"/>
            <w:hideMark/>
          </w:tcPr>
          <w:p w14:paraId="48425229" w14:textId="77777777" w:rsidR="00000000" w:rsidRDefault="001A570A">
            <w:pPr>
              <w:rPr>
                <w:rFonts w:eastAsia="Times New Roman"/>
                <w:sz w:val="20"/>
                <w:szCs w:val="20"/>
              </w:rPr>
            </w:pPr>
          </w:p>
        </w:tc>
        <w:tc>
          <w:tcPr>
            <w:tcW w:w="5" w:type="pct"/>
            <w:vAlign w:val="center"/>
            <w:hideMark/>
          </w:tcPr>
          <w:p w14:paraId="3356C1FE" w14:textId="77777777" w:rsidR="00000000" w:rsidRDefault="001A570A">
            <w:pPr>
              <w:rPr>
                <w:rFonts w:eastAsia="Times New Roman"/>
                <w:sz w:val="20"/>
                <w:szCs w:val="20"/>
              </w:rPr>
            </w:pPr>
          </w:p>
        </w:tc>
        <w:tc>
          <w:tcPr>
            <w:tcW w:w="50" w:type="pct"/>
            <w:vAlign w:val="center"/>
            <w:hideMark/>
          </w:tcPr>
          <w:p w14:paraId="225CF19C" w14:textId="77777777" w:rsidR="00000000" w:rsidRDefault="001A570A">
            <w:pPr>
              <w:rPr>
                <w:rFonts w:eastAsia="Times New Roman"/>
                <w:sz w:val="20"/>
                <w:szCs w:val="20"/>
              </w:rPr>
            </w:pPr>
          </w:p>
        </w:tc>
        <w:tc>
          <w:tcPr>
            <w:tcW w:w="729" w:type="pct"/>
            <w:vAlign w:val="center"/>
            <w:hideMark/>
          </w:tcPr>
          <w:p w14:paraId="62ADBA52" w14:textId="77777777" w:rsidR="00000000" w:rsidRDefault="001A570A">
            <w:pPr>
              <w:rPr>
                <w:rFonts w:eastAsia="Times New Roman"/>
                <w:sz w:val="20"/>
                <w:szCs w:val="20"/>
              </w:rPr>
            </w:pPr>
          </w:p>
        </w:tc>
        <w:tc>
          <w:tcPr>
            <w:tcW w:w="5" w:type="pct"/>
            <w:vAlign w:val="center"/>
            <w:hideMark/>
          </w:tcPr>
          <w:p w14:paraId="3DD1D506" w14:textId="77777777" w:rsidR="00000000" w:rsidRDefault="001A570A">
            <w:pPr>
              <w:rPr>
                <w:rFonts w:eastAsia="Times New Roman"/>
                <w:sz w:val="20"/>
                <w:szCs w:val="20"/>
              </w:rPr>
            </w:pPr>
          </w:p>
        </w:tc>
        <w:tc>
          <w:tcPr>
            <w:tcW w:w="5" w:type="pct"/>
            <w:vAlign w:val="center"/>
            <w:hideMark/>
          </w:tcPr>
          <w:p w14:paraId="35E61CF9" w14:textId="77777777" w:rsidR="00000000" w:rsidRDefault="001A570A">
            <w:pPr>
              <w:rPr>
                <w:rFonts w:eastAsia="Times New Roman"/>
                <w:sz w:val="20"/>
                <w:szCs w:val="20"/>
              </w:rPr>
            </w:pPr>
          </w:p>
        </w:tc>
        <w:tc>
          <w:tcPr>
            <w:tcW w:w="25" w:type="pct"/>
            <w:vAlign w:val="center"/>
            <w:hideMark/>
          </w:tcPr>
          <w:p w14:paraId="57F25579" w14:textId="77777777" w:rsidR="00000000" w:rsidRDefault="001A570A">
            <w:pPr>
              <w:rPr>
                <w:rFonts w:eastAsia="Times New Roman"/>
                <w:sz w:val="20"/>
                <w:szCs w:val="20"/>
              </w:rPr>
            </w:pPr>
          </w:p>
        </w:tc>
        <w:tc>
          <w:tcPr>
            <w:tcW w:w="5" w:type="pct"/>
            <w:vAlign w:val="center"/>
            <w:hideMark/>
          </w:tcPr>
          <w:p w14:paraId="06C5D4B5" w14:textId="77777777" w:rsidR="00000000" w:rsidRDefault="001A570A">
            <w:pPr>
              <w:rPr>
                <w:rFonts w:eastAsia="Times New Roman"/>
                <w:sz w:val="20"/>
                <w:szCs w:val="20"/>
              </w:rPr>
            </w:pPr>
          </w:p>
        </w:tc>
        <w:tc>
          <w:tcPr>
            <w:tcW w:w="50" w:type="pct"/>
            <w:vAlign w:val="center"/>
            <w:hideMark/>
          </w:tcPr>
          <w:p w14:paraId="6E7DDDBF" w14:textId="77777777" w:rsidR="00000000" w:rsidRDefault="001A570A">
            <w:pPr>
              <w:rPr>
                <w:rFonts w:eastAsia="Times New Roman"/>
                <w:sz w:val="20"/>
                <w:szCs w:val="20"/>
              </w:rPr>
            </w:pPr>
          </w:p>
        </w:tc>
        <w:tc>
          <w:tcPr>
            <w:tcW w:w="729" w:type="pct"/>
            <w:vAlign w:val="center"/>
            <w:hideMark/>
          </w:tcPr>
          <w:p w14:paraId="6DB0D8DA" w14:textId="77777777" w:rsidR="00000000" w:rsidRDefault="001A570A">
            <w:pPr>
              <w:rPr>
                <w:rFonts w:eastAsia="Times New Roman"/>
                <w:sz w:val="20"/>
                <w:szCs w:val="20"/>
              </w:rPr>
            </w:pPr>
          </w:p>
        </w:tc>
        <w:tc>
          <w:tcPr>
            <w:tcW w:w="5" w:type="pct"/>
            <w:vAlign w:val="center"/>
            <w:hideMark/>
          </w:tcPr>
          <w:p w14:paraId="347C15C3" w14:textId="77777777" w:rsidR="00000000" w:rsidRDefault="001A570A">
            <w:pPr>
              <w:rPr>
                <w:rFonts w:eastAsia="Times New Roman"/>
                <w:sz w:val="20"/>
                <w:szCs w:val="20"/>
              </w:rPr>
            </w:pPr>
          </w:p>
        </w:tc>
      </w:tr>
      <w:tr w:rsidR="00000000" w14:paraId="1C590401" w14:textId="77777777">
        <w:trPr>
          <w:divId w:val="1281956866"/>
        </w:trPr>
        <w:tc>
          <w:tcPr>
            <w:tcW w:w="0" w:type="auto"/>
            <w:gridSpan w:val="3"/>
            <w:tcMar>
              <w:top w:w="0" w:type="dxa"/>
              <w:left w:w="20" w:type="dxa"/>
              <w:bottom w:w="0" w:type="dxa"/>
              <w:right w:w="20" w:type="dxa"/>
            </w:tcMar>
            <w:vAlign w:val="center"/>
            <w:hideMark/>
          </w:tcPr>
          <w:p w14:paraId="327C3DBB"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3590194" w14:textId="77777777" w:rsidR="00000000" w:rsidRDefault="001A570A">
            <w:pPr>
              <w:jc w:val="center"/>
              <w:rPr>
                <w:rFonts w:eastAsia="Times New Roman"/>
              </w:rPr>
            </w:pPr>
            <w:r>
              <w:rPr>
                <w:rFonts w:eastAsia="Times New Roman"/>
                <w:b/>
                <w:bCs/>
                <w:color w:val="000000"/>
                <w:sz w:val="16"/>
                <w:szCs w:val="16"/>
              </w:rPr>
              <w:t>Shares or Units</w:t>
            </w:r>
          </w:p>
        </w:tc>
        <w:tc>
          <w:tcPr>
            <w:tcW w:w="0" w:type="auto"/>
            <w:gridSpan w:val="3"/>
            <w:tcMar>
              <w:top w:w="0" w:type="dxa"/>
              <w:left w:w="20" w:type="dxa"/>
              <w:bottom w:w="0" w:type="dxa"/>
              <w:right w:w="20" w:type="dxa"/>
            </w:tcMar>
            <w:vAlign w:val="center"/>
            <w:hideMark/>
          </w:tcPr>
          <w:p w14:paraId="689E7204"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188E8D5" w14:textId="77777777" w:rsidR="00000000" w:rsidRDefault="001A570A">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Price Per Share or Unit</w:t>
            </w:r>
          </w:p>
        </w:tc>
      </w:tr>
      <w:tr w:rsidR="00000000" w14:paraId="6C702C5B" w14:textId="77777777">
        <w:trPr>
          <w:divId w:val="1281956866"/>
          <w:trHeight w:val="60"/>
        </w:trPr>
        <w:tc>
          <w:tcPr>
            <w:tcW w:w="0" w:type="auto"/>
            <w:gridSpan w:val="3"/>
            <w:tcMar>
              <w:top w:w="0" w:type="dxa"/>
              <w:left w:w="20" w:type="dxa"/>
              <w:bottom w:w="0" w:type="dxa"/>
              <w:right w:w="20" w:type="dxa"/>
            </w:tcMar>
            <w:vAlign w:val="center"/>
            <w:hideMark/>
          </w:tcPr>
          <w:p w14:paraId="1DFB5EED"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F75654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5BBB4C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122707" w14:textId="77777777" w:rsidR="00000000" w:rsidRDefault="001A570A">
            <w:pPr>
              <w:rPr>
                <w:rFonts w:eastAsia="Times New Roman"/>
                <w:sz w:val="20"/>
                <w:szCs w:val="20"/>
              </w:rPr>
            </w:pPr>
          </w:p>
        </w:tc>
      </w:tr>
      <w:tr w:rsidR="00000000" w14:paraId="2456478F" w14:textId="77777777">
        <w:trPr>
          <w:divId w:val="1281956866"/>
        </w:trPr>
        <w:tc>
          <w:tcPr>
            <w:tcW w:w="0" w:type="auto"/>
            <w:gridSpan w:val="3"/>
            <w:shd w:val="clear" w:color="auto" w:fill="CCEEFF"/>
            <w:tcMar>
              <w:top w:w="30" w:type="dxa"/>
              <w:left w:w="20" w:type="dxa"/>
              <w:bottom w:w="30" w:type="dxa"/>
              <w:right w:w="20" w:type="dxa"/>
            </w:tcMar>
            <w:hideMark/>
          </w:tcPr>
          <w:p w14:paraId="26627FCB" w14:textId="77777777" w:rsidR="00000000" w:rsidRDefault="001A570A">
            <w:pPr>
              <w:rPr>
                <w:rFonts w:eastAsia="Times New Roman"/>
              </w:rPr>
            </w:pPr>
            <w:r>
              <w:rPr>
                <w:rFonts w:eastAsia="Times New Roman"/>
                <w:color w:val="000000"/>
                <w:sz w:val="20"/>
                <w:szCs w:val="20"/>
              </w:rPr>
              <w:t>Restricted stock and restricted stock units outstanding at January 3, 2020</w:t>
            </w:r>
          </w:p>
        </w:tc>
        <w:tc>
          <w:tcPr>
            <w:tcW w:w="0" w:type="auto"/>
            <w:gridSpan w:val="2"/>
            <w:shd w:val="clear" w:color="auto" w:fill="CCEEFF"/>
            <w:tcMar>
              <w:top w:w="30" w:type="dxa"/>
              <w:left w:w="20" w:type="dxa"/>
              <w:bottom w:w="30" w:type="dxa"/>
              <w:right w:w="0" w:type="dxa"/>
            </w:tcMar>
            <w:vAlign w:val="bottom"/>
            <w:hideMark/>
          </w:tcPr>
          <w:p w14:paraId="2BCD5568" w14:textId="77777777" w:rsidR="00000000" w:rsidRDefault="001A570A">
            <w:pPr>
              <w:jc w:val="right"/>
              <w:rPr>
                <w:rFonts w:eastAsia="Times New Roman"/>
              </w:rPr>
            </w:pPr>
            <w:r>
              <w:rPr>
                <w:rFonts w:eastAsia="Times New Roman"/>
                <w:color w:val="000000"/>
                <w:sz w:val="20"/>
                <w:szCs w:val="20"/>
              </w:rPr>
              <w:t>535,767 </w:t>
            </w:r>
          </w:p>
        </w:tc>
        <w:tc>
          <w:tcPr>
            <w:tcW w:w="0" w:type="auto"/>
            <w:shd w:val="clear" w:color="auto" w:fill="CCEEFF"/>
            <w:tcMar>
              <w:top w:w="30" w:type="dxa"/>
              <w:left w:w="0" w:type="dxa"/>
              <w:bottom w:w="30" w:type="dxa"/>
              <w:right w:w="20" w:type="dxa"/>
            </w:tcMar>
            <w:vAlign w:val="bottom"/>
            <w:hideMark/>
          </w:tcPr>
          <w:p w14:paraId="7F52354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284A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3742B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068C91" w14:textId="77777777" w:rsidR="00000000" w:rsidRDefault="001A570A">
            <w:pPr>
              <w:jc w:val="right"/>
              <w:rPr>
                <w:rFonts w:eastAsia="Times New Roman"/>
              </w:rPr>
            </w:pPr>
            <w:r>
              <w:rPr>
                <w:rFonts w:eastAsia="Times New Roman"/>
                <w:color w:val="000000"/>
                <w:sz w:val="20"/>
                <w:szCs w:val="20"/>
              </w:rPr>
              <w:t>196.22 </w:t>
            </w:r>
          </w:p>
        </w:tc>
        <w:tc>
          <w:tcPr>
            <w:tcW w:w="0" w:type="auto"/>
            <w:shd w:val="clear" w:color="auto" w:fill="CCEEFF"/>
            <w:tcMar>
              <w:top w:w="30" w:type="dxa"/>
              <w:left w:w="0" w:type="dxa"/>
              <w:bottom w:w="30" w:type="dxa"/>
              <w:right w:w="20" w:type="dxa"/>
            </w:tcMar>
            <w:vAlign w:val="bottom"/>
            <w:hideMark/>
          </w:tcPr>
          <w:p w14:paraId="774B71B6" w14:textId="77777777" w:rsidR="00000000" w:rsidRDefault="001A570A">
            <w:pPr>
              <w:jc w:val="right"/>
              <w:rPr>
                <w:rFonts w:eastAsia="Times New Roman"/>
              </w:rPr>
            </w:pPr>
          </w:p>
        </w:tc>
      </w:tr>
      <w:tr w:rsidR="00000000" w14:paraId="294AD216" w14:textId="77777777">
        <w:trPr>
          <w:divId w:val="1281956866"/>
        </w:trPr>
        <w:tc>
          <w:tcPr>
            <w:tcW w:w="0" w:type="auto"/>
            <w:gridSpan w:val="3"/>
            <w:shd w:val="clear" w:color="auto" w:fill="FFFFFF"/>
            <w:tcMar>
              <w:top w:w="30" w:type="dxa"/>
              <w:left w:w="20" w:type="dxa"/>
              <w:bottom w:w="30" w:type="dxa"/>
              <w:right w:w="20" w:type="dxa"/>
            </w:tcMar>
            <w:hideMark/>
          </w:tcPr>
          <w:p w14:paraId="1D03F6EB" w14:textId="77777777" w:rsidR="00000000" w:rsidRDefault="001A570A">
            <w:pPr>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14:paraId="3C24512A" w14:textId="77777777" w:rsidR="00000000" w:rsidRDefault="001A570A">
            <w:pPr>
              <w:jc w:val="right"/>
              <w:rPr>
                <w:rFonts w:eastAsia="Times New Roman"/>
              </w:rPr>
            </w:pPr>
            <w:r>
              <w:rPr>
                <w:rFonts w:eastAsia="Times New Roman"/>
                <w:color w:val="000000"/>
                <w:sz w:val="20"/>
                <w:szCs w:val="20"/>
              </w:rPr>
              <w:t>272,146 </w:t>
            </w:r>
          </w:p>
        </w:tc>
        <w:tc>
          <w:tcPr>
            <w:tcW w:w="0" w:type="auto"/>
            <w:tcMar>
              <w:top w:w="30" w:type="dxa"/>
              <w:left w:w="0" w:type="dxa"/>
              <w:bottom w:w="30" w:type="dxa"/>
              <w:right w:w="20" w:type="dxa"/>
            </w:tcMar>
            <w:vAlign w:val="bottom"/>
            <w:hideMark/>
          </w:tcPr>
          <w:p w14:paraId="584A90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88DE1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BDF65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A078D2" w14:textId="77777777" w:rsidR="00000000" w:rsidRDefault="001A570A">
            <w:pPr>
              <w:jc w:val="right"/>
              <w:rPr>
                <w:rFonts w:eastAsia="Times New Roman"/>
              </w:rPr>
            </w:pPr>
            <w:r>
              <w:rPr>
                <w:rFonts w:eastAsia="Times New Roman"/>
                <w:color w:val="000000"/>
                <w:sz w:val="20"/>
                <w:szCs w:val="20"/>
              </w:rPr>
              <w:t>195.66 </w:t>
            </w:r>
          </w:p>
        </w:tc>
        <w:tc>
          <w:tcPr>
            <w:tcW w:w="0" w:type="auto"/>
            <w:shd w:val="clear" w:color="auto" w:fill="FFFFFF"/>
            <w:tcMar>
              <w:top w:w="30" w:type="dxa"/>
              <w:left w:w="0" w:type="dxa"/>
              <w:bottom w:w="30" w:type="dxa"/>
              <w:right w:w="20" w:type="dxa"/>
            </w:tcMar>
            <w:vAlign w:val="bottom"/>
            <w:hideMark/>
          </w:tcPr>
          <w:p w14:paraId="3147C484" w14:textId="77777777" w:rsidR="00000000" w:rsidRDefault="001A570A">
            <w:pPr>
              <w:jc w:val="right"/>
              <w:rPr>
                <w:rFonts w:eastAsia="Times New Roman"/>
              </w:rPr>
            </w:pPr>
          </w:p>
        </w:tc>
      </w:tr>
      <w:tr w:rsidR="00000000" w14:paraId="1C3440DA" w14:textId="77777777">
        <w:trPr>
          <w:divId w:val="1281956866"/>
        </w:trPr>
        <w:tc>
          <w:tcPr>
            <w:tcW w:w="0" w:type="auto"/>
            <w:gridSpan w:val="3"/>
            <w:shd w:val="clear" w:color="auto" w:fill="CCEEFF"/>
            <w:tcMar>
              <w:top w:w="30" w:type="dxa"/>
              <w:left w:w="20" w:type="dxa"/>
              <w:bottom w:w="30" w:type="dxa"/>
              <w:right w:w="20" w:type="dxa"/>
            </w:tcMar>
            <w:hideMark/>
          </w:tcPr>
          <w:p w14:paraId="366A54D2" w14:textId="77777777" w:rsidR="00000000" w:rsidRDefault="001A570A">
            <w:pPr>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2844CEAD" w14:textId="77777777" w:rsidR="00000000" w:rsidRDefault="001A570A">
            <w:pPr>
              <w:jc w:val="right"/>
              <w:rPr>
                <w:rFonts w:eastAsia="Times New Roman"/>
              </w:rPr>
            </w:pPr>
            <w:r>
              <w:rPr>
                <w:rFonts w:eastAsia="Times New Roman"/>
                <w:color w:val="000000"/>
                <w:sz w:val="20"/>
                <w:szCs w:val="20"/>
              </w:rPr>
              <w:t>(78,828)</w:t>
            </w:r>
          </w:p>
        </w:tc>
        <w:tc>
          <w:tcPr>
            <w:tcW w:w="0" w:type="auto"/>
            <w:shd w:val="clear" w:color="auto" w:fill="CCEEFF"/>
            <w:tcMar>
              <w:top w:w="30" w:type="dxa"/>
              <w:left w:w="0" w:type="dxa"/>
              <w:bottom w:w="30" w:type="dxa"/>
              <w:right w:w="20" w:type="dxa"/>
            </w:tcMar>
            <w:vAlign w:val="bottom"/>
            <w:hideMark/>
          </w:tcPr>
          <w:p w14:paraId="72B97E7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671BA"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B5D13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276931" w14:textId="77777777" w:rsidR="00000000" w:rsidRDefault="001A570A">
            <w:pPr>
              <w:jc w:val="right"/>
              <w:rPr>
                <w:rFonts w:eastAsia="Times New Roman"/>
              </w:rPr>
            </w:pPr>
            <w:r>
              <w:rPr>
                <w:rFonts w:eastAsia="Times New Roman"/>
                <w:color w:val="000000"/>
                <w:sz w:val="20"/>
                <w:szCs w:val="20"/>
              </w:rPr>
              <w:t>177.23 </w:t>
            </w:r>
          </w:p>
        </w:tc>
        <w:tc>
          <w:tcPr>
            <w:tcW w:w="0" w:type="auto"/>
            <w:shd w:val="clear" w:color="auto" w:fill="CCEEFF"/>
            <w:tcMar>
              <w:top w:w="30" w:type="dxa"/>
              <w:left w:w="0" w:type="dxa"/>
              <w:bottom w:w="30" w:type="dxa"/>
              <w:right w:w="20" w:type="dxa"/>
            </w:tcMar>
            <w:vAlign w:val="bottom"/>
            <w:hideMark/>
          </w:tcPr>
          <w:p w14:paraId="64FB6A92" w14:textId="77777777" w:rsidR="00000000" w:rsidRDefault="001A570A">
            <w:pPr>
              <w:jc w:val="right"/>
              <w:rPr>
                <w:rFonts w:eastAsia="Times New Roman"/>
              </w:rPr>
            </w:pPr>
          </w:p>
        </w:tc>
      </w:tr>
      <w:tr w:rsidR="00000000" w14:paraId="32B77937" w14:textId="77777777">
        <w:trPr>
          <w:divId w:val="1281956866"/>
        </w:trPr>
        <w:tc>
          <w:tcPr>
            <w:tcW w:w="0" w:type="auto"/>
            <w:gridSpan w:val="3"/>
            <w:shd w:val="clear" w:color="auto" w:fill="FFFFFF"/>
            <w:tcMar>
              <w:top w:w="30" w:type="dxa"/>
              <w:left w:w="20" w:type="dxa"/>
              <w:bottom w:w="30" w:type="dxa"/>
              <w:right w:w="20" w:type="dxa"/>
            </w:tcMar>
            <w:hideMark/>
          </w:tcPr>
          <w:p w14:paraId="1BA8AE8F" w14:textId="77777777" w:rsidR="00000000" w:rsidRDefault="001A570A">
            <w:pPr>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313D62BE" w14:textId="77777777" w:rsidR="00000000" w:rsidRDefault="001A570A">
            <w:pPr>
              <w:jc w:val="right"/>
              <w:rPr>
                <w:rFonts w:eastAsia="Times New Roman"/>
              </w:rPr>
            </w:pPr>
            <w:r>
              <w:rPr>
                <w:rFonts w:eastAsia="Times New Roman"/>
                <w:color w:val="000000"/>
                <w:sz w:val="20"/>
                <w:szCs w:val="20"/>
              </w:rPr>
              <w:t>(30,165)</w:t>
            </w:r>
          </w:p>
        </w:tc>
        <w:tc>
          <w:tcPr>
            <w:tcW w:w="0" w:type="auto"/>
            <w:shd w:val="clear" w:color="auto" w:fill="FFFFFF"/>
            <w:tcMar>
              <w:top w:w="30" w:type="dxa"/>
              <w:left w:w="0" w:type="dxa"/>
              <w:bottom w:w="30" w:type="dxa"/>
              <w:right w:w="20" w:type="dxa"/>
            </w:tcMar>
            <w:vAlign w:val="bottom"/>
            <w:hideMark/>
          </w:tcPr>
          <w:p w14:paraId="1B01CE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51FF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87675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949268" w14:textId="77777777" w:rsidR="00000000" w:rsidRDefault="001A570A">
            <w:pPr>
              <w:jc w:val="right"/>
              <w:rPr>
                <w:rFonts w:eastAsia="Times New Roman"/>
              </w:rPr>
            </w:pPr>
            <w:r>
              <w:rPr>
                <w:rFonts w:eastAsia="Times New Roman"/>
                <w:color w:val="000000"/>
                <w:sz w:val="20"/>
                <w:szCs w:val="20"/>
              </w:rPr>
              <w:t>186.22 </w:t>
            </w:r>
          </w:p>
        </w:tc>
        <w:tc>
          <w:tcPr>
            <w:tcW w:w="0" w:type="auto"/>
            <w:shd w:val="clear" w:color="auto" w:fill="FFFFFF"/>
            <w:tcMar>
              <w:top w:w="30" w:type="dxa"/>
              <w:left w:w="0" w:type="dxa"/>
              <w:bottom w:w="30" w:type="dxa"/>
              <w:right w:w="20" w:type="dxa"/>
            </w:tcMar>
            <w:vAlign w:val="bottom"/>
            <w:hideMark/>
          </w:tcPr>
          <w:p w14:paraId="4CC167C9" w14:textId="77777777" w:rsidR="00000000" w:rsidRDefault="001A570A">
            <w:pPr>
              <w:jc w:val="right"/>
              <w:rPr>
                <w:rFonts w:eastAsia="Times New Roman"/>
              </w:rPr>
            </w:pPr>
          </w:p>
        </w:tc>
      </w:tr>
      <w:tr w:rsidR="00000000" w14:paraId="0A8A062B" w14:textId="77777777">
        <w:trPr>
          <w:divId w:val="1281956866"/>
        </w:trPr>
        <w:tc>
          <w:tcPr>
            <w:tcW w:w="0" w:type="auto"/>
            <w:gridSpan w:val="3"/>
            <w:shd w:val="clear" w:color="auto" w:fill="CCEEFF"/>
            <w:tcMar>
              <w:top w:w="30" w:type="dxa"/>
              <w:left w:w="20" w:type="dxa"/>
              <w:bottom w:w="30" w:type="dxa"/>
              <w:right w:w="20" w:type="dxa"/>
            </w:tcMar>
            <w:hideMark/>
          </w:tcPr>
          <w:p w14:paraId="43B1FBBC" w14:textId="77777777" w:rsidR="00000000" w:rsidRDefault="001A570A">
            <w:pPr>
              <w:rPr>
                <w:rFonts w:eastAsia="Times New Roman"/>
              </w:rPr>
            </w:pPr>
            <w:r>
              <w:rPr>
                <w:rFonts w:eastAsia="Times New Roman"/>
                <w:color w:val="000000"/>
                <w:sz w:val="20"/>
                <w:szCs w:val="20"/>
              </w:rPr>
              <w:t>Restricted stock and restricted stock units outstanding at January 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134373" w14:textId="77777777" w:rsidR="00000000" w:rsidRDefault="001A570A">
            <w:pPr>
              <w:jc w:val="right"/>
              <w:rPr>
                <w:rFonts w:eastAsia="Times New Roman"/>
              </w:rPr>
            </w:pPr>
            <w:r>
              <w:rPr>
                <w:rFonts w:eastAsia="Times New Roman"/>
                <w:color w:val="000000"/>
                <w:sz w:val="20"/>
                <w:szCs w:val="20"/>
              </w:rPr>
              <w:t>698,920 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0F58A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A1D7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D9740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4474C0" w14:textId="77777777" w:rsidR="00000000" w:rsidRDefault="001A570A">
            <w:pPr>
              <w:jc w:val="right"/>
              <w:rPr>
                <w:rFonts w:eastAsia="Times New Roman"/>
              </w:rPr>
            </w:pPr>
            <w:r>
              <w:rPr>
                <w:rFonts w:eastAsia="Times New Roman"/>
                <w:color w:val="000000"/>
                <w:sz w:val="20"/>
                <w:szCs w:val="20"/>
              </w:rPr>
              <w:t>196.26 </w:t>
            </w:r>
          </w:p>
        </w:tc>
        <w:tc>
          <w:tcPr>
            <w:tcW w:w="0" w:type="auto"/>
            <w:shd w:val="clear" w:color="auto" w:fill="CCEEFF"/>
            <w:tcMar>
              <w:top w:w="30" w:type="dxa"/>
              <w:left w:w="0" w:type="dxa"/>
              <w:bottom w:w="30" w:type="dxa"/>
              <w:right w:w="20" w:type="dxa"/>
            </w:tcMar>
            <w:vAlign w:val="bottom"/>
            <w:hideMark/>
          </w:tcPr>
          <w:p w14:paraId="553FC589" w14:textId="77777777" w:rsidR="00000000" w:rsidRDefault="001A570A">
            <w:pPr>
              <w:jc w:val="right"/>
              <w:rPr>
                <w:rFonts w:eastAsia="Times New Roman"/>
              </w:rPr>
            </w:pPr>
          </w:p>
        </w:tc>
      </w:tr>
    </w:tbl>
    <w:p w14:paraId="6C1B5A96" w14:textId="77777777" w:rsidR="00000000" w:rsidRDefault="001A570A">
      <w:pPr>
        <w:ind w:firstLine="450"/>
        <w:divId w:val="78674978"/>
        <w:rPr>
          <w:rFonts w:eastAsia="Times New Roman"/>
        </w:rPr>
      </w:pPr>
      <w:r>
        <w:rPr>
          <w:rFonts w:eastAsia="Times New Roman"/>
          <w:color w:val="000000"/>
          <w:sz w:val="20"/>
          <w:szCs w:val="20"/>
        </w:rPr>
        <w:t>As of January 1, 2021, there was $73 </w:t>
      </w:r>
      <w:r>
        <w:rPr>
          <w:rFonts w:eastAsia="Times New Roman"/>
          <w:color w:val="000000"/>
          <w:sz w:val="20"/>
          <w:szCs w:val="20"/>
        </w:rPr>
        <w:t>million of total unrecognized compensation expense related to these awards under our L3Harris SIPs. This expense is expected to be recognized over a weighted-average period of 1.63 years. The weighted-average grant date price per share or per unit was $195</w:t>
      </w:r>
      <w:r>
        <w:rPr>
          <w:rFonts w:eastAsia="Times New Roman"/>
          <w:color w:val="000000"/>
          <w:sz w:val="20"/>
          <w:szCs w:val="20"/>
        </w:rPr>
        <w:t>.66, $204.62, $160.05 and $141.46 for awards granted in fiscal 2020, the two quarters ended January 3, 2020, and fiscal 2019 and 2018, respectively. The total fair value of these awards was $9 million, $75 million, $16 million and $11 million for awards th</w:t>
      </w:r>
      <w:r>
        <w:rPr>
          <w:rFonts w:eastAsia="Times New Roman"/>
          <w:color w:val="000000"/>
          <w:sz w:val="20"/>
          <w:szCs w:val="20"/>
        </w:rPr>
        <w:t>at vested in fiscal 2020, in the two quarters ended January 3, 2020, and in fiscal 2019 and 2018, respectively.</w:t>
      </w:r>
    </w:p>
    <w:p w14:paraId="706F2AD2" w14:textId="77777777" w:rsidR="00000000" w:rsidRDefault="001A570A">
      <w:pPr>
        <w:divId w:val="1331637724"/>
        <w:rPr>
          <w:rFonts w:eastAsia="Times New Roman"/>
        </w:rPr>
      </w:pPr>
      <w:r>
        <w:rPr>
          <w:rFonts w:eastAsia="Times New Roman"/>
          <w:b/>
          <w:bCs/>
          <w:color w:val="000000"/>
          <w:sz w:val="20"/>
          <w:szCs w:val="20"/>
        </w:rPr>
        <w:t>Performance Share Unit Awards</w:t>
      </w:r>
    </w:p>
    <w:p w14:paraId="73CA9DB7" w14:textId="77777777" w:rsidR="00000000" w:rsidRDefault="001A570A">
      <w:pPr>
        <w:ind w:firstLine="450"/>
        <w:divId w:val="1670867063"/>
        <w:rPr>
          <w:rFonts w:eastAsia="Times New Roman"/>
        </w:rPr>
      </w:pPr>
      <w:r>
        <w:rPr>
          <w:rFonts w:eastAsia="Times New Roman"/>
          <w:color w:val="000000"/>
          <w:sz w:val="20"/>
          <w:szCs w:val="20"/>
        </w:rPr>
        <w:t>The following information relates to awards of performance share units that have been granted to employees under o</w:t>
      </w:r>
      <w:r>
        <w:rPr>
          <w:rFonts w:eastAsia="Times New Roman"/>
          <w:color w:val="000000"/>
          <w:sz w:val="20"/>
          <w:szCs w:val="20"/>
        </w:rPr>
        <w:t xml:space="preserve">ur L3Harris SIPs. Generally, these awards are subject to performance criteria, such as meeting predetermined operating income or earnings per share and return on invested capital targets for a 3-year performance period. These awards also generally vest at </w:t>
      </w:r>
      <w:r>
        <w:rPr>
          <w:rFonts w:eastAsia="Times New Roman"/>
          <w:color w:val="000000"/>
          <w:sz w:val="20"/>
          <w:szCs w:val="20"/>
        </w:rPr>
        <w:t>the expiration of the same 3-year period. The final determination of the number of shares to be issued in respect of an award is made by our Board of Directors or a committee of our Board of Directors.</w:t>
      </w:r>
    </w:p>
    <w:p w14:paraId="3F11772F" w14:textId="77777777" w:rsidR="00000000" w:rsidRDefault="001A570A">
      <w:pPr>
        <w:ind w:firstLine="450"/>
        <w:divId w:val="1146360720"/>
        <w:rPr>
          <w:rFonts w:eastAsia="Times New Roman"/>
        </w:rPr>
      </w:pPr>
      <w:r>
        <w:rPr>
          <w:rFonts w:eastAsia="Times New Roman"/>
          <w:color w:val="000000"/>
          <w:sz w:val="20"/>
          <w:szCs w:val="20"/>
        </w:rPr>
        <w:t>The fair value as of the grant date of these awards wa</w:t>
      </w:r>
      <w:r>
        <w:rPr>
          <w:rFonts w:eastAsia="Times New Roman"/>
          <w:color w:val="000000"/>
          <w:sz w:val="20"/>
          <w:szCs w:val="20"/>
        </w:rPr>
        <w:t xml:space="preserve">s based on the closing price of our common stock on the grant date and is amortized to compensation expense over the vesting period if achievement of the performance measures is considered probable. At January 1, 2021, there were 249,695 performance share </w:t>
      </w:r>
      <w:r>
        <w:rPr>
          <w:rFonts w:eastAsia="Times New Roman"/>
          <w:color w:val="000000"/>
          <w:sz w:val="20"/>
          <w:szCs w:val="20"/>
        </w:rPr>
        <w:t>units outstanding which were payable in shares.</w:t>
      </w:r>
    </w:p>
    <w:p w14:paraId="1C1609BD" w14:textId="77777777" w:rsidR="00000000" w:rsidRDefault="001A570A">
      <w:pPr>
        <w:ind w:firstLine="450"/>
        <w:jc w:val="center"/>
        <w:divId w:val="20522991"/>
        <w:rPr>
          <w:rFonts w:eastAsia="Times New Roman"/>
        </w:rPr>
      </w:pPr>
      <w:r>
        <w:rPr>
          <w:rFonts w:eastAsia="Times New Roman"/>
          <w:color w:val="000000"/>
          <w:sz w:val="20"/>
          <w:szCs w:val="20"/>
        </w:rPr>
        <w:t>115</w:t>
      </w:r>
    </w:p>
    <w:p w14:paraId="14804BF7" w14:textId="77777777" w:rsidR="00000000" w:rsidRDefault="001A570A">
      <w:pPr>
        <w:rPr>
          <w:rFonts w:eastAsia="Times New Roman"/>
        </w:rPr>
      </w:pPr>
      <w:r>
        <w:rPr>
          <w:rFonts w:eastAsia="Times New Roman"/>
        </w:rPr>
        <w:pict w14:anchorId="4F720443">
          <v:rect id="_x0000_i1143" style="width:0;height:1.5pt" o:hralign="center" o:hrstd="t" o:hr="t" fillcolor="#a0a0a0" stroked="f"/>
        </w:pict>
      </w:r>
    </w:p>
    <w:p w14:paraId="18EEEDF8" w14:textId="77777777" w:rsidR="00000000" w:rsidRDefault="001A570A">
      <w:pPr>
        <w:ind w:firstLine="450"/>
        <w:divId w:val="1220901959"/>
        <w:rPr>
          <w:rFonts w:eastAsia="Times New Roman"/>
        </w:rPr>
      </w:pPr>
    </w:p>
    <w:p w14:paraId="212BEF27" w14:textId="77777777" w:rsidR="00000000" w:rsidRDefault="001A570A">
      <w:pPr>
        <w:ind w:firstLine="450"/>
        <w:divId w:val="224994014"/>
        <w:rPr>
          <w:rFonts w:eastAsia="Times New Roman"/>
        </w:rPr>
      </w:pPr>
      <w:r>
        <w:rPr>
          <w:rFonts w:eastAsia="Times New Roman"/>
          <w:color w:val="000000"/>
          <w:sz w:val="20"/>
          <w:szCs w:val="20"/>
        </w:rPr>
        <w:t>A summary of the status of these awards at January 1, 2021 and changes during fiscal 2020 is as follows:</w:t>
      </w:r>
    </w:p>
    <w:tbl>
      <w:tblPr>
        <w:tblW w:w="4906" w:type="pct"/>
        <w:tblCellMar>
          <w:top w:w="15" w:type="dxa"/>
          <w:left w:w="15" w:type="dxa"/>
          <w:bottom w:w="15" w:type="dxa"/>
          <w:right w:w="15" w:type="dxa"/>
        </w:tblCellMar>
        <w:tblLook w:val="04A0" w:firstRow="1" w:lastRow="0" w:firstColumn="1" w:lastColumn="0" w:noHBand="0" w:noVBand="1"/>
      </w:tblPr>
      <w:tblGrid>
        <w:gridCol w:w="52"/>
        <w:gridCol w:w="5370"/>
        <w:gridCol w:w="36"/>
        <w:gridCol w:w="53"/>
        <w:gridCol w:w="1180"/>
        <w:gridCol w:w="36"/>
        <w:gridCol w:w="36"/>
        <w:gridCol w:w="36"/>
        <w:gridCol w:w="36"/>
        <w:gridCol w:w="120"/>
        <w:gridCol w:w="1159"/>
        <w:gridCol w:w="36"/>
      </w:tblGrid>
      <w:tr w:rsidR="00000000" w14:paraId="264DC965" w14:textId="77777777">
        <w:trPr>
          <w:divId w:val="717826933"/>
        </w:trPr>
        <w:tc>
          <w:tcPr>
            <w:tcW w:w="50" w:type="pct"/>
            <w:vAlign w:val="center"/>
            <w:hideMark/>
          </w:tcPr>
          <w:p w14:paraId="2D827D84" w14:textId="77777777" w:rsidR="00000000" w:rsidRDefault="001A570A">
            <w:pPr>
              <w:ind w:firstLine="450"/>
              <w:rPr>
                <w:rFonts w:eastAsia="Times New Roman"/>
              </w:rPr>
            </w:pPr>
          </w:p>
        </w:tc>
        <w:tc>
          <w:tcPr>
            <w:tcW w:w="3312" w:type="pct"/>
            <w:vAlign w:val="center"/>
            <w:hideMark/>
          </w:tcPr>
          <w:p w14:paraId="0215FC56" w14:textId="77777777" w:rsidR="00000000" w:rsidRDefault="001A570A">
            <w:pPr>
              <w:rPr>
                <w:rFonts w:eastAsia="Times New Roman"/>
                <w:sz w:val="20"/>
                <w:szCs w:val="20"/>
              </w:rPr>
            </w:pPr>
          </w:p>
        </w:tc>
        <w:tc>
          <w:tcPr>
            <w:tcW w:w="5" w:type="pct"/>
            <w:vAlign w:val="center"/>
            <w:hideMark/>
          </w:tcPr>
          <w:p w14:paraId="207E1861" w14:textId="77777777" w:rsidR="00000000" w:rsidRDefault="001A570A">
            <w:pPr>
              <w:rPr>
                <w:rFonts w:eastAsia="Times New Roman"/>
                <w:sz w:val="20"/>
                <w:szCs w:val="20"/>
              </w:rPr>
            </w:pPr>
          </w:p>
        </w:tc>
        <w:tc>
          <w:tcPr>
            <w:tcW w:w="50" w:type="pct"/>
            <w:vAlign w:val="center"/>
            <w:hideMark/>
          </w:tcPr>
          <w:p w14:paraId="207A105E" w14:textId="77777777" w:rsidR="00000000" w:rsidRDefault="001A570A">
            <w:pPr>
              <w:rPr>
                <w:rFonts w:eastAsia="Times New Roman"/>
                <w:sz w:val="20"/>
                <w:szCs w:val="20"/>
              </w:rPr>
            </w:pPr>
          </w:p>
        </w:tc>
        <w:tc>
          <w:tcPr>
            <w:tcW w:w="742" w:type="pct"/>
            <w:vAlign w:val="center"/>
            <w:hideMark/>
          </w:tcPr>
          <w:p w14:paraId="05D2A970" w14:textId="77777777" w:rsidR="00000000" w:rsidRDefault="001A570A">
            <w:pPr>
              <w:rPr>
                <w:rFonts w:eastAsia="Times New Roman"/>
                <w:sz w:val="20"/>
                <w:szCs w:val="20"/>
              </w:rPr>
            </w:pPr>
          </w:p>
        </w:tc>
        <w:tc>
          <w:tcPr>
            <w:tcW w:w="5" w:type="pct"/>
            <w:vAlign w:val="center"/>
            <w:hideMark/>
          </w:tcPr>
          <w:p w14:paraId="7DBAE581" w14:textId="77777777" w:rsidR="00000000" w:rsidRDefault="001A570A">
            <w:pPr>
              <w:rPr>
                <w:rFonts w:eastAsia="Times New Roman"/>
                <w:sz w:val="20"/>
                <w:szCs w:val="20"/>
              </w:rPr>
            </w:pPr>
          </w:p>
        </w:tc>
        <w:tc>
          <w:tcPr>
            <w:tcW w:w="5" w:type="pct"/>
            <w:vAlign w:val="center"/>
            <w:hideMark/>
          </w:tcPr>
          <w:p w14:paraId="0603926F" w14:textId="77777777" w:rsidR="00000000" w:rsidRDefault="001A570A">
            <w:pPr>
              <w:rPr>
                <w:rFonts w:eastAsia="Times New Roman"/>
                <w:sz w:val="20"/>
                <w:szCs w:val="20"/>
              </w:rPr>
            </w:pPr>
          </w:p>
        </w:tc>
        <w:tc>
          <w:tcPr>
            <w:tcW w:w="26" w:type="pct"/>
            <w:vAlign w:val="center"/>
            <w:hideMark/>
          </w:tcPr>
          <w:p w14:paraId="52155682" w14:textId="77777777" w:rsidR="00000000" w:rsidRDefault="001A570A">
            <w:pPr>
              <w:rPr>
                <w:rFonts w:eastAsia="Times New Roman"/>
                <w:sz w:val="20"/>
                <w:szCs w:val="20"/>
              </w:rPr>
            </w:pPr>
          </w:p>
        </w:tc>
        <w:tc>
          <w:tcPr>
            <w:tcW w:w="5" w:type="pct"/>
            <w:vAlign w:val="center"/>
            <w:hideMark/>
          </w:tcPr>
          <w:p w14:paraId="17A49D2F" w14:textId="77777777" w:rsidR="00000000" w:rsidRDefault="001A570A">
            <w:pPr>
              <w:rPr>
                <w:rFonts w:eastAsia="Times New Roman"/>
                <w:sz w:val="20"/>
                <w:szCs w:val="20"/>
              </w:rPr>
            </w:pPr>
          </w:p>
        </w:tc>
        <w:tc>
          <w:tcPr>
            <w:tcW w:w="50" w:type="pct"/>
            <w:vAlign w:val="center"/>
            <w:hideMark/>
          </w:tcPr>
          <w:p w14:paraId="212ED364" w14:textId="77777777" w:rsidR="00000000" w:rsidRDefault="001A570A">
            <w:pPr>
              <w:rPr>
                <w:rFonts w:eastAsia="Times New Roman"/>
                <w:sz w:val="20"/>
                <w:szCs w:val="20"/>
              </w:rPr>
            </w:pPr>
          </w:p>
        </w:tc>
        <w:tc>
          <w:tcPr>
            <w:tcW w:w="743" w:type="pct"/>
            <w:vAlign w:val="center"/>
            <w:hideMark/>
          </w:tcPr>
          <w:p w14:paraId="1C706977" w14:textId="77777777" w:rsidR="00000000" w:rsidRDefault="001A570A">
            <w:pPr>
              <w:rPr>
                <w:rFonts w:eastAsia="Times New Roman"/>
                <w:sz w:val="20"/>
                <w:szCs w:val="20"/>
              </w:rPr>
            </w:pPr>
          </w:p>
        </w:tc>
        <w:tc>
          <w:tcPr>
            <w:tcW w:w="5" w:type="pct"/>
            <w:vAlign w:val="center"/>
            <w:hideMark/>
          </w:tcPr>
          <w:p w14:paraId="1F8AAE4F" w14:textId="77777777" w:rsidR="00000000" w:rsidRDefault="001A570A">
            <w:pPr>
              <w:rPr>
                <w:rFonts w:eastAsia="Times New Roman"/>
                <w:sz w:val="20"/>
                <w:szCs w:val="20"/>
              </w:rPr>
            </w:pPr>
          </w:p>
        </w:tc>
      </w:tr>
      <w:tr w:rsidR="00000000" w14:paraId="41301028" w14:textId="77777777">
        <w:trPr>
          <w:divId w:val="717826933"/>
        </w:trPr>
        <w:tc>
          <w:tcPr>
            <w:tcW w:w="0" w:type="auto"/>
            <w:gridSpan w:val="3"/>
            <w:tcMar>
              <w:top w:w="0" w:type="dxa"/>
              <w:left w:w="20" w:type="dxa"/>
              <w:bottom w:w="0" w:type="dxa"/>
              <w:right w:w="20" w:type="dxa"/>
            </w:tcMar>
            <w:vAlign w:val="center"/>
            <w:hideMark/>
          </w:tcPr>
          <w:p w14:paraId="1133E01E"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0E2989C3" w14:textId="77777777" w:rsidR="00000000" w:rsidRDefault="001A570A">
            <w:pPr>
              <w:jc w:val="center"/>
              <w:rPr>
                <w:rFonts w:eastAsia="Times New Roman"/>
              </w:rPr>
            </w:pPr>
            <w:r>
              <w:rPr>
                <w:rFonts w:eastAsia="Times New Roman"/>
                <w:b/>
                <w:bCs/>
                <w:color w:val="000000"/>
                <w:sz w:val="16"/>
                <w:szCs w:val="16"/>
              </w:rPr>
              <w:t>Shares or Units</w:t>
            </w:r>
          </w:p>
        </w:tc>
        <w:tc>
          <w:tcPr>
            <w:tcW w:w="0" w:type="auto"/>
            <w:gridSpan w:val="3"/>
            <w:tcMar>
              <w:top w:w="0" w:type="dxa"/>
              <w:left w:w="20" w:type="dxa"/>
              <w:bottom w:w="0" w:type="dxa"/>
              <w:right w:w="20" w:type="dxa"/>
            </w:tcMar>
            <w:vAlign w:val="center"/>
            <w:hideMark/>
          </w:tcPr>
          <w:p w14:paraId="6A96AD6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187C8D3" w14:textId="77777777" w:rsidR="00000000" w:rsidRDefault="001A570A">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Price</w:t>
            </w:r>
            <w:r>
              <w:rPr>
                <w:rFonts w:eastAsia="Times New Roman"/>
                <w:b/>
                <w:bCs/>
                <w:color w:val="000000"/>
                <w:sz w:val="16"/>
                <w:szCs w:val="16"/>
              </w:rPr>
              <w:br/>
              <w:t>Per Share or Unit</w:t>
            </w:r>
          </w:p>
        </w:tc>
      </w:tr>
      <w:tr w:rsidR="00000000" w14:paraId="699C01F0" w14:textId="77777777">
        <w:trPr>
          <w:divId w:val="717826933"/>
          <w:trHeight w:val="60"/>
        </w:trPr>
        <w:tc>
          <w:tcPr>
            <w:tcW w:w="0" w:type="auto"/>
            <w:gridSpan w:val="3"/>
            <w:tcMar>
              <w:top w:w="0" w:type="dxa"/>
              <w:left w:w="20" w:type="dxa"/>
              <w:bottom w:w="0" w:type="dxa"/>
              <w:right w:w="20" w:type="dxa"/>
            </w:tcMar>
            <w:vAlign w:val="center"/>
            <w:hideMark/>
          </w:tcPr>
          <w:p w14:paraId="6BE8AFA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8A6E9A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65E01F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7D00FF" w14:textId="77777777" w:rsidR="00000000" w:rsidRDefault="001A570A">
            <w:pPr>
              <w:rPr>
                <w:rFonts w:eastAsia="Times New Roman"/>
                <w:sz w:val="20"/>
                <w:szCs w:val="20"/>
              </w:rPr>
            </w:pPr>
          </w:p>
        </w:tc>
      </w:tr>
      <w:tr w:rsidR="00000000" w14:paraId="111BEC60" w14:textId="77777777">
        <w:trPr>
          <w:divId w:val="717826933"/>
        </w:trPr>
        <w:tc>
          <w:tcPr>
            <w:tcW w:w="0" w:type="auto"/>
            <w:gridSpan w:val="3"/>
            <w:shd w:val="clear" w:color="auto" w:fill="CCEEFF"/>
            <w:tcMar>
              <w:top w:w="30" w:type="dxa"/>
              <w:left w:w="20" w:type="dxa"/>
              <w:bottom w:w="30" w:type="dxa"/>
              <w:right w:w="20" w:type="dxa"/>
            </w:tcMar>
            <w:hideMark/>
          </w:tcPr>
          <w:p w14:paraId="21034315" w14:textId="77777777" w:rsidR="00000000" w:rsidRDefault="001A570A">
            <w:pPr>
              <w:rPr>
                <w:rFonts w:eastAsia="Times New Roman"/>
              </w:rPr>
            </w:pPr>
            <w:r>
              <w:rPr>
                <w:rFonts w:eastAsia="Times New Roman"/>
                <w:color w:val="000000"/>
                <w:sz w:val="20"/>
                <w:szCs w:val="20"/>
              </w:rPr>
              <w:t>Performance share units outstanding at January 3, 2020</w:t>
            </w:r>
          </w:p>
        </w:tc>
        <w:tc>
          <w:tcPr>
            <w:tcW w:w="0" w:type="auto"/>
            <w:gridSpan w:val="2"/>
            <w:shd w:val="clear" w:color="auto" w:fill="CCEEFF"/>
            <w:tcMar>
              <w:top w:w="30" w:type="dxa"/>
              <w:left w:w="20" w:type="dxa"/>
              <w:bottom w:w="30" w:type="dxa"/>
              <w:right w:w="0" w:type="dxa"/>
            </w:tcMar>
            <w:vAlign w:val="bottom"/>
            <w:hideMark/>
          </w:tcPr>
          <w:p w14:paraId="15314FE1" w14:textId="77777777" w:rsidR="00000000" w:rsidRDefault="001A570A">
            <w:pPr>
              <w:jc w:val="right"/>
              <w:rPr>
                <w:rFonts w:eastAsia="Times New Roman"/>
              </w:rPr>
            </w:pPr>
            <w:r>
              <w:rPr>
                <w:rFonts w:eastAsia="Times New Roman"/>
                <w:color w:val="000000"/>
                <w:sz w:val="20"/>
                <w:szCs w:val="20"/>
              </w:rPr>
              <w:t>55,020 </w:t>
            </w:r>
          </w:p>
        </w:tc>
        <w:tc>
          <w:tcPr>
            <w:tcW w:w="0" w:type="auto"/>
            <w:shd w:val="clear" w:color="auto" w:fill="CCEEFF"/>
            <w:tcMar>
              <w:top w:w="30" w:type="dxa"/>
              <w:left w:w="0" w:type="dxa"/>
              <w:bottom w:w="30" w:type="dxa"/>
              <w:right w:w="20" w:type="dxa"/>
            </w:tcMar>
            <w:vAlign w:val="bottom"/>
            <w:hideMark/>
          </w:tcPr>
          <w:p w14:paraId="1FD216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BA2B7"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5E1A1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1C2632" w14:textId="77777777" w:rsidR="00000000" w:rsidRDefault="001A570A">
            <w:pPr>
              <w:jc w:val="right"/>
              <w:rPr>
                <w:rFonts w:eastAsia="Times New Roman"/>
              </w:rPr>
            </w:pPr>
            <w:r>
              <w:rPr>
                <w:rFonts w:eastAsia="Times New Roman"/>
                <w:color w:val="000000"/>
                <w:sz w:val="20"/>
                <w:szCs w:val="20"/>
              </w:rPr>
              <w:t>204.85 </w:t>
            </w:r>
          </w:p>
        </w:tc>
        <w:tc>
          <w:tcPr>
            <w:tcW w:w="0" w:type="auto"/>
            <w:shd w:val="clear" w:color="auto" w:fill="CCEEFF"/>
            <w:tcMar>
              <w:top w:w="30" w:type="dxa"/>
              <w:left w:w="0" w:type="dxa"/>
              <w:bottom w:w="30" w:type="dxa"/>
              <w:right w:w="20" w:type="dxa"/>
            </w:tcMar>
            <w:vAlign w:val="bottom"/>
            <w:hideMark/>
          </w:tcPr>
          <w:p w14:paraId="11F22256" w14:textId="77777777" w:rsidR="00000000" w:rsidRDefault="001A570A">
            <w:pPr>
              <w:jc w:val="right"/>
              <w:rPr>
                <w:rFonts w:eastAsia="Times New Roman"/>
              </w:rPr>
            </w:pPr>
          </w:p>
        </w:tc>
      </w:tr>
      <w:tr w:rsidR="00000000" w14:paraId="7F0A9AC6" w14:textId="77777777">
        <w:trPr>
          <w:divId w:val="717826933"/>
        </w:trPr>
        <w:tc>
          <w:tcPr>
            <w:tcW w:w="0" w:type="auto"/>
            <w:gridSpan w:val="3"/>
            <w:shd w:val="clear" w:color="auto" w:fill="FFFFFF"/>
            <w:tcMar>
              <w:top w:w="30" w:type="dxa"/>
              <w:left w:w="20" w:type="dxa"/>
              <w:bottom w:w="30" w:type="dxa"/>
              <w:right w:w="20" w:type="dxa"/>
            </w:tcMar>
            <w:hideMark/>
          </w:tcPr>
          <w:p w14:paraId="7747DC03" w14:textId="77777777" w:rsidR="00000000" w:rsidRDefault="001A570A">
            <w:pPr>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14:paraId="1AD067B0" w14:textId="77777777" w:rsidR="00000000" w:rsidRDefault="001A570A">
            <w:pPr>
              <w:jc w:val="right"/>
              <w:rPr>
                <w:rFonts w:eastAsia="Times New Roman"/>
              </w:rPr>
            </w:pPr>
            <w:r>
              <w:rPr>
                <w:rFonts w:eastAsia="Times New Roman"/>
                <w:color w:val="000000"/>
                <w:sz w:val="20"/>
                <w:szCs w:val="20"/>
              </w:rPr>
              <w:t>203,606 </w:t>
            </w:r>
          </w:p>
        </w:tc>
        <w:tc>
          <w:tcPr>
            <w:tcW w:w="0" w:type="auto"/>
            <w:tcMar>
              <w:top w:w="30" w:type="dxa"/>
              <w:left w:w="0" w:type="dxa"/>
              <w:bottom w:w="30" w:type="dxa"/>
              <w:right w:w="20" w:type="dxa"/>
            </w:tcMar>
            <w:vAlign w:val="bottom"/>
            <w:hideMark/>
          </w:tcPr>
          <w:p w14:paraId="4826838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FF16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2C30A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53D175" w14:textId="77777777" w:rsidR="00000000" w:rsidRDefault="001A570A">
            <w:pPr>
              <w:jc w:val="right"/>
              <w:rPr>
                <w:rFonts w:eastAsia="Times New Roman"/>
              </w:rPr>
            </w:pPr>
            <w:r>
              <w:rPr>
                <w:rFonts w:eastAsia="Times New Roman"/>
                <w:color w:val="000000"/>
                <w:sz w:val="20"/>
                <w:szCs w:val="20"/>
              </w:rPr>
              <w:t>228.29 </w:t>
            </w:r>
          </w:p>
        </w:tc>
        <w:tc>
          <w:tcPr>
            <w:tcW w:w="0" w:type="auto"/>
            <w:shd w:val="clear" w:color="auto" w:fill="FFFFFF"/>
            <w:tcMar>
              <w:top w:w="30" w:type="dxa"/>
              <w:left w:w="0" w:type="dxa"/>
              <w:bottom w:w="30" w:type="dxa"/>
              <w:right w:w="20" w:type="dxa"/>
            </w:tcMar>
            <w:vAlign w:val="bottom"/>
            <w:hideMark/>
          </w:tcPr>
          <w:p w14:paraId="39975E54" w14:textId="77777777" w:rsidR="00000000" w:rsidRDefault="001A570A">
            <w:pPr>
              <w:jc w:val="right"/>
              <w:rPr>
                <w:rFonts w:eastAsia="Times New Roman"/>
              </w:rPr>
            </w:pPr>
          </w:p>
        </w:tc>
      </w:tr>
      <w:tr w:rsidR="00000000" w14:paraId="404BB6EF" w14:textId="77777777">
        <w:trPr>
          <w:divId w:val="717826933"/>
        </w:trPr>
        <w:tc>
          <w:tcPr>
            <w:tcW w:w="0" w:type="auto"/>
            <w:gridSpan w:val="3"/>
            <w:vAlign w:val="center"/>
            <w:hideMark/>
          </w:tcPr>
          <w:p w14:paraId="54E08B19" w14:textId="77777777" w:rsidR="00000000" w:rsidRDefault="001A570A">
            <w:pPr>
              <w:jc w:val="right"/>
              <w:rPr>
                <w:rFonts w:eastAsia="Times New Roman"/>
                <w:sz w:val="20"/>
                <w:szCs w:val="20"/>
              </w:rPr>
            </w:pPr>
          </w:p>
        </w:tc>
        <w:tc>
          <w:tcPr>
            <w:tcW w:w="0" w:type="auto"/>
            <w:gridSpan w:val="3"/>
            <w:vAlign w:val="center"/>
            <w:hideMark/>
          </w:tcPr>
          <w:p w14:paraId="454530F2" w14:textId="77777777" w:rsidR="00000000" w:rsidRDefault="001A570A">
            <w:pPr>
              <w:rPr>
                <w:rFonts w:eastAsia="Times New Roman"/>
                <w:sz w:val="20"/>
                <w:szCs w:val="20"/>
              </w:rPr>
            </w:pPr>
          </w:p>
        </w:tc>
        <w:tc>
          <w:tcPr>
            <w:tcW w:w="0" w:type="auto"/>
            <w:gridSpan w:val="3"/>
            <w:vAlign w:val="center"/>
            <w:hideMark/>
          </w:tcPr>
          <w:p w14:paraId="0A739F37" w14:textId="77777777" w:rsidR="00000000" w:rsidRDefault="001A570A">
            <w:pPr>
              <w:rPr>
                <w:rFonts w:eastAsia="Times New Roman"/>
                <w:sz w:val="20"/>
                <w:szCs w:val="20"/>
              </w:rPr>
            </w:pPr>
          </w:p>
        </w:tc>
        <w:tc>
          <w:tcPr>
            <w:tcW w:w="0" w:type="auto"/>
            <w:gridSpan w:val="3"/>
            <w:vAlign w:val="center"/>
            <w:hideMark/>
          </w:tcPr>
          <w:p w14:paraId="10AFB8A8" w14:textId="77777777" w:rsidR="00000000" w:rsidRDefault="001A570A">
            <w:pPr>
              <w:rPr>
                <w:rFonts w:eastAsia="Times New Roman"/>
                <w:sz w:val="20"/>
                <w:szCs w:val="20"/>
              </w:rPr>
            </w:pPr>
          </w:p>
        </w:tc>
      </w:tr>
      <w:tr w:rsidR="00000000" w14:paraId="24EAA46E" w14:textId="77777777">
        <w:trPr>
          <w:divId w:val="717826933"/>
        </w:trPr>
        <w:tc>
          <w:tcPr>
            <w:tcW w:w="0" w:type="auto"/>
            <w:gridSpan w:val="3"/>
            <w:shd w:val="clear" w:color="auto" w:fill="CCEEFF"/>
            <w:tcMar>
              <w:top w:w="30" w:type="dxa"/>
              <w:left w:w="20" w:type="dxa"/>
              <w:bottom w:w="30" w:type="dxa"/>
              <w:right w:w="20" w:type="dxa"/>
            </w:tcMar>
            <w:hideMark/>
          </w:tcPr>
          <w:p w14:paraId="33B5C79E" w14:textId="77777777" w:rsidR="00000000" w:rsidRDefault="001A570A">
            <w:pPr>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5FB7B53D" w14:textId="77777777" w:rsidR="00000000" w:rsidRDefault="001A570A">
            <w:pPr>
              <w:jc w:val="right"/>
              <w:rPr>
                <w:rFonts w:eastAsia="Times New Roman"/>
              </w:rPr>
            </w:pPr>
            <w:r>
              <w:rPr>
                <w:rFonts w:eastAsia="Times New Roman"/>
                <w:color w:val="000000"/>
                <w:sz w:val="20"/>
                <w:szCs w:val="20"/>
              </w:rPr>
              <w:t>(8,931)</w:t>
            </w:r>
          </w:p>
        </w:tc>
        <w:tc>
          <w:tcPr>
            <w:tcW w:w="0" w:type="auto"/>
            <w:shd w:val="clear" w:color="auto" w:fill="CCEEFF"/>
            <w:tcMar>
              <w:top w:w="30" w:type="dxa"/>
              <w:left w:w="0" w:type="dxa"/>
              <w:bottom w:w="30" w:type="dxa"/>
              <w:right w:w="20" w:type="dxa"/>
            </w:tcMar>
            <w:vAlign w:val="bottom"/>
            <w:hideMark/>
          </w:tcPr>
          <w:p w14:paraId="25B0D1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09416"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EDC05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F7E9B2" w14:textId="77777777" w:rsidR="00000000" w:rsidRDefault="001A570A">
            <w:pPr>
              <w:jc w:val="right"/>
              <w:rPr>
                <w:rFonts w:eastAsia="Times New Roman"/>
              </w:rPr>
            </w:pPr>
            <w:r>
              <w:rPr>
                <w:rFonts w:eastAsia="Times New Roman"/>
                <w:color w:val="000000"/>
                <w:sz w:val="20"/>
                <w:szCs w:val="20"/>
              </w:rPr>
              <w:t>228.29 </w:t>
            </w:r>
          </w:p>
        </w:tc>
        <w:tc>
          <w:tcPr>
            <w:tcW w:w="0" w:type="auto"/>
            <w:shd w:val="clear" w:color="auto" w:fill="CCEEFF"/>
            <w:tcMar>
              <w:top w:w="30" w:type="dxa"/>
              <w:left w:w="0" w:type="dxa"/>
              <w:bottom w:w="30" w:type="dxa"/>
              <w:right w:w="20" w:type="dxa"/>
            </w:tcMar>
            <w:vAlign w:val="bottom"/>
            <w:hideMark/>
          </w:tcPr>
          <w:p w14:paraId="68CD3EAF" w14:textId="77777777" w:rsidR="00000000" w:rsidRDefault="001A570A">
            <w:pPr>
              <w:jc w:val="right"/>
              <w:rPr>
                <w:rFonts w:eastAsia="Times New Roman"/>
              </w:rPr>
            </w:pPr>
          </w:p>
        </w:tc>
      </w:tr>
      <w:tr w:rsidR="00000000" w14:paraId="4038A45F" w14:textId="77777777">
        <w:trPr>
          <w:divId w:val="717826933"/>
        </w:trPr>
        <w:tc>
          <w:tcPr>
            <w:tcW w:w="0" w:type="auto"/>
            <w:gridSpan w:val="3"/>
            <w:shd w:val="clear" w:color="auto" w:fill="FFFFFF"/>
            <w:tcMar>
              <w:top w:w="30" w:type="dxa"/>
              <w:left w:w="20" w:type="dxa"/>
              <w:bottom w:w="30" w:type="dxa"/>
              <w:right w:w="20" w:type="dxa"/>
            </w:tcMar>
            <w:hideMark/>
          </w:tcPr>
          <w:p w14:paraId="58B2D62B" w14:textId="77777777" w:rsidR="00000000" w:rsidRDefault="001A570A">
            <w:pPr>
              <w:rPr>
                <w:rFonts w:eastAsia="Times New Roman"/>
              </w:rPr>
            </w:pPr>
            <w:r>
              <w:rPr>
                <w:rFonts w:eastAsia="Times New Roman"/>
                <w:color w:val="000000"/>
                <w:sz w:val="20"/>
                <w:szCs w:val="20"/>
              </w:rPr>
              <w:t>Performance share units outstanding at January 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CF1107" w14:textId="77777777" w:rsidR="00000000" w:rsidRDefault="001A570A">
            <w:pPr>
              <w:jc w:val="right"/>
              <w:rPr>
                <w:rFonts w:eastAsia="Times New Roman"/>
              </w:rPr>
            </w:pPr>
            <w:r>
              <w:rPr>
                <w:rFonts w:eastAsia="Times New Roman"/>
                <w:color w:val="000000"/>
                <w:sz w:val="20"/>
                <w:szCs w:val="20"/>
              </w:rPr>
              <w:t>249,695 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CD187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0DF7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FA3F6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5E7A4E" w14:textId="77777777" w:rsidR="00000000" w:rsidRDefault="001A570A">
            <w:pPr>
              <w:jc w:val="right"/>
              <w:rPr>
                <w:rFonts w:eastAsia="Times New Roman"/>
              </w:rPr>
            </w:pPr>
            <w:r>
              <w:rPr>
                <w:rFonts w:eastAsia="Times New Roman"/>
                <w:color w:val="000000"/>
                <w:sz w:val="20"/>
                <w:szCs w:val="20"/>
              </w:rPr>
              <w:t>223.28 </w:t>
            </w:r>
          </w:p>
        </w:tc>
        <w:tc>
          <w:tcPr>
            <w:tcW w:w="0" w:type="auto"/>
            <w:shd w:val="clear" w:color="auto" w:fill="FFFFFF"/>
            <w:tcMar>
              <w:top w:w="30" w:type="dxa"/>
              <w:left w:w="0" w:type="dxa"/>
              <w:bottom w:w="30" w:type="dxa"/>
              <w:right w:w="20" w:type="dxa"/>
            </w:tcMar>
            <w:vAlign w:val="bottom"/>
            <w:hideMark/>
          </w:tcPr>
          <w:p w14:paraId="0F86C4CD" w14:textId="77777777" w:rsidR="00000000" w:rsidRDefault="001A570A">
            <w:pPr>
              <w:jc w:val="right"/>
              <w:rPr>
                <w:rFonts w:eastAsia="Times New Roman"/>
              </w:rPr>
            </w:pPr>
          </w:p>
        </w:tc>
      </w:tr>
    </w:tbl>
    <w:p w14:paraId="58069751" w14:textId="77777777" w:rsidR="00000000" w:rsidRDefault="001A570A">
      <w:pPr>
        <w:ind w:firstLine="450"/>
        <w:divId w:val="1097100690"/>
        <w:rPr>
          <w:rFonts w:eastAsia="Times New Roman"/>
        </w:rPr>
      </w:pPr>
      <w:r>
        <w:rPr>
          <w:rFonts w:eastAsia="Times New Roman"/>
          <w:color w:val="000000"/>
          <w:sz w:val="20"/>
          <w:szCs w:val="20"/>
        </w:rPr>
        <w:t>As of January 1, 2021, there was $51 </w:t>
      </w:r>
      <w:r>
        <w:rPr>
          <w:rFonts w:eastAsia="Times New Roman"/>
          <w:color w:val="000000"/>
          <w:sz w:val="20"/>
          <w:szCs w:val="20"/>
        </w:rPr>
        <w:t>million of total unrecognized compensation expense related to these awards under our L3Harris SIPs. This expense is expected to be recognized over a weighted-average period of 1.81 years. The weighted-average grant date price per unit was $228.29, $204.85,</w:t>
      </w:r>
      <w:r>
        <w:rPr>
          <w:rFonts w:eastAsia="Times New Roman"/>
          <w:color w:val="000000"/>
          <w:sz w:val="20"/>
          <w:szCs w:val="20"/>
        </w:rPr>
        <w:t xml:space="preserve"> $155.12 and $123.13 for awards granted in fiscal 2020, the two quarters ended January 3, 2020, and fiscal 2019 and 2018, respectively. The total fair value of these awards was not material for awards that vested in fiscal 2020, and was $107 million, $21 m</w:t>
      </w:r>
      <w:r>
        <w:rPr>
          <w:rFonts w:eastAsia="Times New Roman"/>
          <w:color w:val="000000"/>
          <w:sz w:val="20"/>
          <w:szCs w:val="20"/>
        </w:rPr>
        <w:t>illion and $12 million for awards that vested in the two quarters ended January 3, 2020, and fiscal 2019 and 2018, respectively.</w:t>
      </w:r>
    </w:p>
    <w:p w14:paraId="0FE7F138" w14:textId="77777777" w:rsidR="00000000" w:rsidRDefault="001A570A">
      <w:pPr>
        <w:divId w:val="602425137"/>
        <w:rPr>
          <w:rFonts w:eastAsia="Times New Roman"/>
        </w:rPr>
      </w:pPr>
      <w:r>
        <w:rPr>
          <w:rFonts w:eastAsia="Times New Roman"/>
          <w:b/>
          <w:bCs/>
          <w:color w:val="000000"/>
          <w:sz w:val="20"/>
          <w:szCs w:val="20"/>
        </w:rPr>
        <w:t>NOTE 17: INCOME FROM CONTINUING OPERATIONS PER SHARE</w:t>
      </w:r>
      <w:r>
        <w:rPr>
          <w:rFonts w:eastAsia="Times New Roman"/>
          <w:b/>
          <w:bCs/>
          <w:i/>
          <w:iCs/>
          <w:color w:val="000000"/>
          <w:sz w:val="20"/>
          <w:szCs w:val="20"/>
        </w:rPr>
        <w:t xml:space="preserve"> </w:t>
      </w:r>
    </w:p>
    <w:p w14:paraId="501DAF4F" w14:textId="77777777" w:rsidR="00000000" w:rsidRDefault="001A570A">
      <w:pPr>
        <w:ind w:firstLine="450"/>
        <w:divId w:val="1336690393"/>
        <w:rPr>
          <w:rFonts w:eastAsia="Times New Roman"/>
        </w:rPr>
      </w:pPr>
      <w:r>
        <w:rPr>
          <w:rFonts w:eastAsia="Times New Roman"/>
          <w:color w:val="000000"/>
          <w:sz w:val="20"/>
          <w:szCs w:val="20"/>
        </w:rPr>
        <w:t>The computations of income from continuing operations per common share at</w:t>
      </w:r>
      <w:r>
        <w:rPr>
          <w:rFonts w:eastAsia="Times New Roman"/>
          <w:color w:val="000000"/>
          <w:sz w:val="20"/>
          <w:szCs w:val="20"/>
        </w:rPr>
        <w:t>tributable to L3Harris common shareholders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8"/>
        <w:gridCol w:w="120"/>
        <w:gridCol w:w="896"/>
        <w:gridCol w:w="36"/>
        <w:gridCol w:w="36"/>
        <w:gridCol w:w="36"/>
        <w:gridCol w:w="36"/>
        <w:gridCol w:w="121"/>
        <w:gridCol w:w="852"/>
        <w:gridCol w:w="36"/>
        <w:gridCol w:w="36"/>
        <w:gridCol w:w="36"/>
        <w:gridCol w:w="36"/>
        <w:gridCol w:w="120"/>
        <w:gridCol w:w="853"/>
        <w:gridCol w:w="36"/>
        <w:gridCol w:w="36"/>
        <w:gridCol w:w="36"/>
        <w:gridCol w:w="36"/>
        <w:gridCol w:w="120"/>
        <w:gridCol w:w="853"/>
        <w:gridCol w:w="36"/>
      </w:tblGrid>
      <w:tr w:rsidR="00000000" w14:paraId="0655FEBC" w14:textId="77777777">
        <w:trPr>
          <w:divId w:val="1431272773"/>
        </w:trPr>
        <w:tc>
          <w:tcPr>
            <w:tcW w:w="50" w:type="pct"/>
            <w:vAlign w:val="center"/>
            <w:hideMark/>
          </w:tcPr>
          <w:p w14:paraId="1DDB4BDC" w14:textId="77777777" w:rsidR="00000000" w:rsidRDefault="001A570A">
            <w:pPr>
              <w:ind w:firstLine="450"/>
              <w:rPr>
                <w:rFonts w:eastAsia="Times New Roman"/>
              </w:rPr>
            </w:pPr>
          </w:p>
        </w:tc>
        <w:tc>
          <w:tcPr>
            <w:tcW w:w="2337" w:type="pct"/>
            <w:vAlign w:val="center"/>
            <w:hideMark/>
          </w:tcPr>
          <w:p w14:paraId="00F9E874" w14:textId="77777777" w:rsidR="00000000" w:rsidRDefault="001A570A">
            <w:pPr>
              <w:rPr>
                <w:rFonts w:eastAsia="Times New Roman"/>
                <w:sz w:val="20"/>
                <w:szCs w:val="20"/>
              </w:rPr>
            </w:pPr>
          </w:p>
        </w:tc>
        <w:tc>
          <w:tcPr>
            <w:tcW w:w="5" w:type="pct"/>
            <w:vAlign w:val="center"/>
            <w:hideMark/>
          </w:tcPr>
          <w:p w14:paraId="0E576018" w14:textId="77777777" w:rsidR="00000000" w:rsidRDefault="001A570A">
            <w:pPr>
              <w:rPr>
                <w:rFonts w:eastAsia="Times New Roman"/>
                <w:sz w:val="20"/>
                <w:szCs w:val="20"/>
              </w:rPr>
            </w:pPr>
          </w:p>
        </w:tc>
        <w:tc>
          <w:tcPr>
            <w:tcW w:w="50" w:type="pct"/>
            <w:vAlign w:val="center"/>
            <w:hideMark/>
          </w:tcPr>
          <w:p w14:paraId="490E23CE" w14:textId="77777777" w:rsidR="00000000" w:rsidRDefault="001A570A">
            <w:pPr>
              <w:rPr>
                <w:rFonts w:eastAsia="Times New Roman"/>
                <w:sz w:val="20"/>
                <w:szCs w:val="20"/>
              </w:rPr>
            </w:pPr>
          </w:p>
        </w:tc>
        <w:tc>
          <w:tcPr>
            <w:tcW w:w="570" w:type="pct"/>
            <w:vAlign w:val="center"/>
            <w:hideMark/>
          </w:tcPr>
          <w:p w14:paraId="3E8065D3" w14:textId="77777777" w:rsidR="00000000" w:rsidRDefault="001A570A">
            <w:pPr>
              <w:rPr>
                <w:rFonts w:eastAsia="Times New Roman"/>
                <w:sz w:val="20"/>
                <w:szCs w:val="20"/>
              </w:rPr>
            </w:pPr>
          </w:p>
        </w:tc>
        <w:tc>
          <w:tcPr>
            <w:tcW w:w="5" w:type="pct"/>
            <w:vAlign w:val="center"/>
            <w:hideMark/>
          </w:tcPr>
          <w:p w14:paraId="5ECF127D" w14:textId="77777777" w:rsidR="00000000" w:rsidRDefault="001A570A">
            <w:pPr>
              <w:rPr>
                <w:rFonts w:eastAsia="Times New Roman"/>
                <w:sz w:val="20"/>
                <w:szCs w:val="20"/>
              </w:rPr>
            </w:pPr>
          </w:p>
        </w:tc>
        <w:tc>
          <w:tcPr>
            <w:tcW w:w="5" w:type="pct"/>
            <w:vAlign w:val="center"/>
            <w:hideMark/>
          </w:tcPr>
          <w:p w14:paraId="49052026" w14:textId="77777777" w:rsidR="00000000" w:rsidRDefault="001A570A">
            <w:pPr>
              <w:rPr>
                <w:rFonts w:eastAsia="Times New Roman"/>
                <w:sz w:val="20"/>
                <w:szCs w:val="20"/>
              </w:rPr>
            </w:pPr>
          </w:p>
        </w:tc>
        <w:tc>
          <w:tcPr>
            <w:tcW w:w="25" w:type="pct"/>
            <w:vAlign w:val="center"/>
            <w:hideMark/>
          </w:tcPr>
          <w:p w14:paraId="64AF2A5E" w14:textId="77777777" w:rsidR="00000000" w:rsidRDefault="001A570A">
            <w:pPr>
              <w:rPr>
                <w:rFonts w:eastAsia="Times New Roman"/>
                <w:sz w:val="20"/>
                <w:szCs w:val="20"/>
              </w:rPr>
            </w:pPr>
          </w:p>
        </w:tc>
        <w:tc>
          <w:tcPr>
            <w:tcW w:w="5" w:type="pct"/>
            <w:vAlign w:val="center"/>
            <w:hideMark/>
          </w:tcPr>
          <w:p w14:paraId="2EF94CD0" w14:textId="77777777" w:rsidR="00000000" w:rsidRDefault="001A570A">
            <w:pPr>
              <w:rPr>
                <w:rFonts w:eastAsia="Times New Roman"/>
                <w:sz w:val="20"/>
                <w:szCs w:val="20"/>
              </w:rPr>
            </w:pPr>
          </w:p>
        </w:tc>
        <w:tc>
          <w:tcPr>
            <w:tcW w:w="50" w:type="pct"/>
            <w:vAlign w:val="center"/>
            <w:hideMark/>
          </w:tcPr>
          <w:p w14:paraId="2D049A49" w14:textId="77777777" w:rsidR="00000000" w:rsidRDefault="001A570A">
            <w:pPr>
              <w:rPr>
                <w:rFonts w:eastAsia="Times New Roman"/>
                <w:sz w:val="20"/>
                <w:szCs w:val="20"/>
              </w:rPr>
            </w:pPr>
          </w:p>
        </w:tc>
        <w:tc>
          <w:tcPr>
            <w:tcW w:w="570" w:type="pct"/>
            <w:vAlign w:val="center"/>
            <w:hideMark/>
          </w:tcPr>
          <w:p w14:paraId="249FAA61" w14:textId="77777777" w:rsidR="00000000" w:rsidRDefault="001A570A">
            <w:pPr>
              <w:rPr>
                <w:rFonts w:eastAsia="Times New Roman"/>
                <w:sz w:val="20"/>
                <w:szCs w:val="20"/>
              </w:rPr>
            </w:pPr>
          </w:p>
        </w:tc>
        <w:tc>
          <w:tcPr>
            <w:tcW w:w="5" w:type="pct"/>
            <w:vAlign w:val="center"/>
            <w:hideMark/>
          </w:tcPr>
          <w:p w14:paraId="1C580622" w14:textId="77777777" w:rsidR="00000000" w:rsidRDefault="001A570A">
            <w:pPr>
              <w:rPr>
                <w:rFonts w:eastAsia="Times New Roman"/>
                <w:sz w:val="20"/>
                <w:szCs w:val="20"/>
              </w:rPr>
            </w:pPr>
          </w:p>
        </w:tc>
        <w:tc>
          <w:tcPr>
            <w:tcW w:w="5" w:type="pct"/>
            <w:vAlign w:val="center"/>
            <w:hideMark/>
          </w:tcPr>
          <w:p w14:paraId="77F01759" w14:textId="77777777" w:rsidR="00000000" w:rsidRDefault="001A570A">
            <w:pPr>
              <w:rPr>
                <w:rFonts w:eastAsia="Times New Roman"/>
                <w:sz w:val="20"/>
                <w:szCs w:val="20"/>
              </w:rPr>
            </w:pPr>
          </w:p>
        </w:tc>
        <w:tc>
          <w:tcPr>
            <w:tcW w:w="25" w:type="pct"/>
            <w:vAlign w:val="center"/>
            <w:hideMark/>
          </w:tcPr>
          <w:p w14:paraId="50BC98BB" w14:textId="77777777" w:rsidR="00000000" w:rsidRDefault="001A570A">
            <w:pPr>
              <w:rPr>
                <w:rFonts w:eastAsia="Times New Roman"/>
                <w:sz w:val="20"/>
                <w:szCs w:val="20"/>
              </w:rPr>
            </w:pPr>
          </w:p>
        </w:tc>
        <w:tc>
          <w:tcPr>
            <w:tcW w:w="5" w:type="pct"/>
            <w:vAlign w:val="center"/>
            <w:hideMark/>
          </w:tcPr>
          <w:p w14:paraId="6E3C313F" w14:textId="77777777" w:rsidR="00000000" w:rsidRDefault="001A570A">
            <w:pPr>
              <w:rPr>
                <w:rFonts w:eastAsia="Times New Roman"/>
                <w:sz w:val="20"/>
                <w:szCs w:val="20"/>
              </w:rPr>
            </w:pPr>
          </w:p>
        </w:tc>
        <w:tc>
          <w:tcPr>
            <w:tcW w:w="50" w:type="pct"/>
            <w:vAlign w:val="center"/>
            <w:hideMark/>
          </w:tcPr>
          <w:p w14:paraId="163A2CA2" w14:textId="77777777" w:rsidR="00000000" w:rsidRDefault="001A570A">
            <w:pPr>
              <w:rPr>
                <w:rFonts w:eastAsia="Times New Roman"/>
                <w:sz w:val="20"/>
                <w:szCs w:val="20"/>
              </w:rPr>
            </w:pPr>
          </w:p>
        </w:tc>
        <w:tc>
          <w:tcPr>
            <w:tcW w:w="570" w:type="pct"/>
            <w:vAlign w:val="center"/>
            <w:hideMark/>
          </w:tcPr>
          <w:p w14:paraId="50CF084F" w14:textId="77777777" w:rsidR="00000000" w:rsidRDefault="001A570A">
            <w:pPr>
              <w:rPr>
                <w:rFonts w:eastAsia="Times New Roman"/>
                <w:sz w:val="20"/>
                <w:szCs w:val="20"/>
              </w:rPr>
            </w:pPr>
          </w:p>
        </w:tc>
        <w:tc>
          <w:tcPr>
            <w:tcW w:w="5" w:type="pct"/>
            <w:vAlign w:val="center"/>
            <w:hideMark/>
          </w:tcPr>
          <w:p w14:paraId="317EA727" w14:textId="77777777" w:rsidR="00000000" w:rsidRDefault="001A570A">
            <w:pPr>
              <w:rPr>
                <w:rFonts w:eastAsia="Times New Roman"/>
                <w:sz w:val="20"/>
                <w:szCs w:val="20"/>
              </w:rPr>
            </w:pPr>
          </w:p>
        </w:tc>
        <w:tc>
          <w:tcPr>
            <w:tcW w:w="5" w:type="pct"/>
            <w:vAlign w:val="center"/>
            <w:hideMark/>
          </w:tcPr>
          <w:p w14:paraId="62DF3E96" w14:textId="77777777" w:rsidR="00000000" w:rsidRDefault="001A570A">
            <w:pPr>
              <w:rPr>
                <w:rFonts w:eastAsia="Times New Roman"/>
                <w:sz w:val="20"/>
                <w:szCs w:val="20"/>
              </w:rPr>
            </w:pPr>
          </w:p>
        </w:tc>
        <w:tc>
          <w:tcPr>
            <w:tcW w:w="25" w:type="pct"/>
            <w:vAlign w:val="center"/>
            <w:hideMark/>
          </w:tcPr>
          <w:p w14:paraId="2970DBE8" w14:textId="77777777" w:rsidR="00000000" w:rsidRDefault="001A570A">
            <w:pPr>
              <w:rPr>
                <w:rFonts w:eastAsia="Times New Roman"/>
                <w:sz w:val="20"/>
                <w:szCs w:val="20"/>
              </w:rPr>
            </w:pPr>
          </w:p>
        </w:tc>
        <w:tc>
          <w:tcPr>
            <w:tcW w:w="5" w:type="pct"/>
            <w:vAlign w:val="center"/>
            <w:hideMark/>
          </w:tcPr>
          <w:p w14:paraId="69B11DD5" w14:textId="77777777" w:rsidR="00000000" w:rsidRDefault="001A570A">
            <w:pPr>
              <w:rPr>
                <w:rFonts w:eastAsia="Times New Roman"/>
                <w:sz w:val="20"/>
                <w:szCs w:val="20"/>
              </w:rPr>
            </w:pPr>
          </w:p>
        </w:tc>
        <w:tc>
          <w:tcPr>
            <w:tcW w:w="50" w:type="pct"/>
            <w:vAlign w:val="center"/>
            <w:hideMark/>
          </w:tcPr>
          <w:p w14:paraId="4AD26A51" w14:textId="77777777" w:rsidR="00000000" w:rsidRDefault="001A570A">
            <w:pPr>
              <w:rPr>
                <w:rFonts w:eastAsia="Times New Roman"/>
                <w:sz w:val="20"/>
                <w:szCs w:val="20"/>
              </w:rPr>
            </w:pPr>
          </w:p>
        </w:tc>
        <w:tc>
          <w:tcPr>
            <w:tcW w:w="570" w:type="pct"/>
            <w:vAlign w:val="center"/>
            <w:hideMark/>
          </w:tcPr>
          <w:p w14:paraId="05457B86" w14:textId="77777777" w:rsidR="00000000" w:rsidRDefault="001A570A">
            <w:pPr>
              <w:rPr>
                <w:rFonts w:eastAsia="Times New Roman"/>
                <w:sz w:val="20"/>
                <w:szCs w:val="20"/>
              </w:rPr>
            </w:pPr>
          </w:p>
        </w:tc>
        <w:tc>
          <w:tcPr>
            <w:tcW w:w="5" w:type="pct"/>
            <w:vAlign w:val="center"/>
            <w:hideMark/>
          </w:tcPr>
          <w:p w14:paraId="55A06BD7" w14:textId="77777777" w:rsidR="00000000" w:rsidRDefault="001A570A">
            <w:pPr>
              <w:rPr>
                <w:rFonts w:eastAsia="Times New Roman"/>
                <w:sz w:val="20"/>
                <w:szCs w:val="20"/>
              </w:rPr>
            </w:pPr>
          </w:p>
        </w:tc>
      </w:tr>
      <w:tr w:rsidR="00000000" w14:paraId="12A1A8DA" w14:textId="77777777">
        <w:trPr>
          <w:divId w:val="1431272773"/>
        </w:trPr>
        <w:tc>
          <w:tcPr>
            <w:tcW w:w="0" w:type="auto"/>
            <w:gridSpan w:val="3"/>
            <w:tcMar>
              <w:top w:w="0" w:type="dxa"/>
              <w:left w:w="20" w:type="dxa"/>
              <w:bottom w:w="0" w:type="dxa"/>
              <w:right w:w="20" w:type="dxa"/>
            </w:tcMar>
            <w:vAlign w:val="center"/>
            <w:hideMark/>
          </w:tcPr>
          <w:p w14:paraId="2C1A2DCB"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035B80C5"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6867A5A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B4A2E29"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17D9D3D5"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1AA04C73"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6B5D6B33" w14:textId="77777777">
        <w:trPr>
          <w:divId w:val="1431272773"/>
        </w:trPr>
        <w:tc>
          <w:tcPr>
            <w:tcW w:w="0" w:type="auto"/>
            <w:gridSpan w:val="3"/>
            <w:tcMar>
              <w:top w:w="30" w:type="dxa"/>
              <w:left w:w="20" w:type="dxa"/>
              <w:bottom w:w="30" w:type="dxa"/>
              <w:right w:w="20" w:type="dxa"/>
            </w:tcMar>
            <w:vAlign w:val="bottom"/>
            <w:hideMark/>
          </w:tcPr>
          <w:p w14:paraId="5ED77B33" w14:textId="77777777" w:rsidR="00000000" w:rsidRDefault="001A570A">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0B9E42B9"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1727BF6"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0A7485"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1C24D83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7EE9A"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15D9795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11C272" w14:textId="77777777" w:rsidR="00000000" w:rsidRDefault="001A570A">
            <w:pPr>
              <w:jc w:val="center"/>
              <w:rPr>
                <w:rFonts w:eastAsia="Times New Roman"/>
              </w:rPr>
            </w:pPr>
            <w:r>
              <w:rPr>
                <w:rFonts w:eastAsia="Times New Roman"/>
                <w:b/>
                <w:bCs/>
                <w:color w:val="000000"/>
                <w:sz w:val="16"/>
                <w:szCs w:val="16"/>
              </w:rPr>
              <w:t>June 29, 2018</w:t>
            </w:r>
          </w:p>
        </w:tc>
      </w:tr>
      <w:tr w:rsidR="00000000" w14:paraId="202BD5EE" w14:textId="77777777">
        <w:trPr>
          <w:divId w:val="1431272773"/>
          <w:trHeight w:val="60"/>
        </w:trPr>
        <w:tc>
          <w:tcPr>
            <w:tcW w:w="0" w:type="auto"/>
            <w:gridSpan w:val="3"/>
            <w:tcMar>
              <w:top w:w="0" w:type="dxa"/>
              <w:left w:w="20" w:type="dxa"/>
              <w:bottom w:w="0" w:type="dxa"/>
              <w:right w:w="20" w:type="dxa"/>
            </w:tcMar>
            <w:vAlign w:val="center"/>
            <w:hideMark/>
          </w:tcPr>
          <w:p w14:paraId="79E670EB"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886EF1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B8E373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E9233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FF957A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A3F3D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BCD461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0767F3" w14:textId="77777777" w:rsidR="00000000" w:rsidRDefault="001A570A">
            <w:pPr>
              <w:rPr>
                <w:rFonts w:eastAsia="Times New Roman"/>
                <w:sz w:val="20"/>
                <w:szCs w:val="20"/>
              </w:rPr>
            </w:pPr>
          </w:p>
        </w:tc>
      </w:tr>
      <w:tr w:rsidR="00000000" w14:paraId="1C744F88" w14:textId="77777777">
        <w:trPr>
          <w:divId w:val="1431272773"/>
        </w:trPr>
        <w:tc>
          <w:tcPr>
            <w:tcW w:w="0" w:type="auto"/>
            <w:gridSpan w:val="3"/>
            <w:shd w:val="clear" w:color="auto" w:fill="CCEEFF"/>
            <w:tcMar>
              <w:top w:w="30" w:type="dxa"/>
              <w:left w:w="20" w:type="dxa"/>
              <w:bottom w:w="30" w:type="dxa"/>
              <w:right w:w="20" w:type="dxa"/>
            </w:tcMar>
            <w:hideMark/>
          </w:tcPr>
          <w:p w14:paraId="4CBAE0A7" w14:textId="77777777" w:rsidR="00000000" w:rsidRDefault="001A570A">
            <w:pPr>
              <w:rPr>
                <w:rFonts w:eastAsia="Times New Roman"/>
              </w:rPr>
            </w:pPr>
            <w:r>
              <w:rPr>
                <w:rFonts w:eastAsia="Times New Roman"/>
                <w:color w:val="000000"/>
                <w:sz w:val="20"/>
                <w:szCs w:val="20"/>
              </w:rPr>
              <w:t>Income from continuing operations</w:t>
            </w:r>
          </w:p>
        </w:tc>
        <w:tc>
          <w:tcPr>
            <w:tcW w:w="0" w:type="auto"/>
            <w:shd w:val="clear" w:color="auto" w:fill="CCEEFF"/>
            <w:tcMar>
              <w:top w:w="30" w:type="dxa"/>
              <w:left w:w="20" w:type="dxa"/>
              <w:bottom w:w="30" w:type="dxa"/>
              <w:right w:w="0" w:type="dxa"/>
            </w:tcMar>
            <w:vAlign w:val="bottom"/>
            <w:hideMark/>
          </w:tcPr>
          <w:p w14:paraId="384954A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41CA1B" w14:textId="77777777" w:rsidR="00000000" w:rsidRDefault="001A570A">
            <w:pPr>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bottom"/>
            <w:hideMark/>
          </w:tcPr>
          <w:p w14:paraId="26F3718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754D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5E54D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E946F9" w14:textId="77777777" w:rsidR="00000000" w:rsidRDefault="001A570A">
            <w:pPr>
              <w:jc w:val="right"/>
              <w:rPr>
                <w:rFonts w:eastAsia="Times New Roman"/>
              </w:rPr>
            </w:pPr>
            <w:r>
              <w:rPr>
                <w:rFonts w:eastAsia="Times New Roman"/>
                <w:color w:val="000000"/>
                <w:sz w:val="20"/>
                <w:szCs w:val="20"/>
              </w:rPr>
              <w:t>823 </w:t>
            </w:r>
          </w:p>
        </w:tc>
        <w:tc>
          <w:tcPr>
            <w:tcW w:w="0" w:type="auto"/>
            <w:shd w:val="clear" w:color="auto" w:fill="CCEEFF"/>
            <w:tcMar>
              <w:top w:w="30" w:type="dxa"/>
              <w:left w:w="0" w:type="dxa"/>
              <w:bottom w:w="30" w:type="dxa"/>
              <w:right w:w="20" w:type="dxa"/>
            </w:tcMar>
            <w:vAlign w:val="bottom"/>
            <w:hideMark/>
          </w:tcPr>
          <w:p w14:paraId="26547EE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4F92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26039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656058" w14:textId="77777777" w:rsidR="00000000" w:rsidRDefault="001A570A">
            <w:pPr>
              <w:jc w:val="right"/>
              <w:rPr>
                <w:rFonts w:eastAsia="Times New Roman"/>
              </w:rPr>
            </w:pPr>
            <w:r>
              <w:rPr>
                <w:rFonts w:eastAsia="Times New Roman"/>
                <w:color w:val="000000"/>
                <w:sz w:val="20"/>
                <w:szCs w:val="20"/>
              </w:rPr>
              <w:t>953 </w:t>
            </w:r>
          </w:p>
        </w:tc>
        <w:tc>
          <w:tcPr>
            <w:tcW w:w="0" w:type="auto"/>
            <w:shd w:val="clear" w:color="auto" w:fill="CCEEFF"/>
            <w:tcMar>
              <w:top w:w="30" w:type="dxa"/>
              <w:left w:w="0" w:type="dxa"/>
              <w:bottom w:w="30" w:type="dxa"/>
              <w:right w:w="20" w:type="dxa"/>
            </w:tcMar>
            <w:vAlign w:val="bottom"/>
            <w:hideMark/>
          </w:tcPr>
          <w:p w14:paraId="7D2E06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509F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1B9D3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6A72EA" w14:textId="77777777" w:rsidR="00000000" w:rsidRDefault="001A570A">
            <w:pPr>
              <w:jc w:val="right"/>
              <w:rPr>
                <w:rFonts w:eastAsia="Times New Roman"/>
              </w:rPr>
            </w:pPr>
            <w:r>
              <w:rPr>
                <w:rFonts w:eastAsia="Times New Roman"/>
                <w:color w:val="000000"/>
                <w:sz w:val="20"/>
                <w:szCs w:val="20"/>
              </w:rPr>
              <w:t>702 </w:t>
            </w:r>
          </w:p>
        </w:tc>
        <w:tc>
          <w:tcPr>
            <w:tcW w:w="0" w:type="auto"/>
            <w:shd w:val="clear" w:color="auto" w:fill="CCEEFF"/>
            <w:tcMar>
              <w:top w:w="30" w:type="dxa"/>
              <w:left w:w="0" w:type="dxa"/>
              <w:bottom w:w="30" w:type="dxa"/>
              <w:right w:w="20" w:type="dxa"/>
            </w:tcMar>
            <w:vAlign w:val="bottom"/>
            <w:hideMark/>
          </w:tcPr>
          <w:p w14:paraId="53C73620" w14:textId="77777777" w:rsidR="00000000" w:rsidRDefault="001A570A">
            <w:pPr>
              <w:jc w:val="right"/>
              <w:rPr>
                <w:rFonts w:eastAsia="Times New Roman"/>
              </w:rPr>
            </w:pPr>
          </w:p>
        </w:tc>
      </w:tr>
      <w:tr w:rsidR="00000000" w14:paraId="4ECCC1E2" w14:textId="77777777">
        <w:trPr>
          <w:divId w:val="1431272773"/>
        </w:trPr>
        <w:tc>
          <w:tcPr>
            <w:tcW w:w="0" w:type="auto"/>
            <w:gridSpan w:val="3"/>
            <w:shd w:val="clear" w:color="auto" w:fill="FFFFFF"/>
            <w:tcMar>
              <w:top w:w="30" w:type="dxa"/>
              <w:left w:w="20" w:type="dxa"/>
              <w:bottom w:w="30" w:type="dxa"/>
              <w:right w:w="20" w:type="dxa"/>
            </w:tcMar>
            <w:hideMark/>
          </w:tcPr>
          <w:p w14:paraId="351BC915" w14:textId="77777777" w:rsidR="00000000" w:rsidRDefault="001A570A">
            <w:pPr>
              <w:rPr>
                <w:rFonts w:eastAsia="Times New Roman"/>
              </w:rPr>
            </w:pPr>
            <w:r>
              <w:rPr>
                <w:rFonts w:eastAsia="Times New Roman"/>
                <w:color w:val="000000"/>
                <w:sz w:val="20"/>
                <w:szCs w:val="20"/>
              </w:rPr>
              <w:t>Adjustments for participating securities outstanding</w:t>
            </w:r>
          </w:p>
        </w:tc>
        <w:tc>
          <w:tcPr>
            <w:tcW w:w="0" w:type="auto"/>
            <w:gridSpan w:val="2"/>
            <w:shd w:val="clear" w:color="auto" w:fill="FFFFFF"/>
            <w:tcMar>
              <w:top w:w="30" w:type="dxa"/>
              <w:left w:w="20" w:type="dxa"/>
              <w:bottom w:w="30" w:type="dxa"/>
              <w:right w:w="0" w:type="dxa"/>
            </w:tcMar>
            <w:vAlign w:val="bottom"/>
            <w:hideMark/>
          </w:tcPr>
          <w:p w14:paraId="05FDF8B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3AF59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BB64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BE21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DE27B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72FC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11FB8"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268A86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FE5A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95CA2"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4D37217" w14:textId="77777777" w:rsidR="00000000" w:rsidRDefault="001A570A">
            <w:pPr>
              <w:jc w:val="right"/>
              <w:rPr>
                <w:rFonts w:eastAsia="Times New Roman"/>
              </w:rPr>
            </w:pPr>
          </w:p>
        </w:tc>
      </w:tr>
      <w:tr w:rsidR="00000000" w14:paraId="006FE3B7" w14:textId="77777777">
        <w:trPr>
          <w:divId w:val="1431272773"/>
        </w:trPr>
        <w:tc>
          <w:tcPr>
            <w:tcW w:w="0" w:type="auto"/>
            <w:gridSpan w:val="3"/>
            <w:shd w:val="clear" w:color="auto" w:fill="CCEEFF"/>
            <w:tcMar>
              <w:top w:w="30" w:type="dxa"/>
              <w:left w:w="20" w:type="dxa"/>
              <w:bottom w:w="30" w:type="dxa"/>
              <w:right w:w="20" w:type="dxa"/>
            </w:tcMar>
            <w:hideMark/>
          </w:tcPr>
          <w:p w14:paraId="2036D9AA" w14:textId="77777777" w:rsidR="00000000" w:rsidRDefault="001A570A">
            <w:pPr>
              <w:ind w:hanging="270"/>
              <w:divId w:val="383256188"/>
              <w:rPr>
                <w:rFonts w:eastAsia="Times New Roman"/>
              </w:rPr>
            </w:pPr>
            <w:r>
              <w:rPr>
                <w:rFonts w:eastAsia="Times New Roman"/>
                <w:color w:val="000000"/>
                <w:sz w:val="20"/>
                <w:szCs w:val="20"/>
              </w:rPr>
              <w:t>Income from continuing operations used in per basic and diluted common share calculations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490B1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3ABA35" w14:textId="77777777" w:rsidR="00000000" w:rsidRDefault="001A570A">
            <w:pPr>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6691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A1EB3"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788B6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87AD40" w14:textId="77777777" w:rsidR="00000000" w:rsidRDefault="001A570A">
            <w:pPr>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0E661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035A9"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C7670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C8D1E3" w14:textId="77777777" w:rsidR="00000000" w:rsidRDefault="001A570A">
            <w:pPr>
              <w:jc w:val="right"/>
              <w:rPr>
                <w:rFonts w:eastAsia="Times New Roman"/>
              </w:rPr>
            </w:pPr>
            <w:r>
              <w:rPr>
                <w:rFonts w:eastAsia="Times New Roman"/>
                <w:color w:val="000000"/>
                <w:sz w:val="20"/>
                <w:szCs w:val="20"/>
              </w:rPr>
              <w:t>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28B0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72F4E"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AEAE4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5FFB88" w14:textId="77777777" w:rsidR="00000000" w:rsidRDefault="001A570A">
            <w:pPr>
              <w:jc w:val="right"/>
              <w:rPr>
                <w:rFonts w:eastAsia="Times New Roman"/>
              </w:rPr>
            </w:pPr>
            <w:r>
              <w:rPr>
                <w:rFonts w:eastAsia="Times New Roman"/>
                <w:color w:val="000000"/>
                <w:sz w:val="20"/>
                <w:szCs w:val="20"/>
              </w:rPr>
              <w:t>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417D48" w14:textId="77777777" w:rsidR="00000000" w:rsidRDefault="001A570A">
            <w:pPr>
              <w:jc w:val="right"/>
              <w:rPr>
                <w:rFonts w:eastAsia="Times New Roman"/>
              </w:rPr>
            </w:pPr>
          </w:p>
        </w:tc>
      </w:tr>
      <w:tr w:rsidR="00000000" w14:paraId="0E5E413E" w14:textId="77777777">
        <w:trPr>
          <w:divId w:val="1431272773"/>
        </w:trPr>
        <w:tc>
          <w:tcPr>
            <w:tcW w:w="0" w:type="auto"/>
            <w:gridSpan w:val="3"/>
            <w:shd w:val="clear" w:color="auto" w:fill="FFFFFF"/>
            <w:tcMar>
              <w:top w:w="30" w:type="dxa"/>
              <w:left w:w="20" w:type="dxa"/>
              <w:bottom w:w="30" w:type="dxa"/>
              <w:right w:w="20" w:type="dxa"/>
            </w:tcMar>
            <w:hideMark/>
          </w:tcPr>
          <w:p w14:paraId="5F7F8B91" w14:textId="77777777" w:rsidR="00000000" w:rsidRDefault="001A570A">
            <w:pPr>
              <w:rPr>
                <w:rFonts w:eastAsia="Times New Roman"/>
              </w:rPr>
            </w:pPr>
            <w:r>
              <w:rPr>
                <w:rFonts w:eastAsia="Times New Roman"/>
                <w:color w:val="000000"/>
                <w:sz w:val="20"/>
                <w:szCs w:val="20"/>
              </w:rPr>
              <w:t>Basic weighted average common shares outstanding (B)</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B1A1A56" w14:textId="77777777" w:rsidR="00000000" w:rsidRDefault="001A570A">
            <w:pPr>
              <w:jc w:val="right"/>
              <w:rPr>
                <w:rFonts w:eastAsia="Times New Roman"/>
              </w:rPr>
            </w:pPr>
            <w:r>
              <w:rPr>
                <w:rFonts w:eastAsia="Times New Roman"/>
                <w:color w:val="000000"/>
                <w:sz w:val="20"/>
                <w:szCs w:val="20"/>
              </w:rPr>
              <w:t>214.0 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371205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1C3C7" w14:textId="77777777" w:rsidR="00000000" w:rsidRDefault="001A570A">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6F088FA" w14:textId="77777777" w:rsidR="00000000" w:rsidRDefault="001A570A">
            <w:pPr>
              <w:jc w:val="right"/>
              <w:rPr>
                <w:rFonts w:eastAsia="Times New Roman"/>
              </w:rPr>
            </w:pPr>
            <w:r>
              <w:rPr>
                <w:rFonts w:eastAsia="Times New Roman"/>
                <w:color w:val="000000"/>
                <w:sz w:val="20"/>
                <w:szCs w:val="20"/>
              </w:rPr>
              <w:t>221.2 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4C3B6F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DE00B" w14:textId="77777777" w:rsidR="00000000" w:rsidRDefault="001A570A">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D98CB14" w14:textId="77777777" w:rsidR="00000000" w:rsidRDefault="001A570A">
            <w:pPr>
              <w:jc w:val="right"/>
              <w:rPr>
                <w:rFonts w:eastAsia="Times New Roman"/>
              </w:rPr>
            </w:pPr>
            <w:r>
              <w:rPr>
                <w:rFonts w:eastAsia="Times New Roman"/>
                <w:color w:val="000000"/>
                <w:sz w:val="20"/>
                <w:szCs w:val="20"/>
              </w:rPr>
              <w:t>118.0 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9B3AA3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6B643" w14:textId="77777777" w:rsidR="00000000" w:rsidRDefault="001A570A">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CDAE27C" w14:textId="77777777" w:rsidR="00000000" w:rsidRDefault="001A570A">
            <w:pPr>
              <w:jc w:val="right"/>
              <w:rPr>
                <w:rFonts w:eastAsia="Times New Roman"/>
              </w:rPr>
            </w:pPr>
            <w:r>
              <w:rPr>
                <w:rFonts w:eastAsia="Times New Roman"/>
                <w:color w:val="000000"/>
                <w:sz w:val="20"/>
                <w:szCs w:val="20"/>
              </w:rPr>
              <w:t>118.6 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42F8716" w14:textId="77777777" w:rsidR="00000000" w:rsidRDefault="001A570A">
            <w:pPr>
              <w:jc w:val="right"/>
              <w:rPr>
                <w:rFonts w:eastAsia="Times New Roman"/>
              </w:rPr>
            </w:pPr>
          </w:p>
        </w:tc>
      </w:tr>
      <w:tr w:rsidR="00000000" w14:paraId="38E67970" w14:textId="77777777">
        <w:trPr>
          <w:divId w:val="1431272773"/>
        </w:trPr>
        <w:tc>
          <w:tcPr>
            <w:tcW w:w="0" w:type="auto"/>
            <w:gridSpan w:val="3"/>
            <w:shd w:val="clear" w:color="auto" w:fill="CCEEFF"/>
            <w:tcMar>
              <w:top w:w="30" w:type="dxa"/>
              <w:left w:w="20" w:type="dxa"/>
              <w:bottom w:w="30" w:type="dxa"/>
              <w:right w:w="20" w:type="dxa"/>
            </w:tcMar>
            <w:hideMark/>
          </w:tcPr>
          <w:p w14:paraId="50F9B0BA" w14:textId="77777777" w:rsidR="00000000" w:rsidRDefault="001A570A">
            <w:pPr>
              <w:rPr>
                <w:rFonts w:eastAsia="Times New Roman"/>
              </w:rPr>
            </w:pPr>
            <w:r>
              <w:rPr>
                <w:rFonts w:eastAsia="Times New Roman"/>
                <w:color w:val="000000"/>
                <w:sz w:val="20"/>
                <w:szCs w:val="20"/>
              </w:rPr>
              <w:t>Impact of dilutive share-based awards</w:t>
            </w:r>
          </w:p>
        </w:tc>
        <w:tc>
          <w:tcPr>
            <w:tcW w:w="0" w:type="auto"/>
            <w:gridSpan w:val="2"/>
            <w:shd w:val="clear" w:color="auto" w:fill="CCEEFF"/>
            <w:tcMar>
              <w:top w:w="30" w:type="dxa"/>
              <w:left w:w="20" w:type="dxa"/>
              <w:bottom w:w="30" w:type="dxa"/>
              <w:right w:w="0" w:type="dxa"/>
            </w:tcMar>
            <w:vAlign w:val="bottom"/>
            <w:hideMark/>
          </w:tcPr>
          <w:p w14:paraId="15FDBB2C"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4202342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81D6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CD2B6"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001C3EE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4D80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0C81C"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72099F2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C8CB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1F1CA0"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1299FF5E" w14:textId="77777777" w:rsidR="00000000" w:rsidRDefault="001A570A">
            <w:pPr>
              <w:jc w:val="right"/>
              <w:rPr>
                <w:rFonts w:eastAsia="Times New Roman"/>
              </w:rPr>
            </w:pPr>
          </w:p>
        </w:tc>
      </w:tr>
      <w:tr w:rsidR="00000000" w14:paraId="72A3FC47" w14:textId="77777777">
        <w:trPr>
          <w:divId w:val="1431272773"/>
        </w:trPr>
        <w:tc>
          <w:tcPr>
            <w:tcW w:w="0" w:type="auto"/>
            <w:gridSpan w:val="3"/>
            <w:shd w:val="clear" w:color="auto" w:fill="FFFFFF"/>
            <w:tcMar>
              <w:top w:w="30" w:type="dxa"/>
              <w:left w:w="20" w:type="dxa"/>
              <w:bottom w:w="30" w:type="dxa"/>
              <w:right w:w="20" w:type="dxa"/>
            </w:tcMar>
            <w:hideMark/>
          </w:tcPr>
          <w:p w14:paraId="7CCD91AE" w14:textId="77777777" w:rsidR="00000000" w:rsidRDefault="001A570A">
            <w:pPr>
              <w:rPr>
                <w:rFonts w:eastAsia="Times New Roman"/>
              </w:rPr>
            </w:pPr>
            <w:r>
              <w:rPr>
                <w:rFonts w:eastAsia="Times New Roman"/>
                <w:color w:val="000000"/>
                <w:sz w:val="20"/>
                <w:szCs w:val="20"/>
              </w:rPr>
              <w:t>Diluted weighted average common shares outstanding (C)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5AB1CD" w14:textId="77777777" w:rsidR="00000000" w:rsidRDefault="001A570A">
            <w:pPr>
              <w:jc w:val="right"/>
              <w:rPr>
                <w:rFonts w:eastAsia="Times New Roman"/>
              </w:rPr>
            </w:pPr>
            <w:r>
              <w:rPr>
                <w:rFonts w:eastAsia="Times New Roman"/>
                <w:color w:val="000000"/>
                <w:sz w:val="20"/>
                <w:szCs w:val="20"/>
              </w:rPr>
              <w:t>215.9 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63ED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7398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859601" w14:textId="77777777" w:rsidR="00000000" w:rsidRDefault="001A570A">
            <w:pPr>
              <w:jc w:val="right"/>
              <w:rPr>
                <w:rFonts w:eastAsia="Times New Roman"/>
              </w:rPr>
            </w:pPr>
            <w:r>
              <w:rPr>
                <w:rFonts w:eastAsia="Times New Roman"/>
                <w:color w:val="000000"/>
                <w:sz w:val="20"/>
                <w:szCs w:val="20"/>
              </w:rPr>
              <w:t>223.7 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D868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1489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EA6BDA" w14:textId="77777777" w:rsidR="00000000" w:rsidRDefault="001A570A">
            <w:pPr>
              <w:jc w:val="right"/>
              <w:rPr>
                <w:rFonts w:eastAsia="Times New Roman"/>
              </w:rPr>
            </w:pPr>
            <w:r>
              <w:rPr>
                <w:rFonts w:eastAsia="Times New Roman"/>
                <w:color w:val="000000"/>
                <w:sz w:val="20"/>
                <w:szCs w:val="20"/>
              </w:rPr>
              <w:t>120.5 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3837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2ECA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5E24A8" w14:textId="77777777" w:rsidR="00000000" w:rsidRDefault="001A570A">
            <w:pPr>
              <w:jc w:val="right"/>
              <w:rPr>
                <w:rFonts w:eastAsia="Times New Roman"/>
              </w:rPr>
            </w:pPr>
            <w:r>
              <w:rPr>
                <w:rFonts w:eastAsia="Times New Roman"/>
                <w:color w:val="000000"/>
                <w:sz w:val="20"/>
                <w:szCs w:val="20"/>
              </w:rPr>
              <w:t>121.1 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B0EDE9" w14:textId="77777777" w:rsidR="00000000" w:rsidRDefault="001A570A">
            <w:pPr>
              <w:jc w:val="right"/>
              <w:rPr>
                <w:rFonts w:eastAsia="Times New Roman"/>
              </w:rPr>
            </w:pPr>
          </w:p>
        </w:tc>
      </w:tr>
      <w:tr w:rsidR="00000000" w14:paraId="767BDD91" w14:textId="77777777">
        <w:trPr>
          <w:divId w:val="1431272773"/>
        </w:trPr>
        <w:tc>
          <w:tcPr>
            <w:tcW w:w="0" w:type="auto"/>
            <w:gridSpan w:val="3"/>
            <w:shd w:val="clear" w:color="auto" w:fill="CCEEFF"/>
            <w:tcMar>
              <w:top w:w="30" w:type="dxa"/>
              <w:left w:w="20" w:type="dxa"/>
              <w:bottom w:w="30" w:type="dxa"/>
              <w:right w:w="20" w:type="dxa"/>
            </w:tcMar>
            <w:hideMark/>
          </w:tcPr>
          <w:p w14:paraId="18121A92" w14:textId="77777777" w:rsidR="00000000" w:rsidRDefault="001A570A">
            <w:pPr>
              <w:ind w:hanging="270"/>
              <w:divId w:val="1019694940"/>
              <w:rPr>
                <w:rFonts w:eastAsia="Times New Roman"/>
              </w:rPr>
            </w:pPr>
            <w:r>
              <w:rPr>
                <w:rFonts w:eastAsia="Times New Roman"/>
                <w:color w:val="000000"/>
                <w:sz w:val="20"/>
                <w:szCs w:val="20"/>
              </w:rPr>
              <w:t>Income from continuing operations per basic common share (A)/(B)</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9920060" w14:textId="77777777" w:rsidR="00000000" w:rsidRDefault="001A570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125123B" w14:textId="77777777" w:rsidR="00000000" w:rsidRDefault="001A570A">
            <w:pPr>
              <w:jc w:val="right"/>
              <w:rPr>
                <w:rFonts w:eastAsia="Times New Roman"/>
              </w:rPr>
            </w:pPr>
            <w:r>
              <w:rPr>
                <w:rFonts w:eastAsia="Times New Roman"/>
                <w:color w:val="000000"/>
                <w:sz w:val="20"/>
                <w:szCs w:val="20"/>
              </w:rPr>
              <w:t>5.24 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63933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8CB8E" w14:textId="77777777" w:rsidR="00000000" w:rsidRDefault="001A570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425C036" w14:textId="77777777" w:rsidR="00000000" w:rsidRDefault="001A570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74B7EE1" w14:textId="77777777" w:rsidR="00000000" w:rsidRDefault="001A570A">
            <w:pPr>
              <w:jc w:val="right"/>
              <w:rPr>
                <w:rFonts w:eastAsia="Times New Roman"/>
              </w:rPr>
            </w:pPr>
            <w:r>
              <w:rPr>
                <w:rFonts w:eastAsia="Times New Roman"/>
                <w:color w:val="000000"/>
                <w:sz w:val="20"/>
                <w:szCs w:val="20"/>
              </w:rPr>
              <w:t>3.72 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64F5E7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80E8B" w14:textId="77777777" w:rsidR="00000000" w:rsidRDefault="001A570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A82A205" w14:textId="77777777" w:rsidR="00000000" w:rsidRDefault="001A570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08E6426" w14:textId="77777777" w:rsidR="00000000" w:rsidRDefault="001A570A">
            <w:pPr>
              <w:jc w:val="right"/>
              <w:rPr>
                <w:rFonts w:eastAsia="Times New Roman"/>
              </w:rPr>
            </w:pPr>
            <w:r>
              <w:rPr>
                <w:rFonts w:eastAsia="Times New Roman"/>
                <w:color w:val="000000"/>
                <w:sz w:val="20"/>
                <w:szCs w:val="20"/>
              </w:rPr>
              <w:t>8.06 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1A4C07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8C469" w14:textId="77777777" w:rsidR="00000000" w:rsidRDefault="001A570A">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C13E3E9" w14:textId="77777777" w:rsidR="00000000" w:rsidRDefault="001A570A">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21B2D8C" w14:textId="77777777" w:rsidR="00000000" w:rsidRDefault="001A570A">
            <w:pPr>
              <w:jc w:val="right"/>
              <w:rPr>
                <w:rFonts w:eastAsia="Times New Roman"/>
              </w:rPr>
            </w:pPr>
            <w:r>
              <w:rPr>
                <w:rFonts w:eastAsia="Times New Roman"/>
                <w:color w:val="000000"/>
                <w:sz w:val="20"/>
                <w:szCs w:val="20"/>
              </w:rPr>
              <w:t>5.90 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7AF2DC6" w14:textId="77777777" w:rsidR="00000000" w:rsidRDefault="001A570A">
            <w:pPr>
              <w:jc w:val="right"/>
              <w:rPr>
                <w:rFonts w:eastAsia="Times New Roman"/>
              </w:rPr>
            </w:pPr>
          </w:p>
        </w:tc>
      </w:tr>
      <w:tr w:rsidR="00000000" w14:paraId="7A92E076" w14:textId="77777777">
        <w:trPr>
          <w:divId w:val="1431272773"/>
        </w:trPr>
        <w:tc>
          <w:tcPr>
            <w:tcW w:w="0" w:type="auto"/>
            <w:gridSpan w:val="3"/>
            <w:shd w:val="clear" w:color="auto" w:fill="FFFFFF"/>
            <w:tcMar>
              <w:top w:w="30" w:type="dxa"/>
              <w:left w:w="20" w:type="dxa"/>
              <w:bottom w:w="30" w:type="dxa"/>
              <w:right w:w="20" w:type="dxa"/>
            </w:tcMar>
            <w:hideMark/>
          </w:tcPr>
          <w:p w14:paraId="08EFFF50" w14:textId="77777777" w:rsidR="00000000" w:rsidRDefault="001A570A">
            <w:pPr>
              <w:ind w:hanging="270"/>
              <w:divId w:val="224804342"/>
              <w:rPr>
                <w:rFonts w:eastAsia="Times New Roman"/>
              </w:rPr>
            </w:pPr>
            <w:r>
              <w:rPr>
                <w:rFonts w:eastAsia="Times New Roman"/>
                <w:color w:val="000000"/>
                <w:sz w:val="20"/>
                <w:szCs w:val="20"/>
              </w:rPr>
              <w:t>Income from continuing operations per diluted common share (A)/(C)</w:t>
            </w:r>
          </w:p>
        </w:tc>
        <w:tc>
          <w:tcPr>
            <w:tcW w:w="0" w:type="auto"/>
            <w:shd w:val="clear" w:color="auto" w:fill="FFFFFF"/>
            <w:tcMar>
              <w:top w:w="30" w:type="dxa"/>
              <w:left w:w="20" w:type="dxa"/>
              <w:bottom w:w="30" w:type="dxa"/>
              <w:right w:w="0" w:type="dxa"/>
            </w:tcMar>
            <w:vAlign w:val="bottom"/>
            <w:hideMark/>
          </w:tcPr>
          <w:p w14:paraId="7A22487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4239F3" w14:textId="77777777" w:rsidR="00000000" w:rsidRDefault="001A570A">
            <w:pPr>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57B5CE8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20F06"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C7598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C29618" w14:textId="77777777" w:rsidR="00000000" w:rsidRDefault="001A570A">
            <w:pPr>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14:paraId="4104C8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B94CF"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D8B4A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970A11" w14:textId="77777777" w:rsidR="00000000" w:rsidRDefault="001A570A">
            <w:pPr>
              <w:jc w:val="right"/>
              <w:rPr>
                <w:rFonts w:eastAsia="Times New Roman"/>
              </w:rPr>
            </w:pPr>
            <w:r>
              <w:rPr>
                <w:rFonts w:eastAsia="Times New Roman"/>
                <w:color w:val="000000"/>
                <w:sz w:val="20"/>
                <w:szCs w:val="20"/>
              </w:rPr>
              <w:t>7.89 </w:t>
            </w:r>
          </w:p>
        </w:tc>
        <w:tc>
          <w:tcPr>
            <w:tcW w:w="0" w:type="auto"/>
            <w:shd w:val="clear" w:color="auto" w:fill="FFFFFF"/>
            <w:tcMar>
              <w:top w:w="30" w:type="dxa"/>
              <w:left w:w="0" w:type="dxa"/>
              <w:bottom w:w="30" w:type="dxa"/>
              <w:right w:w="20" w:type="dxa"/>
            </w:tcMar>
            <w:vAlign w:val="bottom"/>
            <w:hideMark/>
          </w:tcPr>
          <w:p w14:paraId="1969E5C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0AE3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48C3F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935704" w14:textId="77777777" w:rsidR="00000000" w:rsidRDefault="001A570A">
            <w:pPr>
              <w:jc w:val="right"/>
              <w:rPr>
                <w:rFonts w:eastAsia="Times New Roman"/>
              </w:rPr>
            </w:pPr>
            <w:r>
              <w:rPr>
                <w:rFonts w:eastAsia="Times New Roman"/>
                <w:color w:val="000000"/>
                <w:sz w:val="20"/>
                <w:szCs w:val="20"/>
              </w:rPr>
              <w:t>5.78 </w:t>
            </w:r>
          </w:p>
        </w:tc>
        <w:tc>
          <w:tcPr>
            <w:tcW w:w="0" w:type="auto"/>
            <w:shd w:val="clear" w:color="auto" w:fill="FFFFFF"/>
            <w:tcMar>
              <w:top w:w="30" w:type="dxa"/>
              <w:left w:w="0" w:type="dxa"/>
              <w:bottom w:w="30" w:type="dxa"/>
              <w:right w:w="20" w:type="dxa"/>
            </w:tcMar>
            <w:vAlign w:val="bottom"/>
            <w:hideMark/>
          </w:tcPr>
          <w:p w14:paraId="167DFE56" w14:textId="77777777" w:rsidR="00000000" w:rsidRDefault="001A570A">
            <w:pPr>
              <w:jc w:val="right"/>
              <w:rPr>
                <w:rFonts w:eastAsia="Times New Roman"/>
              </w:rPr>
            </w:pPr>
          </w:p>
        </w:tc>
      </w:tr>
    </w:tbl>
    <w:p w14:paraId="6FBA0A0C" w14:textId="77777777" w:rsidR="00000000" w:rsidRDefault="001A570A">
      <w:pPr>
        <w:ind w:firstLine="450"/>
        <w:divId w:val="1964916914"/>
        <w:rPr>
          <w:rFonts w:eastAsia="Times New Roman"/>
        </w:rPr>
      </w:pPr>
      <w:r>
        <w:rPr>
          <w:rFonts w:eastAsia="Times New Roman"/>
          <w:color w:val="000000"/>
          <w:sz w:val="20"/>
          <w:szCs w:val="20"/>
        </w:rPr>
        <w:t>Potential dilutive common</w:t>
      </w:r>
      <w:r>
        <w:rPr>
          <w:rFonts w:eastAsia="Times New Roman"/>
          <w:color w:val="000000"/>
          <w:sz w:val="20"/>
          <w:szCs w:val="20"/>
        </w:rPr>
        <w:t xml:space="preserve"> shares primarily consist of employee stock options and restricted and performance unit awards. Income from continuing operations per diluted common share excludes the antidilutive impact of 1,300,214, 604,969, 271,892 and 48,590 weighted average share-bas</w:t>
      </w:r>
      <w:r>
        <w:rPr>
          <w:rFonts w:eastAsia="Times New Roman"/>
          <w:color w:val="000000"/>
          <w:sz w:val="20"/>
          <w:szCs w:val="20"/>
        </w:rPr>
        <w:t>ed awards outstanding in fiscal 2020, the two quarters ended January 3, 2020, and fiscal 2019 and 2018, respectively.</w:t>
      </w:r>
    </w:p>
    <w:p w14:paraId="4F205FE0" w14:textId="77777777" w:rsidR="00000000" w:rsidRDefault="001A570A">
      <w:pPr>
        <w:divId w:val="332412981"/>
        <w:rPr>
          <w:rFonts w:eastAsia="Times New Roman"/>
        </w:rPr>
      </w:pPr>
      <w:r>
        <w:rPr>
          <w:rFonts w:eastAsia="Times New Roman"/>
          <w:b/>
          <w:bCs/>
          <w:color w:val="000000"/>
          <w:sz w:val="20"/>
          <w:szCs w:val="20"/>
        </w:rPr>
        <w:t xml:space="preserve">NOTE 18: RESEARCH AND DEVELOPMENT </w:t>
      </w:r>
    </w:p>
    <w:p w14:paraId="280AF569" w14:textId="77777777" w:rsidR="00000000" w:rsidRDefault="001A570A">
      <w:pPr>
        <w:ind w:firstLine="450"/>
        <w:divId w:val="1508247181"/>
        <w:rPr>
          <w:rFonts w:eastAsia="Times New Roman"/>
        </w:rPr>
      </w:pPr>
      <w:r>
        <w:rPr>
          <w:rFonts w:eastAsia="Times New Roman"/>
          <w:color w:val="000000"/>
          <w:sz w:val="20"/>
          <w:szCs w:val="20"/>
        </w:rPr>
        <w:t>Company-sponsored research and development (“R&amp;D”) costs are expensed as incurred and are included in t</w:t>
      </w:r>
      <w:r>
        <w:rPr>
          <w:rFonts w:eastAsia="Times New Roman"/>
          <w:color w:val="000000"/>
          <w:sz w:val="20"/>
          <w:szCs w:val="20"/>
        </w:rPr>
        <w:t xml:space="preserve">he “Engineering, selling and administrative expenses” line item in our Consolidated Statement of Income. These costs were $684 million, $329 million, $331 million and $311 million in fiscal 2020, the two quarters ended January 3, 2020, and fiscal 2019 and </w:t>
      </w:r>
      <w:r>
        <w:rPr>
          <w:rFonts w:eastAsia="Times New Roman"/>
          <w:color w:val="000000"/>
          <w:sz w:val="20"/>
          <w:szCs w:val="20"/>
        </w:rPr>
        <w:t>2018, respectively. Customer-sponsored R&amp;D costs are incurred pursuant to contractual arrangements, principally U.S. Government-sponsored contracts requiring us to provide a product or service meeting certain defined performance or other specifications (su</w:t>
      </w:r>
      <w:r>
        <w:rPr>
          <w:rFonts w:eastAsia="Times New Roman"/>
          <w:color w:val="000000"/>
          <w:sz w:val="20"/>
          <w:szCs w:val="20"/>
        </w:rPr>
        <w:t>ch as designs), and are accounted for principally by the POC cost-to-cost revenue recognition method. Customer-sponsored R&amp;D is included in our revenue and cost of product sales and services.</w:t>
      </w:r>
    </w:p>
    <w:p w14:paraId="4775793D" w14:textId="77777777" w:rsidR="00000000" w:rsidRDefault="001A570A">
      <w:pPr>
        <w:divId w:val="1797142246"/>
        <w:rPr>
          <w:rFonts w:eastAsia="Times New Roman"/>
        </w:rPr>
      </w:pPr>
      <w:r>
        <w:rPr>
          <w:rFonts w:eastAsia="Times New Roman"/>
          <w:b/>
          <w:bCs/>
          <w:color w:val="000000"/>
          <w:sz w:val="20"/>
          <w:szCs w:val="20"/>
        </w:rPr>
        <w:t>NOTE 19: LEASE COMMITMENTS</w:t>
      </w:r>
      <w:r>
        <w:rPr>
          <w:rFonts w:eastAsia="Times New Roman"/>
          <w:b/>
          <w:bCs/>
          <w:i/>
          <w:iCs/>
          <w:color w:val="000000"/>
          <w:sz w:val="20"/>
          <w:szCs w:val="20"/>
        </w:rPr>
        <w:t xml:space="preserve"> </w:t>
      </w:r>
    </w:p>
    <w:p w14:paraId="00B8E691" w14:textId="77777777" w:rsidR="00000000" w:rsidRDefault="001A570A">
      <w:pPr>
        <w:ind w:firstLine="450"/>
        <w:divId w:val="500587786"/>
        <w:rPr>
          <w:rFonts w:eastAsia="Times New Roman"/>
        </w:rPr>
      </w:pPr>
      <w:r>
        <w:rPr>
          <w:rFonts w:eastAsia="Times New Roman"/>
          <w:color w:val="000000"/>
          <w:sz w:val="20"/>
          <w:szCs w:val="20"/>
        </w:rPr>
        <w:t>Our operating and finance leases at January 1, 2021 and January 3, 2020 primarily consist of real estate leases for office space, warehouses, manufacturing, research and development facilities, tower space and land, and equipment leases. Finance leases wer</w:t>
      </w:r>
      <w:r>
        <w:rPr>
          <w:rFonts w:eastAsia="Times New Roman"/>
          <w:color w:val="000000"/>
          <w:sz w:val="20"/>
          <w:szCs w:val="20"/>
        </w:rPr>
        <w:t xml:space="preserve">e not material at January 1, 2021 or January 3, 2020 and are not included in the disclosures below. </w:t>
      </w:r>
    </w:p>
    <w:p w14:paraId="5071EE24" w14:textId="77777777" w:rsidR="00000000" w:rsidRDefault="001A570A">
      <w:pPr>
        <w:ind w:firstLine="450"/>
        <w:jc w:val="center"/>
        <w:divId w:val="1836190614"/>
        <w:rPr>
          <w:rFonts w:eastAsia="Times New Roman"/>
        </w:rPr>
      </w:pPr>
      <w:r>
        <w:rPr>
          <w:rFonts w:eastAsia="Times New Roman"/>
          <w:color w:val="000000"/>
          <w:sz w:val="20"/>
          <w:szCs w:val="20"/>
        </w:rPr>
        <w:t>116</w:t>
      </w:r>
    </w:p>
    <w:p w14:paraId="3DC9AE06" w14:textId="77777777" w:rsidR="00000000" w:rsidRDefault="001A570A">
      <w:pPr>
        <w:rPr>
          <w:rFonts w:eastAsia="Times New Roman"/>
        </w:rPr>
      </w:pPr>
      <w:r>
        <w:rPr>
          <w:rFonts w:eastAsia="Times New Roman"/>
        </w:rPr>
        <w:pict w14:anchorId="641A6E35">
          <v:rect id="_x0000_i1144" style="width:0;height:1.5pt" o:hralign="center" o:hrstd="t" o:hr="t" fillcolor="#a0a0a0" stroked="f"/>
        </w:pict>
      </w:r>
    </w:p>
    <w:p w14:paraId="7D260467" w14:textId="77777777" w:rsidR="00000000" w:rsidRDefault="001A570A">
      <w:pPr>
        <w:ind w:firstLine="450"/>
        <w:divId w:val="1519931978"/>
        <w:rPr>
          <w:rFonts w:eastAsia="Times New Roman"/>
        </w:rPr>
      </w:pPr>
    </w:p>
    <w:p w14:paraId="3683D6A9" w14:textId="77777777" w:rsidR="00000000" w:rsidRDefault="001A570A">
      <w:pPr>
        <w:ind w:firstLine="450"/>
        <w:divId w:val="1237323748"/>
        <w:rPr>
          <w:rFonts w:eastAsia="Times New Roman"/>
        </w:rPr>
      </w:pPr>
      <w:r>
        <w:rPr>
          <w:rFonts w:eastAsia="Times New Roman"/>
          <w:color w:val="000000"/>
          <w:sz w:val="20"/>
          <w:szCs w:val="20"/>
        </w:rPr>
        <w:t>Operating lease cost was $176 million and $88 million for fiscal 2020 and the two quarters ended January 3, 2020</w:t>
      </w:r>
      <w:r>
        <w:rPr>
          <w:rFonts w:eastAsia="Times New Roman"/>
          <w:color w:val="000000"/>
          <w:sz w:val="20"/>
          <w:szCs w:val="20"/>
        </w:rPr>
        <w:t>, respectively. Other lease expenses, including short-term and equipment lease cost, variable lease cost and sublease income, were not material for fiscal 2020 or the two quarters ended January 3, 2020. Rental expense during fiscal 2019 and 2018 was $73 mi</w:t>
      </w:r>
      <w:r>
        <w:rPr>
          <w:rFonts w:eastAsia="Times New Roman"/>
          <w:color w:val="000000"/>
          <w:sz w:val="20"/>
          <w:szCs w:val="20"/>
        </w:rPr>
        <w:t xml:space="preserve">llion and $61 million, respectively. </w:t>
      </w:r>
    </w:p>
    <w:p w14:paraId="7ACED2F4" w14:textId="77777777" w:rsidR="00000000" w:rsidRDefault="001A570A">
      <w:pPr>
        <w:ind w:firstLine="450"/>
        <w:divId w:val="663901147"/>
        <w:rPr>
          <w:rFonts w:eastAsia="Times New Roman"/>
        </w:rPr>
      </w:pPr>
      <w:r>
        <w:rPr>
          <w:rFonts w:eastAsia="Times New Roman"/>
          <w:color w:val="000000"/>
          <w:sz w:val="20"/>
          <w:szCs w:val="20"/>
        </w:rPr>
        <w:t>On November 24, 2020, we completed a sale and leaseback transaction of a parcel of land and manufacturing facility located in Los Angeles, California for $92 million (net cash proceeds of $66 million after $2 million o</w:t>
      </w:r>
      <w:r>
        <w:rPr>
          <w:rFonts w:eastAsia="Times New Roman"/>
          <w:color w:val="000000"/>
          <w:sz w:val="20"/>
          <w:szCs w:val="20"/>
        </w:rPr>
        <w:t>f closing costs and $24 million for a residual value guarantee payment). The lease has a maximum term of sixteen months (including two options to extend the lease by one month). Due to its short term nature relative to the property’s remaining economic lif</w:t>
      </w:r>
      <w:r>
        <w:rPr>
          <w:rFonts w:eastAsia="Times New Roman"/>
          <w:color w:val="000000"/>
          <w:sz w:val="20"/>
          <w:szCs w:val="20"/>
        </w:rPr>
        <w:t>e, the lease will be accounted for as an operating lease. We recognized a pre-tax gain on this sale and leaseback transaction of $22 million, which is included in the “Engineering, selling and administrative expenses” line item in our Consolidated Statemen</w:t>
      </w:r>
      <w:r>
        <w:rPr>
          <w:rFonts w:eastAsia="Times New Roman"/>
          <w:color w:val="000000"/>
          <w:sz w:val="20"/>
          <w:szCs w:val="20"/>
        </w:rPr>
        <w:t>t of Income for fiscal 2020.</w:t>
      </w:r>
    </w:p>
    <w:p w14:paraId="6B7FD85E" w14:textId="77777777" w:rsidR="00000000" w:rsidRDefault="001A570A">
      <w:pPr>
        <w:ind w:firstLine="450"/>
        <w:divId w:val="318733476"/>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11: Intangible Assets</w:t>
      </w:r>
      <w:r>
        <w:rPr>
          <w:rFonts w:eastAsia="Times New Roman"/>
          <w:color w:val="000000"/>
          <w:sz w:val="20"/>
          <w:szCs w:val="20"/>
        </w:rPr>
        <w:t xml:space="preserve"> in these Notes, in conjunction with, and in advance of, the tests of goodwill related to our Commercial Aviation Solutions reporting unit in fiscal 2020, we recorded a $</w:t>
      </w:r>
      <w:r>
        <w:rPr>
          <w:rFonts w:eastAsia="Times New Roman"/>
          <w:color w:val="000000"/>
          <w:sz w:val="20"/>
          <w:szCs w:val="20"/>
        </w:rPr>
        <w:t>257 million non-cash impairment charge for long lived assets, including $31 million for impairment of ROU assets. Additionally, in connection with COVID restructuring actions, we recognized $5 million of non-cash impairment charges for ROU assets associate</w:t>
      </w:r>
      <w:r>
        <w:rPr>
          <w:rFonts w:eastAsia="Times New Roman"/>
          <w:color w:val="000000"/>
          <w:sz w:val="20"/>
          <w:szCs w:val="20"/>
        </w:rPr>
        <w:t>d with consolidated facilities. These impairments are included in the “Impairment of goodwill and other assets” line item in our Consolidated Statement of Income for fiscal 2020.</w:t>
      </w:r>
    </w:p>
    <w:p w14:paraId="229C868F" w14:textId="77777777" w:rsidR="00000000" w:rsidRDefault="001A570A">
      <w:pPr>
        <w:ind w:firstLine="450"/>
        <w:divId w:val="1216239944"/>
        <w:rPr>
          <w:rFonts w:eastAsia="Times New Roman"/>
        </w:rPr>
      </w:pPr>
      <w:r>
        <w:rPr>
          <w:rFonts w:eastAsia="Times New Roman"/>
          <w:color w:val="000000"/>
          <w:sz w:val="20"/>
          <w:szCs w:val="20"/>
        </w:rPr>
        <w:t>Supplemental operating lease balance sheet information at January 1, 2021 and</w:t>
      </w:r>
      <w:r>
        <w:rPr>
          <w:rFonts w:eastAsia="Times New Roman"/>
          <w:color w:val="000000"/>
          <w:sz w:val="20"/>
          <w:szCs w:val="20"/>
        </w:rPr>
        <w:t xml:space="preserve"> January 3, 2020 is as follows:</w:t>
      </w:r>
    </w:p>
    <w:tbl>
      <w:tblPr>
        <w:tblW w:w="4964" w:type="pct"/>
        <w:tblCellMar>
          <w:top w:w="15" w:type="dxa"/>
          <w:left w:w="15" w:type="dxa"/>
          <w:bottom w:w="15" w:type="dxa"/>
          <w:right w:w="15" w:type="dxa"/>
        </w:tblCellMar>
        <w:tblLook w:val="04A0" w:firstRow="1" w:lastRow="0" w:firstColumn="1" w:lastColumn="0" w:noHBand="0" w:noVBand="1"/>
      </w:tblPr>
      <w:tblGrid>
        <w:gridCol w:w="39"/>
        <w:gridCol w:w="5654"/>
        <w:gridCol w:w="38"/>
        <w:gridCol w:w="121"/>
        <w:gridCol w:w="1046"/>
        <w:gridCol w:w="36"/>
        <w:gridCol w:w="36"/>
        <w:gridCol w:w="36"/>
        <w:gridCol w:w="36"/>
        <w:gridCol w:w="121"/>
        <w:gridCol w:w="1047"/>
        <w:gridCol w:w="36"/>
      </w:tblGrid>
      <w:tr w:rsidR="00000000" w14:paraId="0EEC0C5F" w14:textId="77777777">
        <w:trPr>
          <w:divId w:val="1961957525"/>
        </w:trPr>
        <w:tc>
          <w:tcPr>
            <w:tcW w:w="50" w:type="pct"/>
            <w:vAlign w:val="center"/>
            <w:hideMark/>
          </w:tcPr>
          <w:p w14:paraId="69E2F1E4" w14:textId="77777777" w:rsidR="00000000" w:rsidRDefault="001A570A">
            <w:pPr>
              <w:ind w:firstLine="450"/>
              <w:rPr>
                <w:rFonts w:eastAsia="Times New Roman"/>
              </w:rPr>
            </w:pPr>
          </w:p>
        </w:tc>
        <w:tc>
          <w:tcPr>
            <w:tcW w:w="3468" w:type="pct"/>
            <w:vAlign w:val="center"/>
            <w:hideMark/>
          </w:tcPr>
          <w:p w14:paraId="42669EC8" w14:textId="77777777" w:rsidR="00000000" w:rsidRDefault="001A570A">
            <w:pPr>
              <w:rPr>
                <w:rFonts w:eastAsia="Times New Roman"/>
                <w:sz w:val="20"/>
                <w:szCs w:val="20"/>
              </w:rPr>
            </w:pPr>
          </w:p>
        </w:tc>
        <w:tc>
          <w:tcPr>
            <w:tcW w:w="5" w:type="pct"/>
            <w:vAlign w:val="center"/>
            <w:hideMark/>
          </w:tcPr>
          <w:p w14:paraId="75E62828" w14:textId="77777777" w:rsidR="00000000" w:rsidRDefault="001A570A">
            <w:pPr>
              <w:rPr>
                <w:rFonts w:eastAsia="Times New Roman"/>
                <w:sz w:val="20"/>
                <w:szCs w:val="20"/>
              </w:rPr>
            </w:pPr>
          </w:p>
        </w:tc>
        <w:tc>
          <w:tcPr>
            <w:tcW w:w="50" w:type="pct"/>
            <w:vAlign w:val="center"/>
            <w:hideMark/>
          </w:tcPr>
          <w:p w14:paraId="199F8E01" w14:textId="77777777" w:rsidR="00000000" w:rsidRDefault="001A570A">
            <w:pPr>
              <w:rPr>
                <w:rFonts w:eastAsia="Times New Roman"/>
                <w:sz w:val="20"/>
                <w:szCs w:val="20"/>
              </w:rPr>
            </w:pPr>
          </w:p>
        </w:tc>
        <w:tc>
          <w:tcPr>
            <w:tcW w:w="668" w:type="pct"/>
            <w:vAlign w:val="center"/>
            <w:hideMark/>
          </w:tcPr>
          <w:p w14:paraId="19177F6D" w14:textId="77777777" w:rsidR="00000000" w:rsidRDefault="001A570A">
            <w:pPr>
              <w:rPr>
                <w:rFonts w:eastAsia="Times New Roman"/>
                <w:sz w:val="20"/>
                <w:szCs w:val="20"/>
              </w:rPr>
            </w:pPr>
          </w:p>
        </w:tc>
        <w:tc>
          <w:tcPr>
            <w:tcW w:w="5" w:type="pct"/>
            <w:vAlign w:val="center"/>
            <w:hideMark/>
          </w:tcPr>
          <w:p w14:paraId="358041E1" w14:textId="77777777" w:rsidR="00000000" w:rsidRDefault="001A570A">
            <w:pPr>
              <w:rPr>
                <w:rFonts w:eastAsia="Times New Roman"/>
                <w:sz w:val="20"/>
                <w:szCs w:val="20"/>
              </w:rPr>
            </w:pPr>
          </w:p>
        </w:tc>
        <w:tc>
          <w:tcPr>
            <w:tcW w:w="5" w:type="pct"/>
            <w:vAlign w:val="center"/>
            <w:hideMark/>
          </w:tcPr>
          <w:p w14:paraId="146C20F1" w14:textId="77777777" w:rsidR="00000000" w:rsidRDefault="001A570A">
            <w:pPr>
              <w:rPr>
                <w:rFonts w:eastAsia="Times New Roman"/>
                <w:sz w:val="20"/>
                <w:szCs w:val="20"/>
              </w:rPr>
            </w:pPr>
          </w:p>
        </w:tc>
        <w:tc>
          <w:tcPr>
            <w:tcW w:w="18" w:type="pct"/>
            <w:vAlign w:val="center"/>
            <w:hideMark/>
          </w:tcPr>
          <w:p w14:paraId="13388CFA" w14:textId="77777777" w:rsidR="00000000" w:rsidRDefault="001A570A">
            <w:pPr>
              <w:rPr>
                <w:rFonts w:eastAsia="Times New Roman"/>
                <w:sz w:val="20"/>
                <w:szCs w:val="20"/>
              </w:rPr>
            </w:pPr>
          </w:p>
        </w:tc>
        <w:tc>
          <w:tcPr>
            <w:tcW w:w="5" w:type="pct"/>
            <w:vAlign w:val="center"/>
            <w:hideMark/>
          </w:tcPr>
          <w:p w14:paraId="7B851AF9" w14:textId="77777777" w:rsidR="00000000" w:rsidRDefault="001A570A">
            <w:pPr>
              <w:rPr>
                <w:rFonts w:eastAsia="Times New Roman"/>
                <w:sz w:val="20"/>
                <w:szCs w:val="20"/>
              </w:rPr>
            </w:pPr>
          </w:p>
        </w:tc>
        <w:tc>
          <w:tcPr>
            <w:tcW w:w="50" w:type="pct"/>
            <w:vAlign w:val="center"/>
            <w:hideMark/>
          </w:tcPr>
          <w:p w14:paraId="3C68BF96" w14:textId="77777777" w:rsidR="00000000" w:rsidRDefault="001A570A">
            <w:pPr>
              <w:rPr>
                <w:rFonts w:eastAsia="Times New Roman"/>
                <w:sz w:val="20"/>
                <w:szCs w:val="20"/>
              </w:rPr>
            </w:pPr>
          </w:p>
        </w:tc>
        <w:tc>
          <w:tcPr>
            <w:tcW w:w="668" w:type="pct"/>
            <w:vAlign w:val="center"/>
            <w:hideMark/>
          </w:tcPr>
          <w:p w14:paraId="198AC485" w14:textId="77777777" w:rsidR="00000000" w:rsidRDefault="001A570A">
            <w:pPr>
              <w:rPr>
                <w:rFonts w:eastAsia="Times New Roman"/>
                <w:sz w:val="20"/>
                <w:szCs w:val="20"/>
              </w:rPr>
            </w:pPr>
          </w:p>
        </w:tc>
        <w:tc>
          <w:tcPr>
            <w:tcW w:w="5" w:type="pct"/>
            <w:vAlign w:val="center"/>
            <w:hideMark/>
          </w:tcPr>
          <w:p w14:paraId="7BA1F2C9" w14:textId="77777777" w:rsidR="00000000" w:rsidRDefault="001A570A">
            <w:pPr>
              <w:rPr>
                <w:rFonts w:eastAsia="Times New Roman"/>
                <w:sz w:val="20"/>
                <w:szCs w:val="20"/>
              </w:rPr>
            </w:pPr>
          </w:p>
        </w:tc>
      </w:tr>
      <w:tr w:rsidR="00000000" w14:paraId="29CC2C37" w14:textId="77777777">
        <w:trPr>
          <w:divId w:val="1961957525"/>
        </w:trPr>
        <w:tc>
          <w:tcPr>
            <w:tcW w:w="0" w:type="auto"/>
            <w:gridSpan w:val="3"/>
            <w:tcMar>
              <w:top w:w="30" w:type="dxa"/>
              <w:left w:w="20" w:type="dxa"/>
              <w:bottom w:w="30" w:type="dxa"/>
              <w:right w:w="20" w:type="dxa"/>
            </w:tcMar>
            <w:vAlign w:val="bottom"/>
            <w:hideMark/>
          </w:tcPr>
          <w:p w14:paraId="10A35C06"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660E1EE7"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46C4841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C0D6AEE" w14:textId="77777777" w:rsidR="00000000" w:rsidRDefault="001A570A">
            <w:pPr>
              <w:jc w:val="center"/>
              <w:rPr>
                <w:rFonts w:eastAsia="Times New Roman"/>
              </w:rPr>
            </w:pPr>
            <w:r>
              <w:rPr>
                <w:rFonts w:eastAsia="Times New Roman"/>
                <w:b/>
                <w:bCs/>
                <w:color w:val="000000"/>
                <w:sz w:val="16"/>
                <w:szCs w:val="16"/>
              </w:rPr>
              <w:t>January 3, 2020</w:t>
            </w:r>
          </w:p>
        </w:tc>
      </w:tr>
      <w:tr w:rsidR="00000000" w14:paraId="59F84C30" w14:textId="77777777">
        <w:trPr>
          <w:divId w:val="1961957525"/>
          <w:trHeight w:val="60"/>
        </w:trPr>
        <w:tc>
          <w:tcPr>
            <w:tcW w:w="0" w:type="auto"/>
            <w:gridSpan w:val="3"/>
            <w:tcMar>
              <w:top w:w="0" w:type="dxa"/>
              <w:left w:w="20" w:type="dxa"/>
              <w:bottom w:w="0" w:type="dxa"/>
              <w:right w:w="20" w:type="dxa"/>
            </w:tcMar>
            <w:vAlign w:val="center"/>
            <w:hideMark/>
          </w:tcPr>
          <w:p w14:paraId="18C90849"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34F84E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CA9739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C46F8E" w14:textId="77777777" w:rsidR="00000000" w:rsidRDefault="001A570A">
            <w:pPr>
              <w:rPr>
                <w:rFonts w:eastAsia="Times New Roman"/>
                <w:sz w:val="20"/>
                <w:szCs w:val="20"/>
              </w:rPr>
            </w:pPr>
          </w:p>
        </w:tc>
      </w:tr>
      <w:tr w:rsidR="00000000" w14:paraId="00F1DA7A" w14:textId="77777777">
        <w:trPr>
          <w:divId w:val="1961957525"/>
        </w:trPr>
        <w:tc>
          <w:tcPr>
            <w:tcW w:w="0" w:type="auto"/>
            <w:gridSpan w:val="3"/>
            <w:shd w:val="clear" w:color="auto" w:fill="CCEEFF"/>
            <w:tcMar>
              <w:top w:w="30" w:type="dxa"/>
              <w:left w:w="20" w:type="dxa"/>
              <w:bottom w:w="30" w:type="dxa"/>
              <w:right w:w="20" w:type="dxa"/>
            </w:tcMar>
            <w:vAlign w:val="bottom"/>
            <w:hideMark/>
          </w:tcPr>
          <w:p w14:paraId="258FB0B8" w14:textId="77777777" w:rsidR="00000000" w:rsidRDefault="001A570A">
            <w:pPr>
              <w:rPr>
                <w:rFonts w:eastAsia="Times New Roman"/>
              </w:rPr>
            </w:pPr>
            <w:r>
              <w:rPr>
                <w:rFonts w:eastAsia="Times New Roman"/>
                <w:color w:val="000000"/>
                <w:sz w:val="18"/>
                <w:szCs w:val="18"/>
              </w:rPr>
              <w:t>Operating lease ROU assets</w:t>
            </w:r>
          </w:p>
        </w:tc>
        <w:tc>
          <w:tcPr>
            <w:tcW w:w="0" w:type="auto"/>
            <w:shd w:val="clear" w:color="auto" w:fill="CCEEFF"/>
            <w:tcMar>
              <w:top w:w="30" w:type="dxa"/>
              <w:left w:w="20" w:type="dxa"/>
              <w:bottom w:w="30" w:type="dxa"/>
              <w:right w:w="0" w:type="dxa"/>
            </w:tcMar>
            <w:vAlign w:val="bottom"/>
            <w:hideMark/>
          </w:tcPr>
          <w:p w14:paraId="147B502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BF6CD8" w14:textId="77777777" w:rsidR="00000000" w:rsidRDefault="001A570A">
            <w:pPr>
              <w:jc w:val="right"/>
              <w:rPr>
                <w:rFonts w:eastAsia="Times New Roman"/>
              </w:rPr>
            </w:pPr>
            <w:r>
              <w:rPr>
                <w:rFonts w:eastAsia="Times New Roman"/>
                <w:color w:val="000000"/>
                <w:sz w:val="20"/>
                <w:szCs w:val="20"/>
              </w:rPr>
              <w:t>766 </w:t>
            </w:r>
          </w:p>
        </w:tc>
        <w:tc>
          <w:tcPr>
            <w:tcW w:w="0" w:type="auto"/>
            <w:shd w:val="clear" w:color="auto" w:fill="CCEEFF"/>
            <w:tcMar>
              <w:top w:w="30" w:type="dxa"/>
              <w:left w:w="0" w:type="dxa"/>
              <w:bottom w:w="30" w:type="dxa"/>
              <w:right w:w="20" w:type="dxa"/>
            </w:tcMar>
            <w:vAlign w:val="bottom"/>
            <w:hideMark/>
          </w:tcPr>
          <w:p w14:paraId="1FBF718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3712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C8E3F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DDA1A5" w14:textId="77777777" w:rsidR="00000000" w:rsidRDefault="001A570A">
            <w:pPr>
              <w:jc w:val="right"/>
              <w:rPr>
                <w:rFonts w:eastAsia="Times New Roman"/>
              </w:rPr>
            </w:pPr>
            <w:r>
              <w:rPr>
                <w:rFonts w:eastAsia="Times New Roman"/>
                <w:color w:val="000000"/>
                <w:sz w:val="20"/>
                <w:szCs w:val="20"/>
              </w:rPr>
              <w:t>837 </w:t>
            </w:r>
          </w:p>
        </w:tc>
        <w:tc>
          <w:tcPr>
            <w:tcW w:w="0" w:type="auto"/>
            <w:shd w:val="clear" w:color="auto" w:fill="CCEEFF"/>
            <w:tcMar>
              <w:top w:w="30" w:type="dxa"/>
              <w:left w:w="0" w:type="dxa"/>
              <w:bottom w:w="30" w:type="dxa"/>
              <w:right w:w="20" w:type="dxa"/>
            </w:tcMar>
            <w:vAlign w:val="bottom"/>
            <w:hideMark/>
          </w:tcPr>
          <w:p w14:paraId="378EEB9E" w14:textId="77777777" w:rsidR="00000000" w:rsidRDefault="001A570A">
            <w:pPr>
              <w:jc w:val="right"/>
              <w:rPr>
                <w:rFonts w:eastAsia="Times New Roman"/>
              </w:rPr>
            </w:pPr>
          </w:p>
        </w:tc>
      </w:tr>
      <w:tr w:rsidR="00000000" w14:paraId="5E373F70" w14:textId="77777777">
        <w:trPr>
          <w:divId w:val="1961957525"/>
          <w:trHeight w:val="300"/>
        </w:trPr>
        <w:tc>
          <w:tcPr>
            <w:tcW w:w="0" w:type="auto"/>
            <w:gridSpan w:val="3"/>
            <w:shd w:val="clear" w:color="auto" w:fill="FFFFFF"/>
            <w:tcMar>
              <w:top w:w="0" w:type="dxa"/>
              <w:left w:w="20" w:type="dxa"/>
              <w:bottom w:w="0" w:type="dxa"/>
              <w:right w:w="20" w:type="dxa"/>
            </w:tcMar>
            <w:vAlign w:val="center"/>
            <w:hideMark/>
          </w:tcPr>
          <w:p w14:paraId="59573823"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116AF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403E6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A788C8" w14:textId="77777777" w:rsidR="00000000" w:rsidRDefault="001A570A">
            <w:pPr>
              <w:rPr>
                <w:rFonts w:eastAsia="Times New Roman"/>
                <w:sz w:val="20"/>
                <w:szCs w:val="20"/>
              </w:rPr>
            </w:pPr>
          </w:p>
        </w:tc>
      </w:tr>
      <w:tr w:rsidR="00000000" w14:paraId="100FBFC0" w14:textId="77777777">
        <w:trPr>
          <w:divId w:val="1961957525"/>
        </w:trPr>
        <w:tc>
          <w:tcPr>
            <w:tcW w:w="0" w:type="auto"/>
            <w:gridSpan w:val="3"/>
            <w:shd w:val="clear" w:color="auto" w:fill="CCEEFF"/>
            <w:tcMar>
              <w:top w:w="30" w:type="dxa"/>
              <w:left w:w="20" w:type="dxa"/>
              <w:bottom w:w="30" w:type="dxa"/>
              <w:right w:w="20" w:type="dxa"/>
            </w:tcMar>
            <w:vAlign w:val="bottom"/>
            <w:hideMark/>
          </w:tcPr>
          <w:p w14:paraId="0889A347" w14:textId="77777777" w:rsidR="00000000" w:rsidRDefault="001A570A">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14:paraId="23498A60" w14:textId="77777777" w:rsidR="00000000" w:rsidRDefault="001A570A">
            <w:pPr>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14:paraId="574E457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BAFB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1A067" w14:textId="77777777" w:rsidR="00000000" w:rsidRDefault="001A570A">
            <w:pPr>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121378D8" w14:textId="77777777" w:rsidR="00000000" w:rsidRDefault="001A570A">
            <w:pPr>
              <w:jc w:val="right"/>
              <w:rPr>
                <w:rFonts w:eastAsia="Times New Roman"/>
              </w:rPr>
            </w:pPr>
          </w:p>
        </w:tc>
      </w:tr>
      <w:tr w:rsidR="00000000" w14:paraId="0E7F3CD4" w14:textId="77777777">
        <w:trPr>
          <w:divId w:val="1961957525"/>
        </w:trPr>
        <w:tc>
          <w:tcPr>
            <w:tcW w:w="0" w:type="auto"/>
            <w:gridSpan w:val="3"/>
            <w:shd w:val="clear" w:color="auto" w:fill="FFFFFF"/>
            <w:tcMar>
              <w:top w:w="30" w:type="dxa"/>
              <w:left w:w="20" w:type="dxa"/>
              <w:bottom w:w="30" w:type="dxa"/>
              <w:right w:w="20" w:type="dxa"/>
            </w:tcMar>
            <w:vAlign w:val="bottom"/>
            <w:hideMark/>
          </w:tcPr>
          <w:p w14:paraId="473BF4F4" w14:textId="77777777" w:rsidR="00000000" w:rsidRDefault="001A570A">
            <w:pPr>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62310410" w14:textId="77777777" w:rsidR="00000000" w:rsidRDefault="001A570A">
            <w:pPr>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14:paraId="0D75C8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33BA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40FD1" w14:textId="77777777" w:rsidR="00000000" w:rsidRDefault="001A570A">
            <w:pPr>
              <w:jc w:val="right"/>
              <w:rPr>
                <w:rFonts w:eastAsia="Times New Roman"/>
              </w:rPr>
            </w:pPr>
            <w:r>
              <w:rPr>
                <w:rFonts w:eastAsia="Times New Roman"/>
                <w:color w:val="000000"/>
                <w:sz w:val="20"/>
                <w:szCs w:val="20"/>
              </w:rPr>
              <w:t>781 </w:t>
            </w:r>
          </w:p>
        </w:tc>
        <w:tc>
          <w:tcPr>
            <w:tcW w:w="0" w:type="auto"/>
            <w:shd w:val="clear" w:color="auto" w:fill="FFFFFF"/>
            <w:tcMar>
              <w:top w:w="30" w:type="dxa"/>
              <w:left w:w="0" w:type="dxa"/>
              <w:bottom w:w="30" w:type="dxa"/>
              <w:right w:w="20" w:type="dxa"/>
            </w:tcMar>
            <w:vAlign w:val="bottom"/>
            <w:hideMark/>
          </w:tcPr>
          <w:p w14:paraId="02BFADE8" w14:textId="77777777" w:rsidR="00000000" w:rsidRDefault="001A570A">
            <w:pPr>
              <w:jc w:val="right"/>
              <w:rPr>
                <w:rFonts w:eastAsia="Times New Roman"/>
              </w:rPr>
            </w:pPr>
          </w:p>
        </w:tc>
      </w:tr>
      <w:tr w:rsidR="00000000" w14:paraId="577BDC56" w14:textId="77777777">
        <w:trPr>
          <w:divId w:val="1961957525"/>
        </w:trPr>
        <w:tc>
          <w:tcPr>
            <w:tcW w:w="0" w:type="auto"/>
            <w:gridSpan w:val="3"/>
            <w:shd w:val="clear" w:color="auto" w:fill="CCEEFF"/>
            <w:tcMar>
              <w:top w:w="30" w:type="dxa"/>
              <w:left w:w="20" w:type="dxa"/>
              <w:bottom w:w="30" w:type="dxa"/>
              <w:right w:w="20" w:type="dxa"/>
            </w:tcMar>
            <w:vAlign w:val="bottom"/>
            <w:hideMark/>
          </w:tcPr>
          <w:p w14:paraId="424D568D" w14:textId="77777777" w:rsidR="00000000" w:rsidRDefault="001A570A">
            <w:pPr>
              <w:rPr>
                <w:rFonts w:eastAsia="Times New Roman"/>
              </w:rPr>
            </w:pPr>
            <w:r>
              <w:rPr>
                <w:rFonts w:eastAsia="Times New Roman"/>
                <w:color w:val="000000"/>
                <w:sz w:val="20"/>
                <w:szCs w:val="20"/>
              </w:rPr>
              <w:t>Total operating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FE3F4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CE81C0" w14:textId="77777777" w:rsidR="00000000" w:rsidRDefault="001A570A">
            <w:pPr>
              <w:jc w:val="right"/>
              <w:rPr>
                <w:rFonts w:eastAsia="Times New Roman"/>
              </w:rPr>
            </w:pPr>
            <w:r>
              <w:rPr>
                <w:rFonts w:eastAsia="Times New Roman"/>
                <w:color w:val="000000"/>
                <w:sz w:val="20"/>
                <w:szCs w:val="20"/>
              </w:rPr>
              <w:t>850 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547F5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6D9B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FC286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A63A0E" w14:textId="77777777" w:rsidR="00000000" w:rsidRDefault="001A570A">
            <w:pPr>
              <w:jc w:val="right"/>
              <w:rPr>
                <w:rFonts w:eastAsia="Times New Roman"/>
              </w:rPr>
            </w:pPr>
            <w:r>
              <w:rPr>
                <w:rFonts w:eastAsia="Times New Roman"/>
                <w:color w:val="000000"/>
                <w:sz w:val="20"/>
                <w:szCs w:val="20"/>
              </w:rPr>
              <w:t>910 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0DE7A1" w14:textId="77777777" w:rsidR="00000000" w:rsidRDefault="001A570A">
            <w:pPr>
              <w:jc w:val="right"/>
              <w:rPr>
                <w:rFonts w:eastAsia="Times New Roman"/>
              </w:rPr>
            </w:pPr>
          </w:p>
        </w:tc>
      </w:tr>
    </w:tbl>
    <w:p w14:paraId="45C0A8B5" w14:textId="77777777" w:rsidR="00000000" w:rsidRDefault="001A570A">
      <w:pPr>
        <w:ind w:firstLine="450"/>
        <w:divId w:val="519854747"/>
        <w:rPr>
          <w:rFonts w:eastAsia="Times New Roman"/>
        </w:rPr>
      </w:pPr>
      <w:r>
        <w:rPr>
          <w:rFonts w:eastAsia="Times New Roman"/>
          <w:color w:val="000000"/>
          <w:sz w:val="20"/>
          <w:szCs w:val="20"/>
        </w:rPr>
        <w:t>Other supplemental lease information for fiscal 2020 and the two quarters ended January 3, 2020 is as follows:</w:t>
      </w:r>
    </w:p>
    <w:tbl>
      <w:tblPr>
        <w:tblW w:w="4964" w:type="pct"/>
        <w:tblCellMar>
          <w:top w:w="15" w:type="dxa"/>
          <w:left w:w="15" w:type="dxa"/>
          <w:bottom w:w="15" w:type="dxa"/>
          <w:right w:w="15" w:type="dxa"/>
        </w:tblCellMar>
        <w:tblLook w:val="04A0" w:firstRow="1" w:lastRow="0" w:firstColumn="1" w:lastColumn="0" w:noHBand="0" w:noVBand="1"/>
      </w:tblPr>
      <w:tblGrid>
        <w:gridCol w:w="38"/>
        <w:gridCol w:w="5505"/>
        <w:gridCol w:w="37"/>
        <w:gridCol w:w="120"/>
        <w:gridCol w:w="971"/>
        <w:gridCol w:w="187"/>
        <w:gridCol w:w="36"/>
        <w:gridCol w:w="36"/>
        <w:gridCol w:w="36"/>
        <w:gridCol w:w="121"/>
        <w:gridCol w:w="972"/>
        <w:gridCol w:w="187"/>
      </w:tblGrid>
      <w:tr w:rsidR="00000000" w14:paraId="00661D31" w14:textId="77777777">
        <w:trPr>
          <w:divId w:val="1322928117"/>
        </w:trPr>
        <w:tc>
          <w:tcPr>
            <w:tcW w:w="50" w:type="pct"/>
            <w:vAlign w:val="center"/>
            <w:hideMark/>
          </w:tcPr>
          <w:p w14:paraId="0B14FCF3" w14:textId="77777777" w:rsidR="00000000" w:rsidRDefault="001A570A">
            <w:pPr>
              <w:ind w:firstLine="450"/>
              <w:rPr>
                <w:rFonts w:eastAsia="Times New Roman"/>
              </w:rPr>
            </w:pPr>
          </w:p>
        </w:tc>
        <w:tc>
          <w:tcPr>
            <w:tcW w:w="3468" w:type="pct"/>
            <w:vAlign w:val="center"/>
            <w:hideMark/>
          </w:tcPr>
          <w:p w14:paraId="3F38BDE9" w14:textId="77777777" w:rsidR="00000000" w:rsidRDefault="001A570A">
            <w:pPr>
              <w:rPr>
                <w:rFonts w:eastAsia="Times New Roman"/>
                <w:sz w:val="20"/>
                <w:szCs w:val="20"/>
              </w:rPr>
            </w:pPr>
          </w:p>
        </w:tc>
        <w:tc>
          <w:tcPr>
            <w:tcW w:w="5" w:type="pct"/>
            <w:vAlign w:val="center"/>
            <w:hideMark/>
          </w:tcPr>
          <w:p w14:paraId="7EDA5FFE" w14:textId="77777777" w:rsidR="00000000" w:rsidRDefault="001A570A">
            <w:pPr>
              <w:rPr>
                <w:rFonts w:eastAsia="Times New Roman"/>
                <w:sz w:val="20"/>
                <w:szCs w:val="20"/>
              </w:rPr>
            </w:pPr>
          </w:p>
        </w:tc>
        <w:tc>
          <w:tcPr>
            <w:tcW w:w="50" w:type="pct"/>
            <w:vAlign w:val="center"/>
            <w:hideMark/>
          </w:tcPr>
          <w:p w14:paraId="1AA19700" w14:textId="77777777" w:rsidR="00000000" w:rsidRDefault="001A570A">
            <w:pPr>
              <w:rPr>
                <w:rFonts w:eastAsia="Times New Roman"/>
                <w:sz w:val="20"/>
                <w:szCs w:val="20"/>
              </w:rPr>
            </w:pPr>
          </w:p>
        </w:tc>
        <w:tc>
          <w:tcPr>
            <w:tcW w:w="668" w:type="pct"/>
            <w:vAlign w:val="center"/>
            <w:hideMark/>
          </w:tcPr>
          <w:p w14:paraId="442A9B10" w14:textId="77777777" w:rsidR="00000000" w:rsidRDefault="001A570A">
            <w:pPr>
              <w:rPr>
                <w:rFonts w:eastAsia="Times New Roman"/>
                <w:sz w:val="20"/>
                <w:szCs w:val="20"/>
              </w:rPr>
            </w:pPr>
          </w:p>
        </w:tc>
        <w:tc>
          <w:tcPr>
            <w:tcW w:w="5" w:type="pct"/>
            <w:vAlign w:val="center"/>
            <w:hideMark/>
          </w:tcPr>
          <w:p w14:paraId="318B9A44" w14:textId="77777777" w:rsidR="00000000" w:rsidRDefault="001A570A">
            <w:pPr>
              <w:rPr>
                <w:rFonts w:eastAsia="Times New Roman"/>
                <w:sz w:val="20"/>
                <w:szCs w:val="20"/>
              </w:rPr>
            </w:pPr>
          </w:p>
        </w:tc>
        <w:tc>
          <w:tcPr>
            <w:tcW w:w="5" w:type="pct"/>
            <w:vAlign w:val="center"/>
            <w:hideMark/>
          </w:tcPr>
          <w:p w14:paraId="53A9FA4B" w14:textId="77777777" w:rsidR="00000000" w:rsidRDefault="001A570A">
            <w:pPr>
              <w:rPr>
                <w:rFonts w:eastAsia="Times New Roman"/>
                <w:sz w:val="20"/>
                <w:szCs w:val="20"/>
              </w:rPr>
            </w:pPr>
          </w:p>
        </w:tc>
        <w:tc>
          <w:tcPr>
            <w:tcW w:w="18" w:type="pct"/>
            <w:vAlign w:val="center"/>
            <w:hideMark/>
          </w:tcPr>
          <w:p w14:paraId="3AF3F60C" w14:textId="77777777" w:rsidR="00000000" w:rsidRDefault="001A570A">
            <w:pPr>
              <w:rPr>
                <w:rFonts w:eastAsia="Times New Roman"/>
                <w:sz w:val="20"/>
                <w:szCs w:val="20"/>
              </w:rPr>
            </w:pPr>
          </w:p>
        </w:tc>
        <w:tc>
          <w:tcPr>
            <w:tcW w:w="5" w:type="pct"/>
            <w:vAlign w:val="center"/>
            <w:hideMark/>
          </w:tcPr>
          <w:p w14:paraId="3C330C4B" w14:textId="77777777" w:rsidR="00000000" w:rsidRDefault="001A570A">
            <w:pPr>
              <w:rPr>
                <w:rFonts w:eastAsia="Times New Roman"/>
                <w:sz w:val="20"/>
                <w:szCs w:val="20"/>
              </w:rPr>
            </w:pPr>
          </w:p>
        </w:tc>
        <w:tc>
          <w:tcPr>
            <w:tcW w:w="50" w:type="pct"/>
            <w:vAlign w:val="center"/>
            <w:hideMark/>
          </w:tcPr>
          <w:p w14:paraId="0D6B5C3C" w14:textId="77777777" w:rsidR="00000000" w:rsidRDefault="001A570A">
            <w:pPr>
              <w:rPr>
                <w:rFonts w:eastAsia="Times New Roman"/>
                <w:sz w:val="20"/>
                <w:szCs w:val="20"/>
              </w:rPr>
            </w:pPr>
          </w:p>
        </w:tc>
        <w:tc>
          <w:tcPr>
            <w:tcW w:w="668" w:type="pct"/>
            <w:vAlign w:val="center"/>
            <w:hideMark/>
          </w:tcPr>
          <w:p w14:paraId="6ABE2C1B" w14:textId="77777777" w:rsidR="00000000" w:rsidRDefault="001A570A">
            <w:pPr>
              <w:rPr>
                <w:rFonts w:eastAsia="Times New Roman"/>
                <w:sz w:val="20"/>
                <w:szCs w:val="20"/>
              </w:rPr>
            </w:pPr>
          </w:p>
        </w:tc>
        <w:tc>
          <w:tcPr>
            <w:tcW w:w="5" w:type="pct"/>
            <w:vAlign w:val="center"/>
            <w:hideMark/>
          </w:tcPr>
          <w:p w14:paraId="1CAEFE7F" w14:textId="77777777" w:rsidR="00000000" w:rsidRDefault="001A570A">
            <w:pPr>
              <w:rPr>
                <w:rFonts w:eastAsia="Times New Roman"/>
                <w:sz w:val="20"/>
                <w:szCs w:val="20"/>
              </w:rPr>
            </w:pPr>
          </w:p>
        </w:tc>
      </w:tr>
      <w:tr w:rsidR="00000000" w14:paraId="62805801" w14:textId="77777777">
        <w:trPr>
          <w:divId w:val="1322928117"/>
        </w:trPr>
        <w:tc>
          <w:tcPr>
            <w:tcW w:w="0" w:type="auto"/>
            <w:gridSpan w:val="3"/>
            <w:tcMar>
              <w:top w:w="0" w:type="dxa"/>
              <w:left w:w="20" w:type="dxa"/>
              <w:bottom w:w="0" w:type="dxa"/>
              <w:right w:w="20" w:type="dxa"/>
            </w:tcMar>
            <w:vAlign w:val="center"/>
            <w:hideMark/>
          </w:tcPr>
          <w:p w14:paraId="687A861D"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3F77F1E9" w14:textId="77777777" w:rsidR="00000000" w:rsidRDefault="001A570A">
            <w:pPr>
              <w:jc w:val="center"/>
              <w:rPr>
                <w:rFonts w:eastAsia="Times New Roman"/>
              </w:rPr>
            </w:pPr>
            <w:r>
              <w:rPr>
                <w:rFonts w:eastAsia="Times New Roman"/>
                <w:b/>
                <w:bCs/>
                <w:color w:val="000000"/>
                <w:sz w:val="16"/>
                <w:szCs w:val="16"/>
              </w:rPr>
              <w:t xml:space="preserve">Fiscal Year </w:t>
            </w:r>
            <w:r>
              <w:rPr>
                <w:rFonts w:eastAsia="Times New Roman"/>
                <w:b/>
                <w:bCs/>
                <w:color w:val="000000"/>
                <w:sz w:val="16"/>
                <w:szCs w:val="16"/>
              </w:rPr>
              <w:br/>
              <w:t>Ended</w:t>
            </w:r>
          </w:p>
        </w:tc>
        <w:tc>
          <w:tcPr>
            <w:tcW w:w="0" w:type="auto"/>
            <w:gridSpan w:val="3"/>
            <w:tcMar>
              <w:top w:w="0" w:type="dxa"/>
              <w:left w:w="20" w:type="dxa"/>
              <w:bottom w:w="0" w:type="dxa"/>
              <w:right w:w="20" w:type="dxa"/>
            </w:tcMar>
            <w:vAlign w:val="center"/>
            <w:hideMark/>
          </w:tcPr>
          <w:p w14:paraId="778844A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1BF49D5" w14:textId="77777777" w:rsidR="00000000" w:rsidRDefault="001A570A">
            <w:pPr>
              <w:jc w:val="center"/>
              <w:rPr>
                <w:rFonts w:eastAsia="Times New Roman"/>
              </w:rPr>
            </w:pPr>
            <w:r>
              <w:rPr>
                <w:rFonts w:eastAsia="Times New Roman"/>
                <w:b/>
                <w:bCs/>
                <w:color w:val="000000"/>
                <w:sz w:val="16"/>
                <w:szCs w:val="16"/>
              </w:rPr>
              <w:t>Two Quarters Ended</w:t>
            </w:r>
          </w:p>
        </w:tc>
      </w:tr>
      <w:tr w:rsidR="00000000" w14:paraId="66784B86" w14:textId="77777777">
        <w:trPr>
          <w:divId w:val="1322928117"/>
        </w:trPr>
        <w:tc>
          <w:tcPr>
            <w:tcW w:w="0" w:type="auto"/>
            <w:gridSpan w:val="3"/>
            <w:tcMar>
              <w:top w:w="30" w:type="dxa"/>
              <w:left w:w="20" w:type="dxa"/>
              <w:bottom w:w="30" w:type="dxa"/>
              <w:right w:w="20" w:type="dxa"/>
            </w:tcMar>
            <w:vAlign w:val="bottom"/>
            <w:hideMark/>
          </w:tcPr>
          <w:p w14:paraId="70BD0038" w14:textId="77777777" w:rsidR="00000000" w:rsidRDefault="001A570A">
            <w:pPr>
              <w:rPr>
                <w:rFonts w:eastAsia="Times New Roman"/>
              </w:rPr>
            </w:pPr>
            <w:r>
              <w:rPr>
                <w:rFonts w:eastAsia="Times New Roman"/>
                <w:b/>
                <w:bCs/>
                <w:color w:val="000000"/>
                <w:sz w:val="16"/>
                <w:szCs w:val="16"/>
              </w:rPr>
              <w:t>(In millions, except lease term and discount rate)</w:t>
            </w:r>
          </w:p>
        </w:tc>
        <w:tc>
          <w:tcPr>
            <w:tcW w:w="0" w:type="auto"/>
            <w:gridSpan w:val="3"/>
            <w:tcBorders>
              <w:top w:val="single" w:sz="8" w:space="0" w:color="000000"/>
            </w:tcBorders>
            <w:tcMar>
              <w:top w:w="30" w:type="dxa"/>
              <w:left w:w="20" w:type="dxa"/>
              <w:bottom w:w="30" w:type="dxa"/>
              <w:right w:w="20" w:type="dxa"/>
            </w:tcMar>
            <w:vAlign w:val="bottom"/>
            <w:hideMark/>
          </w:tcPr>
          <w:p w14:paraId="1DBE46B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7AC141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8B1A30" w14:textId="77777777" w:rsidR="00000000" w:rsidRDefault="001A570A">
            <w:pPr>
              <w:jc w:val="center"/>
              <w:rPr>
                <w:rFonts w:eastAsia="Times New Roman"/>
              </w:rPr>
            </w:pPr>
            <w:r>
              <w:rPr>
                <w:rFonts w:eastAsia="Times New Roman"/>
                <w:b/>
                <w:bCs/>
                <w:color w:val="000000"/>
                <w:sz w:val="16"/>
                <w:szCs w:val="16"/>
              </w:rPr>
              <w:t>January 3, 2020</w:t>
            </w:r>
          </w:p>
        </w:tc>
      </w:tr>
      <w:tr w:rsidR="00000000" w14:paraId="1AEC89F0" w14:textId="77777777">
        <w:trPr>
          <w:divId w:val="1322928117"/>
          <w:trHeight w:val="60"/>
        </w:trPr>
        <w:tc>
          <w:tcPr>
            <w:tcW w:w="0" w:type="auto"/>
            <w:gridSpan w:val="3"/>
            <w:tcMar>
              <w:top w:w="0" w:type="dxa"/>
              <w:left w:w="20" w:type="dxa"/>
              <w:bottom w:w="0" w:type="dxa"/>
              <w:right w:w="20" w:type="dxa"/>
            </w:tcMar>
            <w:vAlign w:val="center"/>
            <w:hideMark/>
          </w:tcPr>
          <w:p w14:paraId="2FF63457"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342AD3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FFC1F5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4B89A7" w14:textId="77777777" w:rsidR="00000000" w:rsidRDefault="001A570A">
            <w:pPr>
              <w:rPr>
                <w:rFonts w:eastAsia="Times New Roman"/>
                <w:sz w:val="20"/>
                <w:szCs w:val="20"/>
              </w:rPr>
            </w:pPr>
          </w:p>
        </w:tc>
      </w:tr>
      <w:tr w:rsidR="00000000" w14:paraId="57EFBE7F" w14:textId="77777777">
        <w:trPr>
          <w:divId w:val="1322928117"/>
        </w:trPr>
        <w:tc>
          <w:tcPr>
            <w:tcW w:w="0" w:type="auto"/>
            <w:gridSpan w:val="3"/>
            <w:shd w:val="clear" w:color="auto" w:fill="CCEEFF"/>
            <w:tcMar>
              <w:top w:w="30" w:type="dxa"/>
              <w:left w:w="20" w:type="dxa"/>
              <w:bottom w:w="30" w:type="dxa"/>
              <w:right w:w="20" w:type="dxa"/>
            </w:tcMar>
            <w:vAlign w:val="bottom"/>
            <w:hideMark/>
          </w:tcPr>
          <w:p w14:paraId="7F746D7D" w14:textId="77777777" w:rsidR="00000000" w:rsidRDefault="001A570A">
            <w:pPr>
              <w:rPr>
                <w:rFonts w:eastAsia="Times New Roman"/>
              </w:rPr>
            </w:pPr>
            <w:r>
              <w:rPr>
                <w:rFonts w:eastAsia="Times New Roman"/>
                <w:color w:val="000000"/>
                <w:sz w:val="20"/>
                <w:szCs w:val="20"/>
              </w:rPr>
              <w:t>Cash paid for amounts included in the measurement of operating lease liabilities</w:t>
            </w:r>
          </w:p>
        </w:tc>
        <w:tc>
          <w:tcPr>
            <w:tcW w:w="0" w:type="auto"/>
            <w:shd w:val="clear" w:color="auto" w:fill="CCEEFF"/>
            <w:tcMar>
              <w:top w:w="30" w:type="dxa"/>
              <w:left w:w="20" w:type="dxa"/>
              <w:bottom w:w="30" w:type="dxa"/>
              <w:right w:w="0" w:type="dxa"/>
            </w:tcMar>
            <w:vAlign w:val="bottom"/>
            <w:hideMark/>
          </w:tcPr>
          <w:p w14:paraId="3099422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8CBC9A" w14:textId="77777777" w:rsidR="00000000" w:rsidRDefault="001A570A">
            <w:pPr>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14:paraId="6C2C03E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EE2A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6B004F"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CF79B1C" w14:textId="77777777" w:rsidR="00000000" w:rsidRDefault="001A570A">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14:paraId="520654CB" w14:textId="77777777" w:rsidR="00000000" w:rsidRDefault="001A570A">
            <w:pPr>
              <w:jc w:val="right"/>
              <w:rPr>
                <w:rFonts w:eastAsia="Times New Roman"/>
              </w:rPr>
            </w:pPr>
          </w:p>
        </w:tc>
      </w:tr>
      <w:tr w:rsidR="00000000" w14:paraId="7BC10817" w14:textId="77777777">
        <w:trPr>
          <w:divId w:val="1322928117"/>
        </w:trPr>
        <w:tc>
          <w:tcPr>
            <w:tcW w:w="0" w:type="auto"/>
            <w:gridSpan w:val="3"/>
            <w:shd w:val="clear" w:color="auto" w:fill="FFFFFF"/>
            <w:tcMar>
              <w:top w:w="30" w:type="dxa"/>
              <w:left w:w="20" w:type="dxa"/>
              <w:bottom w:w="30" w:type="dxa"/>
              <w:right w:w="20" w:type="dxa"/>
            </w:tcMar>
            <w:vAlign w:val="bottom"/>
            <w:hideMark/>
          </w:tcPr>
          <w:p w14:paraId="236BE44E" w14:textId="77777777" w:rsidR="00000000" w:rsidRDefault="001A570A">
            <w:pPr>
              <w:rPr>
                <w:rFonts w:eastAsia="Times New Roman"/>
              </w:rPr>
            </w:pPr>
            <w:r>
              <w:rPr>
                <w:rFonts w:eastAsia="Times New Roman"/>
                <w:color w:val="000000"/>
                <w:sz w:val="20"/>
                <w:szCs w:val="20"/>
              </w:rPr>
              <w:t>ROU assets obtained in exchange for new operating lease liabilities</w:t>
            </w:r>
          </w:p>
        </w:tc>
        <w:tc>
          <w:tcPr>
            <w:tcW w:w="0" w:type="auto"/>
            <w:gridSpan w:val="2"/>
            <w:shd w:val="clear" w:color="auto" w:fill="FFFFFF"/>
            <w:tcMar>
              <w:top w:w="30" w:type="dxa"/>
              <w:left w:w="20" w:type="dxa"/>
              <w:bottom w:w="30" w:type="dxa"/>
              <w:right w:w="0" w:type="dxa"/>
            </w:tcMar>
            <w:vAlign w:val="bottom"/>
            <w:hideMark/>
          </w:tcPr>
          <w:p w14:paraId="7D2259D3" w14:textId="77777777" w:rsidR="00000000" w:rsidRDefault="001A570A">
            <w:pPr>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14:paraId="29DCFD8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6B98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90EB9"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30F68109" w14:textId="77777777" w:rsidR="00000000" w:rsidRDefault="001A570A">
            <w:pPr>
              <w:jc w:val="right"/>
              <w:rPr>
                <w:rFonts w:eastAsia="Times New Roman"/>
              </w:rPr>
            </w:pPr>
          </w:p>
        </w:tc>
      </w:tr>
      <w:tr w:rsidR="00000000" w14:paraId="0682DF26" w14:textId="77777777">
        <w:trPr>
          <w:divId w:val="1322928117"/>
        </w:trPr>
        <w:tc>
          <w:tcPr>
            <w:tcW w:w="0" w:type="auto"/>
            <w:gridSpan w:val="3"/>
            <w:shd w:val="clear" w:color="auto" w:fill="CCEEFF"/>
            <w:tcMar>
              <w:top w:w="30" w:type="dxa"/>
              <w:left w:w="20" w:type="dxa"/>
              <w:bottom w:w="30" w:type="dxa"/>
              <w:right w:w="20" w:type="dxa"/>
            </w:tcMar>
            <w:vAlign w:val="bottom"/>
            <w:hideMark/>
          </w:tcPr>
          <w:p w14:paraId="376041AF" w14:textId="77777777" w:rsidR="00000000" w:rsidRDefault="001A570A">
            <w:pPr>
              <w:rPr>
                <w:rFonts w:eastAsia="Times New Roman"/>
              </w:rPr>
            </w:pPr>
            <w:r>
              <w:rPr>
                <w:rFonts w:eastAsia="Times New Roman"/>
                <w:color w:val="000000"/>
                <w:sz w:val="20"/>
                <w:szCs w:val="20"/>
              </w:rPr>
              <w:t>Weighted average remaining lease term — operating leases (in years)</w:t>
            </w:r>
          </w:p>
        </w:tc>
        <w:tc>
          <w:tcPr>
            <w:tcW w:w="0" w:type="auto"/>
            <w:gridSpan w:val="3"/>
            <w:shd w:val="clear" w:color="auto" w:fill="CCEEFF"/>
            <w:tcMar>
              <w:top w:w="30" w:type="dxa"/>
              <w:left w:w="20" w:type="dxa"/>
              <w:bottom w:w="30" w:type="dxa"/>
              <w:right w:w="20" w:type="dxa"/>
            </w:tcMar>
            <w:vAlign w:val="bottom"/>
            <w:hideMark/>
          </w:tcPr>
          <w:p w14:paraId="02C49CA3" w14:textId="77777777" w:rsidR="00000000" w:rsidRDefault="001A570A">
            <w:pPr>
              <w:jc w:val="right"/>
              <w:rPr>
                <w:rFonts w:eastAsia="Times New Roman"/>
              </w:rPr>
            </w:pPr>
            <w:r>
              <w:rPr>
                <w:rFonts w:eastAsia="Times New Roman"/>
                <w:color w:val="000000"/>
                <w:sz w:val="20"/>
                <w:szCs w:val="20"/>
              </w:rPr>
              <w:t>8.7</w:t>
            </w:r>
          </w:p>
        </w:tc>
        <w:tc>
          <w:tcPr>
            <w:tcW w:w="0" w:type="auto"/>
            <w:gridSpan w:val="3"/>
            <w:shd w:val="clear" w:color="auto" w:fill="CCEEFF"/>
            <w:tcMar>
              <w:top w:w="0" w:type="dxa"/>
              <w:left w:w="20" w:type="dxa"/>
              <w:bottom w:w="0" w:type="dxa"/>
              <w:right w:w="20" w:type="dxa"/>
            </w:tcMar>
            <w:vAlign w:val="center"/>
            <w:hideMark/>
          </w:tcPr>
          <w:p w14:paraId="4BB9C652" w14:textId="77777777" w:rsidR="00000000" w:rsidRDefault="001A570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0FA1EF8" w14:textId="77777777" w:rsidR="00000000" w:rsidRDefault="001A570A">
            <w:pPr>
              <w:jc w:val="right"/>
              <w:rPr>
                <w:rFonts w:eastAsia="Times New Roman"/>
              </w:rPr>
            </w:pPr>
            <w:r>
              <w:rPr>
                <w:rFonts w:eastAsia="Times New Roman"/>
                <w:color w:val="000000"/>
                <w:sz w:val="20"/>
                <w:szCs w:val="20"/>
              </w:rPr>
              <w:t>9.4</w:t>
            </w:r>
          </w:p>
        </w:tc>
      </w:tr>
      <w:tr w:rsidR="00000000" w14:paraId="4E8CE88C" w14:textId="77777777">
        <w:trPr>
          <w:divId w:val="1322928117"/>
        </w:trPr>
        <w:tc>
          <w:tcPr>
            <w:tcW w:w="0" w:type="auto"/>
            <w:gridSpan w:val="3"/>
            <w:shd w:val="clear" w:color="auto" w:fill="FFFFFF"/>
            <w:tcMar>
              <w:top w:w="30" w:type="dxa"/>
              <w:left w:w="20" w:type="dxa"/>
              <w:bottom w:w="30" w:type="dxa"/>
              <w:right w:w="20" w:type="dxa"/>
            </w:tcMar>
            <w:vAlign w:val="bottom"/>
            <w:hideMark/>
          </w:tcPr>
          <w:p w14:paraId="65B75A1E" w14:textId="77777777" w:rsidR="00000000" w:rsidRDefault="001A570A">
            <w:pPr>
              <w:rPr>
                <w:rFonts w:eastAsia="Times New Roman"/>
              </w:rPr>
            </w:pPr>
            <w:r>
              <w:rPr>
                <w:rFonts w:eastAsia="Times New Roman"/>
                <w:color w:val="000000"/>
                <w:sz w:val="20"/>
                <w:szCs w:val="20"/>
              </w:rPr>
              <w:t>Weighted average discount rate — operating leases</w:t>
            </w:r>
          </w:p>
        </w:tc>
        <w:tc>
          <w:tcPr>
            <w:tcW w:w="0" w:type="auto"/>
            <w:gridSpan w:val="2"/>
            <w:shd w:val="clear" w:color="auto" w:fill="FFFFFF"/>
            <w:tcMar>
              <w:top w:w="30" w:type="dxa"/>
              <w:left w:w="20" w:type="dxa"/>
              <w:bottom w:w="30" w:type="dxa"/>
              <w:right w:w="0" w:type="dxa"/>
            </w:tcMar>
            <w:vAlign w:val="bottom"/>
            <w:hideMark/>
          </w:tcPr>
          <w:p w14:paraId="46091C45" w14:textId="77777777" w:rsidR="00000000" w:rsidRDefault="001A570A">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68E6811"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3B4EB0"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4668BC"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6E2CFA58" w14:textId="77777777" w:rsidR="00000000" w:rsidRDefault="001A570A">
            <w:pPr>
              <w:jc w:val="right"/>
              <w:rPr>
                <w:rFonts w:eastAsia="Times New Roman"/>
              </w:rPr>
            </w:pPr>
            <w:r>
              <w:rPr>
                <w:rFonts w:eastAsia="Times New Roman"/>
                <w:color w:val="000000"/>
                <w:sz w:val="20"/>
                <w:szCs w:val="20"/>
              </w:rPr>
              <w:t>%</w:t>
            </w:r>
          </w:p>
        </w:tc>
      </w:tr>
    </w:tbl>
    <w:p w14:paraId="0EC20FF7" w14:textId="77777777" w:rsidR="00000000" w:rsidRDefault="001A570A">
      <w:pPr>
        <w:ind w:firstLine="450"/>
        <w:divId w:val="624508021"/>
        <w:rPr>
          <w:rFonts w:eastAsia="Times New Roman"/>
        </w:rPr>
      </w:pPr>
      <w:r>
        <w:rPr>
          <w:rFonts w:eastAsia="Times New Roman"/>
          <w:color w:val="000000"/>
          <w:sz w:val="20"/>
          <w:szCs w:val="20"/>
        </w:rPr>
        <w:t xml:space="preserve">Future lease payments under non-cancelable operating leases at January 1, 2021 were as follows: </w:t>
      </w:r>
    </w:p>
    <w:tbl>
      <w:tblPr>
        <w:tblW w:w="4964" w:type="pct"/>
        <w:tblCellMar>
          <w:top w:w="15" w:type="dxa"/>
          <w:left w:w="15" w:type="dxa"/>
          <w:bottom w:w="15" w:type="dxa"/>
          <w:right w:w="15" w:type="dxa"/>
        </w:tblCellMar>
        <w:tblLook w:val="04A0" w:firstRow="1" w:lastRow="0" w:firstColumn="1" w:lastColumn="0" w:noHBand="0" w:noVBand="1"/>
      </w:tblPr>
      <w:tblGrid>
        <w:gridCol w:w="50"/>
        <w:gridCol w:w="6870"/>
        <w:gridCol w:w="37"/>
        <w:gridCol w:w="121"/>
        <w:gridCol w:w="1060"/>
        <w:gridCol w:w="36"/>
        <w:gridCol w:w="36"/>
        <w:gridCol w:w="36"/>
      </w:tblGrid>
      <w:tr w:rsidR="00000000" w14:paraId="5F324126" w14:textId="77777777">
        <w:trPr>
          <w:divId w:val="130296890"/>
        </w:trPr>
        <w:tc>
          <w:tcPr>
            <w:tcW w:w="50" w:type="pct"/>
            <w:vAlign w:val="center"/>
            <w:hideMark/>
          </w:tcPr>
          <w:p w14:paraId="45EB26AF" w14:textId="77777777" w:rsidR="00000000" w:rsidRDefault="001A570A">
            <w:pPr>
              <w:ind w:firstLine="450"/>
              <w:rPr>
                <w:rFonts w:eastAsia="Times New Roman"/>
              </w:rPr>
            </w:pPr>
          </w:p>
        </w:tc>
        <w:tc>
          <w:tcPr>
            <w:tcW w:w="4221" w:type="pct"/>
            <w:vAlign w:val="center"/>
            <w:hideMark/>
          </w:tcPr>
          <w:p w14:paraId="6937EB00" w14:textId="77777777" w:rsidR="00000000" w:rsidRDefault="001A570A">
            <w:pPr>
              <w:rPr>
                <w:rFonts w:eastAsia="Times New Roman"/>
                <w:sz w:val="20"/>
                <w:szCs w:val="20"/>
              </w:rPr>
            </w:pPr>
          </w:p>
        </w:tc>
        <w:tc>
          <w:tcPr>
            <w:tcW w:w="5" w:type="pct"/>
            <w:vAlign w:val="center"/>
            <w:hideMark/>
          </w:tcPr>
          <w:p w14:paraId="213F60A1" w14:textId="77777777" w:rsidR="00000000" w:rsidRDefault="001A570A">
            <w:pPr>
              <w:rPr>
                <w:rFonts w:eastAsia="Times New Roman"/>
                <w:sz w:val="20"/>
                <w:szCs w:val="20"/>
              </w:rPr>
            </w:pPr>
          </w:p>
        </w:tc>
        <w:tc>
          <w:tcPr>
            <w:tcW w:w="50" w:type="pct"/>
            <w:vAlign w:val="center"/>
            <w:hideMark/>
          </w:tcPr>
          <w:p w14:paraId="176ABD1C" w14:textId="77777777" w:rsidR="00000000" w:rsidRDefault="001A570A">
            <w:pPr>
              <w:rPr>
                <w:rFonts w:eastAsia="Times New Roman"/>
                <w:sz w:val="20"/>
                <w:szCs w:val="20"/>
              </w:rPr>
            </w:pPr>
          </w:p>
        </w:tc>
        <w:tc>
          <w:tcPr>
            <w:tcW w:w="668" w:type="pct"/>
            <w:vAlign w:val="center"/>
            <w:hideMark/>
          </w:tcPr>
          <w:p w14:paraId="74E58C9F" w14:textId="77777777" w:rsidR="00000000" w:rsidRDefault="001A570A">
            <w:pPr>
              <w:rPr>
                <w:rFonts w:eastAsia="Times New Roman"/>
                <w:sz w:val="20"/>
                <w:szCs w:val="20"/>
              </w:rPr>
            </w:pPr>
          </w:p>
        </w:tc>
        <w:tc>
          <w:tcPr>
            <w:tcW w:w="5" w:type="pct"/>
            <w:vAlign w:val="center"/>
            <w:hideMark/>
          </w:tcPr>
          <w:p w14:paraId="2550AB78" w14:textId="77777777" w:rsidR="00000000" w:rsidRDefault="001A570A">
            <w:pPr>
              <w:rPr>
                <w:rFonts w:eastAsia="Times New Roman"/>
                <w:sz w:val="20"/>
                <w:szCs w:val="20"/>
              </w:rPr>
            </w:pPr>
          </w:p>
        </w:tc>
        <w:tc>
          <w:tcPr>
            <w:tcW w:w="0" w:type="auto"/>
            <w:vAlign w:val="center"/>
            <w:hideMark/>
          </w:tcPr>
          <w:p w14:paraId="22CEF03D" w14:textId="77777777" w:rsidR="00000000" w:rsidRDefault="001A570A">
            <w:pPr>
              <w:rPr>
                <w:rFonts w:eastAsia="Times New Roman"/>
                <w:sz w:val="20"/>
                <w:szCs w:val="20"/>
              </w:rPr>
            </w:pPr>
          </w:p>
        </w:tc>
        <w:tc>
          <w:tcPr>
            <w:tcW w:w="0" w:type="auto"/>
            <w:vAlign w:val="center"/>
            <w:hideMark/>
          </w:tcPr>
          <w:p w14:paraId="77E31F3C" w14:textId="77777777" w:rsidR="00000000" w:rsidRDefault="001A570A">
            <w:pPr>
              <w:rPr>
                <w:rFonts w:eastAsia="Times New Roman"/>
                <w:sz w:val="20"/>
                <w:szCs w:val="20"/>
              </w:rPr>
            </w:pPr>
          </w:p>
        </w:tc>
      </w:tr>
      <w:tr w:rsidR="00000000" w14:paraId="2C0B7F57" w14:textId="77777777">
        <w:trPr>
          <w:divId w:val="130296890"/>
        </w:trPr>
        <w:tc>
          <w:tcPr>
            <w:tcW w:w="0" w:type="auto"/>
            <w:gridSpan w:val="3"/>
            <w:tcMar>
              <w:top w:w="0" w:type="dxa"/>
              <w:left w:w="20" w:type="dxa"/>
              <w:bottom w:w="0" w:type="dxa"/>
              <w:right w:w="20" w:type="dxa"/>
            </w:tcMar>
            <w:vAlign w:val="center"/>
            <w:hideMark/>
          </w:tcPr>
          <w:p w14:paraId="25FA2E7D"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09D64988" w14:textId="77777777" w:rsidR="00000000" w:rsidRDefault="001A570A">
            <w:pPr>
              <w:jc w:val="center"/>
              <w:rPr>
                <w:rFonts w:eastAsia="Times New Roman"/>
              </w:rPr>
            </w:pPr>
            <w:r>
              <w:rPr>
                <w:rFonts w:eastAsia="Times New Roman"/>
                <w:b/>
                <w:bCs/>
                <w:color w:val="000000"/>
                <w:sz w:val="16"/>
                <w:szCs w:val="16"/>
              </w:rPr>
              <w:t>(In millions)</w:t>
            </w:r>
          </w:p>
        </w:tc>
        <w:tc>
          <w:tcPr>
            <w:tcW w:w="0" w:type="auto"/>
            <w:vAlign w:val="center"/>
            <w:hideMark/>
          </w:tcPr>
          <w:p w14:paraId="7CCF8AE5" w14:textId="77777777" w:rsidR="00000000" w:rsidRDefault="001A570A">
            <w:pPr>
              <w:jc w:val="center"/>
              <w:rPr>
                <w:rFonts w:eastAsia="Times New Roman"/>
              </w:rPr>
            </w:pPr>
          </w:p>
        </w:tc>
        <w:tc>
          <w:tcPr>
            <w:tcW w:w="0" w:type="auto"/>
            <w:vAlign w:val="center"/>
            <w:hideMark/>
          </w:tcPr>
          <w:p w14:paraId="41105EA4" w14:textId="77777777" w:rsidR="00000000" w:rsidRDefault="001A570A">
            <w:pPr>
              <w:rPr>
                <w:rFonts w:eastAsia="Times New Roman"/>
                <w:sz w:val="20"/>
                <w:szCs w:val="20"/>
              </w:rPr>
            </w:pPr>
          </w:p>
        </w:tc>
      </w:tr>
      <w:tr w:rsidR="00000000" w14:paraId="3701F823" w14:textId="77777777">
        <w:trPr>
          <w:divId w:val="130296890"/>
        </w:trPr>
        <w:tc>
          <w:tcPr>
            <w:tcW w:w="0" w:type="auto"/>
            <w:gridSpan w:val="3"/>
            <w:shd w:val="clear" w:color="auto" w:fill="CCEEFF"/>
            <w:tcMar>
              <w:top w:w="30" w:type="dxa"/>
              <w:left w:w="20" w:type="dxa"/>
              <w:bottom w:w="30" w:type="dxa"/>
              <w:right w:w="20" w:type="dxa"/>
            </w:tcMar>
            <w:vAlign w:val="bottom"/>
            <w:hideMark/>
          </w:tcPr>
          <w:p w14:paraId="5020E434" w14:textId="77777777" w:rsidR="00000000" w:rsidRDefault="001A570A">
            <w:pPr>
              <w:rPr>
                <w:rFonts w:eastAsia="Times New Roman"/>
              </w:rPr>
            </w:pPr>
            <w:r>
              <w:rPr>
                <w:rFonts w:eastAsia="Times New Roman"/>
                <w:color w:val="000000"/>
                <w:sz w:val="20"/>
                <w:szCs w:val="20"/>
              </w:rPr>
              <w:t>Fiscal Years</w:t>
            </w:r>
          </w:p>
        </w:tc>
        <w:tc>
          <w:tcPr>
            <w:tcW w:w="0" w:type="auto"/>
            <w:gridSpan w:val="3"/>
            <w:shd w:val="clear" w:color="auto" w:fill="CCEEFF"/>
            <w:tcMar>
              <w:top w:w="0" w:type="dxa"/>
              <w:left w:w="20" w:type="dxa"/>
              <w:bottom w:w="0" w:type="dxa"/>
              <w:right w:w="20" w:type="dxa"/>
            </w:tcMar>
            <w:vAlign w:val="center"/>
            <w:hideMark/>
          </w:tcPr>
          <w:p w14:paraId="18DF7031" w14:textId="77777777" w:rsidR="00000000" w:rsidRDefault="001A570A">
            <w:pPr>
              <w:rPr>
                <w:rFonts w:eastAsia="Times New Roman"/>
              </w:rPr>
            </w:pPr>
          </w:p>
        </w:tc>
        <w:tc>
          <w:tcPr>
            <w:tcW w:w="0" w:type="auto"/>
            <w:vAlign w:val="center"/>
            <w:hideMark/>
          </w:tcPr>
          <w:p w14:paraId="4EDFBE59" w14:textId="77777777" w:rsidR="00000000" w:rsidRDefault="001A570A">
            <w:pPr>
              <w:rPr>
                <w:rFonts w:eastAsia="Times New Roman"/>
                <w:sz w:val="20"/>
                <w:szCs w:val="20"/>
              </w:rPr>
            </w:pPr>
          </w:p>
        </w:tc>
        <w:tc>
          <w:tcPr>
            <w:tcW w:w="0" w:type="auto"/>
            <w:vAlign w:val="center"/>
            <w:hideMark/>
          </w:tcPr>
          <w:p w14:paraId="78963F29" w14:textId="77777777" w:rsidR="00000000" w:rsidRDefault="001A570A">
            <w:pPr>
              <w:rPr>
                <w:rFonts w:eastAsia="Times New Roman"/>
                <w:sz w:val="20"/>
                <w:szCs w:val="20"/>
              </w:rPr>
            </w:pPr>
          </w:p>
        </w:tc>
      </w:tr>
      <w:tr w:rsidR="00000000" w14:paraId="0D392E4C" w14:textId="77777777">
        <w:trPr>
          <w:divId w:val="130296890"/>
        </w:trPr>
        <w:tc>
          <w:tcPr>
            <w:tcW w:w="0" w:type="auto"/>
            <w:gridSpan w:val="3"/>
            <w:shd w:val="clear" w:color="auto" w:fill="FFFFFF"/>
            <w:tcMar>
              <w:top w:w="30" w:type="dxa"/>
              <w:left w:w="140" w:type="dxa"/>
              <w:bottom w:w="30" w:type="dxa"/>
              <w:right w:w="20" w:type="dxa"/>
            </w:tcMar>
            <w:vAlign w:val="bottom"/>
            <w:hideMark/>
          </w:tcPr>
          <w:p w14:paraId="61993473" w14:textId="77777777" w:rsidR="00000000" w:rsidRDefault="001A570A">
            <w:pPr>
              <w:rPr>
                <w:rFonts w:eastAsia="Times New Roman"/>
              </w:rPr>
            </w:pPr>
            <w:r>
              <w:rPr>
                <w:rFonts w:eastAsia="Times New Roman"/>
                <w:color w:val="000000"/>
                <w:sz w:val="20"/>
                <w:szCs w:val="20"/>
              </w:rPr>
              <w:t>2021</w:t>
            </w:r>
          </w:p>
        </w:tc>
        <w:tc>
          <w:tcPr>
            <w:tcW w:w="0" w:type="auto"/>
            <w:shd w:val="clear" w:color="auto" w:fill="FFFFFF"/>
            <w:tcMar>
              <w:top w:w="30" w:type="dxa"/>
              <w:left w:w="20" w:type="dxa"/>
              <w:bottom w:w="30" w:type="dxa"/>
              <w:right w:w="0" w:type="dxa"/>
            </w:tcMar>
            <w:vAlign w:val="bottom"/>
            <w:hideMark/>
          </w:tcPr>
          <w:p w14:paraId="4D7E028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3404AD" w14:textId="77777777" w:rsidR="00000000" w:rsidRDefault="001A570A">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14:paraId="44A468EB" w14:textId="77777777" w:rsidR="00000000" w:rsidRDefault="001A570A">
            <w:pPr>
              <w:jc w:val="right"/>
              <w:rPr>
                <w:rFonts w:eastAsia="Times New Roman"/>
              </w:rPr>
            </w:pPr>
          </w:p>
        </w:tc>
        <w:tc>
          <w:tcPr>
            <w:tcW w:w="0" w:type="auto"/>
            <w:vAlign w:val="center"/>
            <w:hideMark/>
          </w:tcPr>
          <w:p w14:paraId="7259D3D0" w14:textId="77777777" w:rsidR="00000000" w:rsidRDefault="001A570A">
            <w:pPr>
              <w:jc w:val="right"/>
              <w:rPr>
                <w:rFonts w:eastAsia="Times New Roman"/>
                <w:sz w:val="20"/>
                <w:szCs w:val="20"/>
              </w:rPr>
            </w:pPr>
          </w:p>
        </w:tc>
        <w:tc>
          <w:tcPr>
            <w:tcW w:w="0" w:type="auto"/>
            <w:vAlign w:val="center"/>
            <w:hideMark/>
          </w:tcPr>
          <w:p w14:paraId="7B1FC799" w14:textId="77777777" w:rsidR="00000000" w:rsidRDefault="001A570A">
            <w:pPr>
              <w:rPr>
                <w:rFonts w:eastAsia="Times New Roman"/>
                <w:sz w:val="20"/>
                <w:szCs w:val="20"/>
              </w:rPr>
            </w:pPr>
          </w:p>
        </w:tc>
      </w:tr>
      <w:tr w:rsidR="00000000" w14:paraId="084D7B0D" w14:textId="77777777">
        <w:trPr>
          <w:divId w:val="130296890"/>
        </w:trPr>
        <w:tc>
          <w:tcPr>
            <w:tcW w:w="0" w:type="auto"/>
            <w:gridSpan w:val="3"/>
            <w:shd w:val="clear" w:color="auto" w:fill="CCEEFF"/>
            <w:tcMar>
              <w:top w:w="30" w:type="dxa"/>
              <w:left w:w="140" w:type="dxa"/>
              <w:bottom w:w="30" w:type="dxa"/>
              <w:right w:w="20" w:type="dxa"/>
            </w:tcMar>
            <w:vAlign w:val="bottom"/>
            <w:hideMark/>
          </w:tcPr>
          <w:p w14:paraId="65B1DADF" w14:textId="77777777" w:rsidR="00000000" w:rsidRDefault="001A570A">
            <w:pPr>
              <w:rPr>
                <w:rFonts w:eastAsia="Times New Roman"/>
              </w:rPr>
            </w:pPr>
            <w:r>
              <w:rPr>
                <w:rFonts w:eastAsia="Times New Roman"/>
                <w:color w:val="000000"/>
                <w:sz w:val="20"/>
                <w:szCs w:val="20"/>
              </w:rPr>
              <w:t>2022</w:t>
            </w:r>
          </w:p>
        </w:tc>
        <w:tc>
          <w:tcPr>
            <w:tcW w:w="0" w:type="auto"/>
            <w:gridSpan w:val="2"/>
            <w:shd w:val="clear" w:color="auto" w:fill="CCEEFF"/>
            <w:tcMar>
              <w:top w:w="30" w:type="dxa"/>
              <w:left w:w="20" w:type="dxa"/>
              <w:bottom w:w="30" w:type="dxa"/>
              <w:right w:w="0" w:type="dxa"/>
            </w:tcMar>
            <w:vAlign w:val="bottom"/>
            <w:hideMark/>
          </w:tcPr>
          <w:p w14:paraId="73267EDE" w14:textId="77777777" w:rsidR="00000000" w:rsidRDefault="001A570A">
            <w:pPr>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26DDED08" w14:textId="77777777" w:rsidR="00000000" w:rsidRDefault="001A570A">
            <w:pPr>
              <w:jc w:val="right"/>
              <w:rPr>
                <w:rFonts w:eastAsia="Times New Roman"/>
              </w:rPr>
            </w:pPr>
          </w:p>
        </w:tc>
        <w:tc>
          <w:tcPr>
            <w:tcW w:w="0" w:type="auto"/>
            <w:vAlign w:val="center"/>
            <w:hideMark/>
          </w:tcPr>
          <w:p w14:paraId="2ADB126A" w14:textId="77777777" w:rsidR="00000000" w:rsidRDefault="001A570A">
            <w:pPr>
              <w:jc w:val="right"/>
              <w:rPr>
                <w:rFonts w:eastAsia="Times New Roman"/>
                <w:sz w:val="20"/>
                <w:szCs w:val="20"/>
              </w:rPr>
            </w:pPr>
          </w:p>
        </w:tc>
        <w:tc>
          <w:tcPr>
            <w:tcW w:w="0" w:type="auto"/>
            <w:vAlign w:val="center"/>
            <w:hideMark/>
          </w:tcPr>
          <w:p w14:paraId="315E436D" w14:textId="77777777" w:rsidR="00000000" w:rsidRDefault="001A570A">
            <w:pPr>
              <w:rPr>
                <w:rFonts w:eastAsia="Times New Roman"/>
                <w:sz w:val="20"/>
                <w:szCs w:val="20"/>
              </w:rPr>
            </w:pPr>
          </w:p>
        </w:tc>
      </w:tr>
      <w:tr w:rsidR="00000000" w14:paraId="7C7E11B4" w14:textId="77777777">
        <w:trPr>
          <w:divId w:val="130296890"/>
        </w:trPr>
        <w:tc>
          <w:tcPr>
            <w:tcW w:w="0" w:type="auto"/>
            <w:gridSpan w:val="3"/>
            <w:shd w:val="clear" w:color="auto" w:fill="FFFFFF"/>
            <w:tcMar>
              <w:top w:w="30" w:type="dxa"/>
              <w:left w:w="140" w:type="dxa"/>
              <w:bottom w:w="30" w:type="dxa"/>
              <w:right w:w="20" w:type="dxa"/>
            </w:tcMar>
            <w:vAlign w:val="bottom"/>
            <w:hideMark/>
          </w:tcPr>
          <w:p w14:paraId="1F765C05" w14:textId="77777777" w:rsidR="00000000" w:rsidRDefault="001A570A">
            <w:pPr>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14:paraId="1AB4EB6F" w14:textId="77777777" w:rsidR="00000000" w:rsidRDefault="001A570A">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14:paraId="29B8BCF8" w14:textId="77777777" w:rsidR="00000000" w:rsidRDefault="001A570A">
            <w:pPr>
              <w:jc w:val="right"/>
              <w:rPr>
                <w:rFonts w:eastAsia="Times New Roman"/>
              </w:rPr>
            </w:pPr>
          </w:p>
        </w:tc>
        <w:tc>
          <w:tcPr>
            <w:tcW w:w="0" w:type="auto"/>
            <w:vAlign w:val="center"/>
            <w:hideMark/>
          </w:tcPr>
          <w:p w14:paraId="2F36400D" w14:textId="77777777" w:rsidR="00000000" w:rsidRDefault="001A570A">
            <w:pPr>
              <w:jc w:val="right"/>
              <w:rPr>
                <w:rFonts w:eastAsia="Times New Roman"/>
                <w:sz w:val="20"/>
                <w:szCs w:val="20"/>
              </w:rPr>
            </w:pPr>
          </w:p>
        </w:tc>
        <w:tc>
          <w:tcPr>
            <w:tcW w:w="0" w:type="auto"/>
            <w:vAlign w:val="center"/>
            <w:hideMark/>
          </w:tcPr>
          <w:p w14:paraId="4F43F0EA" w14:textId="77777777" w:rsidR="00000000" w:rsidRDefault="001A570A">
            <w:pPr>
              <w:rPr>
                <w:rFonts w:eastAsia="Times New Roman"/>
                <w:sz w:val="20"/>
                <w:szCs w:val="20"/>
              </w:rPr>
            </w:pPr>
          </w:p>
        </w:tc>
      </w:tr>
      <w:tr w:rsidR="00000000" w14:paraId="00CD6499" w14:textId="77777777">
        <w:trPr>
          <w:divId w:val="130296890"/>
        </w:trPr>
        <w:tc>
          <w:tcPr>
            <w:tcW w:w="0" w:type="auto"/>
            <w:gridSpan w:val="3"/>
            <w:shd w:val="clear" w:color="auto" w:fill="CCEEFF"/>
            <w:tcMar>
              <w:top w:w="30" w:type="dxa"/>
              <w:left w:w="140" w:type="dxa"/>
              <w:bottom w:w="30" w:type="dxa"/>
              <w:right w:w="20" w:type="dxa"/>
            </w:tcMar>
            <w:vAlign w:val="bottom"/>
            <w:hideMark/>
          </w:tcPr>
          <w:p w14:paraId="0B7A1849" w14:textId="77777777" w:rsidR="00000000" w:rsidRDefault="001A570A">
            <w:pPr>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66025F97" w14:textId="77777777" w:rsidR="00000000" w:rsidRDefault="001A570A">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041A111B" w14:textId="77777777" w:rsidR="00000000" w:rsidRDefault="001A570A">
            <w:pPr>
              <w:jc w:val="right"/>
              <w:rPr>
                <w:rFonts w:eastAsia="Times New Roman"/>
              </w:rPr>
            </w:pPr>
          </w:p>
        </w:tc>
        <w:tc>
          <w:tcPr>
            <w:tcW w:w="0" w:type="auto"/>
            <w:vAlign w:val="center"/>
            <w:hideMark/>
          </w:tcPr>
          <w:p w14:paraId="770EE5D6" w14:textId="77777777" w:rsidR="00000000" w:rsidRDefault="001A570A">
            <w:pPr>
              <w:jc w:val="right"/>
              <w:rPr>
                <w:rFonts w:eastAsia="Times New Roman"/>
                <w:sz w:val="20"/>
                <w:szCs w:val="20"/>
              </w:rPr>
            </w:pPr>
          </w:p>
        </w:tc>
        <w:tc>
          <w:tcPr>
            <w:tcW w:w="0" w:type="auto"/>
            <w:vAlign w:val="center"/>
            <w:hideMark/>
          </w:tcPr>
          <w:p w14:paraId="11944951" w14:textId="77777777" w:rsidR="00000000" w:rsidRDefault="001A570A">
            <w:pPr>
              <w:rPr>
                <w:rFonts w:eastAsia="Times New Roman"/>
                <w:sz w:val="20"/>
                <w:szCs w:val="20"/>
              </w:rPr>
            </w:pPr>
          </w:p>
        </w:tc>
      </w:tr>
      <w:tr w:rsidR="00000000" w14:paraId="2B92B2C0" w14:textId="77777777">
        <w:trPr>
          <w:divId w:val="130296890"/>
        </w:trPr>
        <w:tc>
          <w:tcPr>
            <w:tcW w:w="0" w:type="auto"/>
            <w:gridSpan w:val="3"/>
            <w:shd w:val="clear" w:color="auto" w:fill="FFFFFF"/>
            <w:tcMar>
              <w:top w:w="30" w:type="dxa"/>
              <w:left w:w="140" w:type="dxa"/>
              <w:bottom w:w="30" w:type="dxa"/>
              <w:right w:w="20" w:type="dxa"/>
            </w:tcMar>
            <w:vAlign w:val="bottom"/>
            <w:hideMark/>
          </w:tcPr>
          <w:p w14:paraId="6298EF96" w14:textId="77777777" w:rsidR="00000000" w:rsidRDefault="001A570A">
            <w:pPr>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14:paraId="202C3B91" w14:textId="77777777" w:rsidR="00000000" w:rsidRDefault="001A570A">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5BF5E218" w14:textId="77777777" w:rsidR="00000000" w:rsidRDefault="001A570A">
            <w:pPr>
              <w:jc w:val="right"/>
              <w:rPr>
                <w:rFonts w:eastAsia="Times New Roman"/>
              </w:rPr>
            </w:pPr>
          </w:p>
        </w:tc>
        <w:tc>
          <w:tcPr>
            <w:tcW w:w="0" w:type="auto"/>
            <w:vAlign w:val="center"/>
            <w:hideMark/>
          </w:tcPr>
          <w:p w14:paraId="02EFAA4F" w14:textId="77777777" w:rsidR="00000000" w:rsidRDefault="001A570A">
            <w:pPr>
              <w:jc w:val="right"/>
              <w:rPr>
                <w:rFonts w:eastAsia="Times New Roman"/>
                <w:sz w:val="20"/>
                <w:szCs w:val="20"/>
              </w:rPr>
            </w:pPr>
          </w:p>
        </w:tc>
        <w:tc>
          <w:tcPr>
            <w:tcW w:w="0" w:type="auto"/>
            <w:vAlign w:val="center"/>
            <w:hideMark/>
          </w:tcPr>
          <w:p w14:paraId="3F654847" w14:textId="77777777" w:rsidR="00000000" w:rsidRDefault="001A570A">
            <w:pPr>
              <w:rPr>
                <w:rFonts w:eastAsia="Times New Roman"/>
                <w:sz w:val="20"/>
                <w:szCs w:val="20"/>
              </w:rPr>
            </w:pPr>
          </w:p>
        </w:tc>
      </w:tr>
      <w:tr w:rsidR="00000000" w14:paraId="0B414028" w14:textId="77777777">
        <w:trPr>
          <w:divId w:val="130296890"/>
        </w:trPr>
        <w:tc>
          <w:tcPr>
            <w:tcW w:w="0" w:type="auto"/>
            <w:gridSpan w:val="3"/>
            <w:shd w:val="clear" w:color="auto" w:fill="CCEEFF"/>
            <w:tcMar>
              <w:top w:w="30" w:type="dxa"/>
              <w:left w:w="140" w:type="dxa"/>
              <w:bottom w:w="30" w:type="dxa"/>
              <w:right w:w="20" w:type="dxa"/>
            </w:tcMar>
            <w:vAlign w:val="bottom"/>
            <w:hideMark/>
          </w:tcPr>
          <w:p w14:paraId="35E029E5" w14:textId="77777777" w:rsidR="00000000" w:rsidRDefault="001A570A">
            <w:pPr>
              <w:rPr>
                <w:rFonts w:eastAsia="Times New Roman"/>
              </w:rPr>
            </w:pPr>
            <w:r>
              <w:rPr>
                <w:rFonts w:eastAsia="Times New Roman"/>
                <w:color w:val="000000"/>
                <w:sz w:val="20"/>
                <w:szCs w:val="20"/>
              </w:rPr>
              <w:t>Thereafter</w:t>
            </w:r>
          </w:p>
        </w:tc>
        <w:tc>
          <w:tcPr>
            <w:tcW w:w="0" w:type="auto"/>
            <w:gridSpan w:val="2"/>
            <w:shd w:val="clear" w:color="auto" w:fill="CCEEFF"/>
            <w:tcMar>
              <w:top w:w="30" w:type="dxa"/>
              <w:left w:w="20" w:type="dxa"/>
              <w:bottom w:w="30" w:type="dxa"/>
              <w:right w:w="0" w:type="dxa"/>
            </w:tcMar>
            <w:vAlign w:val="bottom"/>
            <w:hideMark/>
          </w:tcPr>
          <w:p w14:paraId="73B40E3B" w14:textId="77777777" w:rsidR="00000000" w:rsidRDefault="001A570A">
            <w:pPr>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14:paraId="5D92D7AE" w14:textId="77777777" w:rsidR="00000000" w:rsidRDefault="001A570A">
            <w:pPr>
              <w:jc w:val="right"/>
              <w:rPr>
                <w:rFonts w:eastAsia="Times New Roman"/>
              </w:rPr>
            </w:pPr>
          </w:p>
        </w:tc>
        <w:tc>
          <w:tcPr>
            <w:tcW w:w="0" w:type="auto"/>
            <w:vAlign w:val="center"/>
            <w:hideMark/>
          </w:tcPr>
          <w:p w14:paraId="65691DED" w14:textId="77777777" w:rsidR="00000000" w:rsidRDefault="001A570A">
            <w:pPr>
              <w:jc w:val="right"/>
              <w:rPr>
                <w:rFonts w:eastAsia="Times New Roman"/>
                <w:sz w:val="20"/>
                <w:szCs w:val="20"/>
              </w:rPr>
            </w:pPr>
          </w:p>
        </w:tc>
        <w:tc>
          <w:tcPr>
            <w:tcW w:w="0" w:type="auto"/>
            <w:vAlign w:val="center"/>
            <w:hideMark/>
          </w:tcPr>
          <w:p w14:paraId="0CAE06A3" w14:textId="77777777" w:rsidR="00000000" w:rsidRDefault="001A570A">
            <w:pPr>
              <w:rPr>
                <w:rFonts w:eastAsia="Times New Roman"/>
                <w:sz w:val="20"/>
                <w:szCs w:val="20"/>
              </w:rPr>
            </w:pPr>
          </w:p>
        </w:tc>
      </w:tr>
      <w:tr w:rsidR="00000000" w14:paraId="59EBBD59" w14:textId="77777777">
        <w:trPr>
          <w:divId w:val="130296890"/>
        </w:trPr>
        <w:tc>
          <w:tcPr>
            <w:tcW w:w="0" w:type="auto"/>
            <w:gridSpan w:val="3"/>
            <w:shd w:val="clear" w:color="auto" w:fill="FFFFFF"/>
            <w:tcMar>
              <w:top w:w="30" w:type="dxa"/>
              <w:left w:w="20" w:type="dxa"/>
              <w:bottom w:w="30" w:type="dxa"/>
              <w:right w:w="20" w:type="dxa"/>
            </w:tcMar>
            <w:vAlign w:val="bottom"/>
            <w:hideMark/>
          </w:tcPr>
          <w:p w14:paraId="6147070F" w14:textId="77777777" w:rsidR="00000000" w:rsidRDefault="001A570A">
            <w:pPr>
              <w:rPr>
                <w:rFonts w:eastAsia="Times New Roman"/>
              </w:rPr>
            </w:pPr>
            <w:r>
              <w:rPr>
                <w:rFonts w:eastAsia="Times New Roman"/>
                <w:color w:val="000000"/>
                <w:sz w:val="20"/>
                <w:szCs w:val="20"/>
              </w:rPr>
              <w:t>Total future lease payments required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E6C40E" w14:textId="77777777" w:rsidR="00000000" w:rsidRDefault="001A570A">
            <w:pPr>
              <w:jc w:val="right"/>
              <w:rPr>
                <w:rFonts w:eastAsia="Times New Roman"/>
              </w:rPr>
            </w:pPr>
            <w:r>
              <w:rPr>
                <w:rFonts w:eastAsia="Times New Roman"/>
                <w:color w:val="000000"/>
                <w:sz w:val="20"/>
                <w:szCs w:val="20"/>
              </w:rPr>
              <w:t>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FC45B9" w14:textId="77777777" w:rsidR="00000000" w:rsidRDefault="001A570A">
            <w:pPr>
              <w:jc w:val="right"/>
              <w:rPr>
                <w:rFonts w:eastAsia="Times New Roman"/>
              </w:rPr>
            </w:pPr>
          </w:p>
        </w:tc>
        <w:tc>
          <w:tcPr>
            <w:tcW w:w="0" w:type="auto"/>
            <w:vAlign w:val="center"/>
            <w:hideMark/>
          </w:tcPr>
          <w:p w14:paraId="580B8EC4" w14:textId="77777777" w:rsidR="00000000" w:rsidRDefault="001A570A">
            <w:pPr>
              <w:jc w:val="right"/>
              <w:rPr>
                <w:rFonts w:eastAsia="Times New Roman"/>
                <w:sz w:val="20"/>
                <w:szCs w:val="20"/>
              </w:rPr>
            </w:pPr>
          </w:p>
        </w:tc>
        <w:tc>
          <w:tcPr>
            <w:tcW w:w="0" w:type="auto"/>
            <w:vAlign w:val="center"/>
            <w:hideMark/>
          </w:tcPr>
          <w:p w14:paraId="4E70D6C2" w14:textId="77777777" w:rsidR="00000000" w:rsidRDefault="001A570A">
            <w:pPr>
              <w:rPr>
                <w:rFonts w:eastAsia="Times New Roman"/>
                <w:sz w:val="20"/>
                <w:szCs w:val="20"/>
              </w:rPr>
            </w:pPr>
          </w:p>
        </w:tc>
      </w:tr>
      <w:tr w:rsidR="00000000" w14:paraId="7170F551" w14:textId="77777777">
        <w:trPr>
          <w:divId w:val="130296890"/>
        </w:trPr>
        <w:tc>
          <w:tcPr>
            <w:tcW w:w="0" w:type="auto"/>
            <w:gridSpan w:val="3"/>
            <w:shd w:val="clear" w:color="auto" w:fill="CCEEFF"/>
            <w:tcMar>
              <w:top w:w="30" w:type="dxa"/>
              <w:left w:w="140" w:type="dxa"/>
              <w:bottom w:w="30" w:type="dxa"/>
              <w:right w:w="20" w:type="dxa"/>
            </w:tcMar>
            <w:vAlign w:val="bottom"/>
            <w:hideMark/>
          </w:tcPr>
          <w:p w14:paraId="43CBD640" w14:textId="77777777" w:rsidR="00000000" w:rsidRDefault="001A570A">
            <w:pPr>
              <w:rPr>
                <w:rFonts w:eastAsia="Times New Roman"/>
              </w:rPr>
            </w:pPr>
            <w:r>
              <w:rPr>
                <w:rFonts w:eastAsia="Times New Roman"/>
                <w:color w:val="000000"/>
                <w:sz w:val="20"/>
                <w:szCs w:val="20"/>
              </w:rPr>
              <w:t>Less: imputed interest</w:t>
            </w:r>
          </w:p>
        </w:tc>
        <w:tc>
          <w:tcPr>
            <w:tcW w:w="0" w:type="auto"/>
            <w:gridSpan w:val="2"/>
            <w:shd w:val="clear" w:color="auto" w:fill="CCEEFF"/>
            <w:tcMar>
              <w:top w:w="30" w:type="dxa"/>
              <w:left w:w="20" w:type="dxa"/>
              <w:bottom w:w="30" w:type="dxa"/>
              <w:right w:w="0" w:type="dxa"/>
            </w:tcMar>
            <w:vAlign w:val="bottom"/>
            <w:hideMark/>
          </w:tcPr>
          <w:p w14:paraId="7DE723B2" w14:textId="77777777" w:rsidR="00000000" w:rsidRDefault="001A570A">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14:paraId="27516AB0" w14:textId="77777777" w:rsidR="00000000" w:rsidRDefault="001A570A">
            <w:pPr>
              <w:jc w:val="right"/>
              <w:rPr>
                <w:rFonts w:eastAsia="Times New Roman"/>
              </w:rPr>
            </w:pPr>
          </w:p>
        </w:tc>
        <w:tc>
          <w:tcPr>
            <w:tcW w:w="0" w:type="auto"/>
            <w:vAlign w:val="center"/>
            <w:hideMark/>
          </w:tcPr>
          <w:p w14:paraId="7976A1B3" w14:textId="77777777" w:rsidR="00000000" w:rsidRDefault="001A570A">
            <w:pPr>
              <w:jc w:val="right"/>
              <w:rPr>
                <w:rFonts w:eastAsia="Times New Roman"/>
                <w:sz w:val="20"/>
                <w:szCs w:val="20"/>
              </w:rPr>
            </w:pPr>
          </w:p>
        </w:tc>
        <w:tc>
          <w:tcPr>
            <w:tcW w:w="0" w:type="auto"/>
            <w:vAlign w:val="center"/>
            <w:hideMark/>
          </w:tcPr>
          <w:p w14:paraId="57263FF8" w14:textId="77777777" w:rsidR="00000000" w:rsidRDefault="001A570A">
            <w:pPr>
              <w:rPr>
                <w:rFonts w:eastAsia="Times New Roman"/>
                <w:sz w:val="20"/>
                <w:szCs w:val="20"/>
              </w:rPr>
            </w:pPr>
          </w:p>
        </w:tc>
      </w:tr>
      <w:tr w:rsidR="00000000" w14:paraId="211DB778" w14:textId="77777777">
        <w:trPr>
          <w:divId w:val="130296890"/>
        </w:trPr>
        <w:tc>
          <w:tcPr>
            <w:tcW w:w="0" w:type="auto"/>
            <w:gridSpan w:val="3"/>
            <w:shd w:val="clear" w:color="auto" w:fill="FFFFFF"/>
            <w:tcMar>
              <w:top w:w="30" w:type="dxa"/>
              <w:left w:w="20" w:type="dxa"/>
              <w:bottom w:w="30" w:type="dxa"/>
              <w:right w:w="20" w:type="dxa"/>
            </w:tcMar>
            <w:vAlign w:val="bottom"/>
            <w:hideMark/>
          </w:tcPr>
          <w:p w14:paraId="158017AB" w14:textId="77777777" w:rsidR="00000000" w:rsidRDefault="001A570A">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18BCA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0B5CF1" w14:textId="77777777" w:rsidR="00000000" w:rsidRDefault="001A570A">
            <w:pPr>
              <w:jc w:val="right"/>
              <w:rPr>
                <w:rFonts w:eastAsia="Times New Roman"/>
              </w:rPr>
            </w:pPr>
            <w:r>
              <w:rPr>
                <w:rFonts w:eastAsia="Times New Roman"/>
                <w:color w:val="000000"/>
                <w:sz w:val="20"/>
                <w:szCs w:val="20"/>
              </w:rPr>
              <w:t>850 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F95B99" w14:textId="77777777" w:rsidR="00000000" w:rsidRDefault="001A570A">
            <w:pPr>
              <w:jc w:val="right"/>
              <w:rPr>
                <w:rFonts w:eastAsia="Times New Roman"/>
              </w:rPr>
            </w:pPr>
          </w:p>
        </w:tc>
        <w:tc>
          <w:tcPr>
            <w:tcW w:w="0" w:type="auto"/>
            <w:vAlign w:val="center"/>
            <w:hideMark/>
          </w:tcPr>
          <w:p w14:paraId="453BD273" w14:textId="77777777" w:rsidR="00000000" w:rsidRDefault="001A570A">
            <w:pPr>
              <w:jc w:val="right"/>
              <w:rPr>
                <w:rFonts w:eastAsia="Times New Roman"/>
                <w:sz w:val="20"/>
                <w:szCs w:val="20"/>
              </w:rPr>
            </w:pPr>
          </w:p>
        </w:tc>
        <w:tc>
          <w:tcPr>
            <w:tcW w:w="0" w:type="auto"/>
            <w:vAlign w:val="center"/>
            <w:hideMark/>
          </w:tcPr>
          <w:p w14:paraId="230565C3" w14:textId="77777777" w:rsidR="00000000" w:rsidRDefault="001A570A">
            <w:pPr>
              <w:rPr>
                <w:rFonts w:eastAsia="Times New Roman"/>
                <w:sz w:val="20"/>
                <w:szCs w:val="20"/>
              </w:rPr>
            </w:pPr>
          </w:p>
        </w:tc>
      </w:tr>
    </w:tbl>
    <w:p w14:paraId="0C1430F7" w14:textId="77777777" w:rsidR="00000000" w:rsidRDefault="001A570A">
      <w:pPr>
        <w:ind w:firstLine="450"/>
        <w:divId w:val="1197504894"/>
        <w:rPr>
          <w:rFonts w:eastAsia="Times New Roman"/>
        </w:rPr>
      </w:pPr>
      <w:r>
        <w:rPr>
          <w:rFonts w:eastAsia="Times New Roman"/>
          <w:color w:val="000000"/>
          <w:sz w:val="20"/>
          <w:szCs w:val="20"/>
        </w:rPr>
        <w:t xml:space="preserve">These commitments do not contain any material rent escalations, rent holidays, contingent rent, rent concessions, leasehold improvement incentives or unusual provisions or conditions. We do not consider any individual lease material to our operations. </w:t>
      </w:r>
    </w:p>
    <w:p w14:paraId="7DA73A4F" w14:textId="77777777" w:rsidR="00000000" w:rsidRDefault="001A570A">
      <w:pPr>
        <w:ind w:firstLine="450"/>
        <w:jc w:val="center"/>
        <w:divId w:val="1969360858"/>
        <w:rPr>
          <w:rFonts w:eastAsia="Times New Roman"/>
        </w:rPr>
      </w:pPr>
      <w:r>
        <w:rPr>
          <w:rFonts w:eastAsia="Times New Roman"/>
          <w:color w:val="000000"/>
          <w:sz w:val="20"/>
          <w:szCs w:val="20"/>
        </w:rPr>
        <w:t>117</w:t>
      </w:r>
    </w:p>
    <w:p w14:paraId="1374ECF3" w14:textId="77777777" w:rsidR="00000000" w:rsidRDefault="001A570A">
      <w:pPr>
        <w:rPr>
          <w:rFonts w:eastAsia="Times New Roman"/>
        </w:rPr>
      </w:pPr>
      <w:r>
        <w:rPr>
          <w:rFonts w:eastAsia="Times New Roman"/>
        </w:rPr>
        <w:pict w14:anchorId="6502C85C">
          <v:rect id="_x0000_i1145" style="width:0;height:1.5pt" o:hralign="center" o:hrstd="t" o:hr="t" fillcolor="#a0a0a0" stroked="f"/>
        </w:pict>
      </w:r>
    </w:p>
    <w:p w14:paraId="07B2F0AF" w14:textId="77777777" w:rsidR="00000000" w:rsidRDefault="001A570A">
      <w:pPr>
        <w:ind w:firstLine="450"/>
        <w:divId w:val="2040857503"/>
        <w:rPr>
          <w:rFonts w:eastAsia="Times New Roman"/>
        </w:rPr>
      </w:pPr>
    </w:p>
    <w:p w14:paraId="76C82B35" w14:textId="77777777" w:rsidR="00000000" w:rsidRDefault="001A570A">
      <w:pPr>
        <w:divId w:val="407850492"/>
        <w:rPr>
          <w:rFonts w:eastAsia="Times New Roman"/>
        </w:rPr>
      </w:pPr>
      <w:r>
        <w:rPr>
          <w:rFonts w:eastAsia="Times New Roman"/>
          <w:color w:val="000000"/>
          <w:sz w:val="20"/>
          <w:szCs w:val="20"/>
        </w:rPr>
        <w:t xml:space="preserve">At January 1, 2021, we had $290 million of additional operating lease commitments for real estate leases that have not yet commenced. These leases will commence in 2021 with lease terms of 5 to 25 years. </w:t>
      </w:r>
    </w:p>
    <w:p w14:paraId="782E94F3" w14:textId="77777777" w:rsidR="00000000" w:rsidRDefault="001A570A">
      <w:pPr>
        <w:divId w:val="1317340001"/>
        <w:rPr>
          <w:rFonts w:eastAsia="Times New Roman"/>
        </w:rPr>
      </w:pPr>
      <w:r>
        <w:rPr>
          <w:rFonts w:eastAsia="Times New Roman"/>
          <w:b/>
          <w:bCs/>
          <w:color w:val="000000"/>
          <w:sz w:val="20"/>
          <w:szCs w:val="20"/>
        </w:rPr>
        <w:t>NOTE 20: DE</w:t>
      </w:r>
      <w:r>
        <w:rPr>
          <w:rFonts w:eastAsia="Times New Roman"/>
          <w:b/>
          <w:bCs/>
          <w:color w:val="000000"/>
          <w:sz w:val="20"/>
          <w:szCs w:val="20"/>
        </w:rPr>
        <w:t>RIVATIVE INSTRUMENTS AND HEDGING ACTIVITIES</w:t>
      </w:r>
      <w:r>
        <w:rPr>
          <w:rFonts w:eastAsia="Times New Roman"/>
          <w:b/>
          <w:bCs/>
          <w:i/>
          <w:iCs/>
          <w:color w:val="000000"/>
          <w:sz w:val="20"/>
          <w:szCs w:val="20"/>
        </w:rPr>
        <w:t xml:space="preserve"> </w:t>
      </w:r>
    </w:p>
    <w:p w14:paraId="2E15227E" w14:textId="77777777" w:rsidR="00000000" w:rsidRDefault="001A570A">
      <w:pPr>
        <w:ind w:firstLine="450"/>
        <w:divId w:val="403181436"/>
        <w:rPr>
          <w:rFonts w:eastAsia="Times New Roman"/>
        </w:rPr>
      </w:pPr>
      <w:r>
        <w:rPr>
          <w:rFonts w:eastAsia="Times New Roman"/>
          <w:color w:val="000000"/>
          <w:sz w:val="20"/>
          <w:szCs w:val="20"/>
        </w:rPr>
        <w:t xml:space="preserve">In the normal course of business, we are exposed to global market risks, including the effect of changes in foreign currency exchange rates and changes in interest rates. We use derivative instruments to manage </w:t>
      </w:r>
      <w:r>
        <w:rPr>
          <w:rFonts w:eastAsia="Times New Roman"/>
          <w:color w:val="000000"/>
          <w:sz w:val="20"/>
          <w:szCs w:val="20"/>
        </w:rPr>
        <w:t>our exposure to such risks and formally document all relationships between hedging instruments and hedged items, as well as the risk-management objective and strategy for undertaking hedge transactions. We also may enter into derivative instruments that ar</w:t>
      </w:r>
      <w:r>
        <w:rPr>
          <w:rFonts w:eastAsia="Times New Roman"/>
          <w:color w:val="000000"/>
          <w:sz w:val="20"/>
          <w:szCs w:val="20"/>
        </w:rPr>
        <w:t>e not designated as hedges and do not qualify for hedge accounting. We recognize all derivatives in our Consolidated Balance Sheet at fair value. We do not hold or issue derivatives for speculative trading purposes.</w:t>
      </w:r>
    </w:p>
    <w:p w14:paraId="7BD90B1F" w14:textId="77777777" w:rsidR="00000000" w:rsidRDefault="001A570A">
      <w:pPr>
        <w:divId w:val="359085587"/>
        <w:rPr>
          <w:rFonts w:eastAsia="Times New Roman"/>
        </w:rPr>
      </w:pPr>
      <w:r>
        <w:rPr>
          <w:rFonts w:eastAsia="Times New Roman"/>
          <w:b/>
          <w:bCs/>
          <w:color w:val="000000"/>
          <w:sz w:val="20"/>
          <w:szCs w:val="20"/>
        </w:rPr>
        <w:t>Exchange Rate Risk — Fair Value Hedges</w:t>
      </w:r>
    </w:p>
    <w:p w14:paraId="508C8BD0" w14:textId="77777777" w:rsidR="00000000" w:rsidRDefault="001A570A">
      <w:pPr>
        <w:ind w:firstLine="450"/>
        <w:divId w:val="204872178"/>
        <w:rPr>
          <w:rFonts w:eastAsia="Times New Roman"/>
        </w:rPr>
      </w:pPr>
      <w:r>
        <w:rPr>
          <w:rFonts w:eastAsia="Times New Roman"/>
          <w:color w:val="000000"/>
          <w:sz w:val="20"/>
          <w:szCs w:val="20"/>
        </w:rPr>
        <w:t>T</w:t>
      </w:r>
      <w:r>
        <w:rPr>
          <w:rFonts w:eastAsia="Times New Roman"/>
          <w:color w:val="000000"/>
          <w:sz w:val="20"/>
          <w:szCs w:val="20"/>
        </w:rPr>
        <w:t>o manage the exposure in our balance sheet to risks from changes in foreign currency exchange rates, we implement fair value hedges. More specifically, we have used foreign currency forward contracts and options to hedge certain balance sheet items, includ</w:t>
      </w:r>
      <w:r>
        <w:rPr>
          <w:rFonts w:eastAsia="Times New Roman"/>
          <w:color w:val="000000"/>
          <w:sz w:val="20"/>
          <w:szCs w:val="20"/>
        </w:rPr>
        <w:t>ing foreign currency denominated accounts receivable and inventory. Changes in the value of the derivatives and the related hedged items are reflected in earnings, in the “Cost of product sales and services” line item in our Consolidated Statement of Incom</w:t>
      </w:r>
      <w:r>
        <w:rPr>
          <w:rFonts w:eastAsia="Times New Roman"/>
          <w:color w:val="000000"/>
          <w:sz w:val="20"/>
          <w:szCs w:val="20"/>
        </w:rPr>
        <w:t xml:space="preserve">e. </w:t>
      </w:r>
    </w:p>
    <w:p w14:paraId="3ADC859A" w14:textId="77777777" w:rsidR="00000000" w:rsidRDefault="001A570A">
      <w:pPr>
        <w:ind w:firstLine="450"/>
        <w:divId w:val="1587492445"/>
        <w:rPr>
          <w:rFonts w:eastAsia="Times New Roman"/>
        </w:rPr>
      </w:pPr>
      <w:r>
        <w:rPr>
          <w:rFonts w:eastAsia="Times New Roman"/>
          <w:color w:val="000000"/>
          <w:sz w:val="20"/>
          <w:szCs w:val="20"/>
        </w:rPr>
        <w:t xml:space="preserve">At January 1, 2021, we had no outstanding foreign currency forward contracts to hedge balance sheet items. The net gains or losses on foreign currency forward contracts designated as fair value hedges were not material in fiscal 2020, the two quarters </w:t>
      </w:r>
      <w:r>
        <w:rPr>
          <w:rFonts w:eastAsia="Times New Roman"/>
          <w:color w:val="000000"/>
          <w:sz w:val="20"/>
          <w:szCs w:val="20"/>
        </w:rPr>
        <w:t>ended January 3, 2020, or fiscal 2019 or 2018. In addition, no amounts were recognized in earnings in fiscal 2020, the two quarters ended January 3, 2020, or fiscal 2019 or 2018 related to hedged firm commitments that no longer qualify as fair value hedges</w:t>
      </w:r>
      <w:r>
        <w:rPr>
          <w:rFonts w:eastAsia="Times New Roman"/>
          <w:color w:val="000000"/>
          <w:sz w:val="20"/>
          <w:szCs w:val="20"/>
        </w:rPr>
        <w:t>.</w:t>
      </w:r>
    </w:p>
    <w:p w14:paraId="38FE3305" w14:textId="77777777" w:rsidR="00000000" w:rsidRDefault="001A570A">
      <w:pPr>
        <w:divId w:val="567225057"/>
        <w:rPr>
          <w:rFonts w:eastAsia="Times New Roman"/>
        </w:rPr>
      </w:pPr>
      <w:r>
        <w:rPr>
          <w:rFonts w:eastAsia="Times New Roman"/>
          <w:b/>
          <w:bCs/>
          <w:color w:val="000000"/>
          <w:sz w:val="20"/>
          <w:szCs w:val="20"/>
        </w:rPr>
        <w:t>Exchange Rate Risk — Cash Flow Hedges</w:t>
      </w:r>
    </w:p>
    <w:p w14:paraId="0AF82B00" w14:textId="77777777" w:rsidR="00000000" w:rsidRDefault="001A570A">
      <w:pPr>
        <w:ind w:firstLine="450"/>
        <w:divId w:val="149449177"/>
        <w:rPr>
          <w:rFonts w:eastAsia="Times New Roman"/>
        </w:rPr>
      </w:pPr>
      <w:r>
        <w:rPr>
          <w:rFonts w:eastAsia="Times New Roman"/>
          <w:color w:val="000000"/>
          <w:sz w:val="20"/>
          <w:szCs w:val="20"/>
        </w:rPr>
        <w:t>To manage our exposure to currency risk and market fluctuation risk associated with anticipated cash flows that are probable of occurring in the future, we implement cash flow hedges. More specifically, we use foreign currency forward contracts and options</w:t>
      </w:r>
      <w:r>
        <w:rPr>
          <w:rFonts w:eastAsia="Times New Roman"/>
          <w:color w:val="000000"/>
          <w:sz w:val="20"/>
          <w:szCs w:val="20"/>
        </w:rPr>
        <w:t xml:space="preserve"> to hedge off-balance sheet future foreign currency commitments, including purchase commitments to suppliers, future committed sales to customers and intersegment transactions. These derivatives are used to hedge currency exposures from cash flows anticipa</w:t>
      </w:r>
      <w:r>
        <w:rPr>
          <w:rFonts w:eastAsia="Times New Roman"/>
          <w:color w:val="000000"/>
          <w:sz w:val="20"/>
          <w:szCs w:val="20"/>
        </w:rPr>
        <w:t>ted across our business segments. We also hedge U.S. Dollar payments to suppliers to maintain our anticipated profit margins in our international operations. These derivatives have only nominal intrinsic value at the time of purchase and have a high degree</w:t>
      </w:r>
      <w:r>
        <w:rPr>
          <w:rFonts w:eastAsia="Times New Roman"/>
          <w:color w:val="000000"/>
          <w:sz w:val="20"/>
          <w:szCs w:val="20"/>
        </w:rPr>
        <w:t xml:space="preserve"> of correlation to the anticipated cash flows they are designated to hedge. Hedge effectiveness is determined by the correlation of the anticipated cash flows from the hedging instruments and the anticipated cash flows from the future foreign currency comm</w:t>
      </w:r>
      <w:r>
        <w:rPr>
          <w:rFonts w:eastAsia="Times New Roman"/>
          <w:color w:val="000000"/>
          <w:sz w:val="20"/>
          <w:szCs w:val="20"/>
        </w:rPr>
        <w:t>itments through the maturity dates of the derivatives used to hedge these cash flows. These financial instruments are marked-to-market using forward prices and fair value quotes with the offset to other comprehensive income (loss) and are categorized in Le</w:t>
      </w:r>
      <w:r>
        <w:rPr>
          <w:rFonts w:eastAsia="Times New Roman"/>
          <w:color w:val="000000"/>
          <w:sz w:val="20"/>
          <w:szCs w:val="20"/>
        </w:rPr>
        <w:t>vel 2 of the fair value hierarchy. Gains and losses in accumulated other comprehensive loss are reclassified to earnings when the related hedged item is recognized in earnings. The cash flow impact of our derivatives is included in the same category in our</w:t>
      </w:r>
      <w:r>
        <w:rPr>
          <w:rFonts w:eastAsia="Times New Roman"/>
          <w:color w:val="000000"/>
          <w:sz w:val="20"/>
          <w:szCs w:val="20"/>
        </w:rPr>
        <w:t xml:space="preserve"> Consolidated Statement of Cash Flows as the cash flows of the related hedged items. Notional amounts are used to measure the volume of foreign currency forward contracts and do not represent exposure to foreign currency losses. At January 1, 2021, we had </w:t>
      </w:r>
      <w:r>
        <w:rPr>
          <w:rFonts w:eastAsia="Times New Roman"/>
          <w:color w:val="000000"/>
          <w:sz w:val="20"/>
          <w:szCs w:val="20"/>
        </w:rPr>
        <w:t>open foreign currency forward contracts with an aggregate notional amount of $488 million, hedging certain forecasted transactions denominated in U.S. Dollars, Canadian Dollars, British Pounds, Euros, Australian Dollars, and New Zealand Dollars. At January</w:t>
      </w:r>
      <w:r>
        <w:rPr>
          <w:rFonts w:eastAsia="Times New Roman"/>
          <w:color w:val="000000"/>
          <w:sz w:val="20"/>
          <w:szCs w:val="20"/>
        </w:rPr>
        <w:t> 3, 2020, we had open foreign currency forward contracts with an aggregate notional amount of $511 million, hedging certain forecasted transactions denominated in U.S. Dollars, Euros, British Pounds, Australian Dollars, Canadian Dollars and United Arab Emi</w:t>
      </w:r>
      <w:r>
        <w:rPr>
          <w:rFonts w:eastAsia="Times New Roman"/>
          <w:color w:val="000000"/>
          <w:sz w:val="20"/>
          <w:szCs w:val="20"/>
        </w:rPr>
        <w:t xml:space="preserve">rates Dirham. </w:t>
      </w:r>
    </w:p>
    <w:p w14:paraId="6D964CDB" w14:textId="77777777" w:rsidR="00000000" w:rsidRDefault="001A570A">
      <w:pPr>
        <w:ind w:firstLine="450"/>
        <w:divId w:val="1099451896"/>
        <w:rPr>
          <w:rFonts w:eastAsia="Times New Roman"/>
        </w:rPr>
      </w:pPr>
      <w:r>
        <w:rPr>
          <w:rFonts w:eastAsia="Times New Roman"/>
          <w:color w:val="000000"/>
          <w:sz w:val="20"/>
          <w:szCs w:val="20"/>
        </w:rPr>
        <w:t>At January 1, 2021, our foreign currency forward contracts had maturities through 2025.</w:t>
      </w:r>
    </w:p>
    <w:p w14:paraId="3A0F4DB1" w14:textId="77777777" w:rsidR="00000000" w:rsidRDefault="001A570A">
      <w:pPr>
        <w:ind w:firstLine="450"/>
        <w:divId w:val="1222325322"/>
        <w:rPr>
          <w:rFonts w:eastAsia="Times New Roman"/>
        </w:rPr>
      </w:pPr>
      <w:r>
        <w:rPr>
          <w:rFonts w:eastAsia="Times New Roman"/>
          <w:color w:val="000000"/>
          <w:sz w:val="20"/>
          <w:szCs w:val="20"/>
        </w:rPr>
        <w:t>The table below presents the fair values of our derivatives designated as foreign currency hedging instruments in our Consolidated Balance Sheet at Janua</w:t>
      </w:r>
      <w:r>
        <w:rPr>
          <w:rFonts w:eastAsia="Times New Roman"/>
          <w:color w:val="000000"/>
          <w:sz w:val="20"/>
          <w:szCs w:val="20"/>
        </w:rPr>
        <w:t xml:space="preserve">ry 1, 2021 and January 3, 2020.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991"/>
        <w:gridCol w:w="36"/>
        <w:gridCol w:w="36"/>
        <w:gridCol w:w="36"/>
        <w:gridCol w:w="36"/>
        <w:gridCol w:w="121"/>
        <w:gridCol w:w="857"/>
        <w:gridCol w:w="36"/>
        <w:gridCol w:w="36"/>
        <w:gridCol w:w="36"/>
        <w:gridCol w:w="36"/>
        <w:gridCol w:w="121"/>
        <w:gridCol w:w="91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1E3744E8" w14:textId="77777777">
        <w:trPr>
          <w:divId w:val="465052452"/>
          <w:jc w:val="center"/>
        </w:trPr>
        <w:tc>
          <w:tcPr>
            <w:tcW w:w="50" w:type="pct"/>
            <w:vAlign w:val="center"/>
            <w:hideMark/>
          </w:tcPr>
          <w:p w14:paraId="78245AEF" w14:textId="77777777" w:rsidR="00000000" w:rsidRDefault="001A570A">
            <w:pPr>
              <w:ind w:firstLine="450"/>
              <w:rPr>
                <w:rFonts w:eastAsia="Times New Roman"/>
              </w:rPr>
            </w:pPr>
          </w:p>
        </w:tc>
        <w:tc>
          <w:tcPr>
            <w:tcW w:w="3443" w:type="pct"/>
            <w:vAlign w:val="center"/>
            <w:hideMark/>
          </w:tcPr>
          <w:p w14:paraId="25C188A6" w14:textId="77777777" w:rsidR="00000000" w:rsidRDefault="001A570A">
            <w:pPr>
              <w:rPr>
                <w:rFonts w:eastAsia="Times New Roman"/>
                <w:sz w:val="20"/>
                <w:szCs w:val="20"/>
              </w:rPr>
            </w:pPr>
          </w:p>
        </w:tc>
        <w:tc>
          <w:tcPr>
            <w:tcW w:w="5" w:type="pct"/>
            <w:vAlign w:val="center"/>
            <w:hideMark/>
          </w:tcPr>
          <w:p w14:paraId="0CA40BAB" w14:textId="77777777" w:rsidR="00000000" w:rsidRDefault="001A570A">
            <w:pPr>
              <w:rPr>
                <w:rFonts w:eastAsia="Times New Roman"/>
                <w:sz w:val="20"/>
                <w:szCs w:val="20"/>
              </w:rPr>
            </w:pPr>
          </w:p>
        </w:tc>
        <w:tc>
          <w:tcPr>
            <w:tcW w:w="5" w:type="pct"/>
            <w:vAlign w:val="center"/>
            <w:hideMark/>
          </w:tcPr>
          <w:p w14:paraId="0C605DEA" w14:textId="77777777" w:rsidR="00000000" w:rsidRDefault="001A570A">
            <w:pPr>
              <w:rPr>
                <w:rFonts w:eastAsia="Times New Roman"/>
                <w:sz w:val="20"/>
                <w:szCs w:val="20"/>
              </w:rPr>
            </w:pPr>
          </w:p>
        </w:tc>
        <w:tc>
          <w:tcPr>
            <w:tcW w:w="25" w:type="pct"/>
            <w:vAlign w:val="center"/>
            <w:hideMark/>
          </w:tcPr>
          <w:p w14:paraId="67FF95B9" w14:textId="77777777" w:rsidR="00000000" w:rsidRDefault="001A570A">
            <w:pPr>
              <w:rPr>
                <w:rFonts w:eastAsia="Times New Roman"/>
                <w:sz w:val="20"/>
                <w:szCs w:val="20"/>
              </w:rPr>
            </w:pPr>
          </w:p>
        </w:tc>
        <w:tc>
          <w:tcPr>
            <w:tcW w:w="5" w:type="pct"/>
            <w:vAlign w:val="center"/>
            <w:hideMark/>
          </w:tcPr>
          <w:p w14:paraId="531FD17E" w14:textId="77777777" w:rsidR="00000000" w:rsidRDefault="001A570A">
            <w:pPr>
              <w:rPr>
                <w:rFonts w:eastAsia="Times New Roman"/>
                <w:sz w:val="20"/>
                <w:szCs w:val="20"/>
              </w:rPr>
            </w:pPr>
          </w:p>
        </w:tc>
        <w:tc>
          <w:tcPr>
            <w:tcW w:w="50" w:type="pct"/>
            <w:vAlign w:val="center"/>
            <w:hideMark/>
          </w:tcPr>
          <w:p w14:paraId="06B4AF36" w14:textId="77777777" w:rsidR="00000000" w:rsidRDefault="001A570A">
            <w:pPr>
              <w:rPr>
                <w:rFonts w:eastAsia="Times New Roman"/>
                <w:sz w:val="20"/>
                <w:szCs w:val="20"/>
              </w:rPr>
            </w:pPr>
          </w:p>
        </w:tc>
        <w:tc>
          <w:tcPr>
            <w:tcW w:w="663" w:type="pct"/>
            <w:vAlign w:val="center"/>
            <w:hideMark/>
          </w:tcPr>
          <w:p w14:paraId="5CB25553" w14:textId="77777777" w:rsidR="00000000" w:rsidRDefault="001A570A">
            <w:pPr>
              <w:rPr>
                <w:rFonts w:eastAsia="Times New Roman"/>
                <w:sz w:val="20"/>
                <w:szCs w:val="20"/>
              </w:rPr>
            </w:pPr>
          </w:p>
        </w:tc>
        <w:tc>
          <w:tcPr>
            <w:tcW w:w="5" w:type="pct"/>
            <w:vAlign w:val="center"/>
            <w:hideMark/>
          </w:tcPr>
          <w:p w14:paraId="40803F86" w14:textId="77777777" w:rsidR="00000000" w:rsidRDefault="001A570A">
            <w:pPr>
              <w:rPr>
                <w:rFonts w:eastAsia="Times New Roman"/>
                <w:sz w:val="20"/>
                <w:szCs w:val="20"/>
              </w:rPr>
            </w:pPr>
          </w:p>
        </w:tc>
        <w:tc>
          <w:tcPr>
            <w:tcW w:w="5" w:type="pct"/>
            <w:vAlign w:val="center"/>
            <w:hideMark/>
          </w:tcPr>
          <w:p w14:paraId="1311C083" w14:textId="77777777" w:rsidR="00000000" w:rsidRDefault="001A570A">
            <w:pPr>
              <w:rPr>
                <w:rFonts w:eastAsia="Times New Roman"/>
                <w:sz w:val="20"/>
                <w:szCs w:val="20"/>
              </w:rPr>
            </w:pPr>
          </w:p>
        </w:tc>
        <w:tc>
          <w:tcPr>
            <w:tcW w:w="18" w:type="pct"/>
            <w:vAlign w:val="center"/>
            <w:hideMark/>
          </w:tcPr>
          <w:p w14:paraId="2B132A59" w14:textId="77777777" w:rsidR="00000000" w:rsidRDefault="001A570A">
            <w:pPr>
              <w:rPr>
                <w:rFonts w:eastAsia="Times New Roman"/>
                <w:sz w:val="20"/>
                <w:szCs w:val="20"/>
              </w:rPr>
            </w:pPr>
          </w:p>
        </w:tc>
        <w:tc>
          <w:tcPr>
            <w:tcW w:w="5" w:type="pct"/>
            <w:vAlign w:val="center"/>
            <w:hideMark/>
          </w:tcPr>
          <w:p w14:paraId="194C5A1F" w14:textId="77777777" w:rsidR="00000000" w:rsidRDefault="001A570A">
            <w:pPr>
              <w:rPr>
                <w:rFonts w:eastAsia="Times New Roman"/>
                <w:sz w:val="20"/>
                <w:szCs w:val="20"/>
              </w:rPr>
            </w:pPr>
          </w:p>
        </w:tc>
        <w:tc>
          <w:tcPr>
            <w:tcW w:w="50" w:type="pct"/>
            <w:vAlign w:val="center"/>
            <w:hideMark/>
          </w:tcPr>
          <w:p w14:paraId="212A1D2C" w14:textId="77777777" w:rsidR="00000000" w:rsidRDefault="001A570A">
            <w:pPr>
              <w:rPr>
                <w:rFonts w:eastAsia="Times New Roman"/>
                <w:sz w:val="20"/>
                <w:szCs w:val="20"/>
              </w:rPr>
            </w:pPr>
          </w:p>
        </w:tc>
        <w:tc>
          <w:tcPr>
            <w:tcW w:w="663" w:type="pct"/>
            <w:vAlign w:val="center"/>
            <w:hideMark/>
          </w:tcPr>
          <w:p w14:paraId="67ADE684" w14:textId="77777777" w:rsidR="00000000" w:rsidRDefault="001A570A">
            <w:pPr>
              <w:rPr>
                <w:rFonts w:eastAsia="Times New Roman"/>
                <w:sz w:val="20"/>
                <w:szCs w:val="20"/>
              </w:rPr>
            </w:pPr>
          </w:p>
        </w:tc>
        <w:tc>
          <w:tcPr>
            <w:tcW w:w="5" w:type="pct"/>
            <w:vAlign w:val="center"/>
            <w:hideMark/>
          </w:tcPr>
          <w:p w14:paraId="15714560" w14:textId="77777777" w:rsidR="00000000" w:rsidRDefault="001A570A">
            <w:pPr>
              <w:rPr>
                <w:rFonts w:eastAsia="Times New Roman"/>
                <w:sz w:val="20"/>
                <w:szCs w:val="20"/>
              </w:rPr>
            </w:pPr>
          </w:p>
        </w:tc>
        <w:tc>
          <w:tcPr>
            <w:tcW w:w="0" w:type="auto"/>
            <w:vAlign w:val="center"/>
            <w:hideMark/>
          </w:tcPr>
          <w:p w14:paraId="357F2B2C" w14:textId="77777777" w:rsidR="00000000" w:rsidRDefault="001A570A">
            <w:pPr>
              <w:rPr>
                <w:rFonts w:eastAsia="Times New Roman"/>
                <w:sz w:val="20"/>
                <w:szCs w:val="20"/>
              </w:rPr>
            </w:pPr>
          </w:p>
        </w:tc>
        <w:tc>
          <w:tcPr>
            <w:tcW w:w="0" w:type="auto"/>
            <w:vAlign w:val="center"/>
            <w:hideMark/>
          </w:tcPr>
          <w:p w14:paraId="6AA812C5" w14:textId="77777777" w:rsidR="00000000" w:rsidRDefault="001A570A">
            <w:pPr>
              <w:rPr>
                <w:rFonts w:eastAsia="Times New Roman"/>
                <w:sz w:val="20"/>
                <w:szCs w:val="20"/>
              </w:rPr>
            </w:pPr>
          </w:p>
        </w:tc>
        <w:tc>
          <w:tcPr>
            <w:tcW w:w="0" w:type="auto"/>
            <w:vAlign w:val="center"/>
            <w:hideMark/>
          </w:tcPr>
          <w:p w14:paraId="4CE4FCF6" w14:textId="77777777" w:rsidR="00000000" w:rsidRDefault="001A570A">
            <w:pPr>
              <w:rPr>
                <w:rFonts w:eastAsia="Times New Roman"/>
                <w:sz w:val="20"/>
                <w:szCs w:val="20"/>
              </w:rPr>
            </w:pPr>
          </w:p>
        </w:tc>
        <w:tc>
          <w:tcPr>
            <w:tcW w:w="0" w:type="auto"/>
            <w:vAlign w:val="center"/>
            <w:hideMark/>
          </w:tcPr>
          <w:p w14:paraId="07C94AB4" w14:textId="77777777" w:rsidR="00000000" w:rsidRDefault="001A570A">
            <w:pPr>
              <w:rPr>
                <w:rFonts w:eastAsia="Times New Roman"/>
                <w:sz w:val="20"/>
                <w:szCs w:val="20"/>
              </w:rPr>
            </w:pPr>
          </w:p>
        </w:tc>
        <w:tc>
          <w:tcPr>
            <w:tcW w:w="0" w:type="auto"/>
            <w:vAlign w:val="center"/>
            <w:hideMark/>
          </w:tcPr>
          <w:p w14:paraId="50438CFE" w14:textId="77777777" w:rsidR="00000000" w:rsidRDefault="001A570A">
            <w:pPr>
              <w:rPr>
                <w:rFonts w:eastAsia="Times New Roman"/>
                <w:sz w:val="20"/>
                <w:szCs w:val="20"/>
              </w:rPr>
            </w:pPr>
          </w:p>
        </w:tc>
        <w:tc>
          <w:tcPr>
            <w:tcW w:w="0" w:type="auto"/>
            <w:vAlign w:val="center"/>
            <w:hideMark/>
          </w:tcPr>
          <w:p w14:paraId="4A84CF8E" w14:textId="77777777" w:rsidR="00000000" w:rsidRDefault="001A570A">
            <w:pPr>
              <w:rPr>
                <w:rFonts w:eastAsia="Times New Roman"/>
                <w:sz w:val="20"/>
                <w:szCs w:val="20"/>
              </w:rPr>
            </w:pPr>
          </w:p>
        </w:tc>
        <w:tc>
          <w:tcPr>
            <w:tcW w:w="0" w:type="auto"/>
            <w:vAlign w:val="center"/>
            <w:hideMark/>
          </w:tcPr>
          <w:p w14:paraId="641B47E9" w14:textId="77777777" w:rsidR="00000000" w:rsidRDefault="001A570A">
            <w:pPr>
              <w:rPr>
                <w:rFonts w:eastAsia="Times New Roman"/>
                <w:sz w:val="20"/>
                <w:szCs w:val="20"/>
              </w:rPr>
            </w:pPr>
          </w:p>
        </w:tc>
        <w:tc>
          <w:tcPr>
            <w:tcW w:w="0" w:type="auto"/>
            <w:vAlign w:val="center"/>
            <w:hideMark/>
          </w:tcPr>
          <w:p w14:paraId="05A2A0DF" w14:textId="77777777" w:rsidR="00000000" w:rsidRDefault="001A570A">
            <w:pPr>
              <w:rPr>
                <w:rFonts w:eastAsia="Times New Roman"/>
                <w:sz w:val="20"/>
                <w:szCs w:val="20"/>
              </w:rPr>
            </w:pPr>
          </w:p>
        </w:tc>
        <w:tc>
          <w:tcPr>
            <w:tcW w:w="0" w:type="auto"/>
            <w:gridSpan w:val="3"/>
            <w:vAlign w:val="center"/>
            <w:hideMark/>
          </w:tcPr>
          <w:p w14:paraId="4B023BB7" w14:textId="77777777" w:rsidR="00000000" w:rsidRDefault="001A570A">
            <w:pPr>
              <w:rPr>
                <w:rFonts w:eastAsia="Times New Roman"/>
                <w:sz w:val="20"/>
                <w:szCs w:val="20"/>
              </w:rPr>
            </w:pPr>
          </w:p>
        </w:tc>
        <w:tc>
          <w:tcPr>
            <w:tcW w:w="0" w:type="auto"/>
            <w:gridSpan w:val="3"/>
            <w:vAlign w:val="center"/>
            <w:hideMark/>
          </w:tcPr>
          <w:p w14:paraId="2FB9B7DE" w14:textId="77777777" w:rsidR="00000000" w:rsidRDefault="001A570A">
            <w:pPr>
              <w:rPr>
                <w:rFonts w:eastAsia="Times New Roman"/>
                <w:sz w:val="20"/>
                <w:szCs w:val="20"/>
              </w:rPr>
            </w:pPr>
          </w:p>
        </w:tc>
        <w:tc>
          <w:tcPr>
            <w:tcW w:w="0" w:type="auto"/>
            <w:gridSpan w:val="3"/>
            <w:vAlign w:val="center"/>
            <w:hideMark/>
          </w:tcPr>
          <w:p w14:paraId="02CF9811" w14:textId="77777777" w:rsidR="00000000" w:rsidRDefault="001A570A">
            <w:pPr>
              <w:rPr>
                <w:rFonts w:eastAsia="Times New Roman"/>
                <w:sz w:val="20"/>
                <w:szCs w:val="20"/>
              </w:rPr>
            </w:pPr>
          </w:p>
        </w:tc>
        <w:tc>
          <w:tcPr>
            <w:tcW w:w="0" w:type="auto"/>
            <w:gridSpan w:val="3"/>
            <w:vAlign w:val="center"/>
            <w:hideMark/>
          </w:tcPr>
          <w:p w14:paraId="71098489" w14:textId="77777777" w:rsidR="00000000" w:rsidRDefault="001A570A">
            <w:pPr>
              <w:rPr>
                <w:rFonts w:eastAsia="Times New Roman"/>
                <w:sz w:val="20"/>
                <w:szCs w:val="20"/>
              </w:rPr>
            </w:pPr>
          </w:p>
        </w:tc>
        <w:tc>
          <w:tcPr>
            <w:tcW w:w="0" w:type="auto"/>
            <w:gridSpan w:val="3"/>
            <w:vAlign w:val="center"/>
            <w:hideMark/>
          </w:tcPr>
          <w:p w14:paraId="152E7D1A" w14:textId="77777777" w:rsidR="00000000" w:rsidRDefault="001A570A">
            <w:pPr>
              <w:rPr>
                <w:rFonts w:eastAsia="Times New Roman"/>
                <w:sz w:val="20"/>
                <w:szCs w:val="20"/>
              </w:rPr>
            </w:pPr>
          </w:p>
        </w:tc>
        <w:tc>
          <w:tcPr>
            <w:tcW w:w="0" w:type="auto"/>
            <w:gridSpan w:val="3"/>
            <w:vAlign w:val="center"/>
            <w:hideMark/>
          </w:tcPr>
          <w:p w14:paraId="33820645" w14:textId="77777777" w:rsidR="00000000" w:rsidRDefault="001A570A">
            <w:pPr>
              <w:rPr>
                <w:rFonts w:eastAsia="Times New Roman"/>
                <w:sz w:val="20"/>
                <w:szCs w:val="20"/>
              </w:rPr>
            </w:pPr>
          </w:p>
        </w:tc>
      </w:tr>
      <w:tr w:rsidR="00000000" w14:paraId="5BD29D4A" w14:textId="77777777">
        <w:trPr>
          <w:divId w:val="465052452"/>
          <w:jc w:val="center"/>
        </w:trPr>
        <w:tc>
          <w:tcPr>
            <w:tcW w:w="0" w:type="auto"/>
            <w:gridSpan w:val="3"/>
            <w:tcMar>
              <w:top w:w="30" w:type="dxa"/>
              <w:left w:w="20" w:type="dxa"/>
              <w:bottom w:w="30" w:type="dxa"/>
              <w:right w:w="20" w:type="dxa"/>
            </w:tcMar>
            <w:vAlign w:val="bottom"/>
            <w:hideMark/>
          </w:tcPr>
          <w:p w14:paraId="495B48D4"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14:paraId="4E05D0F8"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502E9FC5"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7B43510"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7648140"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75BF574D" w14:textId="77777777" w:rsidR="00000000" w:rsidRDefault="001A570A">
            <w:pPr>
              <w:jc w:val="center"/>
              <w:rPr>
                <w:rFonts w:eastAsia="Times New Roman"/>
              </w:rPr>
            </w:pPr>
          </w:p>
        </w:tc>
        <w:tc>
          <w:tcPr>
            <w:tcW w:w="0" w:type="auto"/>
            <w:vAlign w:val="center"/>
            <w:hideMark/>
          </w:tcPr>
          <w:p w14:paraId="48852A1F" w14:textId="77777777" w:rsidR="00000000" w:rsidRDefault="001A570A">
            <w:pPr>
              <w:rPr>
                <w:rFonts w:eastAsia="Times New Roman"/>
                <w:sz w:val="20"/>
                <w:szCs w:val="20"/>
              </w:rPr>
            </w:pPr>
          </w:p>
        </w:tc>
        <w:tc>
          <w:tcPr>
            <w:tcW w:w="0" w:type="auto"/>
            <w:vAlign w:val="center"/>
            <w:hideMark/>
          </w:tcPr>
          <w:p w14:paraId="37ADB88F" w14:textId="77777777" w:rsidR="00000000" w:rsidRDefault="001A570A">
            <w:pPr>
              <w:rPr>
                <w:rFonts w:eastAsia="Times New Roman"/>
                <w:sz w:val="20"/>
                <w:szCs w:val="20"/>
              </w:rPr>
            </w:pPr>
          </w:p>
        </w:tc>
        <w:tc>
          <w:tcPr>
            <w:tcW w:w="0" w:type="auto"/>
            <w:vAlign w:val="center"/>
            <w:hideMark/>
          </w:tcPr>
          <w:p w14:paraId="1E8E22DD" w14:textId="77777777" w:rsidR="00000000" w:rsidRDefault="001A570A">
            <w:pPr>
              <w:rPr>
                <w:rFonts w:eastAsia="Times New Roman"/>
                <w:sz w:val="20"/>
                <w:szCs w:val="20"/>
              </w:rPr>
            </w:pPr>
          </w:p>
        </w:tc>
        <w:tc>
          <w:tcPr>
            <w:tcW w:w="0" w:type="auto"/>
            <w:vAlign w:val="center"/>
            <w:hideMark/>
          </w:tcPr>
          <w:p w14:paraId="4DDC34C0" w14:textId="77777777" w:rsidR="00000000" w:rsidRDefault="001A570A">
            <w:pPr>
              <w:rPr>
                <w:rFonts w:eastAsia="Times New Roman"/>
                <w:sz w:val="20"/>
                <w:szCs w:val="20"/>
              </w:rPr>
            </w:pPr>
          </w:p>
        </w:tc>
        <w:tc>
          <w:tcPr>
            <w:tcW w:w="0" w:type="auto"/>
            <w:vAlign w:val="center"/>
            <w:hideMark/>
          </w:tcPr>
          <w:p w14:paraId="13E099FF" w14:textId="77777777" w:rsidR="00000000" w:rsidRDefault="001A570A">
            <w:pPr>
              <w:rPr>
                <w:rFonts w:eastAsia="Times New Roman"/>
                <w:sz w:val="20"/>
                <w:szCs w:val="20"/>
              </w:rPr>
            </w:pPr>
          </w:p>
        </w:tc>
        <w:tc>
          <w:tcPr>
            <w:tcW w:w="0" w:type="auto"/>
            <w:vAlign w:val="center"/>
            <w:hideMark/>
          </w:tcPr>
          <w:p w14:paraId="2A8082DC" w14:textId="77777777" w:rsidR="00000000" w:rsidRDefault="001A570A">
            <w:pPr>
              <w:rPr>
                <w:rFonts w:eastAsia="Times New Roman"/>
                <w:sz w:val="20"/>
                <w:szCs w:val="20"/>
              </w:rPr>
            </w:pPr>
          </w:p>
        </w:tc>
        <w:tc>
          <w:tcPr>
            <w:tcW w:w="0" w:type="auto"/>
            <w:vAlign w:val="center"/>
            <w:hideMark/>
          </w:tcPr>
          <w:p w14:paraId="1F2906BE" w14:textId="77777777" w:rsidR="00000000" w:rsidRDefault="001A570A">
            <w:pPr>
              <w:rPr>
                <w:rFonts w:eastAsia="Times New Roman"/>
                <w:sz w:val="20"/>
                <w:szCs w:val="20"/>
              </w:rPr>
            </w:pPr>
          </w:p>
        </w:tc>
        <w:tc>
          <w:tcPr>
            <w:tcW w:w="0" w:type="auto"/>
            <w:vAlign w:val="center"/>
            <w:hideMark/>
          </w:tcPr>
          <w:p w14:paraId="03F4722E" w14:textId="77777777" w:rsidR="00000000" w:rsidRDefault="001A570A">
            <w:pPr>
              <w:rPr>
                <w:rFonts w:eastAsia="Times New Roman"/>
                <w:sz w:val="20"/>
                <w:szCs w:val="20"/>
              </w:rPr>
            </w:pPr>
          </w:p>
        </w:tc>
        <w:tc>
          <w:tcPr>
            <w:tcW w:w="0" w:type="auto"/>
            <w:vAlign w:val="center"/>
            <w:hideMark/>
          </w:tcPr>
          <w:p w14:paraId="53CD094E" w14:textId="77777777" w:rsidR="00000000" w:rsidRDefault="001A570A">
            <w:pPr>
              <w:rPr>
                <w:rFonts w:eastAsia="Times New Roman"/>
                <w:sz w:val="20"/>
                <w:szCs w:val="20"/>
              </w:rPr>
            </w:pPr>
          </w:p>
        </w:tc>
        <w:tc>
          <w:tcPr>
            <w:tcW w:w="0" w:type="auto"/>
            <w:vAlign w:val="center"/>
            <w:hideMark/>
          </w:tcPr>
          <w:p w14:paraId="7BEAD0D2" w14:textId="77777777" w:rsidR="00000000" w:rsidRDefault="001A570A">
            <w:pPr>
              <w:rPr>
                <w:rFonts w:eastAsia="Times New Roman"/>
                <w:sz w:val="20"/>
                <w:szCs w:val="20"/>
              </w:rPr>
            </w:pPr>
          </w:p>
        </w:tc>
        <w:tc>
          <w:tcPr>
            <w:tcW w:w="0" w:type="auto"/>
            <w:vAlign w:val="center"/>
            <w:hideMark/>
          </w:tcPr>
          <w:p w14:paraId="7A5A002C" w14:textId="77777777" w:rsidR="00000000" w:rsidRDefault="001A570A">
            <w:pPr>
              <w:rPr>
                <w:rFonts w:eastAsia="Times New Roman"/>
                <w:sz w:val="20"/>
                <w:szCs w:val="20"/>
              </w:rPr>
            </w:pPr>
          </w:p>
        </w:tc>
        <w:tc>
          <w:tcPr>
            <w:tcW w:w="0" w:type="auto"/>
            <w:vAlign w:val="center"/>
            <w:hideMark/>
          </w:tcPr>
          <w:p w14:paraId="69C589CC" w14:textId="77777777" w:rsidR="00000000" w:rsidRDefault="001A570A">
            <w:pPr>
              <w:rPr>
                <w:rFonts w:eastAsia="Times New Roman"/>
                <w:sz w:val="20"/>
                <w:szCs w:val="20"/>
              </w:rPr>
            </w:pPr>
          </w:p>
        </w:tc>
        <w:tc>
          <w:tcPr>
            <w:tcW w:w="0" w:type="auto"/>
            <w:vAlign w:val="center"/>
            <w:hideMark/>
          </w:tcPr>
          <w:p w14:paraId="5A445403" w14:textId="77777777" w:rsidR="00000000" w:rsidRDefault="001A570A">
            <w:pPr>
              <w:rPr>
                <w:rFonts w:eastAsia="Times New Roman"/>
                <w:sz w:val="20"/>
                <w:szCs w:val="20"/>
              </w:rPr>
            </w:pPr>
          </w:p>
        </w:tc>
        <w:tc>
          <w:tcPr>
            <w:tcW w:w="0" w:type="auto"/>
            <w:vAlign w:val="center"/>
            <w:hideMark/>
          </w:tcPr>
          <w:p w14:paraId="0A57EF6E" w14:textId="77777777" w:rsidR="00000000" w:rsidRDefault="001A570A">
            <w:pPr>
              <w:rPr>
                <w:rFonts w:eastAsia="Times New Roman"/>
                <w:sz w:val="20"/>
                <w:szCs w:val="20"/>
              </w:rPr>
            </w:pPr>
          </w:p>
        </w:tc>
        <w:tc>
          <w:tcPr>
            <w:tcW w:w="0" w:type="auto"/>
            <w:vAlign w:val="center"/>
            <w:hideMark/>
          </w:tcPr>
          <w:p w14:paraId="6A88F77F" w14:textId="77777777" w:rsidR="00000000" w:rsidRDefault="001A570A">
            <w:pPr>
              <w:rPr>
                <w:rFonts w:eastAsia="Times New Roman"/>
                <w:sz w:val="20"/>
                <w:szCs w:val="20"/>
              </w:rPr>
            </w:pPr>
          </w:p>
        </w:tc>
        <w:tc>
          <w:tcPr>
            <w:tcW w:w="0" w:type="auto"/>
            <w:vAlign w:val="center"/>
            <w:hideMark/>
          </w:tcPr>
          <w:p w14:paraId="238BA73E" w14:textId="77777777" w:rsidR="00000000" w:rsidRDefault="001A570A">
            <w:pPr>
              <w:rPr>
                <w:rFonts w:eastAsia="Times New Roman"/>
                <w:sz w:val="20"/>
                <w:szCs w:val="20"/>
              </w:rPr>
            </w:pPr>
          </w:p>
        </w:tc>
        <w:tc>
          <w:tcPr>
            <w:tcW w:w="0" w:type="auto"/>
            <w:vAlign w:val="center"/>
            <w:hideMark/>
          </w:tcPr>
          <w:p w14:paraId="3F9BC2C6" w14:textId="77777777" w:rsidR="00000000" w:rsidRDefault="001A570A">
            <w:pPr>
              <w:rPr>
                <w:rFonts w:eastAsia="Times New Roman"/>
                <w:sz w:val="20"/>
                <w:szCs w:val="20"/>
              </w:rPr>
            </w:pPr>
          </w:p>
        </w:tc>
        <w:tc>
          <w:tcPr>
            <w:tcW w:w="0" w:type="auto"/>
            <w:vAlign w:val="center"/>
            <w:hideMark/>
          </w:tcPr>
          <w:p w14:paraId="558C0A2F" w14:textId="77777777" w:rsidR="00000000" w:rsidRDefault="001A570A">
            <w:pPr>
              <w:rPr>
                <w:rFonts w:eastAsia="Times New Roman"/>
                <w:sz w:val="20"/>
                <w:szCs w:val="20"/>
              </w:rPr>
            </w:pPr>
          </w:p>
        </w:tc>
        <w:tc>
          <w:tcPr>
            <w:tcW w:w="0" w:type="auto"/>
            <w:vAlign w:val="center"/>
            <w:hideMark/>
          </w:tcPr>
          <w:p w14:paraId="786F8842" w14:textId="77777777" w:rsidR="00000000" w:rsidRDefault="001A570A">
            <w:pPr>
              <w:rPr>
                <w:rFonts w:eastAsia="Times New Roman"/>
                <w:sz w:val="20"/>
                <w:szCs w:val="20"/>
              </w:rPr>
            </w:pPr>
          </w:p>
        </w:tc>
        <w:tc>
          <w:tcPr>
            <w:tcW w:w="0" w:type="auto"/>
            <w:vAlign w:val="center"/>
            <w:hideMark/>
          </w:tcPr>
          <w:p w14:paraId="69CB4E59" w14:textId="77777777" w:rsidR="00000000" w:rsidRDefault="001A570A">
            <w:pPr>
              <w:rPr>
                <w:rFonts w:eastAsia="Times New Roman"/>
                <w:sz w:val="20"/>
                <w:szCs w:val="20"/>
              </w:rPr>
            </w:pPr>
          </w:p>
        </w:tc>
        <w:tc>
          <w:tcPr>
            <w:tcW w:w="0" w:type="auto"/>
            <w:vAlign w:val="center"/>
            <w:hideMark/>
          </w:tcPr>
          <w:p w14:paraId="3789AEA2" w14:textId="77777777" w:rsidR="00000000" w:rsidRDefault="001A570A">
            <w:pPr>
              <w:rPr>
                <w:rFonts w:eastAsia="Times New Roman"/>
                <w:sz w:val="20"/>
                <w:szCs w:val="20"/>
              </w:rPr>
            </w:pPr>
          </w:p>
        </w:tc>
        <w:tc>
          <w:tcPr>
            <w:tcW w:w="0" w:type="auto"/>
            <w:vAlign w:val="center"/>
            <w:hideMark/>
          </w:tcPr>
          <w:p w14:paraId="37FD51D2" w14:textId="77777777" w:rsidR="00000000" w:rsidRDefault="001A570A">
            <w:pPr>
              <w:rPr>
                <w:rFonts w:eastAsia="Times New Roman"/>
                <w:sz w:val="20"/>
                <w:szCs w:val="20"/>
              </w:rPr>
            </w:pPr>
          </w:p>
        </w:tc>
        <w:tc>
          <w:tcPr>
            <w:tcW w:w="0" w:type="auto"/>
            <w:vAlign w:val="center"/>
            <w:hideMark/>
          </w:tcPr>
          <w:p w14:paraId="0C38BE62" w14:textId="77777777" w:rsidR="00000000" w:rsidRDefault="001A570A">
            <w:pPr>
              <w:rPr>
                <w:rFonts w:eastAsia="Times New Roman"/>
                <w:sz w:val="20"/>
                <w:szCs w:val="20"/>
              </w:rPr>
            </w:pPr>
          </w:p>
        </w:tc>
        <w:tc>
          <w:tcPr>
            <w:tcW w:w="0" w:type="auto"/>
            <w:vAlign w:val="center"/>
            <w:hideMark/>
          </w:tcPr>
          <w:p w14:paraId="77EC67F3" w14:textId="77777777" w:rsidR="00000000" w:rsidRDefault="001A570A">
            <w:pPr>
              <w:rPr>
                <w:rFonts w:eastAsia="Times New Roman"/>
                <w:sz w:val="20"/>
                <w:szCs w:val="20"/>
              </w:rPr>
            </w:pPr>
          </w:p>
        </w:tc>
        <w:tc>
          <w:tcPr>
            <w:tcW w:w="0" w:type="auto"/>
            <w:vAlign w:val="center"/>
            <w:hideMark/>
          </w:tcPr>
          <w:p w14:paraId="435CD7E1" w14:textId="77777777" w:rsidR="00000000" w:rsidRDefault="001A570A">
            <w:pPr>
              <w:rPr>
                <w:rFonts w:eastAsia="Times New Roman"/>
                <w:sz w:val="20"/>
                <w:szCs w:val="20"/>
              </w:rPr>
            </w:pPr>
          </w:p>
        </w:tc>
      </w:tr>
      <w:tr w:rsidR="00000000" w14:paraId="5877F13F" w14:textId="77777777">
        <w:trPr>
          <w:divId w:val="465052452"/>
          <w:trHeight w:val="60"/>
          <w:jc w:val="center"/>
        </w:trPr>
        <w:tc>
          <w:tcPr>
            <w:tcW w:w="0" w:type="auto"/>
            <w:gridSpan w:val="3"/>
            <w:tcMar>
              <w:top w:w="0" w:type="dxa"/>
              <w:left w:w="20" w:type="dxa"/>
              <w:bottom w:w="0" w:type="dxa"/>
              <w:right w:w="20" w:type="dxa"/>
            </w:tcMar>
            <w:vAlign w:val="center"/>
            <w:hideMark/>
          </w:tcPr>
          <w:p w14:paraId="39E915D2"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DF6EF6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4A512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F17204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3D191B" w14:textId="77777777" w:rsidR="00000000" w:rsidRDefault="001A570A">
            <w:pPr>
              <w:rPr>
                <w:rFonts w:eastAsia="Times New Roman"/>
                <w:sz w:val="20"/>
                <w:szCs w:val="20"/>
              </w:rPr>
            </w:pPr>
          </w:p>
        </w:tc>
        <w:tc>
          <w:tcPr>
            <w:tcW w:w="0" w:type="auto"/>
            <w:vAlign w:val="center"/>
            <w:hideMark/>
          </w:tcPr>
          <w:p w14:paraId="53F90330" w14:textId="77777777" w:rsidR="00000000" w:rsidRDefault="001A570A">
            <w:pPr>
              <w:rPr>
                <w:rFonts w:eastAsia="Times New Roman"/>
                <w:sz w:val="20"/>
                <w:szCs w:val="20"/>
              </w:rPr>
            </w:pPr>
          </w:p>
        </w:tc>
        <w:tc>
          <w:tcPr>
            <w:tcW w:w="0" w:type="auto"/>
            <w:vAlign w:val="center"/>
            <w:hideMark/>
          </w:tcPr>
          <w:p w14:paraId="12FC353D" w14:textId="77777777" w:rsidR="00000000" w:rsidRDefault="001A570A">
            <w:pPr>
              <w:rPr>
                <w:rFonts w:eastAsia="Times New Roman"/>
                <w:sz w:val="20"/>
                <w:szCs w:val="20"/>
              </w:rPr>
            </w:pPr>
          </w:p>
        </w:tc>
        <w:tc>
          <w:tcPr>
            <w:tcW w:w="0" w:type="auto"/>
            <w:vAlign w:val="center"/>
            <w:hideMark/>
          </w:tcPr>
          <w:p w14:paraId="70930EBE" w14:textId="77777777" w:rsidR="00000000" w:rsidRDefault="001A570A">
            <w:pPr>
              <w:rPr>
                <w:rFonts w:eastAsia="Times New Roman"/>
                <w:sz w:val="20"/>
                <w:szCs w:val="20"/>
              </w:rPr>
            </w:pPr>
          </w:p>
        </w:tc>
        <w:tc>
          <w:tcPr>
            <w:tcW w:w="0" w:type="auto"/>
            <w:vAlign w:val="center"/>
            <w:hideMark/>
          </w:tcPr>
          <w:p w14:paraId="54A987F5" w14:textId="77777777" w:rsidR="00000000" w:rsidRDefault="001A570A">
            <w:pPr>
              <w:rPr>
                <w:rFonts w:eastAsia="Times New Roman"/>
                <w:sz w:val="20"/>
                <w:szCs w:val="20"/>
              </w:rPr>
            </w:pPr>
          </w:p>
        </w:tc>
        <w:tc>
          <w:tcPr>
            <w:tcW w:w="0" w:type="auto"/>
            <w:vAlign w:val="center"/>
            <w:hideMark/>
          </w:tcPr>
          <w:p w14:paraId="06D1A271" w14:textId="77777777" w:rsidR="00000000" w:rsidRDefault="001A570A">
            <w:pPr>
              <w:rPr>
                <w:rFonts w:eastAsia="Times New Roman"/>
                <w:sz w:val="20"/>
                <w:szCs w:val="20"/>
              </w:rPr>
            </w:pPr>
          </w:p>
        </w:tc>
        <w:tc>
          <w:tcPr>
            <w:tcW w:w="0" w:type="auto"/>
            <w:vAlign w:val="center"/>
            <w:hideMark/>
          </w:tcPr>
          <w:p w14:paraId="335173C3" w14:textId="77777777" w:rsidR="00000000" w:rsidRDefault="001A570A">
            <w:pPr>
              <w:rPr>
                <w:rFonts w:eastAsia="Times New Roman"/>
                <w:sz w:val="20"/>
                <w:szCs w:val="20"/>
              </w:rPr>
            </w:pPr>
          </w:p>
        </w:tc>
        <w:tc>
          <w:tcPr>
            <w:tcW w:w="0" w:type="auto"/>
            <w:vAlign w:val="center"/>
            <w:hideMark/>
          </w:tcPr>
          <w:p w14:paraId="56D2C7D8" w14:textId="77777777" w:rsidR="00000000" w:rsidRDefault="001A570A">
            <w:pPr>
              <w:rPr>
                <w:rFonts w:eastAsia="Times New Roman"/>
                <w:sz w:val="20"/>
                <w:szCs w:val="20"/>
              </w:rPr>
            </w:pPr>
          </w:p>
        </w:tc>
        <w:tc>
          <w:tcPr>
            <w:tcW w:w="0" w:type="auto"/>
            <w:vAlign w:val="center"/>
            <w:hideMark/>
          </w:tcPr>
          <w:p w14:paraId="6F4998A9" w14:textId="77777777" w:rsidR="00000000" w:rsidRDefault="001A570A">
            <w:pPr>
              <w:rPr>
                <w:rFonts w:eastAsia="Times New Roman"/>
                <w:sz w:val="20"/>
                <w:szCs w:val="20"/>
              </w:rPr>
            </w:pPr>
          </w:p>
        </w:tc>
        <w:tc>
          <w:tcPr>
            <w:tcW w:w="0" w:type="auto"/>
            <w:gridSpan w:val="3"/>
            <w:vAlign w:val="center"/>
            <w:hideMark/>
          </w:tcPr>
          <w:p w14:paraId="75727A83" w14:textId="77777777" w:rsidR="00000000" w:rsidRDefault="001A570A">
            <w:pPr>
              <w:rPr>
                <w:rFonts w:eastAsia="Times New Roman"/>
                <w:sz w:val="20"/>
                <w:szCs w:val="20"/>
              </w:rPr>
            </w:pPr>
          </w:p>
        </w:tc>
        <w:tc>
          <w:tcPr>
            <w:tcW w:w="0" w:type="auto"/>
            <w:gridSpan w:val="3"/>
            <w:vAlign w:val="center"/>
            <w:hideMark/>
          </w:tcPr>
          <w:p w14:paraId="43D2DBD1" w14:textId="77777777" w:rsidR="00000000" w:rsidRDefault="001A570A">
            <w:pPr>
              <w:rPr>
                <w:rFonts w:eastAsia="Times New Roman"/>
                <w:sz w:val="20"/>
                <w:szCs w:val="20"/>
              </w:rPr>
            </w:pPr>
          </w:p>
        </w:tc>
        <w:tc>
          <w:tcPr>
            <w:tcW w:w="0" w:type="auto"/>
            <w:gridSpan w:val="3"/>
            <w:vAlign w:val="center"/>
            <w:hideMark/>
          </w:tcPr>
          <w:p w14:paraId="0B47ADE1" w14:textId="77777777" w:rsidR="00000000" w:rsidRDefault="001A570A">
            <w:pPr>
              <w:rPr>
                <w:rFonts w:eastAsia="Times New Roman"/>
                <w:sz w:val="20"/>
                <w:szCs w:val="20"/>
              </w:rPr>
            </w:pPr>
          </w:p>
        </w:tc>
        <w:tc>
          <w:tcPr>
            <w:tcW w:w="0" w:type="auto"/>
            <w:gridSpan w:val="3"/>
            <w:vAlign w:val="center"/>
            <w:hideMark/>
          </w:tcPr>
          <w:p w14:paraId="57E6591E" w14:textId="77777777" w:rsidR="00000000" w:rsidRDefault="001A570A">
            <w:pPr>
              <w:rPr>
                <w:rFonts w:eastAsia="Times New Roman"/>
                <w:sz w:val="20"/>
                <w:szCs w:val="20"/>
              </w:rPr>
            </w:pPr>
          </w:p>
        </w:tc>
        <w:tc>
          <w:tcPr>
            <w:tcW w:w="0" w:type="auto"/>
            <w:gridSpan w:val="3"/>
            <w:vAlign w:val="center"/>
            <w:hideMark/>
          </w:tcPr>
          <w:p w14:paraId="3AF5BF92" w14:textId="77777777" w:rsidR="00000000" w:rsidRDefault="001A570A">
            <w:pPr>
              <w:rPr>
                <w:rFonts w:eastAsia="Times New Roman"/>
                <w:sz w:val="20"/>
                <w:szCs w:val="20"/>
              </w:rPr>
            </w:pPr>
          </w:p>
        </w:tc>
        <w:tc>
          <w:tcPr>
            <w:tcW w:w="0" w:type="auto"/>
            <w:gridSpan w:val="3"/>
            <w:vAlign w:val="center"/>
            <w:hideMark/>
          </w:tcPr>
          <w:p w14:paraId="00C31E8E" w14:textId="77777777" w:rsidR="00000000" w:rsidRDefault="001A570A">
            <w:pPr>
              <w:rPr>
                <w:rFonts w:eastAsia="Times New Roman"/>
                <w:sz w:val="20"/>
                <w:szCs w:val="20"/>
              </w:rPr>
            </w:pPr>
          </w:p>
        </w:tc>
      </w:tr>
      <w:tr w:rsidR="00000000" w14:paraId="5FE57C7D" w14:textId="77777777">
        <w:trPr>
          <w:divId w:val="465052452"/>
          <w:jc w:val="center"/>
        </w:trPr>
        <w:tc>
          <w:tcPr>
            <w:tcW w:w="0" w:type="auto"/>
            <w:gridSpan w:val="3"/>
            <w:tcMar>
              <w:top w:w="30" w:type="dxa"/>
              <w:left w:w="20" w:type="dxa"/>
              <w:bottom w:w="30" w:type="dxa"/>
              <w:right w:w="20" w:type="dxa"/>
            </w:tcMar>
            <w:hideMark/>
          </w:tcPr>
          <w:p w14:paraId="0C6ED88E" w14:textId="77777777" w:rsidR="00000000" w:rsidRDefault="001A570A">
            <w:pPr>
              <w:rPr>
                <w:rFonts w:eastAsia="Times New Roman"/>
              </w:rPr>
            </w:pPr>
            <w:r>
              <w:rPr>
                <w:rFonts w:eastAsia="Times New Roman"/>
                <w:b/>
                <w:bCs/>
                <w:color w:val="000000"/>
                <w:sz w:val="20"/>
                <w:szCs w:val="20"/>
              </w:rPr>
              <w:t>Derivatives designated as hedging instruments:</w:t>
            </w:r>
          </w:p>
        </w:tc>
        <w:tc>
          <w:tcPr>
            <w:tcW w:w="0" w:type="auto"/>
            <w:gridSpan w:val="3"/>
            <w:tcMar>
              <w:top w:w="0" w:type="dxa"/>
              <w:left w:w="20" w:type="dxa"/>
              <w:bottom w:w="0" w:type="dxa"/>
              <w:right w:w="20" w:type="dxa"/>
            </w:tcMar>
            <w:vAlign w:val="center"/>
            <w:hideMark/>
          </w:tcPr>
          <w:p w14:paraId="13767649"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42A498E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F8B7DB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56373A1" w14:textId="77777777" w:rsidR="00000000" w:rsidRDefault="001A570A">
            <w:pPr>
              <w:rPr>
                <w:rFonts w:eastAsia="Times New Roman"/>
                <w:sz w:val="20"/>
                <w:szCs w:val="20"/>
              </w:rPr>
            </w:pPr>
          </w:p>
        </w:tc>
        <w:tc>
          <w:tcPr>
            <w:tcW w:w="0" w:type="auto"/>
            <w:vAlign w:val="center"/>
            <w:hideMark/>
          </w:tcPr>
          <w:p w14:paraId="3357DBA1" w14:textId="77777777" w:rsidR="00000000" w:rsidRDefault="001A570A">
            <w:pPr>
              <w:rPr>
                <w:rFonts w:eastAsia="Times New Roman"/>
                <w:sz w:val="20"/>
                <w:szCs w:val="20"/>
              </w:rPr>
            </w:pPr>
          </w:p>
        </w:tc>
        <w:tc>
          <w:tcPr>
            <w:tcW w:w="0" w:type="auto"/>
            <w:vAlign w:val="center"/>
            <w:hideMark/>
          </w:tcPr>
          <w:p w14:paraId="4C9177CB" w14:textId="77777777" w:rsidR="00000000" w:rsidRDefault="001A570A">
            <w:pPr>
              <w:rPr>
                <w:rFonts w:eastAsia="Times New Roman"/>
                <w:sz w:val="20"/>
                <w:szCs w:val="20"/>
              </w:rPr>
            </w:pPr>
          </w:p>
        </w:tc>
        <w:tc>
          <w:tcPr>
            <w:tcW w:w="0" w:type="auto"/>
            <w:vAlign w:val="center"/>
            <w:hideMark/>
          </w:tcPr>
          <w:p w14:paraId="03AD8B74" w14:textId="77777777" w:rsidR="00000000" w:rsidRDefault="001A570A">
            <w:pPr>
              <w:rPr>
                <w:rFonts w:eastAsia="Times New Roman"/>
                <w:sz w:val="20"/>
                <w:szCs w:val="20"/>
              </w:rPr>
            </w:pPr>
          </w:p>
        </w:tc>
        <w:tc>
          <w:tcPr>
            <w:tcW w:w="0" w:type="auto"/>
            <w:vAlign w:val="center"/>
            <w:hideMark/>
          </w:tcPr>
          <w:p w14:paraId="33CB996A" w14:textId="77777777" w:rsidR="00000000" w:rsidRDefault="001A570A">
            <w:pPr>
              <w:rPr>
                <w:rFonts w:eastAsia="Times New Roman"/>
                <w:sz w:val="20"/>
                <w:szCs w:val="20"/>
              </w:rPr>
            </w:pPr>
          </w:p>
        </w:tc>
        <w:tc>
          <w:tcPr>
            <w:tcW w:w="0" w:type="auto"/>
            <w:vAlign w:val="center"/>
            <w:hideMark/>
          </w:tcPr>
          <w:p w14:paraId="24C93ACC" w14:textId="77777777" w:rsidR="00000000" w:rsidRDefault="001A570A">
            <w:pPr>
              <w:rPr>
                <w:rFonts w:eastAsia="Times New Roman"/>
                <w:sz w:val="20"/>
                <w:szCs w:val="20"/>
              </w:rPr>
            </w:pPr>
          </w:p>
        </w:tc>
        <w:tc>
          <w:tcPr>
            <w:tcW w:w="0" w:type="auto"/>
            <w:vAlign w:val="center"/>
            <w:hideMark/>
          </w:tcPr>
          <w:p w14:paraId="56E15BEE" w14:textId="77777777" w:rsidR="00000000" w:rsidRDefault="001A570A">
            <w:pPr>
              <w:rPr>
                <w:rFonts w:eastAsia="Times New Roman"/>
                <w:sz w:val="20"/>
                <w:szCs w:val="20"/>
              </w:rPr>
            </w:pPr>
          </w:p>
        </w:tc>
        <w:tc>
          <w:tcPr>
            <w:tcW w:w="0" w:type="auto"/>
            <w:vAlign w:val="center"/>
            <w:hideMark/>
          </w:tcPr>
          <w:p w14:paraId="1E909FAA" w14:textId="77777777" w:rsidR="00000000" w:rsidRDefault="001A570A">
            <w:pPr>
              <w:rPr>
                <w:rFonts w:eastAsia="Times New Roman"/>
                <w:sz w:val="20"/>
                <w:szCs w:val="20"/>
              </w:rPr>
            </w:pPr>
          </w:p>
        </w:tc>
        <w:tc>
          <w:tcPr>
            <w:tcW w:w="0" w:type="auto"/>
            <w:vAlign w:val="center"/>
            <w:hideMark/>
          </w:tcPr>
          <w:p w14:paraId="2D4A0D4F" w14:textId="77777777" w:rsidR="00000000" w:rsidRDefault="001A570A">
            <w:pPr>
              <w:rPr>
                <w:rFonts w:eastAsia="Times New Roman"/>
                <w:sz w:val="20"/>
                <w:szCs w:val="20"/>
              </w:rPr>
            </w:pPr>
          </w:p>
        </w:tc>
        <w:tc>
          <w:tcPr>
            <w:tcW w:w="0" w:type="auto"/>
            <w:gridSpan w:val="3"/>
            <w:vAlign w:val="center"/>
            <w:hideMark/>
          </w:tcPr>
          <w:p w14:paraId="0CED4D4B" w14:textId="77777777" w:rsidR="00000000" w:rsidRDefault="001A570A">
            <w:pPr>
              <w:rPr>
                <w:rFonts w:eastAsia="Times New Roman"/>
                <w:sz w:val="20"/>
                <w:szCs w:val="20"/>
              </w:rPr>
            </w:pPr>
          </w:p>
        </w:tc>
        <w:tc>
          <w:tcPr>
            <w:tcW w:w="0" w:type="auto"/>
            <w:gridSpan w:val="3"/>
            <w:vAlign w:val="center"/>
            <w:hideMark/>
          </w:tcPr>
          <w:p w14:paraId="06BAF590" w14:textId="77777777" w:rsidR="00000000" w:rsidRDefault="001A570A">
            <w:pPr>
              <w:rPr>
                <w:rFonts w:eastAsia="Times New Roman"/>
                <w:sz w:val="20"/>
                <w:szCs w:val="20"/>
              </w:rPr>
            </w:pPr>
          </w:p>
        </w:tc>
        <w:tc>
          <w:tcPr>
            <w:tcW w:w="0" w:type="auto"/>
            <w:gridSpan w:val="3"/>
            <w:vAlign w:val="center"/>
            <w:hideMark/>
          </w:tcPr>
          <w:p w14:paraId="4D6B5B72" w14:textId="77777777" w:rsidR="00000000" w:rsidRDefault="001A570A">
            <w:pPr>
              <w:rPr>
                <w:rFonts w:eastAsia="Times New Roman"/>
                <w:sz w:val="20"/>
                <w:szCs w:val="20"/>
              </w:rPr>
            </w:pPr>
          </w:p>
        </w:tc>
        <w:tc>
          <w:tcPr>
            <w:tcW w:w="0" w:type="auto"/>
            <w:gridSpan w:val="3"/>
            <w:vAlign w:val="center"/>
            <w:hideMark/>
          </w:tcPr>
          <w:p w14:paraId="2A9FFEDB" w14:textId="77777777" w:rsidR="00000000" w:rsidRDefault="001A570A">
            <w:pPr>
              <w:rPr>
                <w:rFonts w:eastAsia="Times New Roman"/>
                <w:sz w:val="20"/>
                <w:szCs w:val="20"/>
              </w:rPr>
            </w:pPr>
          </w:p>
        </w:tc>
        <w:tc>
          <w:tcPr>
            <w:tcW w:w="0" w:type="auto"/>
            <w:gridSpan w:val="3"/>
            <w:vAlign w:val="center"/>
            <w:hideMark/>
          </w:tcPr>
          <w:p w14:paraId="5700D440" w14:textId="77777777" w:rsidR="00000000" w:rsidRDefault="001A570A">
            <w:pPr>
              <w:rPr>
                <w:rFonts w:eastAsia="Times New Roman"/>
                <w:sz w:val="20"/>
                <w:szCs w:val="20"/>
              </w:rPr>
            </w:pPr>
          </w:p>
        </w:tc>
        <w:tc>
          <w:tcPr>
            <w:tcW w:w="0" w:type="auto"/>
            <w:gridSpan w:val="3"/>
            <w:vAlign w:val="center"/>
            <w:hideMark/>
          </w:tcPr>
          <w:p w14:paraId="55DB7A09" w14:textId="77777777" w:rsidR="00000000" w:rsidRDefault="001A570A">
            <w:pPr>
              <w:rPr>
                <w:rFonts w:eastAsia="Times New Roman"/>
                <w:sz w:val="20"/>
                <w:szCs w:val="20"/>
              </w:rPr>
            </w:pPr>
          </w:p>
        </w:tc>
      </w:tr>
      <w:tr w:rsidR="00000000" w14:paraId="59ADBDDF" w14:textId="77777777">
        <w:trPr>
          <w:divId w:val="465052452"/>
          <w:jc w:val="center"/>
        </w:trPr>
        <w:tc>
          <w:tcPr>
            <w:tcW w:w="0" w:type="auto"/>
            <w:gridSpan w:val="3"/>
            <w:shd w:val="clear" w:color="auto" w:fill="CCEEFF"/>
            <w:tcMar>
              <w:top w:w="30" w:type="dxa"/>
              <w:left w:w="20" w:type="dxa"/>
              <w:bottom w:w="30" w:type="dxa"/>
              <w:right w:w="20" w:type="dxa"/>
            </w:tcMar>
            <w:hideMark/>
          </w:tcPr>
          <w:p w14:paraId="01E5C3B8" w14:textId="77777777" w:rsidR="00000000" w:rsidRDefault="001A570A">
            <w:pPr>
              <w:rPr>
                <w:rFonts w:eastAsia="Times New Roman"/>
              </w:rPr>
            </w:pPr>
            <w:r>
              <w:rPr>
                <w:rFonts w:eastAsia="Times New Roman"/>
                <w:color w:val="000000"/>
                <w:sz w:val="20"/>
                <w:szCs w:val="20"/>
              </w:rPr>
              <w:t>Foreign currency forward contracts</w:t>
            </w:r>
          </w:p>
        </w:tc>
        <w:tc>
          <w:tcPr>
            <w:tcW w:w="0" w:type="auto"/>
            <w:gridSpan w:val="3"/>
            <w:shd w:val="clear" w:color="auto" w:fill="CCEEFF"/>
            <w:tcMar>
              <w:top w:w="0" w:type="dxa"/>
              <w:left w:w="20" w:type="dxa"/>
              <w:bottom w:w="0" w:type="dxa"/>
              <w:right w:w="20" w:type="dxa"/>
            </w:tcMar>
            <w:vAlign w:val="center"/>
            <w:hideMark/>
          </w:tcPr>
          <w:p w14:paraId="66922A6E"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2ADD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83962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329FC" w14:textId="77777777" w:rsidR="00000000" w:rsidRDefault="001A570A">
            <w:pPr>
              <w:rPr>
                <w:rFonts w:eastAsia="Times New Roman"/>
                <w:sz w:val="20"/>
                <w:szCs w:val="20"/>
              </w:rPr>
            </w:pPr>
          </w:p>
        </w:tc>
        <w:tc>
          <w:tcPr>
            <w:tcW w:w="0" w:type="auto"/>
            <w:vAlign w:val="center"/>
            <w:hideMark/>
          </w:tcPr>
          <w:p w14:paraId="710E72A6" w14:textId="77777777" w:rsidR="00000000" w:rsidRDefault="001A570A">
            <w:pPr>
              <w:rPr>
                <w:rFonts w:eastAsia="Times New Roman"/>
                <w:sz w:val="20"/>
                <w:szCs w:val="20"/>
              </w:rPr>
            </w:pPr>
          </w:p>
        </w:tc>
        <w:tc>
          <w:tcPr>
            <w:tcW w:w="0" w:type="auto"/>
            <w:vAlign w:val="center"/>
            <w:hideMark/>
          </w:tcPr>
          <w:p w14:paraId="52513CCB" w14:textId="77777777" w:rsidR="00000000" w:rsidRDefault="001A570A">
            <w:pPr>
              <w:rPr>
                <w:rFonts w:eastAsia="Times New Roman"/>
                <w:sz w:val="20"/>
                <w:szCs w:val="20"/>
              </w:rPr>
            </w:pPr>
          </w:p>
        </w:tc>
        <w:tc>
          <w:tcPr>
            <w:tcW w:w="0" w:type="auto"/>
            <w:vAlign w:val="center"/>
            <w:hideMark/>
          </w:tcPr>
          <w:p w14:paraId="11962691" w14:textId="77777777" w:rsidR="00000000" w:rsidRDefault="001A570A">
            <w:pPr>
              <w:rPr>
                <w:rFonts w:eastAsia="Times New Roman"/>
                <w:sz w:val="20"/>
                <w:szCs w:val="20"/>
              </w:rPr>
            </w:pPr>
          </w:p>
        </w:tc>
        <w:tc>
          <w:tcPr>
            <w:tcW w:w="0" w:type="auto"/>
            <w:vAlign w:val="center"/>
            <w:hideMark/>
          </w:tcPr>
          <w:p w14:paraId="485254F4" w14:textId="77777777" w:rsidR="00000000" w:rsidRDefault="001A570A">
            <w:pPr>
              <w:rPr>
                <w:rFonts w:eastAsia="Times New Roman"/>
                <w:sz w:val="20"/>
                <w:szCs w:val="20"/>
              </w:rPr>
            </w:pPr>
          </w:p>
        </w:tc>
        <w:tc>
          <w:tcPr>
            <w:tcW w:w="0" w:type="auto"/>
            <w:vAlign w:val="center"/>
            <w:hideMark/>
          </w:tcPr>
          <w:p w14:paraId="1991EB09" w14:textId="77777777" w:rsidR="00000000" w:rsidRDefault="001A570A">
            <w:pPr>
              <w:rPr>
                <w:rFonts w:eastAsia="Times New Roman"/>
                <w:sz w:val="20"/>
                <w:szCs w:val="20"/>
              </w:rPr>
            </w:pPr>
          </w:p>
        </w:tc>
        <w:tc>
          <w:tcPr>
            <w:tcW w:w="0" w:type="auto"/>
            <w:vAlign w:val="center"/>
            <w:hideMark/>
          </w:tcPr>
          <w:p w14:paraId="0DF27C4F" w14:textId="77777777" w:rsidR="00000000" w:rsidRDefault="001A570A">
            <w:pPr>
              <w:rPr>
                <w:rFonts w:eastAsia="Times New Roman"/>
                <w:sz w:val="20"/>
                <w:szCs w:val="20"/>
              </w:rPr>
            </w:pPr>
          </w:p>
        </w:tc>
        <w:tc>
          <w:tcPr>
            <w:tcW w:w="0" w:type="auto"/>
            <w:vAlign w:val="center"/>
            <w:hideMark/>
          </w:tcPr>
          <w:p w14:paraId="2A97937B" w14:textId="77777777" w:rsidR="00000000" w:rsidRDefault="001A570A">
            <w:pPr>
              <w:rPr>
                <w:rFonts w:eastAsia="Times New Roman"/>
                <w:sz w:val="20"/>
                <w:szCs w:val="20"/>
              </w:rPr>
            </w:pPr>
          </w:p>
        </w:tc>
        <w:tc>
          <w:tcPr>
            <w:tcW w:w="0" w:type="auto"/>
            <w:vAlign w:val="center"/>
            <w:hideMark/>
          </w:tcPr>
          <w:p w14:paraId="140192AE" w14:textId="77777777" w:rsidR="00000000" w:rsidRDefault="001A570A">
            <w:pPr>
              <w:rPr>
                <w:rFonts w:eastAsia="Times New Roman"/>
                <w:sz w:val="20"/>
                <w:szCs w:val="20"/>
              </w:rPr>
            </w:pPr>
          </w:p>
        </w:tc>
        <w:tc>
          <w:tcPr>
            <w:tcW w:w="0" w:type="auto"/>
            <w:gridSpan w:val="3"/>
            <w:vAlign w:val="center"/>
            <w:hideMark/>
          </w:tcPr>
          <w:p w14:paraId="1B64CB25" w14:textId="77777777" w:rsidR="00000000" w:rsidRDefault="001A570A">
            <w:pPr>
              <w:rPr>
                <w:rFonts w:eastAsia="Times New Roman"/>
                <w:sz w:val="20"/>
                <w:szCs w:val="20"/>
              </w:rPr>
            </w:pPr>
          </w:p>
        </w:tc>
        <w:tc>
          <w:tcPr>
            <w:tcW w:w="0" w:type="auto"/>
            <w:gridSpan w:val="3"/>
            <w:vAlign w:val="center"/>
            <w:hideMark/>
          </w:tcPr>
          <w:p w14:paraId="04D20B2F" w14:textId="77777777" w:rsidR="00000000" w:rsidRDefault="001A570A">
            <w:pPr>
              <w:rPr>
                <w:rFonts w:eastAsia="Times New Roman"/>
                <w:sz w:val="20"/>
                <w:szCs w:val="20"/>
              </w:rPr>
            </w:pPr>
          </w:p>
        </w:tc>
        <w:tc>
          <w:tcPr>
            <w:tcW w:w="0" w:type="auto"/>
            <w:gridSpan w:val="3"/>
            <w:vAlign w:val="center"/>
            <w:hideMark/>
          </w:tcPr>
          <w:p w14:paraId="0903BB28" w14:textId="77777777" w:rsidR="00000000" w:rsidRDefault="001A570A">
            <w:pPr>
              <w:rPr>
                <w:rFonts w:eastAsia="Times New Roman"/>
                <w:sz w:val="20"/>
                <w:szCs w:val="20"/>
              </w:rPr>
            </w:pPr>
          </w:p>
        </w:tc>
        <w:tc>
          <w:tcPr>
            <w:tcW w:w="0" w:type="auto"/>
            <w:gridSpan w:val="3"/>
            <w:vAlign w:val="center"/>
            <w:hideMark/>
          </w:tcPr>
          <w:p w14:paraId="6F2FA008" w14:textId="77777777" w:rsidR="00000000" w:rsidRDefault="001A570A">
            <w:pPr>
              <w:rPr>
                <w:rFonts w:eastAsia="Times New Roman"/>
                <w:sz w:val="20"/>
                <w:szCs w:val="20"/>
              </w:rPr>
            </w:pPr>
          </w:p>
        </w:tc>
        <w:tc>
          <w:tcPr>
            <w:tcW w:w="0" w:type="auto"/>
            <w:gridSpan w:val="3"/>
            <w:vAlign w:val="center"/>
            <w:hideMark/>
          </w:tcPr>
          <w:p w14:paraId="111B3D15" w14:textId="77777777" w:rsidR="00000000" w:rsidRDefault="001A570A">
            <w:pPr>
              <w:rPr>
                <w:rFonts w:eastAsia="Times New Roman"/>
                <w:sz w:val="20"/>
                <w:szCs w:val="20"/>
              </w:rPr>
            </w:pPr>
          </w:p>
        </w:tc>
        <w:tc>
          <w:tcPr>
            <w:tcW w:w="0" w:type="auto"/>
            <w:gridSpan w:val="3"/>
            <w:vAlign w:val="center"/>
            <w:hideMark/>
          </w:tcPr>
          <w:p w14:paraId="5D0310F0" w14:textId="77777777" w:rsidR="00000000" w:rsidRDefault="001A570A">
            <w:pPr>
              <w:rPr>
                <w:rFonts w:eastAsia="Times New Roman"/>
                <w:sz w:val="20"/>
                <w:szCs w:val="20"/>
              </w:rPr>
            </w:pPr>
          </w:p>
        </w:tc>
      </w:tr>
      <w:tr w:rsidR="00000000" w14:paraId="39DFAE72" w14:textId="77777777">
        <w:trPr>
          <w:divId w:val="465052452"/>
          <w:jc w:val="center"/>
        </w:trPr>
        <w:tc>
          <w:tcPr>
            <w:tcW w:w="0" w:type="auto"/>
            <w:gridSpan w:val="3"/>
            <w:shd w:val="clear" w:color="auto" w:fill="FFFFFF"/>
            <w:tcMar>
              <w:top w:w="30" w:type="dxa"/>
              <w:left w:w="380" w:type="dxa"/>
              <w:bottom w:w="30" w:type="dxa"/>
              <w:right w:w="20" w:type="dxa"/>
            </w:tcMar>
            <w:vAlign w:val="bottom"/>
            <w:hideMark/>
          </w:tcPr>
          <w:p w14:paraId="795A096C" w14:textId="77777777" w:rsidR="00000000" w:rsidRDefault="001A570A">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14:paraId="0E286647" w14:textId="77777777" w:rsidR="00000000" w:rsidRDefault="001A570A">
            <w:pPr>
              <w:rPr>
                <w:rFonts w:eastAsia="Times New Roman"/>
              </w:rPr>
            </w:pPr>
          </w:p>
        </w:tc>
        <w:tc>
          <w:tcPr>
            <w:tcW w:w="0" w:type="auto"/>
            <w:shd w:val="clear" w:color="auto" w:fill="FFFFFF"/>
            <w:tcMar>
              <w:top w:w="30" w:type="dxa"/>
              <w:left w:w="20" w:type="dxa"/>
              <w:bottom w:w="30" w:type="dxa"/>
              <w:right w:w="0" w:type="dxa"/>
            </w:tcMar>
            <w:vAlign w:val="bottom"/>
            <w:hideMark/>
          </w:tcPr>
          <w:p w14:paraId="3EE876F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283B37"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5D749F3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E0DE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3729F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5279B2"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361370A4" w14:textId="77777777" w:rsidR="00000000" w:rsidRDefault="001A570A">
            <w:pPr>
              <w:jc w:val="right"/>
              <w:rPr>
                <w:rFonts w:eastAsia="Times New Roman"/>
              </w:rPr>
            </w:pPr>
          </w:p>
        </w:tc>
        <w:tc>
          <w:tcPr>
            <w:tcW w:w="0" w:type="auto"/>
            <w:vAlign w:val="center"/>
            <w:hideMark/>
          </w:tcPr>
          <w:p w14:paraId="22D5084A" w14:textId="77777777" w:rsidR="00000000" w:rsidRDefault="001A570A">
            <w:pPr>
              <w:jc w:val="right"/>
              <w:rPr>
                <w:rFonts w:eastAsia="Times New Roman"/>
                <w:sz w:val="20"/>
                <w:szCs w:val="20"/>
              </w:rPr>
            </w:pPr>
          </w:p>
        </w:tc>
        <w:tc>
          <w:tcPr>
            <w:tcW w:w="0" w:type="auto"/>
            <w:vAlign w:val="center"/>
            <w:hideMark/>
          </w:tcPr>
          <w:p w14:paraId="61ABC803" w14:textId="77777777" w:rsidR="00000000" w:rsidRDefault="001A570A">
            <w:pPr>
              <w:rPr>
                <w:rFonts w:eastAsia="Times New Roman"/>
                <w:sz w:val="20"/>
                <w:szCs w:val="20"/>
              </w:rPr>
            </w:pPr>
          </w:p>
        </w:tc>
        <w:tc>
          <w:tcPr>
            <w:tcW w:w="0" w:type="auto"/>
            <w:vAlign w:val="center"/>
            <w:hideMark/>
          </w:tcPr>
          <w:p w14:paraId="1624FFB9" w14:textId="77777777" w:rsidR="00000000" w:rsidRDefault="001A570A">
            <w:pPr>
              <w:rPr>
                <w:rFonts w:eastAsia="Times New Roman"/>
                <w:sz w:val="20"/>
                <w:szCs w:val="20"/>
              </w:rPr>
            </w:pPr>
          </w:p>
        </w:tc>
        <w:tc>
          <w:tcPr>
            <w:tcW w:w="0" w:type="auto"/>
            <w:vAlign w:val="center"/>
            <w:hideMark/>
          </w:tcPr>
          <w:p w14:paraId="24730D83" w14:textId="77777777" w:rsidR="00000000" w:rsidRDefault="001A570A">
            <w:pPr>
              <w:rPr>
                <w:rFonts w:eastAsia="Times New Roman"/>
                <w:sz w:val="20"/>
                <w:szCs w:val="20"/>
              </w:rPr>
            </w:pPr>
          </w:p>
        </w:tc>
        <w:tc>
          <w:tcPr>
            <w:tcW w:w="0" w:type="auto"/>
            <w:vAlign w:val="center"/>
            <w:hideMark/>
          </w:tcPr>
          <w:p w14:paraId="6CDA21FE" w14:textId="77777777" w:rsidR="00000000" w:rsidRDefault="001A570A">
            <w:pPr>
              <w:rPr>
                <w:rFonts w:eastAsia="Times New Roman"/>
                <w:sz w:val="20"/>
                <w:szCs w:val="20"/>
              </w:rPr>
            </w:pPr>
          </w:p>
        </w:tc>
        <w:tc>
          <w:tcPr>
            <w:tcW w:w="0" w:type="auto"/>
            <w:vAlign w:val="center"/>
            <w:hideMark/>
          </w:tcPr>
          <w:p w14:paraId="07571173" w14:textId="77777777" w:rsidR="00000000" w:rsidRDefault="001A570A">
            <w:pPr>
              <w:rPr>
                <w:rFonts w:eastAsia="Times New Roman"/>
                <w:sz w:val="20"/>
                <w:szCs w:val="20"/>
              </w:rPr>
            </w:pPr>
          </w:p>
        </w:tc>
        <w:tc>
          <w:tcPr>
            <w:tcW w:w="0" w:type="auto"/>
            <w:vAlign w:val="center"/>
            <w:hideMark/>
          </w:tcPr>
          <w:p w14:paraId="32452C24" w14:textId="77777777" w:rsidR="00000000" w:rsidRDefault="001A570A">
            <w:pPr>
              <w:rPr>
                <w:rFonts w:eastAsia="Times New Roman"/>
                <w:sz w:val="20"/>
                <w:szCs w:val="20"/>
              </w:rPr>
            </w:pPr>
          </w:p>
        </w:tc>
        <w:tc>
          <w:tcPr>
            <w:tcW w:w="0" w:type="auto"/>
            <w:vAlign w:val="center"/>
            <w:hideMark/>
          </w:tcPr>
          <w:p w14:paraId="22BB1FDF" w14:textId="77777777" w:rsidR="00000000" w:rsidRDefault="001A570A">
            <w:pPr>
              <w:rPr>
                <w:rFonts w:eastAsia="Times New Roman"/>
                <w:sz w:val="20"/>
                <w:szCs w:val="20"/>
              </w:rPr>
            </w:pPr>
          </w:p>
        </w:tc>
        <w:tc>
          <w:tcPr>
            <w:tcW w:w="0" w:type="auto"/>
            <w:gridSpan w:val="3"/>
            <w:vAlign w:val="center"/>
            <w:hideMark/>
          </w:tcPr>
          <w:p w14:paraId="7FC269BA" w14:textId="77777777" w:rsidR="00000000" w:rsidRDefault="001A570A">
            <w:pPr>
              <w:rPr>
                <w:rFonts w:eastAsia="Times New Roman"/>
                <w:sz w:val="20"/>
                <w:szCs w:val="20"/>
              </w:rPr>
            </w:pPr>
          </w:p>
        </w:tc>
        <w:tc>
          <w:tcPr>
            <w:tcW w:w="0" w:type="auto"/>
            <w:gridSpan w:val="3"/>
            <w:vAlign w:val="center"/>
            <w:hideMark/>
          </w:tcPr>
          <w:p w14:paraId="605EFBDB" w14:textId="77777777" w:rsidR="00000000" w:rsidRDefault="001A570A">
            <w:pPr>
              <w:rPr>
                <w:rFonts w:eastAsia="Times New Roman"/>
                <w:sz w:val="20"/>
                <w:szCs w:val="20"/>
              </w:rPr>
            </w:pPr>
          </w:p>
        </w:tc>
        <w:tc>
          <w:tcPr>
            <w:tcW w:w="0" w:type="auto"/>
            <w:gridSpan w:val="3"/>
            <w:vAlign w:val="center"/>
            <w:hideMark/>
          </w:tcPr>
          <w:p w14:paraId="36F0E0FE" w14:textId="77777777" w:rsidR="00000000" w:rsidRDefault="001A570A">
            <w:pPr>
              <w:rPr>
                <w:rFonts w:eastAsia="Times New Roman"/>
                <w:sz w:val="20"/>
                <w:szCs w:val="20"/>
              </w:rPr>
            </w:pPr>
          </w:p>
        </w:tc>
        <w:tc>
          <w:tcPr>
            <w:tcW w:w="0" w:type="auto"/>
            <w:gridSpan w:val="3"/>
            <w:vAlign w:val="center"/>
            <w:hideMark/>
          </w:tcPr>
          <w:p w14:paraId="51F44158" w14:textId="77777777" w:rsidR="00000000" w:rsidRDefault="001A570A">
            <w:pPr>
              <w:rPr>
                <w:rFonts w:eastAsia="Times New Roman"/>
                <w:sz w:val="20"/>
                <w:szCs w:val="20"/>
              </w:rPr>
            </w:pPr>
          </w:p>
        </w:tc>
        <w:tc>
          <w:tcPr>
            <w:tcW w:w="0" w:type="auto"/>
            <w:gridSpan w:val="3"/>
            <w:vAlign w:val="center"/>
            <w:hideMark/>
          </w:tcPr>
          <w:p w14:paraId="227BBB57" w14:textId="77777777" w:rsidR="00000000" w:rsidRDefault="001A570A">
            <w:pPr>
              <w:rPr>
                <w:rFonts w:eastAsia="Times New Roman"/>
                <w:sz w:val="20"/>
                <w:szCs w:val="20"/>
              </w:rPr>
            </w:pPr>
          </w:p>
        </w:tc>
        <w:tc>
          <w:tcPr>
            <w:tcW w:w="0" w:type="auto"/>
            <w:gridSpan w:val="3"/>
            <w:vAlign w:val="center"/>
            <w:hideMark/>
          </w:tcPr>
          <w:p w14:paraId="7FCEC16F" w14:textId="77777777" w:rsidR="00000000" w:rsidRDefault="001A570A">
            <w:pPr>
              <w:rPr>
                <w:rFonts w:eastAsia="Times New Roman"/>
                <w:sz w:val="20"/>
                <w:szCs w:val="20"/>
              </w:rPr>
            </w:pPr>
          </w:p>
        </w:tc>
      </w:tr>
      <w:tr w:rsidR="00000000" w14:paraId="40673212" w14:textId="77777777">
        <w:trPr>
          <w:divId w:val="465052452"/>
          <w:jc w:val="center"/>
        </w:trPr>
        <w:tc>
          <w:tcPr>
            <w:tcW w:w="0" w:type="auto"/>
            <w:gridSpan w:val="3"/>
            <w:shd w:val="clear" w:color="auto" w:fill="CCEEFF"/>
            <w:tcMar>
              <w:top w:w="30" w:type="dxa"/>
              <w:left w:w="380" w:type="dxa"/>
              <w:bottom w:w="30" w:type="dxa"/>
              <w:right w:w="20" w:type="dxa"/>
            </w:tcMar>
            <w:vAlign w:val="bottom"/>
            <w:hideMark/>
          </w:tcPr>
          <w:p w14:paraId="55340D46" w14:textId="77777777" w:rsidR="00000000" w:rsidRDefault="001A570A">
            <w:pPr>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14:paraId="48EE29AB" w14:textId="77777777" w:rsidR="00000000" w:rsidRDefault="001A570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C16CE5"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E7B7CF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6A9B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88C1E"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9044A2B" w14:textId="77777777" w:rsidR="00000000" w:rsidRDefault="001A570A">
            <w:pPr>
              <w:jc w:val="right"/>
              <w:rPr>
                <w:rFonts w:eastAsia="Times New Roman"/>
              </w:rPr>
            </w:pPr>
          </w:p>
        </w:tc>
        <w:tc>
          <w:tcPr>
            <w:tcW w:w="0" w:type="auto"/>
            <w:vAlign w:val="center"/>
            <w:hideMark/>
          </w:tcPr>
          <w:p w14:paraId="249E2359" w14:textId="77777777" w:rsidR="00000000" w:rsidRDefault="001A570A">
            <w:pPr>
              <w:jc w:val="right"/>
              <w:rPr>
                <w:rFonts w:eastAsia="Times New Roman"/>
                <w:sz w:val="20"/>
                <w:szCs w:val="20"/>
              </w:rPr>
            </w:pPr>
          </w:p>
        </w:tc>
        <w:tc>
          <w:tcPr>
            <w:tcW w:w="0" w:type="auto"/>
            <w:vAlign w:val="center"/>
            <w:hideMark/>
          </w:tcPr>
          <w:p w14:paraId="61BECAFF" w14:textId="77777777" w:rsidR="00000000" w:rsidRDefault="001A570A">
            <w:pPr>
              <w:rPr>
                <w:rFonts w:eastAsia="Times New Roman"/>
                <w:sz w:val="20"/>
                <w:szCs w:val="20"/>
              </w:rPr>
            </w:pPr>
          </w:p>
        </w:tc>
        <w:tc>
          <w:tcPr>
            <w:tcW w:w="0" w:type="auto"/>
            <w:vAlign w:val="center"/>
            <w:hideMark/>
          </w:tcPr>
          <w:p w14:paraId="6F7E8548" w14:textId="77777777" w:rsidR="00000000" w:rsidRDefault="001A570A">
            <w:pPr>
              <w:rPr>
                <w:rFonts w:eastAsia="Times New Roman"/>
                <w:sz w:val="20"/>
                <w:szCs w:val="20"/>
              </w:rPr>
            </w:pPr>
          </w:p>
        </w:tc>
        <w:tc>
          <w:tcPr>
            <w:tcW w:w="0" w:type="auto"/>
            <w:vAlign w:val="center"/>
            <w:hideMark/>
          </w:tcPr>
          <w:p w14:paraId="63CC0388" w14:textId="77777777" w:rsidR="00000000" w:rsidRDefault="001A570A">
            <w:pPr>
              <w:rPr>
                <w:rFonts w:eastAsia="Times New Roman"/>
                <w:sz w:val="20"/>
                <w:szCs w:val="20"/>
              </w:rPr>
            </w:pPr>
          </w:p>
        </w:tc>
        <w:tc>
          <w:tcPr>
            <w:tcW w:w="0" w:type="auto"/>
            <w:vAlign w:val="center"/>
            <w:hideMark/>
          </w:tcPr>
          <w:p w14:paraId="24B0534C" w14:textId="77777777" w:rsidR="00000000" w:rsidRDefault="001A570A">
            <w:pPr>
              <w:rPr>
                <w:rFonts w:eastAsia="Times New Roman"/>
                <w:sz w:val="20"/>
                <w:szCs w:val="20"/>
              </w:rPr>
            </w:pPr>
          </w:p>
        </w:tc>
        <w:tc>
          <w:tcPr>
            <w:tcW w:w="0" w:type="auto"/>
            <w:vAlign w:val="center"/>
            <w:hideMark/>
          </w:tcPr>
          <w:p w14:paraId="1B784AC0" w14:textId="77777777" w:rsidR="00000000" w:rsidRDefault="001A570A">
            <w:pPr>
              <w:rPr>
                <w:rFonts w:eastAsia="Times New Roman"/>
                <w:sz w:val="20"/>
                <w:szCs w:val="20"/>
              </w:rPr>
            </w:pPr>
          </w:p>
        </w:tc>
        <w:tc>
          <w:tcPr>
            <w:tcW w:w="0" w:type="auto"/>
            <w:vAlign w:val="center"/>
            <w:hideMark/>
          </w:tcPr>
          <w:p w14:paraId="70D86DCE" w14:textId="77777777" w:rsidR="00000000" w:rsidRDefault="001A570A">
            <w:pPr>
              <w:rPr>
                <w:rFonts w:eastAsia="Times New Roman"/>
                <w:sz w:val="20"/>
                <w:szCs w:val="20"/>
              </w:rPr>
            </w:pPr>
          </w:p>
        </w:tc>
        <w:tc>
          <w:tcPr>
            <w:tcW w:w="0" w:type="auto"/>
            <w:vAlign w:val="center"/>
            <w:hideMark/>
          </w:tcPr>
          <w:p w14:paraId="39F971AC" w14:textId="77777777" w:rsidR="00000000" w:rsidRDefault="001A570A">
            <w:pPr>
              <w:rPr>
                <w:rFonts w:eastAsia="Times New Roman"/>
                <w:sz w:val="20"/>
                <w:szCs w:val="20"/>
              </w:rPr>
            </w:pPr>
          </w:p>
        </w:tc>
        <w:tc>
          <w:tcPr>
            <w:tcW w:w="0" w:type="auto"/>
            <w:gridSpan w:val="3"/>
            <w:vAlign w:val="center"/>
            <w:hideMark/>
          </w:tcPr>
          <w:p w14:paraId="318A9473" w14:textId="77777777" w:rsidR="00000000" w:rsidRDefault="001A570A">
            <w:pPr>
              <w:rPr>
                <w:rFonts w:eastAsia="Times New Roman"/>
                <w:sz w:val="20"/>
                <w:szCs w:val="20"/>
              </w:rPr>
            </w:pPr>
          </w:p>
        </w:tc>
        <w:tc>
          <w:tcPr>
            <w:tcW w:w="0" w:type="auto"/>
            <w:gridSpan w:val="3"/>
            <w:vAlign w:val="center"/>
            <w:hideMark/>
          </w:tcPr>
          <w:p w14:paraId="2C6DC5C3" w14:textId="77777777" w:rsidR="00000000" w:rsidRDefault="001A570A">
            <w:pPr>
              <w:rPr>
                <w:rFonts w:eastAsia="Times New Roman"/>
                <w:sz w:val="20"/>
                <w:szCs w:val="20"/>
              </w:rPr>
            </w:pPr>
          </w:p>
        </w:tc>
        <w:tc>
          <w:tcPr>
            <w:tcW w:w="0" w:type="auto"/>
            <w:gridSpan w:val="3"/>
            <w:vAlign w:val="center"/>
            <w:hideMark/>
          </w:tcPr>
          <w:p w14:paraId="0A489658" w14:textId="77777777" w:rsidR="00000000" w:rsidRDefault="001A570A">
            <w:pPr>
              <w:rPr>
                <w:rFonts w:eastAsia="Times New Roman"/>
                <w:sz w:val="20"/>
                <w:szCs w:val="20"/>
              </w:rPr>
            </w:pPr>
          </w:p>
        </w:tc>
        <w:tc>
          <w:tcPr>
            <w:tcW w:w="0" w:type="auto"/>
            <w:gridSpan w:val="3"/>
            <w:vAlign w:val="center"/>
            <w:hideMark/>
          </w:tcPr>
          <w:p w14:paraId="1DBC72E8" w14:textId="77777777" w:rsidR="00000000" w:rsidRDefault="001A570A">
            <w:pPr>
              <w:rPr>
                <w:rFonts w:eastAsia="Times New Roman"/>
                <w:sz w:val="20"/>
                <w:szCs w:val="20"/>
              </w:rPr>
            </w:pPr>
          </w:p>
        </w:tc>
        <w:tc>
          <w:tcPr>
            <w:tcW w:w="0" w:type="auto"/>
            <w:gridSpan w:val="3"/>
            <w:vAlign w:val="center"/>
            <w:hideMark/>
          </w:tcPr>
          <w:p w14:paraId="6190E5F4" w14:textId="77777777" w:rsidR="00000000" w:rsidRDefault="001A570A">
            <w:pPr>
              <w:rPr>
                <w:rFonts w:eastAsia="Times New Roman"/>
                <w:sz w:val="20"/>
                <w:szCs w:val="20"/>
              </w:rPr>
            </w:pPr>
          </w:p>
        </w:tc>
        <w:tc>
          <w:tcPr>
            <w:tcW w:w="0" w:type="auto"/>
            <w:gridSpan w:val="3"/>
            <w:vAlign w:val="center"/>
            <w:hideMark/>
          </w:tcPr>
          <w:p w14:paraId="0ED299E9" w14:textId="77777777" w:rsidR="00000000" w:rsidRDefault="001A570A">
            <w:pPr>
              <w:rPr>
                <w:rFonts w:eastAsia="Times New Roman"/>
                <w:sz w:val="20"/>
                <w:szCs w:val="20"/>
              </w:rPr>
            </w:pPr>
          </w:p>
        </w:tc>
      </w:tr>
      <w:tr w:rsidR="00000000" w14:paraId="6BED8684" w14:textId="77777777">
        <w:trPr>
          <w:divId w:val="465052452"/>
          <w:jc w:val="center"/>
        </w:trPr>
        <w:tc>
          <w:tcPr>
            <w:tcW w:w="0" w:type="auto"/>
            <w:gridSpan w:val="3"/>
            <w:shd w:val="clear" w:color="auto" w:fill="FFFFFF"/>
            <w:tcMar>
              <w:top w:w="30" w:type="dxa"/>
              <w:left w:w="380" w:type="dxa"/>
              <w:bottom w:w="30" w:type="dxa"/>
              <w:right w:w="20" w:type="dxa"/>
            </w:tcMar>
            <w:vAlign w:val="bottom"/>
            <w:hideMark/>
          </w:tcPr>
          <w:p w14:paraId="51F8BFBE" w14:textId="77777777" w:rsidR="00000000" w:rsidRDefault="001A570A">
            <w:pPr>
              <w:rPr>
                <w:rFonts w:eastAsia="Times New Roman"/>
              </w:rPr>
            </w:pPr>
            <w:r>
              <w:rPr>
                <w:rFonts w:eastAsia="Times New Roman"/>
                <w:color w:val="000000"/>
                <w:sz w:val="20"/>
                <w:szCs w:val="20"/>
              </w:rPr>
              <w:t>Other accrued items</w:t>
            </w:r>
          </w:p>
        </w:tc>
        <w:tc>
          <w:tcPr>
            <w:tcW w:w="0" w:type="auto"/>
            <w:gridSpan w:val="3"/>
            <w:shd w:val="clear" w:color="auto" w:fill="FFFFFF"/>
            <w:tcMar>
              <w:top w:w="0" w:type="dxa"/>
              <w:left w:w="20" w:type="dxa"/>
              <w:bottom w:w="0" w:type="dxa"/>
              <w:right w:w="20" w:type="dxa"/>
            </w:tcMar>
            <w:vAlign w:val="center"/>
            <w:hideMark/>
          </w:tcPr>
          <w:p w14:paraId="4EE0C8BE" w14:textId="77777777" w:rsidR="00000000" w:rsidRDefault="001A570A">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82105E"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38BABC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B640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8B41C"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66D27B19" w14:textId="77777777" w:rsidR="00000000" w:rsidRDefault="001A570A">
            <w:pPr>
              <w:jc w:val="right"/>
              <w:rPr>
                <w:rFonts w:eastAsia="Times New Roman"/>
              </w:rPr>
            </w:pPr>
          </w:p>
        </w:tc>
        <w:tc>
          <w:tcPr>
            <w:tcW w:w="0" w:type="auto"/>
            <w:vAlign w:val="center"/>
            <w:hideMark/>
          </w:tcPr>
          <w:p w14:paraId="33C9619F" w14:textId="77777777" w:rsidR="00000000" w:rsidRDefault="001A570A">
            <w:pPr>
              <w:jc w:val="right"/>
              <w:rPr>
                <w:rFonts w:eastAsia="Times New Roman"/>
                <w:sz w:val="20"/>
                <w:szCs w:val="20"/>
              </w:rPr>
            </w:pPr>
          </w:p>
        </w:tc>
        <w:tc>
          <w:tcPr>
            <w:tcW w:w="0" w:type="auto"/>
            <w:vAlign w:val="center"/>
            <w:hideMark/>
          </w:tcPr>
          <w:p w14:paraId="4FB2EE0C" w14:textId="77777777" w:rsidR="00000000" w:rsidRDefault="001A570A">
            <w:pPr>
              <w:rPr>
                <w:rFonts w:eastAsia="Times New Roman"/>
                <w:sz w:val="20"/>
                <w:szCs w:val="20"/>
              </w:rPr>
            </w:pPr>
          </w:p>
        </w:tc>
        <w:tc>
          <w:tcPr>
            <w:tcW w:w="0" w:type="auto"/>
            <w:vAlign w:val="center"/>
            <w:hideMark/>
          </w:tcPr>
          <w:p w14:paraId="1E6321AC" w14:textId="77777777" w:rsidR="00000000" w:rsidRDefault="001A570A">
            <w:pPr>
              <w:rPr>
                <w:rFonts w:eastAsia="Times New Roman"/>
                <w:sz w:val="20"/>
                <w:szCs w:val="20"/>
              </w:rPr>
            </w:pPr>
          </w:p>
        </w:tc>
        <w:tc>
          <w:tcPr>
            <w:tcW w:w="0" w:type="auto"/>
            <w:vAlign w:val="center"/>
            <w:hideMark/>
          </w:tcPr>
          <w:p w14:paraId="5C0F78C2" w14:textId="77777777" w:rsidR="00000000" w:rsidRDefault="001A570A">
            <w:pPr>
              <w:rPr>
                <w:rFonts w:eastAsia="Times New Roman"/>
                <w:sz w:val="20"/>
                <w:szCs w:val="20"/>
              </w:rPr>
            </w:pPr>
          </w:p>
        </w:tc>
        <w:tc>
          <w:tcPr>
            <w:tcW w:w="0" w:type="auto"/>
            <w:vAlign w:val="center"/>
            <w:hideMark/>
          </w:tcPr>
          <w:p w14:paraId="589889EF" w14:textId="77777777" w:rsidR="00000000" w:rsidRDefault="001A570A">
            <w:pPr>
              <w:rPr>
                <w:rFonts w:eastAsia="Times New Roman"/>
                <w:sz w:val="20"/>
                <w:szCs w:val="20"/>
              </w:rPr>
            </w:pPr>
          </w:p>
        </w:tc>
        <w:tc>
          <w:tcPr>
            <w:tcW w:w="0" w:type="auto"/>
            <w:vAlign w:val="center"/>
            <w:hideMark/>
          </w:tcPr>
          <w:p w14:paraId="6EF07F65" w14:textId="77777777" w:rsidR="00000000" w:rsidRDefault="001A570A">
            <w:pPr>
              <w:rPr>
                <w:rFonts w:eastAsia="Times New Roman"/>
                <w:sz w:val="20"/>
                <w:szCs w:val="20"/>
              </w:rPr>
            </w:pPr>
          </w:p>
        </w:tc>
        <w:tc>
          <w:tcPr>
            <w:tcW w:w="0" w:type="auto"/>
            <w:vAlign w:val="center"/>
            <w:hideMark/>
          </w:tcPr>
          <w:p w14:paraId="1B544346" w14:textId="77777777" w:rsidR="00000000" w:rsidRDefault="001A570A">
            <w:pPr>
              <w:rPr>
                <w:rFonts w:eastAsia="Times New Roman"/>
                <w:sz w:val="20"/>
                <w:szCs w:val="20"/>
              </w:rPr>
            </w:pPr>
          </w:p>
        </w:tc>
        <w:tc>
          <w:tcPr>
            <w:tcW w:w="0" w:type="auto"/>
            <w:vAlign w:val="center"/>
            <w:hideMark/>
          </w:tcPr>
          <w:p w14:paraId="0AA59865" w14:textId="77777777" w:rsidR="00000000" w:rsidRDefault="001A570A">
            <w:pPr>
              <w:rPr>
                <w:rFonts w:eastAsia="Times New Roman"/>
                <w:sz w:val="20"/>
                <w:szCs w:val="20"/>
              </w:rPr>
            </w:pPr>
          </w:p>
        </w:tc>
        <w:tc>
          <w:tcPr>
            <w:tcW w:w="0" w:type="auto"/>
            <w:gridSpan w:val="3"/>
            <w:vAlign w:val="center"/>
            <w:hideMark/>
          </w:tcPr>
          <w:p w14:paraId="0DD40481" w14:textId="77777777" w:rsidR="00000000" w:rsidRDefault="001A570A">
            <w:pPr>
              <w:rPr>
                <w:rFonts w:eastAsia="Times New Roman"/>
                <w:sz w:val="20"/>
                <w:szCs w:val="20"/>
              </w:rPr>
            </w:pPr>
          </w:p>
        </w:tc>
        <w:tc>
          <w:tcPr>
            <w:tcW w:w="0" w:type="auto"/>
            <w:gridSpan w:val="3"/>
            <w:vAlign w:val="center"/>
            <w:hideMark/>
          </w:tcPr>
          <w:p w14:paraId="19BD89FB" w14:textId="77777777" w:rsidR="00000000" w:rsidRDefault="001A570A">
            <w:pPr>
              <w:rPr>
                <w:rFonts w:eastAsia="Times New Roman"/>
                <w:sz w:val="20"/>
                <w:szCs w:val="20"/>
              </w:rPr>
            </w:pPr>
          </w:p>
        </w:tc>
        <w:tc>
          <w:tcPr>
            <w:tcW w:w="0" w:type="auto"/>
            <w:gridSpan w:val="3"/>
            <w:vAlign w:val="center"/>
            <w:hideMark/>
          </w:tcPr>
          <w:p w14:paraId="17630FBE" w14:textId="77777777" w:rsidR="00000000" w:rsidRDefault="001A570A">
            <w:pPr>
              <w:rPr>
                <w:rFonts w:eastAsia="Times New Roman"/>
                <w:sz w:val="20"/>
                <w:szCs w:val="20"/>
              </w:rPr>
            </w:pPr>
          </w:p>
        </w:tc>
        <w:tc>
          <w:tcPr>
            <w:tcW w:w="0" w:type="auto"/>
            <w:gridSpan w:val="3"/>
            <w:vAlign w:val="center"/>
            <w:hideMark/>
          </w:tcPr>
          <w:p w14:paraId="4E5FB048" w14:textId="77777777" w:rsidR="00000000" w:rsidRDefault="001A570A">
            <w:pPr>
              <w:rPr>
                <w:rFonts w:eastAsia="Times New Roman"/>
                <w:sz w:val="20"/>
                <w:szCs w:val="20"/>
              </w:rPr>
            </w:pPr>
          </w:p>
        </w:tc>
        <w:tc>
          <w:tcPr>
            <w:tcW w:w="0" w:type="auto"/>
            <w:gridSpan w:val="3"/>
            <w:vAlign w:val="center"/>
            <w:hideMark/>
          </w:tcPr>
          <w:p w14:paraId="47FAA634" w14:textId="77777777" w:rsidR="00000000" w:rsidRDefault="001A570A">
            <w:pPr>
              <w:rPr>
                <w:rFonts w:eastAsia="Times New Roman"/>
                <w:sz w:val="20"/>
                <w:szCs w:val="20"/>
              </w:rPr>
            </w:pPr>
          </w:p>
        </w:tc>
        <w:tc>
          <w:tcPr>
            <w:tcW w:w="0" w:type="auto"/>
            <w:gridSpan w:val="3"/>
            <w:vAlign w:val="center"/>
            <w:hideMark/>
          </w:tcPr>
          <w:p w14:paraId="75C6EFE1" w14:textId="77777777" w:rsidR="00000000" w:rsidRDefault="001A570A">
            <w:pPr>
              <w:rPr>
                <w:rFonts w:eastAsia="Times New Roman"/>
                <w:sz w:val="20"/>
                <w:szCs w:val="20"/>
              </w:rPr>
            </w:pPr>
          </w:p>
        </w:tc>
      </w:tr>
      <w:tr w:rsidR="00000000" w14:paraId="7F730627" w14:textId="77777777">
        <w:trPr>
          <w:divId w:val="465052452"/>
          <w:jc w:val="center"/>
        </w:trPr>
        <w:tc>
          <w:tcPr>
            <w:tcW w:w="0" w:type="auto"/>
            <w:gridSpan w:val="3"/>
            <w:shd w:val="clear" w:color="auto" w:fill="CCEEFF"/>
            <w:tcMar>
              <w:top w:w="30" w:type="dxa"/>
              <w:left w:w="380" w:type="dxa"/>
              <w:bottom w:w="30" w:type="dxa"/>
              <w:right w:w="20" w:type="dxa"/>
            </w:tcMar>
            <w:vAlign w:val="bottom"/>
            <w:hideMark/>
          </w:tcPr>
          <w:p w14:paraId="124E78DB" w14:textId="77777777" w:rsidR="00000000" w:rsidRDefault="001A570A">
            <w:pPr>
              <w:rPr>
                <w:rFonts w:eastAsia="Times New Roman"/>
              </w:rPr>
            </w:pPr>
            <w:r>
              <w:rPr>
                <w:rFonts w:eastAsia="Times New Roman"/>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14:paraId="677F299F" w14:textId="77777777" w:rsidR="00000000" w:rsidRDefault="001A570A">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6C9E3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FE7B9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776D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F6F80A"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F965A9F" w14:textId="77777777" w:rsidR="00000000" w:rsidRDefault="001A570A">
            <w:pPr>
              <w:jc w:val="right"/>
              <w:rPr>
                <w:rFonts w:eastAsia="Times New Roman"/>
              </w:rPr>
            </w:pPr>
          </w:p>
        </w:tc>
        <w:tc>
          <w:tcPr>
            <w:tcW w:w="0" w:type="auto"/>
            <w:vAlign w:val="center"/>
            <w:hideMark/>
          </w:tcPr>
          <w:p w14:paraId="161F4813" w14:textId="77777777" w:rsidR="00000000" w:rsidRDefault="001A570A">
            <w:pPr>
              <w:jc w:val="right"/>
              <w:rPr>
                <w:rFonts w:eastAsia="Times New Roman"/>
                <w:sz w:val="20"/>
                <w:szCs w:val="20"/>
              </w:rPr>
            </w:pPr>
          </w:p>
        </w:tc>
        <w:tc>
          <w:tcPr>
            <w:tcW w:w="0" w:type="auto"/>
            <w:vAlign w:val="center"/>
            <w:hideMark/>
          </w:tcPr>
          <w:p w14:paraId="491CD13A" w14:textId="77777777" w:rsidR="00000000" w:rsidRDefault="001A570A">
            <w:pPr>
              <w:rPr>
                <w:rFonts w:eastAsia="Times New Roman"/>
                <w:sz w:val="20"/>
                <w:szCs w:val="20"/>
              </w:rPr>
            </w:pPr>
          </w:p>
        </w:tc>
        <w:tc>
          <w:tcPr>
            <w:tcW w:w="0" w:type="auto"/>
            <w:vAlign w:val="center"/>
            <w:hideMark/>
          </w:tcPr>
          <w:p w14:paraId="71936D1E" w14:textId="77777777" w:rsidR="00000000" w:rsidRDefault="001A570A">
            <w:pPr>
              <w:rPr>
                <w:rFonts w:eastAsia="Times New Roman"/>
                <w:sz w:val="20"/>
                <w:szCs w:val="20"/>
              </w:rPr>
            </w:pPr>
          </w:p>
        </w:tc>
        <w:tc>
          <w:tcPr>
            <w:tcW w:w="0" w:type="auto"/>
            <w:vAlign w:val="center"/>
            <w:hideMark/>
          </w:tcPr>
          <w:p w14:paraId="3FCE09F1" w14:textId="77777777" w:rsidR="00000000" w:rsidRDefault="001A570A">
            <w:pPr>
              <w:rPr>
                <w:rFonts w:eastAsia="Times New Roman"/>
                <w:sz w:val="20"/>
                <w:szCs w:val="20"/>
              </w:rPr>
            </w:pPr>
          </w:p>
        </w:tc>
        <w:tc>
          <w:tcPr>
            <w:tcW w:w="0" w:type="auto"/>
            <w:vAlign w:val="center"/>
            <w:hideMark/>
          </w:tcPr>
          <w:p w14:paraId="5E6027B5" w14:textId="77777777" w:rsidR="00000000" w:rsidRDefault="001A570A">
            <w:pPr>
              <w:rPr>
                <w:rFonts w:eastAsia="Times New Roman"/>
                <w:sz w:val="20"/>
                <w:szCs w:val="20"/>
              </w:rPr>
            </w:pPr>
          </w:p>
        </w:tc>
        <w:tc>
          <w:tcPr>
            <w:tcW w:w="0" w:type="auto"/>
            <w:vAlign w:val="center"/>
            <w:hideMark/>
          </w:tcPr>
          <w:p w14:paraId="29E03DB2" w14:textId="77777777" w:rsidR="00000000" w:rsidRDefault="001A570A">
            <w:pPr>
              <w:rPr>
                <w:rFonts w:eastAsia="Times New Roman"/>
                <w:sz w:val="20"/>
                <w:szCs w:val="20"/>
              </w:rPr>
            </w:pPr>
          </w:p>
        </w:tc>
        <w:tc>
          <w:tcPr>
            <w:tcW w:w="0" w:type="auto"/>
            <w:vAlign w:val="center"/>
            <w:hideMark/>
          </w:tcPr>
          <w:p w14:paraId="1AABA192" w14:textId="77777777" w:rsidR="00000000" w:rsidRDefault="001A570A">
            <w:pPr>
              <w:rPr>
                <w:rFonts w:eastAsia="Times New Roman"/>
                <w:sz w:val="20"/>
                <w:szCs w:val="20"/>
              </w:rPr>
            </w:pPr>
          </w:p>
        </w:tc>
        <w:tc>
          <w:tcPr>
            <w:tcW w:w="0" w:type="auto"/>
            <w:vAlign w:val="center"/>
            <w:hideMark/>
          </w:tcPr>
          <w:p w14:paraId="45621197" w14:textId="77777777" w:rsidR="00000000" w:rsidRDefault="001A570A">
            <w:pPr>
              <w:rPr>
                <w:rFonts w:eastAsia="Times New Roman"/>
                <w:sz w:val="20"/>
                <w:szCs w:val="20"/>
              </w:rPr>
            </w:pPr>
          </w:p>
        </w:tc>
        <w:tc>
          <w:tcPr>
            <w:tcW w:w="0" w:type="auto"/>
            <w:gridSpan w:val="3"/>
            <w:vAlign w:val="center"/>
            <w:hideMark/>
          </w:tcPr>
          <w:p w14:paraId="5E49A67E" w14:textId="77777777" w:rsidR="00000000" w:rsidRDefault="001A570A">
            <w:pPr>
              <w:rPr>
                <w:rFonts w:eastAsia="Times New Roman"/>
                <w:sz w:val="20"/>
                <w:szCs w:val="20"/>
              </w:rPr>
            </w:pPr>
          </w:p>
        </w:tc>
        <w:tc>
          <w:tcPr>
            <w:tcW w:w="0" w:type="auto"/>
            <w:gridSpan w:val="3"/>
            <w:vAlign w:val="center"/>
            <w:hideMark/>
          </w:tcPr>
          <w:p w14:paraId="4A852B68" w14:textId="77777777" w:rsidR="00000000" w:rsidRDefault="001A570A">
            <w:pPr>
              <w:rPr>
                <w:rFonts w:eastAsia="Times New Roman"/>
                <w:sz w:val="20"/>
                <w:szCs w:val="20"/>
              </w:rPr>
            </w:pPr>
          </w:p>
        </w:tc>
        <w:tc>
          <w:tcPr>
            <w:tcW w:w="0" w:type="auto"/>
            <w:gridSpan w:val="3"/>
            <w:vAlign w:val="center"/>
            <w:hideMark/>
          </w:tcPr>
          <w:p w14:paraId="71DF0361" w14:textId="77777777" w:rsidR="00000000" w:rsidRDefault="001A570A">
            <w:pPr>
              <w:rPr>
                <w:rFonts w:eastAsia="Times New Roman"/>
                <w:sz w:val="20"/>
                <w:szCs w:val="20"/>
              </w:rPr>
            </w:pPr>
          </w:p>
        </w:tc>
        <w:tc>
          <w:tcPr>
            <w:tcW w:w="0" w:type="auto"/>
            <w:gridSpan w:val="3"/>
            <w:vAlign w:val="center"/>
            <w:hideMark/>
          </w:tcPr>
          <w:p w14:paraId="13918ED6" w14:textId="77777777" w:rsidR="00000000" w:rsidRDefault="001A570A">
            <w:pPr>
              <w:rPr>
                <w:rFonts w:eastAsia="Times New Roman"/>
                <w:sz w:val="20"/>
                <w:szCs w:val="20"/>
              </w:rPr>
            </w:pPr>
          </w:p>
        </w:tc>
        <w:tc>
          <w:tcPr>
            <w:tcW w:w="0" w:type="auto"/>
            <w:gridSpan w:val="3"/>
            <w:vAlign w:val="center"/>
            <w:hideMark/>
          </w:tcPr>
          <w:p w14:paraId="52215F1D" w14:textId="77777777" w:rsidR="00000000" w:rsidRDefault="001A570A">
            <w:pPr>
              <w:rPr>
                <w:rFonts w:eastAsia="Times New Roman"/>
                <w:sz w:val="20"/>
                <w:szCs w:val="20"/>
              </w:rPr>
            </w:pPr>
          </w:p>
        </w:tc>
        <w:tc>
          <w:tcPr>
            <w:tcW w:w="0" w:type="auto"/>
            <w:gridSpan w:val="3"/>
            <w:vAlign w:val="center"/>
            <w:hideMark/>
          </w:tcPr>
          <w:p w14:paraId="654ABE4A" w14:textId="77777777" w:rsidR="00000000" w:rsidRDefault="001A570A">
            <w:pPr>
              <w:rPr>
                <w:rFonts w:eastAsia="Times New Roman"/>
                <w:sz w:val="20"/>
                <w:szCs w:val="20"/>
              </w:rPr>
            </w:pPr>
          </w:p>
        </w:tc>
      </w:tr>
      <w:tr w:rsidR="00000000" w14:paraId="4C5AF006" w14:textId="77777777">
        <w:trPr>
          <w:divId w:val="465052452"/>
          <w:jc w:val="center"/>
        </w:trPr>
        <w:tc>
          <w:tcPr>
            <w:tcW w:w="0" w:type="auto"/>
            <w:gridSpan w:val="3"/>
            <w:vAlign w:val="center"/>
            <w:hideMark/>
          </w:tcPr>
          <w:p w14:paraId="7AC00E3C" w14:textId="77777777" w:rsidR="00000000" w:rsidRDefault="001A570A">
            <w:pPr>
              <w:rPr>
                <w:rFonts w:eastAsia="Times New Roman"/>
                <w:sz w:val="20"/>
                <w:szCs w:val="20"/>
              </w:rPr>
            </w:pPr>
          </w:p>
        </w:tc>
        <w:tc>
          <w:tcPr>
            <w:tcW w:w="0" w:type="auto"/>
            <w:gridSpan w:val="3"/>
            <w:vAlign w:val="center"/>
            <w:hideMark/>
          </w:tcPr>
          <w:p w14:paraId="34EF0E9B" w14:textId="77777777" w:rsidR="00000000" w:rsidRDefault="001A570A">
            <w:pPr>
              <w:rPr>
                <w:rFonts w:eastAsia="Times New Roman"/>
                <w:sz w:val="20"/>
                <w:szCs w:val="20"/>
              </w:rPr>
            </w:pPr>
          </w:p>
        </w:tc>
        <w:tc>
          <w:tcPr>
            <w:tcW w:w="0" w:type="auto"/>
            <w:gridSpan w:val="3"/>
            <w:vAlign w:val="center"/>
            <w:hideMark/>
          </w:tcPr>
          <w:p w14:paraId="52101F0F" w14:textId="77777777" w:rsidR="00000000" w:rsidRDefault="001A570A">
            <w:pPr>
              <w:rPr>
                <w:rFonts w:eastAsia="Times New Roman"/>
                <w:sz w:val="20"/>
                <w:szCs w:val="20"/>
              </w:rPr>
            </w:pPr>
          </w:p>
        </w:tc>
        <w:tc>
          <w:tcPr>
            <w:tcW w:w="0" w:type="auto"/>
            <w:gridSpan w:val="3"/>
            <w:vAlign w:val="center"/>
            <w:hideMark/>
          </w:tcPr>
          <w:p w14:paraId="4F84589E" w14:textId="77777777" w:rsidR="00000000" w:rsidRDefault="001A570A">
            <w:pPr>
              <w:rPr>
                <w:rFonts w:eastAsia="Times New Roman"/>
                <w:sz w:val="20"/>
                <w:szCs w:val="20"/>
              </w:rPr>
            </w:pPr>
          </w:p>
        </w:tc>
        <w:tc>
          <w:tcPr>
            <w:tcW w:w="0" w:type="auto"/>
            <w:gridSpan w:val="3"/>
            <w:vAlign w:val="center"/>
            <w:hideMark/>
          </w:tcPr>
          <w:p w14:paraId="23487AE5" w14:textId="77777777" w:rsidR="00000000" w:rsidRDefault="001A570A">
            <w:pPr>
              <w:rPr>
                <w:rFonts w:eastAsia="Times New Roman"/>
                <w:sz w:val="20"/>
                <w:szCs w:val="20"/>
              </w:rPr>
            </w:pPr>
          </w:p>
        </w:tc>
        <w:tc>
          <w:tcPr>
            <w:tcW w:w="0" w:type="auto"/>
            <w:vAlign w:val="center"/>
            <w:hideMark/>
          </w:tcPr>
          <w:p w14:paraId="2E9F6056" w14:textId="77777777" w:rsidR="00000000" w:rsidRDefault="001A570A">
            <w:pPr>
              <w:rPr>
                <w:rFonts w:eastAsia="Times New Roman"/>
                <w:sz w:val="20"/>
                <w:szCs w:val="20"/>
              </w:rPr>
            </w:pPr>
          </w:p>
        </w:tc>
        <w:tc>
          <w:tcPr>
            <w:tcW w:w="0" w:type="auto"/>
            <w:vAlign w:val="center"/>
            <w:hideMark/>
          </w:tcPr>
          <w:p w14:paraId="333F7F1C" w14:textId="77777777" w:rsidR="00000000" w:rsidRDefault="001A570A">
            <w:pPr>
              <w:rPr>
                <w:rFonts w:eastAsia="Times New Roman"/>
                <w:sz w:val="20"/>
                <w:szCs w:val="20"/>
              </w:rPr>
            </w:pPr>
          </w:p>
        </w:tc>
        <w:tc>
          <w:tcPr>
            <w:tcW w:w="0" w:type="auto"/>
            <w:vAlign w:val="center"/>
            <w:hideMark/>
          </w:tcPr>
          <w:p w14:paraId="25FC3408" w14:textId="77777777" w:rsidR="00000000" w:rsidRDefault="001A570A">
            <w:pPr>
              <w:rPr>
                <w:rFonts w:eastAsia="Times New Roman"/>
                <w:sz w:val="20"/>
                <w:szCs w:val="20"/>
              </w:rPr>
            </w:pPr>
          </w:p>
        </w:tc>
        <w:tc>
          <w:tcPr>
            <w:tcW w:w="0" w:type="auto"/>
            <w:vAlign w:val="center"/>
            <w:hideMark/>
          </w:tcPr>
          <w:p w14:paraId="5764EF19" w14:textId="77777777" w:rsidR="00000000" w:rsidRDefault="001A570A">
            <w:pPr>
              <w:rPr>
                <w:rFonts w:eastAsia="Times New Roman"/>
                <w:sz w:val="20"/>
                <w:szCs w:val="20"/>
              </w:rPr>
            </w:pPr>
          </w:p>
        </w:tc>
        <w:tc>
          <w:tcPr>
            <w:tcW w:w="0" w:type="auto"/>
            <w:vAlign w:val="center"/>
            <w:hideMark/>
          </w:tcPr>
          <w:p w14:paraId="563563E7" w14:textId="77777777" w:rsidR="00000000" w:rsidRDefault="001A570A">
            <w:pPr>
              <w:rPr>
                <w:rFonts w:eastAsia="Times New Roman"/>
                <w:sz w:val="20"/>
                <w:szCs w:val="20"/>
              </w:rPr>
            </w:pPr>
          </w:p>
        </w:tc>
        <w:tc>
          <w:tcPr>
            <w:tcW w:w="0" w:type="auto"/>
            <w:vAlign w:val="center"/>
            <w:hideMark/>
          </w:tcPr>
          <w:p w14:paraId="59467C3E" w14:textId="77777777" w:rsidR="00000000" w:rsidRDefault="001A570A">
            <w:pPr>
              <w:rPr>
                <w:rFonts w:eastAsia="Times New Roman"/>
                <w:sz w:val="20"/>
                <w:szCs w:val="20"/>
              </w:rPr>
            </w:pPr>
          </w:p>
        </w:tc>
        <w:tc>
          <w:tcPr>
            <w:tcW w:w="0" w:type="auto"/>
            <w:vAlign w:val="center"/>
            <w:hideMark/>
          </w:tcPr>
          <w:p w14:paraId="001942E0" w14:textId="77777777" w:rsidR="00000000" w:rsidRDefault="001A570A">
            <w:pPr>
              <w:rPr>
                <w:rFonts w:eastAsia="Times New Roman"/>
                <w:sz w:val="20"/>
                <w:szCs w:val="20"/>
              </w:rPr>
            </w:pPr>
          </w:p>
        </w:tc>
        <w:tc>
          <w:tcPr>
            <w:tcW w:w="0" w:type="auto"/>
            <w:vAlign w:val="center"/>
            <w:hideMark/>
          </w:tcPr>
          <w:p w14:paraId="64273183" w14:textId="77777777" w:rsidR="00000000" w:rsidRDefault="001A570A">
            <w:pPr>
              <w:rPr>
                <w:rFonts w:eastAsia="Times New Roman"/>
                <w:sz w:val="20"/>
                <w:szCs w:val="20"/>
              </w:rPr>
            </w:pPr>
          </w:p>
        </w:tc>
        <w:tc>
          <w:tcPr>
            <w:tcW w:w="0" w:type="auto"/>
            <w:gridSpan w:val="3"/>
            <w:vAlign w:val="center"/>
            <w:hideMark/>
          </w:tcPr>
          <w:p w14:paraId="4EA359E3" w14:textId="77777777" w:rsidR="00000000" w:rsidRDefault="001A570A">
            <w:pPr>
              <w:rPr>
                <w:rFonts w:eastAsia="Times New Roman"/>
                <w:sz w:val="20"/>
                <w:szCs w:val="20"/>
              </w:rPr>
            </w:pPr>
          </w:p>
        </w:tc>
        <w:tc>
          <w:tcPr>
            <w:tcW w:w="0" w:type="auto"/>
            <w:gridSpan w:val="3"/>
            <w:vAlign w:val="center"/>
            <w:hideMark/>
          </w:tcPr>
          <w:p w14:paraId="6BBC4522" w14:textId="77777777" w:rsidR="00000000" w:rsidRDefault="001A570A">
            <w:pPr>
              <w:rPr>
                <w:rFonts w:eastAsia="Times New Roman"/>
                <w:sz w:val="20"/>
                <w:szCs w:val="20"/>
              </w:rPr>
            </w:pPr>
          </w:p>
        </w:tc>
        <w:tc>
          <w:tcPr>
            <w:tcW w:w="0" w:type="auto"/>
            <w:gridSpan w:val="3"/>
            <w:vAlign w:val="center"/>
            <w:hideMark/>
          </w:tcPr>
          <w:p w14:paraId="30B52A3B" w14:textId="77777777" w:rsidR="00000000" w:rsidRDefault="001A570A">
            <w:pPr>
              <w:rPr>
                <w:rFonts w:eastAsia="Times New Roman"/>
                <w:sz w:val="20"/>
                <w:szCs w:val="20"/>
              </w:rPr>
            </w:pPr>
          </w:p>
        </w:tc>
        <w:tc>
          <w:tcPr>
            <w:tcW w:w="0" w:type="auto"/>
            <w:gridSpan w:val="3"/>
            <w:vAlign w:val="center"/>
            <w:hideMark/>
          </w:tcPr>
          <w:p w14:paraId="3121DD18" w14:textId="77777777" w:rsidR="00000000" w:rsidRDefault="001A570A">
            <w:pPr>
              <w:rPr>
                <w:rFonts w:eastAsia="Times New Roman"/>
                <w:sz w:val="20"/>
                <w:szCs w:val="20"/>
              </w:rPr>
            </w:pPr>
          </w:p>
        </w:tc>
        <w:tc>
          <w:tcPr>
            <w:tcW w:w="0" w:type="auto"/>
            <w:gridSpan w:val="3"/>
            <w:vAlign w:val="center"/>
            <w:hideMark/>
          </w:tcPr>
          <w:p w14:paraId="7B2BBC61" w14:textId="77777777" w:rsidR="00000000" w:rsidRDefault="001A570A">
            <w:pPr>
              <w:rPr>
                <w:rFonts w:eastAsia="Times New Roman"/>
                <w:sz w:val="20"/>
                <w:szCs w:val="20"/>
              </w:rPr>
            </w:pPr>
          </w:p>
        </w:tc>
        <w:tc>
          <w:tcPr>
            <w:tcW w:w="0" w:type="auto"/>
            <w:gridSpan w:val="3"/>
            <w:vAlign w:val="center"/>
            <w:hideMark/>
          </w:tcPr>
          <w:p w14:paraId="57E6CD33" w14:textId="77777777" w:rsidR="00000000" w:rsidRDefault="001A570A">
            <w:pPr>
              <w:rPr>
                <w:rFonts w:eastAsia="Times New Roman"/>
                <w:sz w:val="20"/>
                <w:szCs w:val="20"/>
              </w:rPr>
            </w:pPr>
          </w:p>
        </w:tc>
      </w:tr>
    </w:tbl>
    <w:p w14:paraId="57B6EF7E" w14:textId="77777777" w:rsidR="00000000" w:rsidRDefault="001A570A">
      <w:pPr>
        <w:ind w:firstLine="450"/>
        <w:jc w:val="center"/>
        <w:divId w:val="545220129"/>
        <w:rPr>
          <w:rFonts w:eastAsia="Times New Roman"/>
        </w:rPr>
      </w:pPr>
      <w:r>
        <w:rPr>
          <w:rFonts w:eastAsia="Times New Roman"/>
          <w:color w:val="000000"/>
          <w:sz w:val="20"/>
          <w:szCs w:val="20"/>
        </w:rPr>
        <w:t>118</w:t>
      </w:r>
    </w:p>
    <w:p w14:paraId="200EA265" w14:textId="77777777" w:rsidR="00000000" w:rsidRDefault="001A570A">
      <w:pPr>
        <w:rPr>
          <w:rFonts w:eastAsia="Times New Roman"/>
        </w:rPr>
      </w:pPr>
      <w:r>
        <w:rPr>
          <w:rFonts w:eastAsia="Times New Roman"/>
        </w:rPr>
        <w:pict w14:anchorId="36CD5AD9">
          <v:rect id="_x0000_i1146" style="width:0;height:1.5pt" o:hralign="center" o:hrstd="t" o:hr="t" fillcolor="#a0a0a0" stroked="f"/>
        </w:pict>
      </w:r>
    </w:p>
    <w:p w14:paraId="6C78CC90" w14:textId="77777777" w:rsidR="00000000" w:rsidRDefault="001A570A">
      <w:pPr>
        <w:ind w:firstLine="450"/>
        <w:divId w:val="514269666"/>
        <w:rPr>
          <w:rFonts w:eastAsia="Times New Roman"/>
        </w:rPr>
      </w:pPr>
    </w:p>
    <w:p w14:paraId="714CA247" w14:textId="77777777" w:rsidR="00000000" w:rsidRDefault="001A570A">
      <w:pPr>
        <w:ind w:firstLine="450"/>
        <w:divId w:val="1874343767"/>
        <w:rPr>
          <w:rFonts w:eastAsia="Times New Roman"/>
        </w:rPr>
      </w:pPr>
      <w:r>
        <w:rPr>
          <w:rFonts w:eastAsia="Times New Roman"/>
          <w:color w:val="000000"/>
          <w:sz w:val="20"/>
          <w:szCs w:val="20"/>
        </w:rPr>
        <w:t>Net unrealized gains recognized in other comprehensive income (loss) from foreign currency derivatives designated as cash flow hedges were $12 million in fiscal 2020. Net unrealized gains and losses recognized in other</w:t>
      </w:r>
      <w:r>
        <w:rPr>
          <w:rFonts w:eastAsia="Times New Roman"/>
          <w:color w:val="000000"/>
          <w:sz w:val="20"/>
          <w:szCs w:val="20"/>
        </w:rPr>
        <w:t xml:space="preserve"> comprehensive income (loss) from foreign currency derivatives designated as cash flow hedges were not material in the two quarters ended January 3, 2020 or in fiscal 2019 or 2018. Net gains and losses reclassified from accumulated other comprehensive loss</w:t>
      </w:r>
      <w:r>
        <w:rPr>
          <w:rFonts w:eastAsia="Times New Roman"/>
          <w:color w:val="000000"/>
          <w:sz w:val="20"/>
          <w:szCs w:val="20"/>
        </w:rPr>
        <w:t xml:space="preserve"> in to earnings from foreign currency derivatives designated as cash flow hedges were not material in fiscal 2020, the two quarters ended January 3, 2020, or fiscal 2019 or 2018. </w:t>
      </w:r>
    </w:p>
    <w:p w14:paraId="23FA6246" w14:textId="77777777" w:rsidR="00000000" w:rsidRDefault="001A570A">
      <w:pPr>
        <w:ind w:firstLine="450"/>
        <w:divId w:val="532578248"/>
        <w:rPr>
          <w:rFonts w:eastAsia="Times New Roman"/>
        </w:rPr>
      </w:pPr>
      <w:r>
        <w:rPr>
          <w:rFonts w:eastAsia="Times New Roman"/>
          <w:color w:val="000000"/>
          <w:sz w:val="20"/>
          <w:szCs w:val="20"/>
        </w:rPr>
        <w:t>Gains and losses from foreign currency derivatives designated as cash flow h</w:t>
      </w:r>
      <w:r>
        <w:rPr>
          <w:rFonts w:eastAsia="Times New Roman"/>
          <w:color w:val="000000"/>
          <w:sz w:val="20"/>
          <w:szCs w:val="20"/>
        </w:rPr>
        <w:t>edges are included in the line item in our Consolidated Statement of Income associated with the hedged transaction, with the exception of the losses resulting from discontinued cash flow hedges, which are included in the “Engineering, selling and administr</w:t>
      </w:r>
      <w:r>
        <w:rPr>
          <w:rFonts w:eastAsia="Times New Roman"/>
          <w:color w:val="000000"/>
          <w:sz w:val="20"/>
          <w:szCs w:val="20"/>
        </w:rPr>
        <w:t xml:space="preserve">ative expenses” line item in our Consolidated Statement of Income. </w:t>
      </w:r>
    </w:p>
    <w:p w14:paraId="5798E13C" w14:textId="77777777" w:rsidR="00000000" w:rsidRDefault="001A570A">
      <w:pPr>
        <w:ind w:firstLine="450"/>
        <w:divId w:val="1117018645"/>
        <w:rPr>
          <w:rFonts w:eastAsia="Times New Roman"/>
        </w:rPr>
      </w:pPr>
      <w:r>
        <w:rPr>
          <w:rFonts w:eastAsia="Times New Roman"/>
          <w:color w:val="000000"/>
          <w:sz w:val="20"/>
          <w:szCs w:val="20"/>
        </w:rPr>
        <w:t>At January 1, 2021, the estimated amount of existing gains to be reclassified into earnings within the next twelve months was $19 million.</w:t>
      </w:r>
    </w:p>
    <w:p w14:paraId="1F05916B" w14:textId="77777777" w:rsidR="00000000" w:rsidRDefault="001A570A">
      <w:pPr>
        <w:divId w:val="109011504"/>
        <w:rPr>
          <w:rFonts w:eastAsia="Times New Roman"/>
        </w:rPr>
      </w:pPr>
      <w:r>
        <w:rPr>
          <w:rFonts w:eastAsia="Times New Roman"/>
          <w:b/>
          <w:bCs/>
          <w:color w:val="000000"/>
          <w:sz w:val="20"/>
          <w:szCs w:val="20"/>
        </w:rPr>
        <w:t xml:space="preserve">Interest-Rate Risk — Cash Flow Hedges </w:t>
      </w:r>
    </w:p>
    <w:p w14:paraId="33A86873" w14:textId="77777777" w:rsidR="00000000" w:rsidRDefault="001A570A">
      <w:pPr>
        <w:ind w:firstLine="450"/>
        <w:divId w:val="1879507913"/>
        <w:rPr>
          <w:rFonts w:eastAsia="Times New Roman"/>
        </w:rPr>
      </w:pPr>
      <w:r>
        <w:rPr>
          <w:rFonts w:eastAsia="Times New Roman"/>
          <w:color w:val="000000"/>
          <w:sz w:val="20"/>
          <w:szCs w:val="20"/>
        </w:rPr>
        <w:t>At January</w:t>
      </w:r>
      <w:r>
        <w:rPr>
          <w:rFonts w:eastAsia="Times New Roman"/>
          <w:color w:val="000000"/>
          <w:sz w:val="20"/>
          <w:szCs w:val="20"/>
        </w:rPr>
        <w:t> 1, 2021, we had no treasury lock agreements (“treasury locks”) classified as cash flow hedges. At January 3, 2020, we had two treasury locks with third-party financial institution counterparties with a combined notional amount of $650 million that were cl</w:t>
      </w:r>
      <w:r>
        <w:rPr>
          <w:rFonts w:eastAsia="Times New Roman"/>
          <w:color w:val="000000"/>
          <w:sz w:val="20"/>
          <w:szCs w:val="20"/>
        </w:rPr>
        <w:t xml:space="preserve">assified as cash flow hedges. </w:t>
      </w:r>
    </w:p>
    <w:p w14:paraId="5EBBCE8E" w14:textId="77777777" w:rsidR="00000000" w:rsidRDefault="001A570A">
      <w:pPr>
        <w:ind w:firstLine="450"/>
        <w:divId w:val="1275864600"/>
        <w:rPr>
          <w:rFonts w:eastAsia="Times New Roman"/>
        </w:rPr>
      </w:pPr>
      <w:r>
        <w:rPr>
          <w:rFonts w:eastAsia="Times New Roman"/>
          <w:color w:val="000000"/>
          <w:sz w:val="20"/>
          <w:szCs w:val="20"/>
        </w:rPr>
        <w:t xml:space="preserve">On November 25, 2020, in order to fund our optional redemption of the 4.95% 2021 Notes as described in </w:t>
      </w:r>
      <w:r>
        <w:rPr>
          <w:rFonts w:eastAsia="Times New Roman"/>
          <w:i/>
          <w:iCs/>
          <w:color w:val="000000"/>
          <w:sz w:val="20"/>
          <w:szCs w:val="20"/>
        </w:rPr>
        <w:t>Note 14: Debt</w:t>
      </w:r>
      <w:r>
        <w:rPr>
          <w:rFonts w:eastAsia="Times New Roman"/>
          <w:color w:val="000000"/>
          <w:sz w:val="20"/>
          <w:szCs w:val="20"/>
        </w:rPr>
        <w:t xml:space="preserve"> in these Notes, we completed the issuance of $650 million in aggregate principal amount of the 1.80% 2031 No</w:t>
      </w:r>
      <w:r>
        <w:rPr>
          <w:rFonts w:eastAsia="Times New Roman"/>
          <w:color w:val="000000"/>
          <w:sz w:val="20"/>
          <w:szCs w:val="20"/>
        </w:rPr>
        <w:t>tes. In connection with the L3Harris Merger, we assumed two treasury locks that were initiated in January 2019 to hedge against fluctuations in interest payments due to changes in the benchmark interest rate (10-year U.S. Treasury rate) associated with the</w:t>
      </w:r>
      <w:r>
        <w:rPr>
          <w:rFonts w:eastAsia="Times New Roman"/>
          <w:color w:val="000000"/>
          <w:sz w:val="20"/>
          <w:szCs w:val="20"/>
        </w:rPr>
        <w:t xml:space="preserve"> anticipated issuance of debt to redeem or repay the 4.95% 2021 Notes. These treasury locks were terminated as planned in connection with our issuance of the 1.80% 2031 Notes during the quarter ended January 1, 2021, and because interest rates decreased du</w:t>
      </w:r>
      <w:r>
        <w:rPr>
          <w:rFonts w:eastAsia="Times New Roman"/>
          <w:color w:val="000000"/>
          <w:sz w:val="20"/>
          <w:szCs w:val="20"/>
        </w:rPr>
        <w:t>ring the period of the treasury locks, we made a cash payment to our counterparty and recorded an after-tax loss of $58 million in the “Accumulated other comprehensive loss” line item of our Consolidated Balance Sheet. The accumulated other comprehensive l</w:t>
      </w:r>
      <w:r>
        <w:rPr>
          <w:rFonts w:eastAsia="Times New Roman"/>
          <w:color w:val="000000"/>
          <w:sz w:val="20"/>
          <w:szCs w:val="20"/>
        </w:rPr>
        <w:t xml:space="preserve">oss balance will be amortized to interest expense over the life of the 1.80% 2031 Notes. We classified the cash outflow from the termination of these treasury locks as cash used in financing activities in our Consolidated Statement of Cash Flows. </w:t>
      </w:r>
    </w:p>
    <w:p w14:paraId="65F00210" w14:textId="77777777" w:rsidR="00000000" w:rsidRDefault="001A570A">
      <w:pPr>
        <w:ind w:firstLine="450"/>
        <w:divId w:val="1811894652"/>
        <w:rPr>
          <w:rFonts w:eastAsia="Times New Roman"/>
        </w:rPr>
      </w:pPr>
      <w:r>
        <w:rPr>
          <w:rFonts w:eastAsia="Times New Roman"/>
          <w:color w:val="000000"/>
          <w:sz w:val="20"/>
          <w:szCs w:val="20"/>
        </w:rPr>
        <w:t>At Janua</w:t>
      </w:r>
      <w:r>
        <w:rPr>
          <w:rFonts w:eastAsia="Times New Roman"/>
          <w:color w:val="000000"/>
          <w:sz w:val="20"/>
          <w:szCs w:val="20"/>
        </w:rPr>
        <w:t>ry 3, 2020, the combined fair value of these treasury locks was a liability of $56 million, which was categorized in Level 2 of the fair value hierarchy and recorded in the “Other long-term liabilities” line item in our Consolidated Balance Sheet. The unre</w:t>
      </w:r>
      <w:r>
        <w:rPr>
          <w:rFonts w:eastAsia="Times New Roman"/>
          <w:color w:val="000000"/>
          <w:sz w:val="20"/>
          <w:szCs w:val="20"/>
        </w:rPr>
        <w:t>alized after-tax loss associated with these treasury locks included in the “Accumulated other comprehensive loss” line item in our Consolidated Balance Sheet was $16 million at January 3, 2020. We recognized a $35 million liability for these treasury locks</w:t>
      </w:r>
      <w:r>
        <w:rPr>
          <w:rFonts w:eastAsia="Times New Roman"/>
          <w:color w:val="000000"/>
          <w:sz w:val="20"/>
          <w:szCs w:val="20"/>
        </w:rPr>
        <w:t xml:space="preserve"> as part of our purchase accounting for the L3Harris Merger.</w:t>
      </w:r>
    </w:p>
    <w:p w14:paraId="438C0FE8" w14:textId="77777777" w:rsidR="00000000" w:rsidRDefault="001A570A">
      <w:pPr>
        <w:ind w:firstLine="450"/>
        <w:divId w:val="703867820"/>
        <w:rPr>
          <w:rFonts w:eastAsia="Times New Roman"/>
        </w:rPr>
      </w:pPr>
      <w:r>
        <w:rPr>
          <w:rFonts w:eastAsia="Times New Roman"/>
          <w:color w:val="000000"/>
          <w:sz w:val="20"/>
          <w:szCs w:val="20"/>
        </w:rPr>
        <w:t xml:space="preserve">On November 27, 2019, in order to fund our optional redemption of the 2.7% 2020 Notes as described in </w:t>
      </w:r>
      <w:r>
        <w:rPr>
          <w:rFonts w:eastAsia="Times New Roman"/>
          <w:i/>
          <w:iCs/>
          <w:color w:val="000000"/>
          <w:sz w:val="20"/>
          <w:szCs w:val="20"/>
        </w:rPr>
        <w:t>Note 14: Debt</w:t>
      </w:r>
      <w:r>
        <w:rPr>
          <w:rFonts w:eastAsia="Times New Roman"/>
          <w:color w:val="000000"/>
          <w:sz w:val="20"/>
          <w:szCs w:val="20"/>
        </w:rPr>
        <w:t xml:space="preserve"> </w:t>
      </w:r>
      <w:r>
        <w:rPr>
          <w:rFonts w:eastAsia="Times New Roman"/>
          <w:color w:val="000000"/>
          <w:sz w:val="20"/>
          <w:szCs w:val="20"/>
        </w:rPr>
        <w:t xml:space="preserve">in these Notes, we completed the issuance of $400 million in aggregate principal amount of the 2.90% 2029 Notes. In January 2019, we initiated a treasury lock to hedge against fluctuations in interest payments due to changes in the benchmark interest rate </w:t>
      </w:r>
      <w:r>
        <w:rPr>
          <w:rFonts w:eastAsia="Times New Roman"/>
          <w:color w:val="000000"/>
          <w:sz w:val="20"/>
          <w:szCs w:val="20"/>
        </w:rPr>
        <w:t>(10-year U.S. Treasury rate) associated with the anticipated issuance of debt to redeem or repay the 2.7% 2020 Notes. This treasury lock was terminated as planned in connection with our issuance of the 2.90% 2029 notes during the quarter ended January 3, 2</w:t>
      </w:r>
      <w:r>
        <w:rPr>
          <w:rFonts w:eastAsia="Times New Roman"/>
          <w:color w:val="000000"/>
          <w:sz w:val="20"/>
          <w:szCs w:val="20"/>
        </w:rPr>
        <w:t>020, and because interest rates decreased during the period of the treasury lock, we made a cash payment to our counterparty and recorded an after-tax loss of $24 million in the “Accumulated other comprehensive loss” line item of our Consolidated Balance S</w:t>
      </w:r>
      <w:r>
        <w:rPr>
          <w:rFonts w:eastAsia="Times New Roman"/>
          <w:color w:val="000000"/>
          <w:sz w:val="20"/>
          <w:szCs w:val="20"/>
        </w:rPr>
        <w:t>heet. The accumulated other comprehensive loss balance will be amortized to interest expense over the life of the 2.90% 2029 Notes. We classified the cash outflow from the termination of this treasury lock as cash used in financing activities in our Consol</w:t>
      </w:r>
      <w:r>
        <w:rPr>
          <w:rFonts w:eastAsia="Times New Roman"/>
          <w:color w:val="000000"/>
          <w:sz w:val="20"/>
          <w:szCs w:val="20"/>
        </w:rPr>
        <w:t xml:space="preserve">idated Statement of Cash Flows. </w:t>
      </w:r>
    </w:p>
    <w:p w14:paraId="6F4B06ED" w14:textId="77777777" w:rsidR="00000000" w:rsidRDefault="001A570A">
      <w:pPr>
        <w:ind w:firstLine="450"/>
        <w:divId w:val="104468105"/>
        <w:rPr>
          <w:rFonts w:eastAsia="Times New Roman"/>
        </w:rPr>
      </w:pPr>
      <w:r>
        <w:rPr>
          <w:rFonts w:eastAsia="Times New Roman"/>
          <w:color w:val="000000"/>
          <w:sz w:val="20"/>
          <w:szCs w:val="20"/>
        </w:rPr>
        <w:t>The net gains or losses from interest rate derivatives recognized in earnings were not material in fiscal 2020, the two quarters ended January 3, 2020, or fiscal 2019 or 2018.</w:t>
      </w:r>
    </w:p>
    <w:p w14:paraId="2C55B586" w14:textId="77777777" w:rsidR="00000000" w:rsidRDefault="001A570A">
      <w:pPr>
        <w:divId w:val="740442843"/>
        <w:rPr>
          <w:rFonts w:eastAsia="Times New Roman"/>
        </w:rPr>
      </w:pPr>
      <w:r>
        <w:rPr>
          <w:rFonts w:eastAsia="Times New Roman"/>
          <w:b/>
          <w:bCs/>
          <w:color w:val="000000"/>
          <w:sz w:val="20"/>
          <w:szCs w:val="20"/>
        </w:rPr>
        <w:t>Credit Risk</w:t>
      </w:r>
    </w:p>
    <w:p w14:paraId="6F21A03B" w14:textId="77777777" w:rsidR="00000000" w:rsidRDefault="001A570A">
      <w:pPr>
        <w:ind w:firstLine="450"/>
        <w:divId w:val="1895434107"/>
        <w:rPr>
          <w:rFonts w:eastAsia="Times New Roman"/>
        </w:rPr>
      </w:pPr>
      <w:r>
        <w:rPr>
          <w:rFonts w:eastAsia="Times New Roman"/>
          <w:color w:val="000000"/>
          <w:sz w:val="20"/>
          <w:szCs w:val="20"/>
        </w:rPr>
        <w:t>We are exposed to the risk of credi</w:t>
      </w:r>
      <w:r>
        <w:rPr>
          <w:rFonts w:eastAsia="Times New Roman"/>
          <w:color w:val="000000"/>
          <w:sz w:val="20"/>
          <w:szCs w:val="20"/>
        </w:rPr>
        <w:t xml:space="preserve">t losses from non-performance by counterparties to the financial instruments discussed above, but we do not expect any of the counterparties to fail to meet their obligations. To manage credit risks, we select counterparties based on credit ratings, limit </w:t>
      </w:r>
      <w:r>
        <w:rPr>
          <w:rFonts w:eastAsia="Times New Roman"/>
          <w:color w:val="000000"/>
          <w:sz w:val="20"/>
          <w:szCs w:val="20"/>
        </w:rPr>
        <w:t>our exposure to any single counterparty under defined guidelines and monitor the market position with each counterparty.</w:t>
      </w:r>
    </w:p>
    <w:p w14:paraId="780CED5E" w14:textId="77777777" w:rsidR="00000000" w:rsidRDefault="001A570A">
      <w:pPr>
        <w:ind w:firstLine="450"/>
        <w:jc w:val="center"/>
        <w:divId w:val="308942133"/>
        <w:rPr>
          <w:rFonts w:eastAsia="Times New Roman"/>
        </w:rPr>
      </w:pPr>
      <w:r>
        <w:rPr>
          <w:rFonts w:eastAsia="Times New Roman"/>
          <w:color w:val="000000"/>
          <w:sz w:val="20"/>
          <w:szCs w:val="20"/>
        </w:rPr>
        <w:t>119</w:t>
      </w:r>
    </w:p>
    <w:p w14:paraId="22FB2BC2" w14:textId="77777777" w:rsidR="00000000" w:rsidRDefault="001A570A">
      <w:pPr>
        <w:rPr>
          <w:rFonts w:eastAsia="Times New Roman"/>
        </w:rPr>
      </w:pPr>
      <w:r>
        <w:rPr>
          <w:rFonts w:eastAsia="Times New Roman"/>
        </w:rPr>
        <w:pict w14:anchorId="7F23001C">
          <v:rect id="_x0000_i1147" style="width:0;height:1.5pt" o:hralign="center" o:hrstd="t" o:hr="t" fillcolor="#a0a0a0" stroked="f"/>
        </w:pict>
      </w:r>
    </w:p>
    <w:p w14:paraId="18CA67A7" w14:textId="77777777" w:rsidR="00000000" w:rsidRDefault="001A570A">
      <w:pPr>
        <w:ind w:firstLine="450"/>
        <w:divId w:val="26416394"/>
        <w:rPr>
          <w:rFonts w:eastAsia="Times New Roman"/>
        </w:rPr>
      </w:pPr>
    </w:p>
    <w:p w14:paraId="27F731A9" w14:textId="77777777" w:rsidR="00000000" w:rsidRDefault="001A570A">
      <w:pPr>
        <w:divId w:val="316954674"/>
        <w:rPr>
          <w:rFonts w:eastAsia="Times New Roman"/>
        </w:rPr>
      </w:pPr>
      <w:r>
        <w:rPr>
          <w:rFonts w:eastAsia="Times New Roman"/>
          <w:b/>
          <w:bCs/>
          <w:color w:val="000000"/>
          <w:sz w:val="20"/>
          <w:szCs w:val="20"/>
        </w:rPr>
        <w:t xml:space="preserve">NOTE 21: NON-OPERATING INCOME </w:t>
      </w:r>
    </w:p>
    <w:p w14:paraId="5138D884" w14:textId="77777777" w:rsidR="00000000" w:rsidRDefault="001A570A">
      <w:pPr>
        <w:ind w:firstLine="450"/>
        <w:divId w:val="253974105"/>
        <w:rPr>
          <w:rFonts w:eastAsia="Times New Roman"/>
        </w:rPr>
      </w:pPr>
      <w:r>
        <w:rPr>
          <w:rFonts w:eastAsia="Times New Roman"/>
          <w:color w:val="000000"/>
          <w:sz w:val="20"/>
          <w:szCs w:val="20"/>
        </w:rPr>
        <w:t>The components of non-operating income were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3957"/>
        <w:gridCol w:w="37"/>
        <w:gridCol w:w="121"/>
        <w:gridCol w:w="861"/>
        <w:gridCol w:w="37"/>
        <w:gridCol w:w="36"/>
        <w:gridCol w:w="36"/>
        <w:gridCol w:w="36"/>
        <w:gridCol w:w="121"/>
        <w:gridCol w:w="815"/>
        <w:gridCol w:w="36"/>
        <w:gridCol w:w="36"/>
        <w:gridCol w:w="36"/>
        <w:gridCol w:w="36"/>
        <w:gridCol w:w="120"/>
        <w:gridCol w:w="816"/>
        <w:gridCol w:w="36"/>
        <w:gridCol w:w="36"/>
        <w:gridCol w:w="36"/>
        <w:gridCol w:w="36"/>
        <w:gridCol w:w="120"/>
        <w:gridCol w:w="817"/>
        <w:gridCol w:w="36"/>
      </w:tblGrid>
      <w:tr w:rsidR="00000000" w14:paraId="525295ED" w14:textId="77777777">
        <w:trPr>
          <w:divId w:val="1372077943"/>
        </w:trPr>
        <w:tc>
          <w:tcPr>
            <w:tcW w:w="50" w:type="pct"/>
            <w:vAlign w:val="center"/>
            <w:hideMark/>
          </w:tcPr>
          <w:p w14:paraId="0CD71BAB" w14:textId="77777777" w:rsidR="00000000" w:rsidRDefault="001A570A">
            <w:pPr>
              <w:ind w:firstLine="450"/>
              <w:rPr>
                <w:rFonts w:eastAsia="Times New Roman"/>
              </w:rPr>
            </w:pPr>
          </w:p>
        </w:tc>
        <w:tc>
          <w:tcPr>
            <w:tcW w:w="2419" w:type="pct"/>
            <w:vAlign w:val="center"/>
            <w:hideMark/>
          </w:tcPr>
          <w:p w14:paraId="334D2F30" w14:textId="77777777" w:rsidR="00000000" w:rsidRDefault="001A570A">
            <w:pPr>
              <w:rPr>
                <w:rFonts w:eastAsia="Times New Roman"/>
                <w:sz w:val="20"/>
                <w:szCs w:val="20"/>
              </w:rPr>
            </w:pPr>
          </w:p>
        </w:tc>
        <w:tc>
          <w:tcPr>
            <w:tcW w:w="5" w:type="pct"/>
            <w:vAlign w:val="center"/>
            <w:hideMark/>
          </w:tcPr>
          <w:p w14:paraId="33180387" w14:textId="77777777" w:rsidR="00000000" w:rsidRDefault="001A570A">
            <w:pPr>
              <w:rPr>
                <w:rFonts w:eastAsia="Times New Roman"/>
                <w:sz w:val="20"/>
                <w:szCs w:val="20"/>
              </w:rPr>
            </w:pPr>
          </w:p>
        </w:tc>
        <w:tc>
          <w:tcPr>
            <w:tcW w:w="50" w:type="pct"/>
            <w:vAlign w:val="center"/>
            <w:hideMark/>
          </w:tcPr>
          <w:p w14:paraId="3B4C29A2" w14:textId="77777777" w:rsidR="00000000" w:rsidRDefault="001A570A">
            <w:pPr>
              <w:rPr>
                <w:rFonts w:eastAsia="Times New Roman"/>
                <w:sz w:val="20"/>
                <w:szCs w:val="20"/>
              </w:rPr>
            </w:pPr>
          </w:p>
        </w:tc>
        <w:tc>
          <w:tcPr>
            <w:tcW w:w="549" w:type="pct"/>
            <w:vAlign w:val="center"/>
            <w:hideMark/>
          </w:tcPr>
          <w:p w14:paraId="73E612A6" w14:textId="77777777" w:rsidR="00000000" w:rsidRDefault="001A570A">
            <w:pPr>
              <w:rPr>
                <w:rFonts w:eastAsia="Times New Roman"/>
                <w:sz w:val="20"/>
                <w:szCs w:val="20"/>
              </w:rPr>
            </w:pPr>
          </w:p>
        </w:tc>
        <w:tc>
          <w:tcPr>
            <w:tcW w:w="5" w:type="pct"/>
            <w:vAlign w:val="center"/>
            <w:hideMark/>
          </w:tcPr>
          <w:p w14:paraId="5C667299" w14:textId="77777777" w:rsidR="00000000" w:rsidRDefault="001A570A">
            <w:pPr>
              <w:rPr>
                <w:rFonts w:eastAsia="Times New Roman"/>
                <w:sz w:val="20"/>
                <w:szCs w:val="20"/>
              </w:rPr>
            </w:pPr>
          </w:p>
        </w:tc>
        <w:tc>
          <w:tcPr>
            <w:tcW w:w="5" w:type="pct"/>
            <w:vAlign w:val="center"/>
            <w:hideMark/>
          </w:tcPr>
          <w:p w14:paraId="61474101" w14:textId="77777777" w:rsidR="00000000" w:rsidRDefault="001A570A">
            <w:pPr>
              <w:rPr>
                <w:rFonts w:eastAsia="Times New Roman"/>
                <w:sz w:val="20"/>
                <w:szCs w:val="20"/>
              </w:rPr>
            </w:pPr>
          </w:p>
        </w:tc>
        <w:tc>
          <w:tcPr>
            <w:tcW w:w="25" w:type="pct"/>
            <w:vAlign w:val="center"/>
            <w:hideMark/>
          </w:tcPr>
          <w:p w14:paraId="0595B303" w14:textId="77777777" w:rsidR="00000000" w:rsidRDefault="001A570A">
            <w:pPr>
              <w:rPr>
                <w:rFonts w:eastAsia="Times New Roman"/>
                <w:sz w:val="20"/>
                <w:szCs w:val="20"/>
              </w:rPr>
            </w:pPr>
          </w:p>
        </w:tc>
        <w:tc>
          <w:tcPr>
            <w:tcW w:w="5" w:type="pct"/>
            <w:vAlign w:val="center"/>
            <w:hideMark/>
          </w:tcPr>
          <w:p w14:paraId="5B011FED" w14:textId="77777777" w:rsidR="00000000" w:rsidRDefault="001A570A">
            <w:pPr>
              <w:rPr>
                <w:rFonts w:eastAsia="Times New Roman"/>
                <w:sz w:val="20"/>
                <w:szCs w:val="20"/>
              </w:rPr>
            </w:pPr>
          </w:p>
        </w:tc>
        <w:tc>
          <w:tcPr>
            <w:tcW w:w="50" w:type="pct"/>
            <w:vAlign w:val="center"/>
            <w:hideMark/>
          </w:tcPr>
          <w:p w14:paraId="5532BCE2" w14:textId="77777777" w:rsidR="00000000" w:rsidRDefault="001A570A">
            <w:pPr>
              <w:rPr>
                <w:rFonts w:eastAsia="Times New Roman"/>
                <w:sz w:val="20"/>
                <w:szCs w:val="20"/>
              </w:rPr>
            </w:pPr>
          </w:p>
        </w:tc>
        <w:tc>
          <w:tcPr>
            <w:tcW w:w="549" w:type="pct"/>
            <w:vAlign w:val="center"/>
            <w:hideMark/>
          </w:tcPr>
          <w:p w14:paraId="168518A0" w14:textId="77777777" w:rsidR="00000000" w:rsidRDefault="001A570A">
            <w:pPr>
              <w:rPr>
                <w:rFonts w:eastAsia="Times New Roman"/>
                <w:sz w:val="20"/>
                <w:szCs w:val="20"/>
              </w:rPr>
            </w:pPr>
          </w:p>
        </w:tc>
        <w:tc>
          <w:tcPr>
            <w:tcW w:w="5" w:type="pct"/>
            <w:vAlign w:val="center"/>
            <w:hideMark/>
          </w:tcPr>
          <w:p w14:paraId="0B0E6288" w14:textId="77777777" w:rsidR="00000000" w:rsidRDefault="001A570A">
            <w:pPr>
              <w:rPr>
                <w:rFonts w:eastAsia="Times New Roman"/>
                <w:sz w:val="20"/>
                <w:szCs w:val="20"/>
              </w:rPr>
            </w:pPr>
          </w:p>
        </w:tc>
        <w:tc>
          <w:tcPr>
            <w:tcW w:w="5" w:type="pct"/>
            <w:vAlign w:val="center"/>
            <w:hideMark/>
          </w:tcPr>
          <w:p w14:paraId="41E6BBEB" w14:textId="77777777" w:rsidR="00000000" w:rsidRDefault="001A570A">
            <w:pPr>
              <w:rPr>
                <w:rFonts w:eastAsia="Times New Roman"/>
                <w:sz w:val="20"/>
                <w:szCs w:val="20"/>
              </w:rPr>
            </w:pPr>
          </w:p>
        </w:tc>
        <w:tc>
          <w:tcPr>
            <w:tcW w:w="25" w:type="pct"/>
            <w:vAlign w:val="center"/>
            <w:hideMark/>
          </w:tcPr>
          <w:p w14:paraId="4BC40F45" w14:textId="77777777" w:rsidR="00000000" w:rsidRDefault="001A570A">
            <w:pPr>
              <w:rPr>
                <w:rFonts w:eastAsia="Times New Roman"/>
                <w:sz w:val="20"/>
                <w:szCs w:val="20"/>
              </w:rPr>
            </w:pPr>
          </w:p>
        </w:tc>
        <w:tc>
          <w:tcPr>
            <w:tcW w:w="5" w:type="pct"/>
            <w:vAlign w:val="center"/>
            <w:hideMark/>
          </w:tcPr>
          <w:p w14:paraId="3B8AAF4C" w14:textId="77777777" w:rsidR="00000000" w:rsidRDefault="001A570A">
            <w:pPr>
              <w:rPr>
                <w:rFonts w:eastAsia="Times New Roman"/>
                <w:sz w:val="20"/>
                <w:szCs w:val="20"/>
              </w:rPr>
            </w:pPr>
          </w:p>
        </w:tc>
        <w:tc>
          <w:tcPr>
            <w:tcW w:w="50" w:type="pct"/>
            <w:vAlign w:val="center"/>
            <w:hideMark/>
          </w:tcPr>
          <w:p w14:paraId="5273B94B" w14:textId="77777777" w:rsidR="00000000" w:rsidRDefault="001A570A">
            <w:pPr>
              <w:rPr>
                <w:rFonts w:eastAsia="Times New Roman"/>
                <w:sz w:val="20"/>
                <w:szCs w:val="20"/>
              </w:rPr>
            </w:pPr>
          </w:p>
        </w:tc>
        <w:tc>
          <w:tcPr>
            <w:tcW w:w="549" w:type="pct"/>
            <w:vAlign w:val="center"/>
            <w:hideMark/>
          </w:tcPr>
          <w:p w14:paraId="3C986569" w14:textId="77777777" w:rsidR="00000000" w:rsidRDefault="001A570A">
            <w:pPr>
              <w:rPr>
                <w:rFonts w:eastAsia="Times New Roman"/>
                <w:sz w:val="20"/>
                <w:szCs w:val="20"/>
              </w:rPr>
            </w:pPr>
          </w:p>
        </w:tc>
        <w:tc>
          <w:tcPr>
            <w:tcW w:w="5" w:type="pct"/>
            <w:vAlign w:val="center"/>
            <w:hideMark/>
          </w:tcPr>
          <w:p w14:paraId="3D774DF4" w14:textId="77777777" w:rsidR="00000000" w:rsidRDefault="001A570A">
            <w:pPr>
              <w:rPr>
                <w:rFonts w:eastAsia="Times New Roman"/>
                <w:sz w:val="20"/>
                <w:szCs w:val="20"/>
              </w:rPr>
            </w:pPr>
          </w:p>
        </w:tc>
        <w:tc>
          <w:tcPr>
            <w:tcW w:w="5" w:type="pct"/>
            <w:vAlign w:val="center"/>
            <w:hideMark/>
          </w:tcPr>
          <w:p w14:paraId="24F65732" w14:textId="77777777" w:rsidR="00000000" w:rsidRDefault="001A570A">
            <w:pPr>
              <w:rPr>
                <w:rFonts w:eastAsia="Times New Roman"/>
                <w:sz w:val="20"/>
                <w:szCs w:val="20"/>
              </w:rPr>
            </w:pPr>
          </w:p>
        </w:tc>
        <w:tc>
          <w:tcPr>
            <w:tcW w:w="25" w:type="pct"/>
            <w:vAlign w:val="center"/>
            <w:hideMark/>
          </w:tcPr>
          <w:p w14:paraId="197BCC91" w14:textId="77777777" w:rsidR="00000000" w:rsidRDefault="001A570A">
            <w:pPr>
              <w:rPr>
                <w:rFonts w:eastAsia="Times New Roman"/>
                <w:sz w:val="20"/>
                <w:szCs w:val="20"/>
              </w:rPr>
            </w:pPr>
          </w:p>
        </w:tc>
        <w:tc>
          <w:tcPr>
            <w:tcW w:w="5" w:type="pct"/>
            <w:vAlign w:val="center"/>
            <w:hideMark/>
          </w:tcPr>
          <w:p w14:paraId="3D63A161" w14:textId="77777777" w:rsidR="00000000" w:rsidRDefault="001A570A">
            <w:pPr>
              <w:rPr>
                <w:rFonts w:eastAsia="Times New Roman"/>
                <w:sz w:val="20"/>
                <w:szCs w:val="20"/>
              </w:rPr>
            </w:pPr>
          </w:p>
        </w:tc>
        <w:tc>
          <w:tcPr>
            <w:tcW w:w="50" w:type="pct"/>
            <w:vAlign w:val="center"/>
            <w:hideMark/>
          </w:tcPr>
          <w:p w14:paraId="3232E3C0" w14:textId="77777777" w:rsidR="00000000" w:rsidRDefault="001A570A">
            <w:pPr>
              <w:rPr>
                <w:rFonts w:eastAsia="Times New Roman"/>
                <w:sz w:val="20"/>
                <w:szCs w:val="20"/>
              </w:rPr>
            </w:pPr>
          </w:p>
        </w:tc>
        <w:tc>
          <w:tcPr>
            <w:tcW w:w="549" w:type="pct"/>
            <w:vAlign w:val="center"/>
            <w:hideMark/>
          </w:tcPr>
          <w:p w14:paraId="65580A99" w14:textId="77777777" w:rsidR="00000000" w:rsidRDefault="001A570A">
            <w:pPr>
              <w:rPr>
                <w:rFonts w:eastAsia="Times New Roman"/>
                <w:sz w:val="20"/>
                <w:szCs w:val="20"/>
              </w:rPr>
            </w:pPr>
          </w:p>
        </w:tc>
        <w:tc>
          <w:tcPr>
            <w:tcW w:w="5" w:type="pct"/>
            <w:vAlign w:val="center"/>
            <w:hideMark/>
          </w:tcPr>
          <w:p w14:paraId="7D9B8537" w14:textId="77777777" w:rsidR="00000000" w:rsidRDefault="001A570A">
            <w:pPr>
              <w:rPr>
                <w:rFonts w:eastAsia="Times New Roman"/>
                <w:sz w:val="20"/>
                <w:szCs w:val="20"/>
              </w:rPr>
            </w:pPr>
          </w:p>
        </w:tc>
      </w:tr>
      <w:tr w:rsidR="00000000" w14:paraId="154948C7" w14:textId="77777777">
        <w:trPr>
          <w:divId w:val="1372077943"/>
        </w:trPr>
        <w:tc>
          <w:tcPr>
            <w:tcW w:w="0" w:type="auto"/>
            <w:gridSpan w:val="3"/>
            <w:tcMar>
              <w:top w:w="30" w:type="dxa"/>
              <w:left w:w="20" w:type="dxa"/>
              <w:bottom w:w="30" w:type="dxa"/>
              <w:right w:w="20" w:type="dxa"/>
            </w:tcMar>
            <w:vAlign w:val="bottom"/>
            <w:hideMark/>
          </w:tcPr>
          <w:p w14:paraId="454E842F"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031C5CE"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30" w:type="dxa"/>
              <w:left w:w="20" w:type="dxa"/>
              <w:bottom w:w="30" w:type="dxa"/>
              <w:right w:w="20" w:type="dxa"/>
            </w:tcMar>
            <w:vAlign w:val="bottom"/>
            <w:hideMark/>
          </w:tcPr>
          <w:p w14:paraId="407E5BA8"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A8F248E"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707A4455"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1D9C6E89"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17AC5589" w14:textId="77777777">
        <w:trPr>
          <w:divId w:val="1372077943"/>
        </w:trPr>
        <w:tc>
          <w:tcPr>
            <w:tcW w:w="0" w:type="auto"/>
            <w:gridSpan w:val="3"/>
            <w:tcMar>
              <w:top w:w="30" w:type="dxa"/>
              <w:left w:w="20" w:type="dxa"/>
              <w:bottom w:w="30" w:type="dxa"/>
              <w:right w:w="20" w:type="dxa"/>
            </w:tcMar>
            <w:vAlign w:val="bottom"/>
            <w:hideMark/>
          </w:tcPr>
          <w:p w14:paraId="3779A6F3"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1069C02"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30" w:type="dxa"/>
              <w:left w:w="20" w:type="dxa"/>
              <w:bottom w:w="30" w:type="dxa"/>
              <w:right w:w="20" w:type="dxa"/>
            </w:tcMar>
            <w:vAlign w:val="bottom"/>
            <w:hideMark/>
          </w:tcPr>
          <w:p w14:paraId="059BC981"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48E05FF"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1788E0F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2AB7E5"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6DDC26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78C1B7" w14:textId="77777777" w:rsidR="00000000" w:rsidRDefault="001A570A">
            <w:pPr>
              <w:jc w:val="center"/>
              <w:rPr>
                <w:rFonts w:eastAsia="Times New Roman"/>
              </w:rPr>
            </w:pPr>
            <w:r>
              <w:rPr>
                <w:rFonts w:eastAsia="Times New Roman"/>
                <w:b/>
                <w:bCs/>
                <w:color w:val="000000"/>
                <w:sz w:val="16"/>
                <w:szCs w:val="16"/>
              </w:rPr>
              <w:t>June 29, 2018</w:t>
            </w:r>
          </w:p>
        </w:tc>
      </w:tr>
      <w:tr w:rsidR="00000000" w14:paraId="564E8C3D" w14:textId="77777777">
        <w:trPr>
          <w:divId w:val="1372077943"/>
          <w:trHeight w:val="60"/>
        </w:trPr>
        <w:tc>
          <w:tcPr>
            <w:tcW w:w="0" w:type="auto"/>
            <w:gridSpan w:val="3"/>
            <w:tcMar>
              <w:top w:w="0" w:type="dxa"/>
              <w:left w:w="20" w:type="dxa"/>
              <w:bottom w:w="0" w:type="dxa"/>
              <w:right w:w="20" w:type="dxa"/>
            </w:tcMar>
            <w:vAlign w:val="center"/>
            <w:hideMark/>
          </w:tcPr>
          <w:p w14:paraId="495A2A42"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313F66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FDF96E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AC96B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B20092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0B3ED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576574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FF4032" w14:textId="77777777" w:rsidR="00000000" w:rsidRDefault="001A570A">
            <w:pPr>
              <w:rPr>
                <w:rFonts w:eastAsia="Times New Roman"/>
                <w:sz w:val="20"/>
                <w:szCs w:val="20"/>
              </w:rPr>
            </w:pPr>
          </w:p>
        </w:tc>
      </w:tr>
      <w:tr w:rsidR="00000000" w14:paraId="32F40B3A" w14:textId="77777777">
        <w:trPr>
          <w:divId w:val="1372077943"/>
        </w:trPr>
        <w:tc>
          <w:tcPr>
            <w:tcW w:w="0" w:type="auto"/>
            <w:gridSpan w:val="3"/>
            <w:shd w:val="clear" w:color="auto" w:fill="CCEEFF"/>
            <w:tcMar>
              <w:top w:w="30" w:type="dxa"/>
              <w:left w:w="20" w:type="dxa"/>
              <w:bottom w:w="30" w:type="dxa"/>
              <w:right w:w="20" w:type="dxa"/>
            </w:tcMar>
            <w:hideMark/>
          </w:tcPr>
          <w:p w14:paraId="1E66E457" w14:textId="77777777" w:rsidR="00000000" w:rsidRDefault="001A570A">
            <w:pPr>
              <w:divId w:val="1099908307"/>
              <w:rPr>
                <w:rFonts w:eastAsia="Times New Roman"/>
              </w:rPr>
            </w:pPr>
            <w:r>
              <w:rPr>
                <w:rFonts w:eastAsia="Times New Roman"/>
                <w:color w:val="000000"/>
                <w:sz w:val="20"/>
                <w:szCs w:val="20"/>
              </w:rPr>
              <w:t>Pension adjustmen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6C52B1D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7CCBC9" w14:textId="77777777" w:rsidR="00000000" w:rsidRDefault="001A570A">
            <w:pPr>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14:paraId="3DA2B9A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9417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1241F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7A37C3" w14:textId="77777777" w:rsidR="00000000" w:rsidRDefault="001A570A">
            <w:pPr>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14:paraId="12BA1E2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4016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57C07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7E5C9B" w14:textId="77777777" w:rsidR="00000000" w:rsidRDefault="001A570A">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14:paraId="54B390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BE68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56E03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E499C4" w14:textId="77777777" w:rsidR="00000000" w:rsidRDefault="001A570A">
            <w:pPr>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14:paraId="73EBAA60" w14:textId="77777777" w:rsidR="00000000" w:rsidRDefault="001A570A">
            <w:pPr>
              <w:jc w:val="right"/>
              <w:rPr>
                <w:rFonts w:eastAsia="Times New Roman"/>
              </w:rPr>
            </w:pPr>
          </w:p>
        </w:tc>
      </w:tr>
      <w:tr w:rsidR="00000000" w14:paraId="34647FD3" w14:textId="77777777">
        <w:trPr>
          <w:divId w:val="1372077943"/>
        </w:trPr>
        <w:tc>
          <w:tcPr>
            <w:tcW w:w="0" w:type="auto"/>
            <w:gridSpan w:val="3"/>
            <w:shd w:val="clear" w:color="auto" w:fill="FFFFFF"/>
            <w:tcMar>
              <w:top w:w="30" w:type="dxa"/>
              <w:left w:w="20" w:type="dxa"/>
              <w:bottom w:w="30" w:type="dxa"/>
              <w:right w:w="20" w:type="dxa"/>
            </w:tcMar>
            <w:vAlign w:val="bottom"/>
            <w:hideMark/>
          </w:tcPr>
          <w:p w14:paraId="575F8EB4" w14:textId="77777777" w:rsidR="00000000" w:rsidRDefault="001A570A">
            <w:pPr>
              <w:rPr>
                <w:rFonts w:eastAsia="Times New Roman"/>
              </w:rPr>
            </w:pPr>
            <w:r>
              <w:rPr>
                <w:rFonts w:eastAsia="Times New Roman"/>
                <w:color w:val="000000"/>
                <w:sz w:val="20"/>
                <w:szCs w:val="20"/>
              </w:rPr>
              <w:t>Gain on pension plan curtailment</w:t>
            </w:r>
          </w:p>
        </w:tc>
        <w:tc>
          <w:tcPr>
            <w:tcW w:w="0" w:type="auto"/>
            <w:gridSpan w:val="2"/>
            <w:shd w:val="clear" w:color="auto" w:fill="FFFFFF"/>
            <w:tcMar>
              <w:top w:w="30" w:type="dxa"/>
              <w:left w:w="20" w:type="dxa"/>
              <w:bottom w:w="30" w:type="dxa"/>
              <w:right w:w="0" w:type="dxa"/>
            </w:tcMar>
            <w:vAlign w:val="bottom"/>
            <w:hideMark/>
          </w:tcPr>
          <w:p w14:paraId="07F2790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1A52D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8022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67C8A"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690477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1D9E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09F9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B78B0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D21D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946C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4DD155" w14:textId="77777777" w:rsidR="00000000" w:rsidRDefault="001A570A">
            <w:pPr>
              <w:jc w:val="right"/>
              <w:rPr>
                <w:rFonts w:eastAsia="Times New Roman"/>
              </w:rPr>
            </w:pPr>
          </w:p>
        </w:tc>
      </w:tr>
      <w:tr w:rsidR="00000000" w14:paraId="717F14E8" w14:textId="77777777">
        <w:trPr>
          <w:divId w:val="1372077943"/>
        </w:trPr>
        <w:tc>
          <w:tcPr>
            <w:tcW w:w="0" w:type="auto"/>
            <w:gridSpan w:val="3"/>
            <w:shd w:val="clear" w:color="auto" w:fill="CCEEFF"/>
            <w:tcMar>
              <w:top w:w="30" w:type="dxa"/>
              <w:left w:w="20" w:type="dxa"/>
              <w:bottom w:w="30" w:type="dxa"/>
              <w:right w:w="20" w:type="dxa"/>
            </w:tcMar>
            <w:vAlign w:val="bottom"/>
            <w:hideMark/>
          </w:tcPr>
          <w:p w14:paraId="0E88823E" w14:textId="77777777" w:rsidR="00000000" w:rsidRDefault="001A570A">
            <w:pPr>
              <w:divId w:val="1949771733"/>
              <w:rPr>
                <w:rFonts w:eastAsia="Times New Roman"/>
              </w:rPr>
            </w:pPr>
            <w:r>
              <w:rPr>
                <w:rFonts w:eastAsia="Times New Roman"/>
                <w:color w:val="000000"/>
                <w:sz w:val="20"/>
                <w:szCs w:val="20"/>
              </w:rPr>
              <w:t>Gain (loss) on extinguishment of deb</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5F94E08"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83343A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720B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F6F37"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030A5D3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5A38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7E2DA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AA73C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95D4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EC7CE2" w14:textId="77777777" w:rsidR="00000000" w:rsidRDefault="001A570A">
            <w:pPr>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397FA8E4" w14:textId="77777777" w:rsidR="00000000" w:rsidRDefault="001A570A">
            <w:pPr>
              <w:jc w:val="right"/>
              <w:rPr>
                <w:rFonts w:eastAsia="Times New Roman"/>
              </w:rPr>
            </w:pPr>
          </w:p>
        </w:tc>
      </w:tr>
      <w:tr w:rsidR="00000000" w14:paraId="20846E48" w14:textId="77777777">
        <w:trPr>
          <w:divId w:val="1372077943"/>
        </w:trPr>
        <w:tc>
          <w:tcPr>
            <w:tcW w:w="0" w:type="auto"/>
            <w:gridSpan w:val="3"/>
            <w:vAlign w:val="center"/>
            <w:hideMark/>
          </w:tcPr>
          <w:p w14:paraId="3351FF91" w14:textId="77777777" w:rsidR="00000000" w:rsidRDefault="001A570A">
            <w:pPr>
              <w:jc w:val="right"/>
              <w:rPr>
                <w:rFonts w:eastAsia="Times New Roman"/>
                <w:sz w:val="20"/>
                <w:szCs w:val="20"/>
              </w:rPr>
            </w:pPr>
          </w:p>
        </w:tc>
        <w:tc>
          <w:tcPr>
            <w:tcW w:w="0" w:type="auto"/>
            <w:gridSpan w:val="3"/>
            <w:vAlign w:val="center"/>
            <w:hideMark/>
          </w:tcPr>
          <w:p w14:paraId="6BC63E1B" w14:textId="77777777" w:rsidR="00000000" w:rsidRDefault="001A570A">
            <w:pPr>
              <w:rPr>
                <w:rFonts w:eastAsia="Times New Roman"/>
                <w:sz w:val="20"/>
                <w:szCs w:val="20"/>
              </w:rPr>
            </w:pPr>
          </w:p>
        </w:tc>
        <w:tc>
          <w:tcPr>
            <w:tcW w:w="0" w:type="auto"/>
            <w:gridSpan w:val="3"/>
            <w:vAlign w:val="center"/>
            <w:hideMark/>
          </w:tcPr>
          <w:p w14:paraId="2F49893F" w14:textId="77777777" w:rsidR="00000000" w:rsidRDefault="001A570A">
            <w:pPr>
              <w:rPr>
                <w:rFonts w:eastAsia="Times New Roman"/>
                <w:sz w:val="20"/>
                <w:szCs w:val="20"/>
              </w:rPr>
            </w:pPr>
          </w:p>
        </w:tc>
        <w:tc>
          <w:tcPr>
            <w:tcW w:w="0" w:type="auto"/>
            <w:gridSpan w:val="3"/>
            <w:vAlign w:val="center"/>
            <w:hideMark/>
          </w:tcPr>
          <w:p w14:paraId="3322FE0B" w14:textId="77777777" w:rsidR="00000000" w:rsidRDefault="001A570A">
            <w:pPr>
              <w:rPr>
                <w:rFonts w:eastAsia="Times New Roman"/>
                <w:sz w:val="20"/>
                <w:szCs w:val="20"/>
              </w:rPr>
            </w:pPr>
          </w:p>
        </w:tc>
        <w:tc>
          <w:tcPr>
            <w:tcW w:w="0" w:type="auto"/>
            <w:gridSpan w:val="3"/>
            <w:vAlign w:val="center"/>
            <w:hideMark/>
          </w:tcPr>
          <w:p w14:paraId="6078C2C3" w14:textId="77777777" w:rsidR="00000000" w:rsidRDefault="001A570A">
            <w:pPr>
              <w:rPr>
                <w:rFonts w:eastAsia="Times New Roman"/>
                <w:sz w:val="20"/>
                <w:szCs w:val="20"/>
              </w:rPr>
            </w:pPr>
          </w:p>
        </w:tc>
        <w:tc>
          <w:tcPr>
            <w:tcW w:w="0" w:type="auto"/>
            <w:gridSpan w:val="3"/>
            <w:vAlign w:val="center"/>
            <w:hideMark/>
          </w:tcPr>
          <w:p w14:paraId="13D499B8" w14:textId="77777777" w:rsidR="00000000" w:rsidRDefault="001A570A">
            <w:pPr>
              <w:rPr>
                <w:rFonts w:eastAsia="Times New Roman"/>
                <w:sz w:val="20"/>
                <w:szCs w:val="20"/>
              </w:rPr>
            </w:pPr>
          </w:p>
        </w:tc>
        <w:tc>
          <w:tcPr>
            <w:tcW w:w="0" w:type="auto"/>
            <w:gridSpan w:val="3"/>
            <w:vAlign w:val="center"/>
            <w:hideMark/>
          </w:tcPr>
          <w:p w14:paraId="5E19EA61" w14:textId="77777777" w:rsidR="00000000" w:rsidRDefault="001A570A">
            <w:pPr>
              <w:rPr>
                <w:rFonts w:eastAsia="Times New Roman"/>
                <w:sz w:val="20"/>
                <w:szCs w:val="20"/>
              </w:rPr>
            </w:pPr>
          </w:p>
        </w:tc>
        <w:tc>
          <w:tcPr>
            <w:tcW w:w="0" w:type="auto"/>
            <w:gridSpan w:val="3"/>
            <w:vAlign w:val="center"/>
            <w:hideMark/>
          </w:tcPr>
          <w:p w14:paraId="23417078" w14:textId="77777777" w:rsidR="00000000" w:rsidRDefault="001A570A">
            <w:pPr>
              <w:rPr>
                <w:rFonts w:eastAsia="Times New Roman"/>
                <w:sz w:val="20"/>
                <w:szCs w:val="20"/>
              </w:rPr>
            </w:pPr>
          </w:p>
        </w:tc>
      </w:tr>
      <w:tr w:rsidR="00000000" w14:paraId="7BC494F8" w14:textId="77777777">
        <w:trPr>
          <w:divId w:val="1372077943"/>
        </w:trPr>
        <w:tc>
          <w:tcPr>
            <w:tcW w:w="0" w:type="auto"/>
            <w:gridSpan w:val="3"/>
            <w:vAlign w:val="center"/>
            <w:hideMark/>
          </w:tcPr>
          <w:p w14:paraId="13878CF6" w14:textId="77777777" w:rsidR="00000000" w:rsidRDefault="001A570A">
            <w:pPr>
              <w:rPr>
                <w:rFonts w:eastAsia="Times New Roman"/>
                <w:sz w:val="20"/>
                <w:szCs w:val="20"/>
              </w:rPr>
            </w:pPr>
          </w:p>
        </w:tc>
        <w:tc>
          <w:tcPr>
            <w:tcW w:w="0" w:type="auto"/>
            <w:gridSpan w:val="3"/>
            <w:vAlign w:val="center"/>
            <w:hideMark/>
          </w:tcPr>
          <w:p w14:paraId="523773CF" w14:textId="77777777" w:rsidR="00000000" w:rsidRDefault="001A570A">
            <w:pPr>
              <w:rPr>
                <w:rFonts w:eastAsia="Times New Roman"/>
                <w:sz w:val="20"/>
                <w:szCs w:val="20"/>
              </w:rPr>
            </w:pPr>
          </w:p>
        </w:tc>
        <w:tc>
          <w:tcPr>
            <w:tcW w:w="0" w:type="auto"/>
            <w:gridSpan w:val="3"/>
            <w:vAlign w:val="center"/>
            <w:hideMark/>
          </w:tcPr>
          <w:p w14:paraId="3462C01D" w14:textId="77777777" w:rsidR="00000000" w:rsidRDefault="001A570A">
            <w:pPr>
              <w:rPr>
                <w:rFonts w:eastAsia="Times New Roman"/>
                <w:sz w:val="20"/>
                <w:szCs w:val="20"/>
              </w:rPr>
            </w:pPr>
          </w:p>
        </w:tc>
        <w:tc>
          <w:tcPr>
            <w:tcW w:w="0" w:type="auto"/>
            <w:gridSpan w:val="3"/>
            <w:vAlign w:val="center"/>
            <w:hideMark/>
          </w:tcPr>
          <w:p w14:paraId="4B70F24D" w14:textId="77777777" w:rsidR="00000000" w:rsidRDefault="001A570A">
            <w:pPr>
              <w:rPr>
                <w:rFonts w:eastAsia="Times New Roman"/>
                <w:sz w:val="20"/>
                <w:szCs w:val="20"/>
              </w:rPr>
            </w:pPr>
          </w:p>
        </w:tc>
        <w:tc>
          <w:tcPr>
            <w:tcW w:w="0" w:type="auto"/>
            <w:gridSpan w:val="3"/>
            <w:vAlign w:val="center"/>
            <w:hideMark/>
          </w:tcPr>
          <w:p w14:paraId="470C3EAD" w14:textId="77777777" w:rsidR="00000000" w:rsidRDefault="001A570A">
            <w:pPr>
              <w:rPr>
                <w:rFonts w:eastAsia="Times New Roman"/>
                <w:sz w:val="20"/>
                <w:szCs w:val="20"/>
              </w:rPr>
            </w:pPr>
          </w:p>
        </w:tc>
        <w:tc>
          <w:tcPr>
            <w:tcW w:w="0" w:type="auto"/>
            <w:gridSpan w:val="3"/>
            <w:vAlign w:val="center"/>
            <w:hideMark/>
          </w:tcPr>
          <w:p w14:paraId="3BCD505C" w14:textId="77777777" w:rsidR="00000000" w:rsidRDefault="001A570A">
            <w:pPr>
              <w:rPr>
                <w:rFonts w:eastAsia="Times New Roman"/>
                <w:sz w:val="20"/>
                <w:szCs w:val="20"/>
              </w:rPr>
            </w:pPr>
          </w:p>
        </w:tc>
        <w:tc>
          <w:tcPr>
            <w:tcW w:w="0" w:type="auto"/>
            <w:gridSpan w:val="3"/>
            <w:vAlign w:val="center"/>
            <w:hideMark/>
          </w:tcPr>
          <w:p w14:paraId="4E90A746" w14:textId="77777777" w:rsidR="00000000" w:rsidRDefault="001A570A">
            <w:pPr>
              <w:rPr>
                <w:rFonts w:eastAsia="Times New Roman"/>
                <w:sz w:val="20"/>
                <w:szCs w:val="20"/>
              </w:rPr>
            </w:pPr>
          </w:p>
        </w:tc>
        <w:tc>
          <w:tcPr>
            <w:tcW w:w="0" w:type="auto"/>
            <w:gridSpan w:val="3"/>
            <w:vAlign w:val="center"/>
            <w:hideMark/>
          </w:tcPr>
          <w:p w14:paraId="1E6DF7B5" w14:textId="77777777" w:rsidR="00000000" w:rsidRDefault="001A570A">
            <w:pPr>
              <w:rPr>
                <w:rFonts w:eastAsia="Times New Roman"/>
                <w:sz w:val="20"/>
                <w:szCs w:val="20"/>
              </w:rPr>
            </w:pPr>
          </w:p>
        </w:tc>
      </w:tr>
      <w:tr w:rsidR="00000000" w14:paraId="1DAB8614" w14:textId="77777777">
        <w:trPr>
          <w:divId w:val="1372077943"/>
        </w:trPr>
        <w:tc>
          <w:tcPr>
            <w:tcW w:w="0" w:type="auto"/>
            <w:gridSpan w:val="3"/>
            <w:vAlign w:val="center"/>
            <w:hideMark/>
          </w:tcPr>
          <w:p w14:paraId="3F93F377" w14:textId="77777777" w:rsidR="00000000" w:rsidRDefault="001A570A">
            <w:pPr>
              <w:rPr>
                <w:rFonts w:eastAsia="Times New Roman"/>
                <w:sz w:val="20"/>
                <w:szCs w:val="20"/>
              </w:rPr>
            </w:pPr>
          </w:p>
        </w:tc>
        <w:tc>
          <w:tcPr>
            <w:tcW w:w="0" w:type="auto"/>
            <w:gridSpan w:val="3"/>
            <w:vAlign w:val="center"/>
            <w:hideMark/>
          </w:tcPr>
          <w:p w14:paraId="29F0025C" w14:textId="77777777" w:rsidR="00000000" w:rsidRDefault="001A570A">
            <w:pPr>
              <w:rPr>
                <w:rFonts w:eastAsia="Times New Roman"/>
                <w:sz w:val="20"/>
                <w:szCs w:val="20"/>
              </w:rPr>
            </w:pPr>
          </w:p>
        </w:tc>
        <w:tc>
          <w:tcPr>
            <w:tcW w:w="0" w:type="auto"/>
            <w:gridSpan w:val="3"/>
            <w:vAlign w:val="center"/>
            <w:hideMark/>
          </w:tcPr>
          <w:p w14:paraId="77974D00" w14:textId="77777777" w:rsidR="00000000" w:rsidRDefault="001A570A">
            <w:pPr>
              <w:rPr>
                <w:rFonts w:eastAsia="Times New Roman"/>
                <w:sz w:val="20"/>
                <w:szCs w:val="20"/>
              </w:rPr>
            </w:pPr>
          </w:p>
        </w:tc>
        <w:tc>
          <w:tcPr>
            <w:tcW w:w="0" w:type="auto"/>
            <w:gridSpan w:val="3"/>
            <w:vAlign w:val="center"/>
            <w:hideMark/>
          </w:tcPr>
          <w:p w14:paraId="0271E114" w14:textId="77777777" w:rsidR="00000000" w:rsidRDefault="001A570A">
            <w:pPr>
              <w:rPr>
                <w:rFonts w:eastAsia="Times New Roman"/>
                <w:sz w:val="20"/>
                <w:szCs w:val="20"/>
              </w:rPr>
            </w:pPr>
          </w:p>
        </w:tc>
        <w:tc>
          <w:tcPr>
            <w:tcW w:w="0" w:type="auto"/>
            <w:gridSpan w:val="3"/>
            <w:vAlign w:val="center"/>
            <w:hideMark/>
          </w:tcPr>
          <w:p w14:paraId="65D47B47" w14:textId="77777777" w:rsidR="00000000" w:rsidRDefault="001A570A">
            <w:pPr>
              <w:rPr>
                <w:rFonts w:eastAsia="Times New Roman"/>
                <w:sz w:val="20"/>
                <w:szCs w:val="20"/>
              </w:rPr>
            </w:pPr>
          </w:p>
        </w:tc>
        <w:tc>
          <w:tcPr>
            <w:tcW w:w="0" w:type="auto"/>
            <w:gridSpan w:val="3"/>
            <w:vAlign w:val="center"/>
            <w:hideMark/>
          </w:tcPr>
          <w:p w14:paraId="238A49C9" w14:textId="77777777" w:rsidR="00000000" w:rsidRDefault="001A570A">
            <w:pPr>
              <w:rPr>
                <w:rFonts w:eastAsia="Times New Roman"/>
                <w:sz w:val="20"/>
                <w:szCs w:val="20"/>
              </w:rPr>
            </w:pPr>
          </w:p>
        </w:tc>
        <w:tc>
          <w:tcPr>
            <w:tcW w:w="0" w:type="auto"/>
            <w:gridSpan w:val="3"/>
            <w:vAlign w:val="center"/>
            <w:hideMark/>
          </w:tcPr>
          <w:p w14:paraId="0B3D5939" w14:textId="77777777" w:rsidR="00000000" w:rsidRDefault="001A570A">
            <w:pPr>
              <w:rPr>
                <w:rFonts w:eastAsia="Times New Roman"/>
                <w:sz w:val="20"/>
                <w:szCs w:val="20"/>
              </w:rPr>
            </w:pPr>
          </w:p>
        </w:tc>
        <w:tc>
          <w:tcPr>
            <w:tcW w:w="0" w:type="auto"/>
            <w:gridSpan w:val="3"/>
            <w:vAlign w:val="center"/>
            <w:hideMark/>
          </w:tcPr>
          <w:p w14:paraId="4B9491D5" w14:textId="77777777" w:rsidR="00000000" w:rsidRDefault="001A570A">
            <w:pPr>
              <w:rPr>
                <w:rFonts w:eastAsia="Times New Roman"/>
                <w:sz w:val="20"/>
                <w:szCs w:val="20"/>
              </w:rPr>
            </w:pPr>
          </w:p>
        </w:tc>
      </w:tr>
      <w:tr w:rsidR="00000000" w14:paraId="630F5134" w14:textId="77777777">
        <w:trPr>
          <w:divId w:val="1372077943"/>
        </w:trPr>
        <w:tc>
          <w:tcPr>
            <w:tcW w:w="0" w:type="auto"/>
            <w:gridSpan w:val="3"/>
            <w:shd w:val="clear" w:color="auto" w:fill="FFFFFF"/>
            <w:tcMar>
              <w:top w:w="30" w:type="dxa"/>
              <w:left w:w="20" w:type="dxa"/>
              <w:bottom w:w="30" w:type="dxa"/>
              <w:right w:w="20" w:type="dxa"/>
            </w:tcMar>
            <w:hideMark/>
          </w:tcPr>
          <w:p w14:paraId="58435DBE"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2B702FDF"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09E93C6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0073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1150F"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DF198A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9D49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EBA11"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F9504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76E8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74A65" w14:textId="77777777" w:rsidR="00000000" w:rsidRDefault="001A570A">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6F1DBE02" w14:textId="77777777" w:rsidR="00000000" w:rsidRDefault="001A570A">
            <w:pPr>
              <w:jc w:val="right"/>
              <w:rPr>
                <w:rFonts w:eastAsia="Times New Roman"/>
              </w:rPr>
            </w:pPr>
          </w:p>
        </w:tc>
      </w:tr>
      <w:tr w:rsidR="00000000" w14:paraId="0C026D19" w14:textId="77777777">
        <w:trPr>
          <w:divId w:val="1372077943"/>
        </w:trPr>
        <w:tc>
          <w:tcPr>
            <w:tcW w:w="0" w:type="auto"/>
            <w:gridSpan w:val="3"/>
            <w:shd w:val="clear" w:color="auto" w:fill="CCEEFF"/>
            <w:tcMar>
              <w:top w:w="0" w:type="dxa"/>
              <w:left w:w="20" w:type="dxa"/>
              <w:bottom w:w="0" w:type="dxa"/>
              <w:right w:w="20" w:type="dxa"/>
            </w:tcMar>
            <w:vAlign w:val="center"/>
            <w:hideMark/>
          </w:tcPr>
          <w:p w14:paraId="5DAB291B"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54DC4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929595" w14:textId="77777777" w:rsidR="00000000" w:rsidRDefault="001A570A">
            <w:pPr>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816B8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6807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7C3DE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60E3B4" w14:textId="77777777" w:rsidR="00000000" w:rsidRDefault="001A570A">
            <w:pPr>
              <w:jc w:val="right"/>
              <w:rPr>
                <w:rFonts w:eastAsia="Times New Roman"/>
              </w:rPr>
            </w:pPr>
            <w:r>
              <w:rPr>
                <w:rFonts w:eastAsia="Times New Roman"/>
                <w:color w:val="000000"/>
                <w:sz w:val="20"/>
                <w:szCs w:val="20"/>
              </w:rPr>
              <w:t>192 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0C16D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4A3D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9DA33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8ADBA8" w14:textId="77777777" w:rsidR="00000000" w:rsidRDefault="001A570A">
            <w:pPr>
              <w:jc w:val="right"/>
              <w:rPr>
                <w:rFonts w:eastAsia="Times New Roman"/>
              </w:rPr>
            </w:pPr>
            <w:r>
              <w:rPr>
                <w:rFonts w:eastAsia="Times New Roman"/>
                <w:color w:val="000000"/>
                <w:sz w:val="20"/>
                <w:szCs w:val="20"/>
              </w:rPr>
              <w:t>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1986B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2B7D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624E0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591800" w14:textId="77777777" w:rsidR="00000000" w:rsidRDefault="001A570A">
            <w:pPr>
              <w:jc w:val="right"/>
              <w:rPr>
                <w:rFonts w:eastAsia="Times New Roman"/>
              </w:rPr>
            </w:pPr>
            <w:r>
              <w:rPr>
                <w:rFonts w:eastAsia="Times New Roman"/>
                <w:color w:val="000000"/>
                <w:sz w:val="20"/>
                <w:szCs w:val="20"/>
              </w:rPr>
              <w:t>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FA725E" w14:textId="77777777" w:rsidR="00000000" w:rsidRDefault="001A570A">
            <w:pPr>
              <w:jc w:val="right"/>
              <w:rPr>
                <w:rFonts w:eastAsia="Times New Roman"/>
              </w:rPr>
            </w:pPr>
          </w:p>
        </w:tc>
      </w:tr>
    </w:tbl>
    <w:p w14:paraId="54200FC1" w14:textId="77777777" w:rsidR="00000000" w:rsidRDefault="001A570A">
      <w:pPr>
        <w:divId w:val="1562446085"/>
        <w:rPr>
          <w:rFonts w:eastAsia="Times New Roman"/>
        </w:rPr>
      </w:pPr>
      <w:r>
        <w:rPr>
          <w:rFonts w:eastAsia="Times New Roman"/>
          <w:color w:val="000000"/>
          <w:sz w:val="16"/>
          <w:szCs w:val="16"/>
        </w:rPr>
        <w:t>_______________</w:t>
      </w:r>
    </w:p>
    <w:p w14:paraId="6D093760" w14:textId="77777777" w:rsidR="00000000" w:rsidRDefault="001A570A">
      <w:pPr>
        <w:ind w:hanging="360"/>
        <w:divId w:val="348027530"/>
        <w:rPr>
          <w:rFonts w:eastAsia="Times New Roman"/>
        </w:rPr>
      </w:pPr>
      <w:r>
        <w:rPr>
          <w:rFonts w:eastAsia="Times New Roman"/>
          <w:color w:val="000000"/>
          <w:sz w:val="16"/>
          <w:szCs w:val="16"/>
        </w:rPr>
        <w:t>(1)The non-service components of net periodic pension and postretirem</w:t>
      </w:r>
      <w:r>
        <w:rPr>
          <w:rFonts w:eastAsia="Times New Roman"/>
          <w:color w:val="000000"/>
          <w:sz w:val="16"/>
          <w:szCs w:val="16"/>
        </w:rPr>
        <w:t>ent benefit costs include interest cost, expected return on plan assets, amortization of net actuarial gain or loss and effect of curtailments or settlements.</w:t>
      </w:r>
    </w:p>
    <w:p w14:paraId="159E5D08" w14:textId="77777777" w:rsidR="00000000" w:rsidRDefault="001A570A">
      <w:pPr>
        <w:ind w:hanging="360"/>
        <w:divId w:val="502355459"/>
        <w:rPr>
          <w:rFonts w:eastAsia="Times New Roman"/>
        </w:rPr>
      </w:pPr>
      <w:r>
        <w:rPr>
          <w:rFonts w:eastAsia="Times New Roman"/>
          <w:color w:val="000000"/>
          <w:sz w:val="16"/>
          <w:szCs w:val="16"/>
        </w:rPr>
        <w:t xml:space="preserve">(2)Gain associated with our optional redemption of the entire outstanding $650 million principal </w:t>
      </w:r>
      <w:r>
        <w:rPr>
          <w:rFonts w:eastAsia="Times New Roman"/>
          <w:color w:val="000000"/>
          <w:sz w:val="16"/>
          <w:szCs w:val="16"/>
        </w:rPr>
        <w:t>amount of our 4.95% 2021 Notes in fiscal 2020; loss associated with our optional redemption of the entire outstanding $400 million principal amount of our 2.7% 2020 Notes in the two quarters ended January 3, 2020; and losses associated with our optional re</w:t>
      </w:r>
      <w:r>
        <w:rPr>
          <w:rFonts w:eastAsia="Times New Roman"/>
          <w:color w:val="000000"/>
          <w:sz w:val="16"/>
          <w:szCs w:val="16"/>
        </w:rPr>
        <w:t>demption of the entire outstanding $800 million aggregate principal amount of our 2018 Redeemed Notes and the repayment in full of $253 million in remaining outstanding indebtedness under the 5-year tranche of our $1.3 billion senior unsecured term loan fa</w:t>
      </w:r>
      <w:r>
        <w:rPr>
          <w:rFonts w:eastAsia="Times New Roman"/>
          <w:color w:val="000000"/>
          <w:sz w:val="16"/>
          <w:szCs w:val="16"/>
        </w:rPr>
        <w:t xml:space="preserve">cility and the termination of our 2015 credit agreement in fiscal 2018. See. </w:t>
      </w:r>
      <w:r>
        <w:rPr>
          <w:rFonts w:eastAsia="Times New Roman"/>
          <w:i/>
          <w:iCs/>
          <w:color w:val="000000"/>
          <w:sz w:val="16"/>
          <w:szCs w:val="16"/>
        </w:rPr>
        <w:t>Note 14: Debt</w:t>
      </w:r>
      <w:r>
        <w:rPr>
          <w:rFonts w:eastAsia="Times New Roman"/>
          <w:color w:val="000000"/>
          <w:sz w:val="16"/>
          <w:szCs w:val="16"/>
        </w:rPr>
        <w:t xml:space="preserve"> in these Notes for additional information.</w:t>
      </w:r>
    </w:p>
    <w:p w14:paraId="7763B8D2" w14:textId="77777777" w:rsidR="00000000" w:rsidRDefault="001A570A">
      <w:pPr>
        <w:divId w:val="1449542088"/>
        <w:rPr>
          <w:rFonts w:eastAsia="Times New Roman"/>
        </w:rPr>
      </w:pPr>
      <w:r>
        <w:rPr>
          <w:rFonts w:eastAsia="Times New Roman"/>
          <w:b/>
          <w:bCs/>
          <w:color w:val="000000"/>
          <w:sz w:val="20"/>
          <w:szCs w:val="20"/>
        </w:rPr>
        <w:t>NOTE 22: ACCUMULATED OTHER COMPREHENSIVE LOSS (“AOCI”)</w:t>
      </w:r>
      <w:r>
        <w:rPr>
          <w:rFonts w:eastAsia="Times New Roman"/>
          <w:b/>
          <w:bCs/>
          <w:i/>
          <w:iCs/>
          <w:color w:val="000000"/>
          <w:sz w:val="20"/>
          <w:szCs w:val="20"/>
        </w:rPr>
        <w:t xml:space="preserve"> </w:t>
      </w:r>
    </w:p>
    <w:p w14:paraId="47B643FA" w14:textId="77777777" w:rsidR="00000000" w:rsidRDefault="001A570A">
      <w:pPr>
        <w:ind w:firstLine="450"/>
        <w:divId w:val="1041781571"/>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3348"/>
        <w:gridCol w:w="39"/>
        <w:gridCol w:w="121"/>
        <w:gridCol w:w="1015"/>
        <w:gridCol w:w="36"/>
        <w:gridCol w:w="36"/>
        <w:gridCol w:w="36"/>
        <w:gridCol w:w="36"/>
        <w:gridCol w:w="121"/>
        <w:gridCol w:w="970"/>
        <w:gridCol w:w="36"/>
        <w:gridCol w:w="36"/>
        <w:gridCol w:w="36"/>
        <w:gridCol w:w="36"/>
        <w:gridCol w:w="121"/>
        <w:gridCol w:w="970"/>
        <w:gridCol w:w="36"/>
        <w:gridCol w:w="36"/>
        <w:gridCol w:w="36"/>
        <w:gridCol w:w="36"/>
        <w:gridCol w:w="120"/>
        <w:gridCol w:w="973"/>
        <w:gridCol w:w="36"/>
      </w:tblGrid>
      <w:tr w:rsidR="00000000" w14:paraId="1994BFC9" w14:textId="77777777">
        <w:trPr>
          <w:divId w:val="510334550"/>
        </w:trPr>
        <w:tc>
          <w:tcPr>
            <w:tcW w:w="50" w:type="pct"/>
            <w:vAlign w:val="center"/>
            <w:hideMark/>
          </w:tcPr>
          <w:p w14:paraId="365AB90B" w14:textId="77777777" w:rsidR="00000000" w:rsidRDefault="001A570A">
            <w:pPr>
              <w:ind w:firstLine="450"/>
              <w:rPr>
                <w:rFonts w:eastAsia="Times New Roman"/>
              </w:rPr>
            </w:pPr>
          </w:p>
        </w:tc>
        <w:tc>
          <w:tcPr>
            <w:tcW w:w="2049" w:type="pct"/>
            <w:vAlign w:val="center"/>
            <w:hideMark/>
          </w:tcPr>
          <w:p w14:paraId="5179B210" w14:textId="77777777" w:rsidR="00000000" w:rsidRDefault="001A570A">
            <w:pPr>
              <w:rPr>
                <w:rFonts w:eastAsia="Times New Roman"/>
                <w:sz w:val="20"/>
                <w:szCs w:val="20"/>
              </w:rPr>
            </w:pPr>
          </w:p>
        </w:tc>
        <w:tc>
          <w:tcPr>
            <w:tcW w:w="5" w:type="pct"/>
            <w:vAlign w:val="center"/>
            <w:hideMark/>
          </w:tcPr>
          <w:p w14:paraId="44B0EC33" w14:textId="77777777" w:rsidR="00000000" w:rsidRDefault="001A570A">
            <w:pPr>
              <w:rPr>
                <w:rFonts w:eastAsia="Times New Roman"/>
                <w:sz w:val="20"/>
                <w:szCs w:val="20"/>
              </w:rPr>
            </w:pPr>
          </w:p>
        </w:tc>
        <w:tc>
          <w:tcPr>
            <w:tcW w:w="50" w:type="pct"/>
            <w:vAlign w:val="center"/>
            <w:hideMark/>
          </w:tcPr>
          <w:p w14:paraId="526238F1" w14:textId="77777777" w:rsidR="00000000" w:rsidRDefault="001A570A">
            <w:pPr>
              <w:rPr>
                <w:rFonts w:eastAsia="Times New Roman"/>
                <w:sz w:val="20"/>
                <w:szCs w:val="20"/>
              </w:rPr>
            </w:pPr>
          </w:p>
        </w:tc>
        <w:tc>
          <w:tcPr>
            <w:tcW w:w="641" w:type="pct"/>
            <w:vAlign w:val="center"/>
            <w:hideMark/>
          </w:tcPr>
          <w:p w14:paraId="1D2F5C48" w14:textId="77777777" w:rsidR="00000000" w:rsidRDefault="001A570A">
            <w:pPr>
              <w:rPr>
                <w:rFonts w:eastAsia="Times New Roman"/>
                <w:sz w:val="20"/>
                <w:szCs w:val="20"/>
              </w:rPr>
            </w:pPr>
          </w:p>
        </w:tc>
        <w:tc>
          <w:tcPr>
            <w:tcW w:w="5" w:type="pct"/>
            <w:vAlign w:val="center"/>
            <w:hideMark/>
          </w:tcPr>
          <w:p w14:paraId="3CF3EAC2" w14:textId="77777777" w:rsidR="00000000" w:rsidRDefault="001A570A">
            <w:pPr>
              <w:rPr>
                <w:rFonts w:eastAsia="Times New Roman"/>
                <w:sz w:val="20"/>
                <w:szCs w:val="20"/>
              </w:rPr>
            </w:pPr>
          </w:p>
        </w:tc>
        <w:tc>
          <w:tcPr>
            <w:tcW w:w="5" w:type="pct"/>
            <w:vAlign w:val="center"/>
            <w:hideMark/>
          </w:tcPr>
          <w:p w14:paraId="7481DB95" w14:textId="77777777" w:rsidR="00000000" w:rsidRDefault="001A570A">
            <w:pPr>
              <w:rPr>
                <w:rFonts w:eastAsia="Times New Roman"/>
                <w:sz w:val="20"/>
                <w:szCs w:val="20"/>
              </w:rPr>
            </w:pPr>
          </w:p>
        </w:tc>
        <w:tc>
          <w:tcPr>
            <w:tcW w:w="25" w:type="pct"/>
            <w:vAlign w:val="center"/>
            <w:hideMark/>
          </w:tcPr>
          <w:p w14:paraId="34D1CB6E" w14:textId="77777777" w:rsidR="00000000" w:rsidRDefault="001A570A">
            <w:pPr>
              <w:rPr>
                <w:rFonts w:eastAsia="Times New Roman"/>
                <w:sz w:val="20"/>
                <w:szCs w:val="20"/>
              </w:rPr>
            </w:pPr>
          </w:p>
        </w:tc>
        <w:tc>
          <w:tcPr>
            <w:tcW w:w="5" w:type="pct"/>
            <w:vAlign w:val="center"/>
            <w:hideMark/>
          </w:tcPr>
          <w:p w14:paraId="6F760ECE" w14:textId="77777777" w:rsidR="00000000" w:rsidRDefault="001A570A">
            <w:pPr>
              <w:rPr>
                <w:rFonts w:eastAsia="Times New Roman"/>
                <w:sz w:val="20"/>
                <w:szCs w:val="20"/>
              </w:rPr>
            </w:pPr>
          </w:p>
        </w:tc>
        <w:tc>
          <w:tcPr>
            <w:tcW w:w="50" w:type="pct"/>
            <w:vAlign w:val="center"/>
            <w:hideMark/>
          </w:tcPr>
          <w:p w14:paraId="1F22D87E" w14:textId="77777777" w:rsidR="00000000" w:rsidRDefault="001A570A">
            <w:pPr>
              <w:rPr>
                <w:rFonts w:eastAsia="Times New Roman"/>
                <w:sz w:val="20"/>
                <w:szCs w:val="20"/>
              </w:rPr>
            </w:pPr>
          </w:p>
        </w:tc>
        <w:tc>
          <w:tcPr>
            <w:tcW w:w="641" w:type="pct"/>
            <w:vAlign w:val="center"/>
            <w:hideMark/>
          </w:tcPr>
          <w:p w14:paraId="16D823BB" w14:textId="77777777" w:rsidR="00000000" w:rsidRDefault="001A570A">
            <w:pPr>
              <w:rPr>
                <w:rFonts w:eastAsia="Times New Roman"/>
                <w:sz w:val="20"/>
                <w:szCs w:val="20"/>
              </w:rPr>
            </w:pPr>
          </w:p>
        </w:tc>
        <w:tc>
          <w:tcPr>
            <w:tcW w:w="5" w:type="pct"/>
            <w:vAlign w:val="center"/>
            <w:hideMark/>
          </w:tcPr>
          <w:p w14:paraId="7CDF7B1F" w14:textId="77777777" w:rsidR="00000000" w:rsidRDefault="001A570A">
            <w:pPr>
              <w:rPr>
                <w:rFonts w:eastAsia="Times New Roman"/>
                <w:sz w:val="20"/>
                <w:szCs w:val="20"/>
              </w:rPr>
            </w:pPr>
          </w:p>
        </w:tc>
        <w:tc>
          <w:tcPr>
            <w:tcW w:w="5" w:type="pct"/>
            <w:vAlign w:val="center"/>
            <w:hideMark/>
          </w:tcPr>
          <w:p w14:paraId="24834B53" w14:textId="77777777" w:rsidR="00000000" w:rsidRDefault="001A570A">
            <w:pPr>
              <w:rPr>
                <w:rFonts w:eastAsia="Times New Roman"/>
                <w:sz w:val="20"/>
                <w:szCs w:val="20"/>
              </w:rPr>
            </w:pPr>
          </w:p>
        </w:tc>
        <w:tc>
          <w:tcPr>
            <w:tcW w:w="25" w:type="pct"/>
            <w:vAlign w:val="center"/>
            <w:hideMark/>
          </w:tcPr>
          <w:p w14:paraId="5BED7AC1" w14:textId="77777777" w:rsidR="00000000" w:rsidRDefault="001A570A">
            <w:pPr>
              <w:rPr>
                <w:rFonts w:eastAsia="Times New Roman"/>
                <w:sz w:val="20"/>
                <w:szCs w:val="20"/>
              </w:rPr>
            </w:pPr>
          </w:p>
        </w:tc>
        <w:tc>
          <w:tcPr>
            <w:tcW w:w="5" w:type="pct"/>
            <w:vAlign w:val="center"/>
            <w:hideMark/>
          </w:tcPr>
          <w:p w14:paraId="408B2284" w14:textId="77777777" w:rsidR="00000000" w:rsidRDefault="001A570A">
            <w:pPr>
              <w:rPr>
                <w:rFonts w:eastAsia="Times New Roman"/>
                <w:sz w:val="20"/>
                <w:szCs w:val="20"/>
              </w:rPr>
            </w:pPr>
          </w:p>
        </w:tc>
        <w:tc>
          <w:tcPr>
            <w:tcW w:w="50" w:type="pct"/>
            <w:vAlign w:val="center"/>
            <w:hideMark/>
          </w:tcPr>
          <w:p w14:paraId="34B80B14" w14:textId="77777777" w:rsidR="00000000" w:rsidRDefault="001A570A">
            <w:pPr>
              <w:rPr>
                <w:rFonts w:eastAsia="Times New Roman"/>
                <w:sz w:val="20"/>
                <w:szCs w:val="20"/>
              </w:rPr>
            </w:pPr>
          </w:p>
        </w:tc>
        <w:tc>
          <w:tcPr>
            <w:tcW w:w="641" w:type="pct"/>
            <w:vAlign w:val="center"/>
            <w:hideMark/>
          </w:tcPr>
          <w:p w14:paraId="138DD20A" w14:textId="77777777" w:rsidR="00000000" w:rsidRDefault="001A570A">
            <w:pPr>
              <w:rPr>
                <w:rFonts w:eastAsia="Times New Roman"/>
                <w:sz w:val="20"/>
                <w:szCs w:val="20"/>
              </w:rPr>
            </w:pPr>
          </w:p>
        </w:tc>
        <w:tc>
          <w:tcPr>
            <w:tcW w:w="5" w:type="pct"/>
            <w:vAlign w:val="center"/>
            <w:hideMark/>
          </w:tcPr>
          <w:p w14:paraId="42BF7FF5" w14:textId="77777777" w:rsidR="00000000" w:rsidRDefault="001A570A">
            <w:pPr>
              <w:rPr>
                <w:rFonts w:eastAsia="Times New Roman"/>
                <w:sz w:val="20"/>
                <w:szCs w:val="20"/>
              </w:rPr>
            </w:pPr>
          </w:p>
        </w:tc>
        <w:tc>
          <w:tcPr>
            <w:tcW w:w="5" w:type="pct"/>
            <w:vAlign w:val="center"/>
            <w:hideMark/>
          </w:tcPr>
          <w:p w14:paraId="479CA7EE" w14:textId="77777777" w:rsidR="00000000" w:rsidRDefault="001A570A">
            <w:pPr>
              <w:rPr>
                <w:rFonts w:eastAsia="Times New Roman"/>
                <w:sz w:val="20"/>
                <w:szCs w:val="20"/>
              </w:rPr>
            </w:pPr>
          </w:p>
        </w:tc>
        <w:tc>
          <w:tcPr>
            <w:tcW w:w="25" w:type="pct"/>
            <w:vAlign w:val="center"/>
            <w:hideMark/>
          </w:tcPr>
          <w:p w14:paraId="5FE32BB4" w14:textId="77777777" w:rsidR="00000000" w:rsidRDefault="001A570A">
            <w:pPr>
              <w:rPr>
                <w:rFonts w:eastAsia="Times New Roman"/>
                <w:sz w:val="20"/>
                <w:szCs w:val="20"/>
              </w:rPr>
            </w:pPr>
          </w:p>
        </w:tc>
        <w:tc>
          <w:tcPr>
            <w:tcW w:w="5" w:type="pct"/>
            <w:vAlign w:val="center"/>
            <w:hideMark/>
          </w:tcPr>
          <w:p w14:paraId="291074DB" w14:textId="77777777" w:rsidR="00000000" w:rsidRDefault="001A570A">
            <w:pPr>
              <w:rPr>
                <w:rFonts w:eastAsia="Times New Roman"/>
                <w:sz w:val="20"/>
                <w:szCs w:val="20"/>
              </w:rPr>
            </w:pPr>
          </w:p>
        </w:tc>
        <w:tc>
          <w:tcPr>
            <w:tcW w:w="50" w:type="pct"/>
            <w:vAlign w:val="center"/>
            <w:hideMark/>
          </w:tcPr>
          <w:p w14:paraId="775FAE93" w14:textId="77777777" w:rsidR="00000000" w:rsidRDefault="001A570A">
            <w:pPr>
              <w:rPr>
                <w:rFonts w:eastAsia="Times New Roman"/>
                <w:sz w:val="20"/>
                <w:szCs w:val="20"/>
              </w:rPr>
            </w:pPr>
          </w:p>
        </w:tc>
        <w:tc>
          <w:tcPr>
            <w:tcW w:w="642" w:type="pct"/>
            <w:vAlign w:val="center"/>
            <w:hideMark/>
          </w:tcPr>
          <w:p w14:paraId="2CB9465F" w14:textId="77777777" w:rsidR="00000000" w:rsidRDefault="001A570A">
            <w:pPr>
              <w:rPr>
                <w:rFonts w:eastAsia="Times New Roman"/>
                <w:sz w:val="20"/>
                <w:szCs w:val="20"/>
              </w:rPr>
            </w:pPr>
          </w:p>
        </w:tc>
        <w:tc>
          <w:tcPr>
            <w:tcW w:w="5" w:type="pct"/>
            <w:vAlign w:val="center"/>
            <w:hideMark/>
          </w:tcPr>
          <w:p w14:paraId="5ACD85D9" w14:textId="77777777" w:rsidR="00000000" w:rsidRDefault="001A570A">
            <w:pPr>
              <w:rPr>
                <w:rFonts w:eastAsia="Times New Roman"/>
                <w:sz w:val="20"/>
                <w:szCs w:val="20"/>
              </w:rPr>
            </w:pPr>
          </w:p>
        </w:tc>
      </w:tr>
      <w:tr w:rsidR="00000000" w14:paraId="2B02F5E0" w14:textId="77777777">
        <w:trPr>
          <w:divId w:val="510334550"/>
        </w:trPr>
        <w:tc>
          <w:tcPr>
            <w:tcW w:w="0" w:type="auto"/>
            <w:gridSpan w:val="3"/>
            <w:tcMar>
              <w:top w:w="30" w:type="dxa"/>
              <w:left w:w="20" w:type="dxa"/>
              <w:bottom w:w="30" w:type="dxa"/>
              <w:right w:w="20" w:type="dxa"/>
            </w:tcMar>
            <w:vAlign w:val="bottom"/>
            <w:hideMark/>
          </w:tcPr>
          <w:p w14:paraId="7A8E2F59"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BBB656A" w14:textId="77777777" w:rsidR="00000000" w:rsidRDefault="001A570A">
            <w:pPr>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14:paraId="1F2E658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51FACE74" w14:textId="77777777" w:rsidR="00000000" w:rsidRDefault="001A570A">
            <w:pPr>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14:paraId="1DCF1820"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CDD5141" w14:textId="77777777" w:rsidR="00000000" w:rsidRDefault="001A570A">
            <w:pPr>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14:paraId="4182E4FC"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55975E21" w14:textId="77777777" w:rsidR="00000000" w:rsidRDefault="001A570A">
            <w:pPr>
              <w:jc w:val="center"/>
              <w:rPr>
                <w:rFonts w:eastAsia="Times New Roman"/>
              </w:rPr>
            </w:pPr>
            <w:r>
              <w:rPr>
                <w:rFonts w:eastAsia="Times New Roman"/>
                <w:b/>
                <w:bCs/>
                <w:color w:val="000000"/>
                <w:sz w:val="16"/>
                <w:szCs w:val="16"/>
              </w:rPr>
              <w:t>Total AOCI</w:t>
            </w:r>
          </w:p>
        </w:tc>
      </w:tr>
      <w:tr w:rsidR="00000000" w14:paraId="7C3E4261" w14:textId="77777777">
        <w:trPr>
          <w:divId w:val="510334550"/>
          <w:trHeight w:val="60"/>
        </w:trPr>
        <w:tc>
          <w:tcPr>
            <w:tcW w:w="0" w:type="auto"/>
            <w:gridSpan w:val="3"/>
            <w:tcMar>
              <w:top w:w="0" w:type="dxa"/>
              <w:left w:w="20" w:type="dxa"/>
              <w:bottom w:w="0" w:type="dxa"/>
              <w:right w:w="20" w:type="dxa"/>
            </w:tcMar>
            <w:vAlign w:val="center"/>
            <w:hideMark/>
          </w:tcPr>
          <w:p w14:paraId="2B9F5CB5"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BB4466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DFE7FB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7576B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057A34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204E2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B63538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888409" w14:textId="77777777" w:rsidR="00000000" w:rsidRDefault="001A570A">
            <w:pPr>
              <w:rPr>
                <w:rFonts w:eastAsia="Times New Roman"/>
                <w:sz w:val="20"/>
                <w:szCs w:val="20"/>
              </w:rPr>
            </w:pPr>
          </w:p>
        </w:tc>
      </w:tr>
      <w:tr w:rsidR="00000000" w14:paraId="0D947638" w14:textId="77777777">
        <w:trPr>
          <w:divId w:val="510334550"/>
        </w:trPr>
        <w:tc>
          <w:tcPr>
            <w:tcW w:w="0" w:type="auto"/>
            <w:gridSpan w:val="3"/>
            <w:shd w:val="clear" w:color="auto" w:fill="CCEEFF"/>
            <w:tcMar>
              <w:top w:w="30" w:type="dxa"/>
              <w:left w:w="20" w:type="dxa"/>
              <w:bottom w:w="30" w:type="dxa"/>
              <w:right w:w="20" w:type="dxa"/>
            </w:tcMar>
            <w:vAlign w:val="bottom"/>
            <w:hideMark/>
          </w:tcPr>
          <w:p w14:paraId="7B857FC4" w14:textId="77777777" w:rsidR="00000000" w:rsidRDefault="001A570A">
            <w:pPr>
              <w:rPr>
                <w:rFonts w:eastAsia="Times New Roman"/>
              </w:rPr>
            </w:pPr>
            <w:r>
              <w:rPr>
                <w:rFonts w:eastAsia="Times New Roman"/>
                <w:b/>
                <w:bCs/>
                <w:color w:val="000000"/>
                <w:sz w:val="20"/>
                <w:szCs w:val="20"/>
              </w:rPr>
              <w:t>Balance at June 28, 2019</w:t>
            </w:r>
          </w:p>
        </w:tc>
        <w:tc>
          <w:tcPr>
            <w:tcW w:w="0" w:type="auto"/>
            <w:shd w:val="clear" w:color="auto" w:fill="CCEEFF"/>
            <w:tcMar>
              <w:top w:w="30" w:type="dxa"/>
              <w:left w:w="20" w:type="dxa"/>
              <w:bottom w:w="30" w:type="dxa"/>
              <w:right w:w="0" w:type="dxa"/>
            </w:tcMar>
            <w:vAlign w:val="bottom"/>
            <w:hideMark/>
          </w:tcPr>
          <w:p w14:paraId="4B837E36"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0E8DA8C6" w14:textId="77777777" w:rsidR="00000000" w:rsidRDefault="001A570A">
            <w:pPr>
              <w:jc w:val="right"/>
              <w:rPr>
                <w:rFonts w:eastAsia="Times New Roman"/>
              </w:rPr>
            </w:pPr>
            <w:r>
              <w:rPr>
                <w:rFonts w:eastAsia="Times New Roman"/>
                <w:b/>
                <w:bCs/>
                <w:color w:val="000000"/>
                <w:sz w:val="20"/>
                <w:szCs w:val="20"/>
              </w:rPr>
              <w:t>(106)</w:t>
            </w:r>
          </w:p>
        </w:tc>
        <w:tc>
          <w:tcPr>
            <w:tcW w:w="0" w:type="auto"/>
            <w:shd w:val="clear" w:color="auto" w:fill="CCEEFF"/>
            <w:tcMar>
              <w:top w:w="30" w:type="dxa"/>
              <w:left w:w="0" w:type="dxa"/>
              <w:bottom w:w="30" w:type="dxa"/>
              <w:right w:w="20" w:type="dxa"/>
            </w:tcMar>
            <w:vAlign w:val="bottom"/>
            <w:hideMark/>
          </w:tcPr>
          <w:p w14:paraId="6B906E8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CE62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46D139"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4D523C5" w14:textId="77777777" w:rsidR="00000000" w:rsidRDefault="001A570A">
            <w:pPr>
              <w:jc w:val="right"/>
              <w:rPr>
                <w:rFonts w:eastAsia="Times New Roman"/>
              </w:rPr>
            </w:pPr>
            <w:r>
              <w:rPr>
                <w:rFonts w:eastAsia="Times New Roman"/>
                <w:b/>
                <w:bCs/>
                <w:color w:val="000000"/>
                <w:sz w:val="20"/>
                <w:szCs w:val="20"/>
              </w:rPr>
              <w:t>(38)</w:t>
            </w:r>
          </w:p>
        </w:tc>
        <w:tc>
          <w:tcPr>
            <w:tcW w:w="0" w:type="auto"/>
            <w:shd w:val="clear" w:color="auto" w:fill="CCEEFF"/>
            <w:tcMar>
              <w:top w:w="30" w:type="dxa"/>
              <w:left w:w="0" w:type="dxa"/>
              <w:bottom w:w="30" w:type="dxa"/>
              <w:right w:w="20" w:type="dxa"/>
            </w:tcMar>
            <w:vAlign w:val="bottom"/>
            <w:hideMark/>
          </w:tcPr>
          <w:p w14:paraId="4FC9E88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B401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07038E"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B203DD2" w14:textId="77777777" w:rsidR="00000000" w:rsidRDefault="001A570A">
            <w:pPr>
              <w:jc w:val="right"/>
              <w:rPr>
                <w:rFonts w:eastAsia="Times New Roman"/>
              </w:rPr>
            </w:pPr>
            <w:r>
              <w:rPr>
                <w:rFonts w:eastAsia="Times New Roman"/>
                <w:b/>
                <w:bCs/>
                <w:color w:val="000000"/>
                <w:sz w:val="20"/>
                <w:szCs w:val="20"/>
              </w:rPr>
              <w:t>(563)</w:t>
            </w:r>
          </w:p>
        </w:tc>
        <w:tc>
          <w:tcPr>
            <w:tcW w:w="0" w:type="auto"/>
            <w:shd w:val="clear" w:color="auto" w:fill="CCEEFF"/>
            <w:tcMar>
              <w:top w:w="30" w:type="dxa"/>
              <w:left w:w="0" w:type="dxa"/>
              <w:bottom w:w="30" w:type="dxa"/>
              <w:right w:w="20" w:type="dxa"/>
            </w:tcMar>
            <w:vAlign w:val="bottom"/>
            <w:hideMark/>
          </w:tcPr>
          <w:p w14:paraId="7EF075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A1B9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310C67" w14:textId="77777777" w:rsidR="00000000" w:rsidRDefault="001A570A">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5B5AD20" w14:textId="77777777" w:rsidR="00000000" w:rsidRDefault="001A570A">
            <w:pPr>
              <w:jc w:val="right"/>
              <w:rPr>
                <w:rFonts w:eastAsia="Times New Roman"/>
              </w:rPr>
            </w:pPr>
            <w:r>
              <w:rPr>
                <w:rFonts w:eastAsia="Times New Roman"/>
                <w:b/>
                <w:bCs/>
                <w:color w:val="000000"/>
                <w:sz w:val="20"/>
                <w:szCs w:val="20"/>
              </w:rPr>
              <w:t>(707)</w:t>
            </w:r>
          </w:p>
        </w:tc>
        <w:tc>
          <w:tcPr>
            <w:tcW w:w="0" w:type="auto"/>
            <w:shd w:val="clear" w:color="auto" w:fill="CCEEFF"/>
            <w:tcMar>
              <w:top w:w="30" w:type="dxa"/>
              <w:left w:w="0" w:type="dxa"/>
              <w:bottom w:w="30" w:type="dxa"/>
              <w:right w:w="20" w:type="dxa"/>
            </w:tcMar>
            <w:vAlign w:val="bottom"/>
            <w:hideMark/>
          </w:tcPr>
          <w:p w14:paraId="35BF7912" w14:textId="77777777" w:rsidR="00000000" w:rsidRDefault="001A570A">
            <w:pPr>
              <w:jc w:val="right"/>
              <w:rPr>
                <w:rFonts w:eastAsia="Times New Roman"/>
              </w:rPr>
            </w:pPr>
          </w:p>
        </w:tc>
      </w:tr>
      <w:tr w:rsidR="00000000" w14:paraId="11B70BC8" w14:textId="77777777">
        <w:trPr>
          <w:divId w:val="510334550"/>
        </w:trPr>
        <w:tc>
          <w:tcPr>
            <w:tcW w:w="0" w:type="auto"/>
            <w:gridSpan w:val="3"/>
            <w:shd w:val="clear" w:color="auto" w:fill="FFFFFF"/>
            <w:tcMar>
              <w:top w:w="30" w:type="dxa"/>
              <w:left w:w="335" w:type="dxa"/>
              <w:bottom w:w="30" w:type="dxa"/>
              <w:right w:w="20" w:type="dxa"/>
            </w:tcMar>
            <w:vAlign w:val="bottom"/>
            <w:hideMark/>
          </w:tcPr>
          <w:p w14:paraId="1387EB2F" w14:textId="77777777" w:rsidR="00000000" w:rsidRDefault="001A570A">
            <w:pPr>
              <w:ind w:hanging="180"/>
              <w:rPr>
                <w:rFonts w:eastAsia="Times New Roman"/>
              </w:rPr>
            </w:pPr>
            <w:r>
              <w:rPr>
                <w:rFonts w:eastAsia="Times New Roman"/>
                <w:color w:val="000000"/>
                <w:sz w:val="20"/>
                <w:szCs w:val="20"/>
              </w:rPr>
              <w:t>Other comprehensive income (loss), before income taxes</w:t>
            </w:r>
          </w:p>
        </w:tc>
        <w:tc>
          <w:tcPr>
            <w:tcW w:w="0" w:type="auto"/>
            <w:gridSpan w:val="2"/>
            <w:shd w:val="clear" w:color="auto" w:fill="FFFFFF"/>
            <w:tcMar>
              <w:top w:w="30" w:type="dxa"/>
              <w:left w:w="20" w:type="dxa"/>
              <w:bottom w:w="30" w:type="dxa"/>
              <w:right w:w="0" w:type="dxa"/>
            </w:tcMar>
            <w:vAlign w:val="bottom"/>
            <w:hideMark/>
          </w:tcPr>
          <w:p w14:paraId="60561D53"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62AFDC4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29BE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406BE" w14:textId="77777777" w:rsidR="00000000" w:rsidRDefault="001A570A">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14:paraId="08C3A3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C13D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413A8D" w14:textId="77777777" w:rsidR="00000000" w:rsidRDefault="001A570A">
            <w:pPr>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14:paraId="4E70163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0A0B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21519" w14:textId="77777777" w:rsidR="00000000" w:rsidRDefault="001A570A">
            <w:pPr>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14:paraId="7F2035A6" w14:textId="77777777" w:rsidR="00000000" w:rsidRDefault="001A570A">
            <w:pPr>
              <w:jc w:val="right"/>
              <w:rPr>
                <w:rFonts w:eastAsia="Times New Roman"/>
              </w:rPr>
            </w:pPr>
          </w:p>
        </w:tc>
      </w:tr>
      <w:tr w:rsidR="00000000" w14:paraId="53D826A0" w14:textId="77777777">
        <w:trPr>
          <w:divId w:val="510334550"/>
        </w:trPr>
        <w:tc>
          <w:tcPr>
            <w:tcW w:w="0" w:type="auto"/>
            <w:gridSpan w:val="3"/>
            <w:shd w:val="clear" w:color="auto" w:fill="CCEEFF"/>
            <w:tcMar>
              <w:top w:w="30" w:type="dxa"/>
              <w:left w:w="155" w:type="dxa"/>
              <w:bottom w:w="30" w:type="dxa"/>
              <w:right w:w="20" w:type="dxa"/>
            </w:tcMar>
            <w:vAlign w:val="bottom"/>
            <w:hideMark/>
          </w:tcPr>
          <w:p w14:paraId="364BAF7B"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1097C18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E8023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A4F0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67EDC"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0D5D84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FE78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81E2BD" w14:textId="77777777" w:rsidR="00000000" w:rsidRDefault="001A570A">
            <w:pPr>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14:paraId="0DE4251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F67D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EFEC23" w14:textId="77777777" w:rsidR="00000000" w:rsidRDefault="001A570A">
            <w:pPr>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14:paraId="4F42E1AA" w14:textId="77777777" w:rsidR="00000000" w:rsidRDefault="001A570A">
            <w:pPr>
              <w:jc w:val="right"/>
              <w:rPr>
                <w:rFonts w:eastAsia="Times New Roman"/>
              </w:rPr>
            </w:pPr>
          </w:p>
        </w:tc>
      </w:tr>
      <w:tr w:rsidR="00000000" w14:paraId="6222AF9D" w14:textId="77777777">
        <w:trPr>
          <w:divId w:val="510334550"/>
        </w:trPr>
        <w:tc>
          <w:tcPr>
            <w:tcW w:w="0" w:type="auto"/>
            <w:gridSpan w:val="3"/>
            <w:shd w:val="clear" w:color="auto" w:fill="FFFFFF"/>
            <w:tcMar>
              <w:top w:w="30" w:type="dxa"/>
              <w:left w:w="335" w:type="dxa"/>
              <w:bottom w:w="30" w:type="dxa"/>
              <w:right w:w="20" w:type="dxa"/>
            </w:tcMar>
            <w:vAlign w:val="bottom"/>
            <w:hideMark/>
          </w:tcPr>
          <w:p w14:paraId="264EA93C" w14:textId="77777777" w:rsidR="00000000" w:rsidRDefault="001A570A">
            <w:pPr>
              <w:ind w:hanging="180"/>
              <w:rPr>
                <w:rFonts w:eastAsia="Times New Roman"/>
              </w:rPr>
            </w:pPr>
            <w:r>
              <w:rPr>
                <w:rFonts w:eastAsia="Times New Roman"/>
                <w:color w:val="000000"/>
                <w:sz w:val="20"/>
                <w:szCs w:val="20"/>
              </w:rPr>
              <w:t>Other comprehensive income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BF25DC" w14:textId="77777777" w:rsidR="00000000" w:rsidRDefault="001A570A">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1C323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EC11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28524" w14:textId="77777777" w:rsidR="00000000" w:rsidRDefault="001A570A">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BAA4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9586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D21514" w14:textId="77777777" w:rsidR="00000000" w:rsidRDefault="001A570A">
            <w:pPr>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7F85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FDC9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5EBF1C" w14:textId="77777777" w:rsidR="00000000" w:rsidRDefault="001A570A">
            <w:pPr>
              <w:jc w:val="right"/>
              <w:rPr>
                <w:rFonts w:eastAsia="Times New Roman"/>
              </w:rPr>
            </w:pPr>
            <w:r>
              <w:rPr>
                <w:rFonts w:eastAsia="Times New Roman"/>
                <w:color w:val="000000"/>
                <w:sz w:val="20"/>
                <w:szCs w:val="20"/>
              </w:rPr>
              <w:t>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D673BA" w14:textId="77777777" w:rsidR="00000000" w:rsidRDefault="001A570A">
            <w:pPr>
              <w:jc w:val="right"/>
              <w:rPr>
                <w:rFonts w:eastAsia="Times New Roman"/>
              </w:rPr>
            </w:pPr>
          </w:p>
        </w:tc>
      </w:tr>
      <w:tr w:rsidR="00000000" w14:paraId="215FF07C" w14:textId="77777777">
        <w:trPr>
          <w:divId w:val="510334550"/>
        </w:trPr>
        <w:tc>
          <w:tcPr>
            <w:tcW w:w="0" w:type="auto"/>
            <w:gridSpan w:val="3"/>
            <w:shd w:val="clear" w:color="auto" w:fill="CCEEFF"/>
            <w:tcMar>
              <w:top w:w="30" w:type="dxa"/>
              <w:left w:w="20" w:type="dxa"/>
              <w:bottom w:w="30" w:type="dxa"/>
              <w:right w:w="20" w:type="dxa"/>
            </w:tcMar>
            <w:vAlign w:val="bottom"/>
            <w:hideMark/>
          </w:tcPr>
          <w:p w14:paraId="67B7FC6A" w14:textId="77777777" w:rsidR="00000000" w:rsidRDefault="001A570A">
            <w:pPr>
              <w:divId w:val="1188258284"/>
              <w:rPr>
                <w:rFonts w:eastAsia="Times New Roman"/>
              </w:rPr>
            </w:pPr>
            <w:r>
              <w:rPr>
                <w:rFonts w:eastAsia="Times New Roman"/>
                <w:color w:val="000000"/>
                <w:sz w:val="20"/>
                <w:szCs w:val="20"/>
              </w:rPr>
              <w:t>Losses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5B5B4E" w14:textId="77777777" w:rsidR="00000000" w:rsidRDefault="001A570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CA8F4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7B618"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4170A4" w14:textId="77777777" w:rsidR="00000000" w:rsidRDefault="001A570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8B06B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D6AB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445003" w14:textId="77777777" w:rsidR="00000000" w:rsidRDefault="001A570A">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BE794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E773F"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719469" w14:textId="77777777" w:rsidR="00000000" w:rsidRDefault="001A570A">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5768E5" w14:textId="77777777" w:rsidR="00000000" w:rsidRDefault="001A570A">
            <w:pPr>
              <w:jc w:val="right"/>
              <w:rPr>
                <w:rFonts w:eastAsia="Times New Roman"/>
              </w:rPr>
            </w:pPr>
          </w:p>
        </w:tc>
      </w:tr>
      <w:tr w:rsidR="00000000" w14:paraId="3E6D7C68" w14:textId="77777777">
        <w:trPr>
          <w:divId w:val="510334550"/>
        </w:trPr>
        <w:tc>
          <w:tcPr>
            <w:tcW w:w="0" w:type="auto"/>
            <w:gridSpan w:val="3"/>
            <w:shd w:val="clear" w:color="auto" w:fill="FFFFFF"/>
            <w:tcMar>
              <w:top w:w="30" w:type="dxa"/>
              <w:left w:w="155" w:type="dxa"/>
              <w:bottom w:w="30" w:type="dxa"/>
              <w:right w:w="20" w:type="dxa"/>
            </w:tcMar>
            <w:vAlign w:val="bottom"/>
            <w:hideMark/>
          </w:tcPr>
          <w:p w14:paraId="78998FF9"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363535E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6093F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8358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CB5A7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5B0E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A750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91A3C"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2980579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C6BD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1A484"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1A014980" w14:textId="77777777" w:rsidR="00000000" w:rsidRDefault="001A570A">
            <w:pPr>
              <w:jc w:val="right"/>
              <w:rPr>
                <w:rFonts w:eastAsia="Times New Roman"/>
              </w:rPr>
            </w:pPr>
          </w:p>
        </w:tc>
      </w:tr>
      <w:tr w:rsidR="00000000" w14:paraId="0BA36F9A" w14:textId="77777777">
        <w:trPr>
          <w:divId w:val="510334550"/>
        </w:trPr>
        <w:tc>
          <w:tcPr>
            <w:tcW w:w="0" w:type="auto"/>
            <w:gridSpan w:val="3"/>
            <w:shd w:val="clear" w:color="auto" w:fill="CCEEFF"/>
            <w:tcMar>
              <w:top w:w="30" w:type="dxa"/>
              <w:left w:w="320" w:type="dxa"/>
              <w:bottom w:w="30" w:type="dxa"/>
              <w:right w:w="20" w:type="dxa"/>
            </w:tcMar>
            <w:hideMark/>
          </w:tcPr>
          <w:p w14:paraId="094A7182" w14:textId="77777777" w:rsidR="00000000" w:rsidRDefault="001A570A">
            <w:pPr>
              <w:ind w:hanging="180"/>
              <w:rPr>
                <w:rFonts w:eastAsia="Times New Roman"/>
              </w:rPr>
            </w:pPr>
            <w:r>
              <w:rPr>
                <w:rFonts w:eastAsia="Times New Roman"/>
                <w:color w:val="000000"/>
                <w:sz w:val="20"/>
                <w:szCs w:val="20"/>
              </w:rPr>
              <w:t>Losses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F145E5" w14:textId="77777777" w:rsidR="00000000" w:rsidRDefault="001A570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13287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4925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6EA1B1" w14:textId="77777777" w:rsidR="00000000" w:rsidRDefault="001A570A">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3DE2D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3F5E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6E31D4" w14:textId="77777777" w:rsidR="00000000" w:rsidRDefault="001A570A">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7A7CB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F452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DBFC39" w14:textId="77777777" w:rsidR="00000000" w:rsidRDefault="001A570A">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67F80B" w14:textId="77777777" w:rsidR="00000000" w:rsidRDefault="001A570A">
            <w:pPr>
              <w:jc w:val="right"/>
              <w:rPr>
                <w:rFonts w:eastAsia="Times New Roman"/>
              </w:rPr>
            </w:pPr>
          </w:p>
        </w:tc>
      </w:tr>
      <w:tr w:rsidR="00000000" w14:paraId="688291AF" w14:textId="77777777">
        <w:trPr>
          <w:divId w:val="510334550"/>
        </w:trPr>
        <w:tc>
          <w:tcPr>
            <w:tcW w:w="0" w:type="auto"/>
            <w:gridSpan w:val="3"/>
            <w:shd w:val="clear" w:color="auto" w:fill="FFFFFF"/>
            <w:tcMar>
              <w:top w:w="30" w:type="dxa"/>
              <w:left w:w="200" w:type="dxa"/>
              <w:bottom w:w="30" w:type="dxa"/>
              <w:right w:w="20" w:type="dxa"/>
            </w:tcMar>
            <w:vAlign w:val="bottom"/>
            <w:hideMark/>
          </w:tcPr>
          <w:p w14:paraId="17FD23DD" w14:textId="77777777" w:rsidR="00000000" w:rsidRDefault="001A570A">
            <w:pPr>
              <w:ind w:hanging="180"/>
              <w:rPr>
                <w:rFonts w:eastAsia="Times New Roman"/>
              </w:rPr>
            </w:pPr>
            <w:r>
              <w:rPr>
                <w:rFonts w:eastAsia="Times New Roman"/>
                <w:color w:val="00000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55A29C" w14:textId="77777777" w:rsidR="00000000" w:rsidRDefault="001A570A">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4C25E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6994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42555C" w14:textId="77777777" w:rsidR="00000000" w:rsidRDefault="001A570A">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D1A93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4FBC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4C74BC" w14:textId="77777777" w:rsidR="00000000" w:rsidRDefault="001A570A">
            <w:pPr>
              <w:jc w:val="right"/>
              <w:rPr>
                <w:rFonts w:eastAsia="Times New Roman"/>
              </w:rPr>
            </w:pPr>
            <w:r>
              <w:rPr>
                <w:rFonts w:eastAsia="Times New Roman"/>
                <w:color w:val="000000"/>
                <w:sz w:val="20"/>
                <w:szCs w:val="20"/>
              </w:rPr>
              <w:t>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272FE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5A86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FB52F0" w14:textId="77777777" w:rsidR="00000000" w:rsidRDefault="001A570A">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A985E6" w14:textId="77777777" w:rsidR="00000000" w:rsidRDefault="001A570A">
            <w:pPr>
              <w:jc w:val="right"/>
              <w:rPr>
                <w:rFonts w:eastAsia="Times New Roman"/>
              </w:rPr>
            </w:pPr>
          </w:p>
        </w:tc>
      </w:tr>
      <w:tr w:rsidR="00000000" w14:paraId="4972AA30" w14:textId="77777777">
        <w:trPr>
          <w:divId w:val="510334550"/>
        </w:trPr>
        <w:tc>
          <w:tcPr>
            <w:tcW w:w="0" w:type="auto"/>
            <w:gridSpan w:val="3"/>
            <w:shd w:val="clear" w:color="auto" w:fill="CCEEFF"/>
            <w:tcMar>
              <w:top w:w="30" w:type="dxa"/>
              <w:left w:w="20" w:type="dxa"/>
              <w:bottom w:w="30" w:type="dxa"/>
              <w:right w:w="20" w:type="dxa"/>
            </w:tcMar>
            <w:vAlign w:val="bottom"/>
            <w:hideMark/>
          </w:tcPr>
          <w:p w14:paraId="741BCB33" w14:textId="77777777" w:rsidR="00000000" w:rsidRDefault="001A570A">
            <w:pPr>
              <w:rPr>
                <w:rFonts w:eastAsia="Times New Roman"/>
              </w:rPr>
            </w:pPr>
            <w:r>
              <w:rPr>
                <w:rFonts w:eastAsia="Times New Roman"/>
                <w:b/>
                <w:bCs/>
                <w:color w:val="000000"/>
                <w:sz w:val="20"/>
                <w:szCs w:val="20"/>
              </w:rPr>
              <w:t>Balance at January 3,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4F618E" w14:textId="77777777" w:rsidR="00000000" w:rsidRDefault="001A570A">
            <w:pPr>
              <w:jc w:val="right"/>
              <w:rPr>
                <w:rFonts w:eastAsia="Times New Roman"/>
              </w:rPr>
            </w:pPr>
            <w:r>
              <w:rPr>
                <w:rFonts w:eastAsia="Times New Roman"/>
                <w:b/>
                <w:bCs/>
                <w:color w:val="000000"/>
                <w:sz w:val="20"/>
                <w:szCs w:val="20"/>
              </w:rPr>
              <w:t>(81)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5E728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BAA9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AD0427" w14:textId="77777777" w:rsidR="00000000" w:rsidRDefault="001A570A">
            <w:pPr>
              <w:jc w:val="right"/>
              <w:rPr>
                <w:rFonts w:eastAsia="Times New Roman"/>
              </w:rPr>
            </w:pPr>
            <w:r>
              <w:rPr>
                <w:rFonts w:eastAsia="Times New Roman"/>
                <w:b/>
                <w:bCs/>
                <w:color w:val="000000"/>
                <w:sz w:val="20"/>
                <w:szCs w:val="20"/>
              </w:rPr>
              <w:t>(55)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85321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EB79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3576D7" w14:textId="77777777" w:rsidR="00000000" w:rsidRDefault="001A570A">
            <w:pPr>
              <w:jc w:val="right"/>
              <w:rPr>
                <w:rFonts w:eastAsia="Times New Roman"/>
              </w:rPr>
            </w:pPr>
            <w:r>
              <w:rPr>
                <w:rFonts w:eastAsia="Times New Roman"/>
                <w:b/>
                <w:bCs/>
                <w:color w:val="000000"/>
                <w:sz w:val="20"/>
                <w:szCs w:val="20"/>
              </w:rPr>
              <w:t>(372)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1CFA4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A96B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35B0CC" w14:textId="77777777" w:rsidR="00000000" w:rsidRDefault="001A570A">
            <w:pPr>
              <w:jc w:val="right"/>
              <w:rPr>
                <w:rFonts w:eastAsia="Times New Roman"/>
              </w:rPr>
            </w:pPr>
            <w:r>
              <w:rPr>
                <w:rFonts w:eastAsia="Times New Roman"/>
                <w:b/>
                <w:bCs/>
                <w:color w:val="000000"/>
                <w:sz w:val="20"/>
                <w:szCs w:val="20"/>
              </w:rPr>
              <w:t>(508)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C374F" w14:textId="77777777" w:rsidR="00000000" w:rsidRDefault="001A570A">
            <w:pPr>
              <w:jc w:val="right"/>
              <w:rPr>
                <w:rFonts w:eastAsia="Times New Roman"/>
              </w:rPr>
            </w:pPr>
          </w:p>
        </w:tc>
      </w:tr>
      <w:tr w:rsidR="00000000" w14:paraId="02EC2C73" w14:textId="77777777">
        <w:trPr>
          <w:divId w:val="510334550"/>
        </w:trPr>
        <w:tc>
          <w:tcPr>
            <w:tcW w:w="0" w:type="auto"/>
            <w:gridSpan w:val="3"/>
            <w:shd w:val="clear" w:color="auto" w:fill="FFFFFF"/>
            <w:tcMar>
              <w:top w:w="30" w:type="dxa"/>
              <w:left w:w="335" w:type="dxa"/>
              <w:bottom w:w="30" w:type="dxa"/>
              <w:right w:w="20" w:type="dxa"/>
            </w:tcMar>
            <w:vAlign w:val="bottom"/>
            <w:hideMark/>
          </w:tcPr>
          <w:p w14:paraId="4EF7E122" w14:textId="77777777" w:rsidR="00000000" w:rsidRDefault="001A570A">
            <w:pPr>
              <w:ind w:hanging="180"/>
              <w:rPr>
                <w:rFonts w:eastAsia="Times New Roman"/>
              </w:rPr>
            </w:pPr>
            <w:r>
              <w:rPr>
                <w:rFonts w:eastAsia="Times New Roman"/>
                <w:color w:val="000000"/>
                <w:sz w:val="20"/>
                <w:szCs w:val="20"/>
              </w:rPr>
              <w:t>Other comprehensive income (loss), before income taxes</w:t>
            </w:r>
          </w:p>
        </w:tc>
        <w:tc>
          <w:tcPr>
            <w:tcW w:w="0" w:type="auto"/>
            <w:gridSpan w:val="2"/>
            <w:shd w:val="clear" w:color="auto" w:fill="FFFFFF"/>
            <w:tcMar>
              <w:top w:w="30" w:type="dxa"/>
              <w:left w:w="20" w:type="dxa"/>
              <w:bottom w:w="30" w:type="dxa"/>
              <w:right w:w="0" w:type="dxa"/>
            </w:tcMar>
            <w:vAlign w:val="bottom"/>
            <w:hideMark/>
          </w:tcPr>
          <w:p w14:paraId="1684AC32"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7ACEC1A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7BBB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96786" w14:textId="77777777" w:rsidR="00000000" w:rsidRDefault="001A570A">
            <w:pPr>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14:paraId="72A545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4170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33E22" w14:textId="77777777" w:rsidR="00000000" w:rsidRDefault="001A570A">
            <w:pPr>
              <w:jc w:val="right"/>
              <w:rPr>
                <w:rFonts w:eastAsia="Times New Roman"/>
              </w:rPr>
            </w:pPr>
            <w:r>
              <w:rPr>
                <w:rFonts w:eastAsia="Times New Roman"/>
                <w:color w:val="000000"/>
                <w:sz w:val="20"/>
                <w:szCs w:val="20"/>
              </w:rPr>
              <w:t>(418)</w:t>
            </w:r>
          </w:p>
        </w:tc>
        <w:tc>
          <w:tcPr>
            <w:tcW w:w="0" w:type="auto"/>
            <w:shd w:val="clear" w:color="auto" w:fill="FFFFFF"/>
            <w:tcMar>
              <w:top w:w="30" w:type="dxa"/>
              <w:left w:w="0" w:type="dxa"/>
              <w:bottom w:w="30" w:type="dxa"/>
              <w:right w:w="20" w:type="dxa"/>
            </w:tcMar>
            <w:vAlign w:val="bottom"/>
            <w:hideMark/>
          </w:tcPr>
          <w:p w14:paraId="62935DB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00F2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D114F2" w14:textId="77777777" w:rsidR="00000000" w:rsidRDefault="001A570A">
            <w:pPr>
              <w:jc w:val="right"/>
              <w:rPr>
                <w:rFonts w:eastAsia="Times New Roman"/>
              </w:rPr>
            </w:pPr>
            <w:r>
              <w:rPr>
                <w:rFonts w:eastAsia="Times New Roman"/>
                <w:color w:val="000000"/>
                <w:sz w:val="20"/>
                <w:szCs w:val="20"/>
              </w:rPr>
              <w:t>(443)</w:t>
            </w:r>
          </w:p>
        </w:tc>
        <w:tc>
          <w:tcPr>
            <w:tcW w:w="0" w:type="auto"/>
            <w:shd w:val="clear" w:color="auto" w:fill="FFFFFF"/>
            <w:tcMar>
              <w:top w:w="30" w:type="dxa"/>
              <w:left w:w="0" w:type="dxa"/>
              <w:bottom w:w="30" w:type="dxa"/>
              <w:right w:w="20" w:type="dxa"/>
            </w:tcMar>
            <w:vAlign w:val="bottom"/>
            <w:hideMark/>
          </w:tcPr>
          <w:p w14:paraId="491D44FB" w14:textId="77777777" w:rsidR="00000000" w:rsidRDefault="001A570A">
            <w:pPr>
              <w:jc w:val="right"/>
              <w:rPr>
                <w:rFonts w:eastAsia="Times New Roman"/>
              </w:rPr>
            </w:pPr>
          </w:p>
        </w:tc>
      </w:tr>
      <w:tr w:rsidR="00000000" w14:paraId="2299BF91" w14:textId="77777777">
        <w:trPr>
          <w:divId w:val="510334550"/>
        </w:trPr>
        <w:tc>
          <w:tcPr>
            <w:tcW w:w="0" w:type="auto"/>
            <w:gridSpan w:val="3"/>
            <w:shd w:val="clear" w:color="auto" w:fill="CCEEFF"/>
            <w:tcMar>
              <w:top w:w="30" w:type="dxa"/>
              <w:left w:w="155" w:type="dxa"/>
              <w:bottom w:w="30" w:type="dxa"/>
              <w:right w:w="20" w:type="dxa"/>
            </w:tcMar>
            <w:vAlign w:val="bottom"/>
            <w:hideMark/>
          </w:tcPr>
          <w:p w14:paraId="3971F465"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63B99E8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02CD9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54CE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B42537"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11048D0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2AAB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7C2DA2" w14:textId="77777777" w:rsidR="00000000" w:rsidRDefault="001A570A">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14:paraId="0BEF832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67CA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9E413" w14:textId="77777777" w:rsidR="00000000" w:rsidRDefault="001A570A">
            <w:pPr>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615F5DAE" w14:textId="77777777" w:rsidR="00000000" w:rsidRDefault="001A570A">
            <w:pPr>
              <w:jc w:val="right"/>
              <w:rPr>
                <w:rFonts w:eastAsia="Times New Roman"/>
              </w:rPr>
            </w:pPr>
          </w:p>
        </w:tc>
      </w:tr>
      <w:tr w:rsidR="00000000" w14:paraId="1C52D8A7" w14:textId="77777777">
        <w:trPr>
          <w:divId w:val="510334550"/>
        </w:trPr>
        <w:tc>
          <w:tcPr>
            <w:tcW w:w="0" w:type="auto"/>
            <w:gridSpan w:val="3"/>
            <w:shd w:val="clear" w:color="auto" w:fill="FFFFFF"/>
            <w:tcMar>
              <w:top w:w="30" w:type="dxa"/>
              <w:left w:w="335" w:type="dxa"/>
              <w:bottom w:w="30" w:type="dxa"/>
              <w:right w:w="20" w:type="dxa"/>
            </w:tcMar>
            <w:vAlign w:val="bottom"/>
            <w:hideMark/>
          </w:tcPr>
          <w:p w14:paraId="7F56F1F7" w14:textId="77777777" w:rsidR="00000000" w:rsidRDefault="001A570A">
            <w:pPr>
              <w:ind w:hanging="180"/>
              <w:rPr>
                <w:rFonts w:eastAsia="Times New Roman"/>
              </w:rPr>
            </w:pPr>
            <w:r>
              <w:rPr>
                <w:rFonts w:eastAsia="Times New Roman"/>
                <w:color w:val="000000"/>
                <w:sz w:val="20"/>
                <w:szCs w:val="20"/>
              </w:rPr>
              <w:t>Other comprehensive income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8D9E32" w14:textId="77777777" w:rsidR="00000000" w:rsidRDefault="001A570A">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FABB9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C022D"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EC3C29" w14:textId="77777777" w:rsidR="00000000" w:rsidRDefault="001A570A">
            <w:pPr>
              <w:jc w:val="right"/>
              <w:rPr>
                <w:rFonts w:eastAsia="Times New Roman"/>
              </w:rPr>
            </w:pPr>
            <w:r>
              <w:rPr>
                <w:rFonts w:eastAsia="Times New Roman"/>
                <w:color w:val="000000"/>
                <w:sz w:val="20"/>
                <w:szCs w:val="20"/>
              </w:rPr>
              <w:t>(31)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CCB3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0FFB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5EB35F" w14:textId="77777777" w:rsidR="00000000" w:rsidRDefault="001A570A">
            <w:pPr>
              <w:jc w:val="right"/>
              <w:rPr>
                <w:rFonts w:eastAsia="Times New Roman"/>
              </w:rPr>
            </w:pPr>
            <w:r>
              <w:rPr>
                <w:rFonts w:eastAsia="Times New Roman"/>
                <w:color w:val="000000"/>
                <w:sz w:val="20"/>
                <w:szCs w:val="20"/>
              </w:rPr>
              <w:t>(313)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141D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256D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8AB21B" w14:textId="77777777" w:rsidR="00000000" w:rsidRDefault="001A570A">
            <w:pPr>
              <w:jc w:val="right"/>
              <w:rPr>
                <w:rFonts w:eastAsia="Times New Roman"/>
              </w:rPr>
            </w:pPr>
            <w:r>
              <w:rPr>
                <w:rFonts w:eastAsia="Times New Roman"/>
                <w:color w:val="000000"/>
                <w:sz w:val="20"/>
                <w:szCs w:val="20"/>
              </w:rPr>
              <w:t>(328)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DF5F2C" w14:textId="77777777" w:rsidR="00000000" w:rsidRDefault="001A570A">
            <w:pPr>
              <w:jc w:val="right"/>
              <w:rPr>
                <w:rFonts w:eastAsia="Times New Roman"/>
              </w:rPr>
            </w:pPr>
          </w:p>
        </w:tc>
      </w:tr>
      <w:tr w:rsidR="00000000" w14:paraId="04BE2951" w14:textId="77777777">
        <w:trPr>
          <w:divId w:val="510334550"/>
        </w:trPr>
        <w:tc>
          <w:tcPr>
            <w:tcW w:w="0" w:type="auto"/>
            <w:gridSpan w:val="3"/>
            <w:shd w:val="clear" w:color="auto" w:fill="CCEEFF"/>
            <w:tcMar>
              <w:top w:w="30" w:type="dxa"/>
              <w:left w:w="20" w:type="dxa"/>
              <w:bottom w:w="30" w:type="dxa"/>
              <w:right w:w="20" w:type="dxa"/>
            </w:tcMar>
            <w:vAlign w:val="bottom"/>
            <w:hideMark/>
          </w:tcPr>
          <w:p w14:paraId="314E44F4" w14:textId="77777777" w:rsidR="00000000" w:rsidRDefault="001A570A">
            <w:pPr>
              <w:divId w:val="1328249010"/>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2B806A8" w14:textId="77777777" w:rsidR="00000000" w:rsidRDefault="001A570A">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08E40F7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2C13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2B4B86"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65FD26C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564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24124" w14:textId="77777777" w:rsidR="00000000" w:rsidRDefault="001A570A">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3779D4F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B441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F3F8D" w14:textId="77777777" w:rsidR="00000000" w:rsidRDefault="001A570A">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3355FC55" w14:textId="77777777" w:rsidR="00000000" w:rsidRDefault="001A570A">
            <w:pPr>
              <w:jc w:val="right"/>
              <w:rPr>
                <w:rFonts w:eastAsia="Times New Roman"/>
              </w:rPr>
            </w:pPr>
          </w:p>
        </w:tc>
      </w:tr>
      <w:tr w:rsidR="00000000" w14:paraId="5948F35D" w14:textId="77777777">
        <w:trPr>
          <w:divId w:val="510334550"/>
        </w:trPr>
        <w:tc>
          <w:tcPr>
            <w:tcW w:w="0" w:type="auto"/>
            <w:gridSpan w:val="3"/>
            <w:shd w:val="clear" w:color="auto" w:fill="FFFFFF"/>
            <w:tcMar>
              <w:top w:w="30" w:type="dxa"/>
              <w:left w:w="155" w:type="dxa"/>
              <w:bottom w:w="30" w:type="dxa"/>
              <w:right w:w="20" w:type="dxa"/>
            </w:tcMar>
            <w:vAlign w:val="bottom"/>
            <w:hideMark/>
          </w:tcPr>
          <w:p w14:paraId="0E43B323"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563C0DB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E73B0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0B7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18391E"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1753F9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33F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D0D85B"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3708D2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AC8D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77F3DD"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9D3469F" w14:textId="77777777" w:rsidR="00000000" w:rsidRDefault="001A570A">
            <w:pPr>
              <w:jc w:val="right"/>
              <w:rPr>
                <w:rFonts w:eastAsia="Times New Roman"/>
              </w:rPr>
            </w:pPr>
          </w:p>
        </w:tc>
      </w:tr>
      <w:tr w:rsidR="00000000" w14:paraId="52014BF2" w14:textId="77777777">
        <w:trPr>
          <w:divId w:val="510334550"/>
        </w:trPr>
        <w:tc>
          <w:tcPr>
            <w:tcW w:w="0" w:type="auto"/>
            <w:gridSpan w:val="3"/>
            <w:shd w:val="clear" w:color="auto" w:fill="CCEEFF"/>
            <w:tcMar>
              <w:top w:w="30" w:type="dxa"/>
              <w:left w:w="320" w:type="dxa"/>
              <w:bottom w:w="30" w:type="dxa"/>
              <w:right w:w="20" w:type="dxa"/>
            </w:tcMar>
            <w:hideMark/>
          </w:tcPr>
          <w:p w14:paraId="5EAD1A10" w14:textId="77777777" w:rsidR="00000000" w:rsidRDefault="001A570A">
            <w:pPr>
              <w:ind w:hanging="18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CDCB81" w14:textId="77777777" w:rsidR="00000000" w:rsidRDefault="001A570A">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4D8B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B084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7941D1" w14:textId="77777777" w:rsidR="00000000" w:rsidRDefault="001A570A">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DEC75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23B5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FB06D7" w14:textId="77777777" w:rsidR="00000000" w:rsidRDefault="001A570A">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42539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D16B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ACCB3D" w14:textId="77777777" w:rsidR="00000000" w:rsidRDefault="001A570A">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FDA074" w14:textId="77777777" w:rsidR="00000000" w:rsidRDefault="001A570A">
            <w:pPr>
              <w:jc w:val="right"/>
              <w:rPr>
                <w:rFonts w:eastAsia="Times New Roman"/>
              </w:rPr>
            </w:pPr>
          </w:p>
        </w:tc>
      </w:tr>
      <w:tr w:rsidR="00000000" w14:paraId="39A43403" w14:textId="77777777">
        <w:trPr>
          <w:divId w:val="510334550"/>
        </w:trPr>
        <w:tc>
          <w:tcPr>
            <w:tcW w:w="0" w:type="auto"/>
            <w:gridSpan w:val="3"/>
            <w:shd w:val="clear" w:color="auto" w:fill="FFFFFF"/>
            <w:tcMar>
              <w:top w:w="30" w:type="dxa"/>
              <w:left w:w="200" w:type="dxa"/>
              <w:bottom w:w="30" w:type="dxa"/>
              <w:right w:w="20" w:type="dxa"/>
            </w:tcMar>
            <w:vAlign w:val="bottom"/>
            <w:hideMark/>
          </w:tcPr>
          <w:p w14:paraId="16CB7089" w14:textId="77777777" w:rsidR="00000000" w:rsidRDefault="001A570A">
            <w:pPr>
              <w:ind w:hanging="180"/>
              <w:rPr>
                <w:rFonts w:eastAsia="Times New Roman"/>
              </w:rPr>
            </w:pPr>
            <w:r>
              <w:rPr>
                <w:rFonts w:eastAsia="Times New Roman"/>
                <w:color w:val="000000"/>
                <w:sz w:val="20"/>
                <w:szCs w:val="20"/>
              </w:rPr>
              <w:t>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A907A5" w14:textId="77777777" w:rsidR="00000000" w:rsidRDefault="001A570A">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97108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288E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2AC8AD" w14:textId="77777777" w:rsidR="00000000" w:rsidRDefault="001A570A">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618EF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7100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EE6BAE" w14:textId="77777777" w:rsidR="00000000" w:rsidRDefault="001A570A">
            <w:pPr>
              <w:jc w:val="right"/>
              <w:rPr>
                <w:rFonts w:eastAsia="Times New Roman"/>
              </w:rPr>
            </w:pPr>
            <w:r>
              <w:rPr>
                <w:rFonts w:eastAsia="Times New Roman"/>
                <w:color w:val="000000"/>
                <w:sz w:val="20"/>
                <w:szCs w:val="20"/>
              </w:rPr>
              <w:t>(329)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A5C03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CBB4D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E5015B" w14:textId="77777777" w:rsidR="00000000" w:rsidRDefault="001A570A">
            <w:pPr>
              <w:jc w:val="right"/>
              <w:rPr>
                <w:rFonts w:eastAsia="Times New Roman"/>
              </w:rPr>
            </w:pPr>
            <w:r>
              <w:rPr>
                <w:rFonts w:eastAsia="Times New Roman"/>
                <w:color w:val="000000"/>
                <w:sz w:val="20"/>
                <w:szCs w:val="20"/>
              </w:rPr>
              <w:t>(331)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71DFD1" w14:textId="77777777" w:rsidR="00000000" w:rsidRDefault="001A570A">
            <w:pPr>
              <w:jc w:val="right"/>
              <w:rPr>
                <w:rFonts w:eastAsia="Times New Roman"/>
              </w:rPr>
            </w:pPr>
          </w:p>
        </w:tc>
      </w:tr>
      <w:tr w:rsidR="00000000" w14:paraId="696807C6" w14:textId="77777777">
        <w:trPr>
          <w:divId w:val="510334550"/>
        </w:trPr>
        <w:tc>
          <w:tcPr>
            <w:tcW w:w="0" w:type="auto"/>
            <w:gridSpan w:val="3"/>
            <w:shd w:val="clear" w:color="auto" w:fill="CCEEFF"/>
            <w:tcMar>
              <w:top w:w="30" w:type="dxa"/>
              <w:left w:w="20" w:type="dxa"/>
              <w:bottom w:w="30" w:type="dxa"/>
              <w:right w:w="20" w:type="dxa"/>
            </w:tcMar>
            <w:vAlign w:val="bottom"/>
            <w:hideMark/>
          </w:tcPr>
          <w:p w14:paraId="6B6C1DD2" w14:textId="77777777" w:rsidR="00000000" w:rsidRDefault="001A570A">
            <w:pPr>
              <w:rPr>
                <w:rFonts w:eastAsia="Times New Roman"/>
              </w:rPr>
            </w:pPr>
            <w:r>
              <w:rPr>
                <w:rFonts w:eastAsia="Times New Roman"/>
                <w:b/>
                <w:bCs/>
                <w:color w:val="000000"/>
                <w:sz w:val="20"/>
                <w:szCs w:val="20"/>
              </w:rPr>
              <w:t>Balance at January 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C0ED1D"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5533B2" w14:textId="77777777" w:rsidR="00000000" w:rsidRDefault="001A570A">
            <w:pPr>
              <w:jc w:val="right"/>
              <w:rPr>
                <w:rFonts w:eastAsia="Times New Roman"/>
              </w:rPr>
            </w:pPr>
            <w:r>
              <w:rPr>
                <w:rFonts w:eastAsia="Times New Roman"/>
                <w:b/>
                <w:bCs/>
                <w:color w:val="000000"/>
                <w:sz w:val="20"/>
                <w:szCs w:val="20"/>
              </w:rPr>
              <w:t>(58)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AD1C6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7E5CD"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A7B466"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C09F79" w14:textId="77777777" w:rsidR="00000000" w:rsidRDefault="001A570A">
            <w:pPr>
              <w:jc w:val="right"/>
              <w:rPr>
                <w:rFonts w:eastAsia="Times New Roman"/>
              </w:rPr>
            </w:pPr>
            <w:r>
              <w:rPr>
                <w:rFonts w:eastAsia="Times New Roman"/>
                <w:b/>
                <w:bCs/>
                <w:color w:val="000000"/>
                <w:sz w:val="20"/>
                <w:szCs w:val="20"/>
              </w:rPr>
              <w:t>(80)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B2A67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833D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D88895"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FC83AF" w14:textId="77777777" w:rsidR="00000000" w:rsidRDefault="001A570A">
            <w:pPr>
              <w:jc w:val="right"/>
              <w:rPr>
                <w:rFonts w:eastAsia="Times New Roman"/>
              </w:rPr>
            </w:pPr>
            <w:r>
              <w:rPr>
                <w:rFonts w:eastAsia="Times New Roman"/>
                <w:b/>
                <w:bCs/>
                <w:color w:val="000000"/>
                <w:sz w:val="20"/>
                <w:szCs w:val="20"/>
              </w:rPr>
              <w:t>(701)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54BC5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9774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F177F9" w14:textId="77777777" w:rsidR="00000000" w:rsidRDefault="001A570A">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944021" w14:textId="77777777" w:rsidR="00000000" w:rsidRDefault="001A570A">
            <w:pPr>
              <w:jc w:val="right"/>
              <w:rPr>
                <w:rFonts w:eastAsia="Times New Roman"/>
              </w:rPr>
            </w:pPr>
            <w:r>
              <w:rPr>
                <w:rFonts w:eastAsia="Times New Roman"/>
                <w:b/>
                <w:bCs/>
                <w:color w:val="000000"/>
                <w:sz w:val="20"/>
                <w:szCs w:val="20"/>
              </w:rPr>
              <w:t>(839)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6D266E" w14:textId="77777777" w:rsidR="00000000" w:rsidRDefault="001A570A">
            <w:pPr>
              <w:jc w:val="right"/>
              <w:rPr>
                <w:rFonts w:eastAsia="Times New Roman"/>
              </w:rPr>
            </w:pPr>
          </w:p>
        </w:tc>
      </w:tr>
    </w:tbl>
    <w:p w14:paraId="56FF3183" w14:textId="77777777" w:rsidR="00000000" w:rsidRDefault="001A570A">
      <w:pPr>
        <w:divId w:val="1863979410"/>
        <w:rPr>
          <w:rFonts w:eastAsia="Times New Roman"/>
        </w:rPr>
      </w:pPr>
      <w:r>
        <w:rPr>
          <w:rFonts w:eastAsia="Times New Roman"/>
          <w:color w:val="000000"/>
          <w:sz w:val="16"/>
          <w:szCs w:val="16"/>
        </w:rPr>
        <w:t>_______________</w:t>
      </w:r>
    </w:p>
    <w:p w14:paraId="171B4EBA" w14:textId="77777777" w:rsidR="00000000" w:rsidRDefault="001A570A">
      <w:pPr>
        <w:ind w:hanging="360"/>
        <w:divId w:val="210771396"/>
        <w:rPr>
          <w:rFonts w:eastAsia="Times New Roman"/>
        </w:rPr>
      </w:pPr>
      <w:r>
        <w:rPr>
          <w:rFonts w:eastAsia="Times New Roman"/>
          <w:color w:val="000000"/>
          <w:sz w:val="16"/>
          <w:szCs w:val="16"/>
        </w:rPr>
        <w:t>(1)</w:t>
      </w:r>
      <w:r>
        <w:rPr>
          <w:rFonts w:eastAsia="Times New Roman"/>
          <w:color w:val="000000"/>
          <w:sz w:val="16"/>
          <w:szCs w:val="16"/>
        </w:rPr>
        <w:t>Losses (gains) reclassified to earnings are included in the “Revenue from product sales and services,” “Business divestiture-related (losses) gains,” “Interest expense” and “Non-operating income</w:t>
      </w:r>
      <w:r>
        <w:rPr>
          <w:rFonts w:eastAsia="Times New Roman"/>
          <w:color w:val="000000"/>
          <w:sz w:val="20"/>
          <w:szCs w:val="20"/>
        </w:rPr>
        <w:t>”</w:t>
      </w:r>
      <w:r>
        <w:rPr>
          <w:rFonts w:eastAsia="Times New Roman"/>
          <w:color w:val="000000"/>
          <w:sz w:val="16"/>
          <w:szCs w:val="16"/>
        </w:rPr>
        <w:t xml:space="preserve"> line items in our Consolidated Statement of Income.</w:t>
      </w:r>
    </w:p>
    <w:p w14:paraId="0DA7EAC6" w14:textId="77777777" w:rsidR="00000000" w:rsidRDefault="001A570A">
      <w:pPr>
        <w:ind w:firstLine="450"/>
        <w:jc w:val="center"/>
        <w:divId w:val="201788024"/>
        <w:rPr>
          <w:rFonts w:eastAsia="Times New Roman"/>
        </w:rPr>
      </w:pPr>
      <w:r>
        <w:rPr>
          <w:rFonts w:eastAsia="Times New Roman"/>
          <w:color w:val="000000"/>
          <w:sz w:val="20"/>
          <w:szCs w:val="20"/>
        </w:rPr>
        <w:t>120</w:t>
      </w:r>
    </w:p>
    <w:p w14:paraId="7DE6600E" w14:textId="77777777" w:rsidR="00000000" w:rsidRDefault="001A570A">
      <w:pPr>
        <w:rPr>
          <w:rFonts w:eastAsia="Times New Roman"/>
        </w:rPr>
      </w:pPr>
      <w:r>
        <w:rPr>
          <w:rFonts w:eastAsia="Times New Roman"/>
        </w:rPr>
        <w:pict w14:anchorId="7CC824BC">
          <v:rect id="_x0000_i1148" style="width:0;height:1.5pt" o:hralign="center" o:hrstd="t" o:hr="t" fillcolor="#a0a0a0" stroked="f"/>
        </w:pict>
      </w:r>
    </w:p>
    <w:p w14:paraId="09FFE6C9" w14:textId="77777777" w:rsidR="00000000" w:rsidRDefault="001A570A">
      <w:pPr>
        <w:ind w:firstLine="450"/>
        <w:divId w:val="837814366"/>
        <w:rPr>
          <w:rFonts w:eastAsia="Times New Roman"/>
        </w:rPr>
      </w:pPr>
    </w:p>
    <w:p w14:paraId="39455D80" w14:textId="77777777" w:rsidR="00000000" w:rsidRDefault="001A570A">
      <w:pPr>
        <w:divId w:val="1133719678"/>
        <w:rPr>
          <w:rFonts w:eastAsia="Times New Roman"/>
        </w:rPr>
      </w:pPr>
      <w:r>
        <w:rPr>
          <w:rFonts w:eastAsia="Times New Roman"/>
          <w:b/>
          <w:bCs/>
          <w:color w:val="000000"/>
          <w:sz w:val="20"/>
          <w:szCs w:val="20"/>
        </w:rPr>
        <w:t>NOTE 23: INCOME TAXES</w:t>
      </w:r>
      <w:r>
        <w:rPr>
          <w:rFonts w:eastAsia="Times New Roman"/>
          <w:b/>
          <w:bCs/>
          <w:i/>
          <w:iCs/>
          <w:color w:val="000000"/>
          <w:sz w:val="20"/>
          <w:szCs w:val="20"/>
        </w:rPr>
        <w:t xml:space="preserve"> </w:t>
      </w:r>
    </w:p>
    <w:p w14:paraId="3520BEFC" w14:textId="77777777" w:rsidR="00000000" w:rsidRDefault="001A570A">
      <w:pPr>
        <w:divId w:val="2064519453"/>
        <w:rPr>
          <w:rFonts w:eastAsia="Times New Roman"/>
        </w:rPr>
      </w:pPr>
      <w:r>
        <w:rPr>
          <w:rFonts w:eastAsia="Times New Roman"/>
          <w:b/>
          <w:bCs/>
          <w:color w:val="000000"/>
          <w:sz w:val="20"/>
          <w:szCs w:val="20"/>
        </w:rPr>
        <w:t>Income Tax Provision</w:t>
      </w:r>
    </w:p>
    <w:p w14:paraId="444B87F6" w14:textId="77777777" w:rsidR="00000000" w:rsidRDefault="001A570A">
      <w:pPr>
        <w:ind w:firstLine="450"/>
        <w:divId w:val="461970686"/>
        <w:rPr>
          <w:rFonts w:eastAsia="Times New Roman"/>
        </w:rPr>
      </w:pPr>
      <w:r>
        <w:rPr>
          <w:rFonts w:eastAsia="Times New Roman"/>
          <w:color w:val="000000"/>
          <w:sz w:val="20"/>
          <w:szCs w:val="20"/>
        </w:rPr>
        <w:t>The provisions for current and deferred income taxes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8"/>
        <w:gridCol w:w="121"/>
        <w:gridCol w:w="896"/>
        <w:gridCol w:w="37"/>
        <w:gridCol w:w="36"/>
        <w:gridCol w:w="36"/>
        <w:gridCol w:w="36"/>
        <w:gridCol w:w="121"/>
        <w:gridCol w:w="851"/>
        <w:gridCol w:w="36"/>
        <w:gridCol w:w="36"/>
        <w:gridCol w:w="36"/>
        <w:gridCol w:w="36"/>
        <w:gridCol w:w="120"/>
        <w:gridCol w:w="852"/>
        <w:gridCol w:w="36"/>
        <w:gridCol w:w="36"/>
        <w:gridCol w:w="36"/>
        <w:gridCol w:w="36"/>
        <w:gridCol w:w="120"/>
        <w:gridCol w:w="853"/>
        <w:gridCol w:w="36"/>
      </w:tblGrid>
      <w:tr w:rsidR="00000000" w14:paraId="7BBEC328" w14:textId="77777777">
        <w:trPr>
          <w:divId w:val="1010834651"/>
        </w:trPr>
        <w:tc>
          <w:tcPr>
            <w:tcW w:w="50" w:type="pct"/>
            <w:vAlign w:val="center"/>
            <w:hideMark/>
          </w:tcPr>
          <w:p w14:paraId="20ABCDF9" w14:textId="77777777" w:rsidR="00000000" w:rsidRDefault="001A570A">
            <w:pPr>
              <w:ind w:firstLine="450"/>
              <w:rPr>
                <w:rFonts w:eastAsia="Times New Roman"/>
              </w:rPr>
            </w:pPr>
          </w:p>
        </w:tc>
        <w:tc>
          <w:tcPr>
            <w:tcW w:w="2337" w:type="pct"/>
            <w:vAlign w:val="center"/>
            <w:hideMark/>
          </w:tcPr>
          <w:p w14:paraId="7A09889E" w14:textId="77777777" w:rsidR="00000000" w:rsidRDefault="001A570A">
            <w:pPr>
              <w:rPr>
                <w:rFonts w:eastAsia="Times New Roman"/>
                <w:sz w:val="20"/>
                <w:szCs w:val="20"/>
              </w:rPr>
            </w:pPr>
          </w:p>
        </w:tc>
        <w:tc>
          <w:tcPr>
            <w:tcW w:w="5" w:type="pct"/>
            <w:vAlign w:val="center"/>
            <w:hideMark/>
          </w:tcPr>
          <w:p w14:paraId="5ACB1A52" w14:textId="77777777" w:rsidR="00000000" w:rsidRDefault="001A570A">
            <w:pPr>
              <w:rPr>
                <w:rFonts w:eastAsia="Times New Roman"/>
                <w:sz w:val="20"/>
                <w:szCs w:val="20"/>
              </w:rPr>
            </w:pPr>
          </w:p>
        </w:tc>
        <w:tc>
          <w:tcPr>
            <w:tcW w:w="50" w:type="pct"/>
            <w:vAlign w:val="center"/>
            <w:hideMark/>
          </w:tcPr>
          <w:p w14:paraId="3CBD9E9F" w14:textId="77777777" w:rsidR="00000000" w:rsidRDefault="001A570A">
            <w:pPr>
              <w:rPr>
                <w:rFonts w:eastAsia="Times New Roman"/>
                <w:sz w:val="20"/>
                <w:szCs w:val="20"/>
              </w:rPr>
            </w:pPr>
          </w:p>
        </w:tc>
        <w:tc>
          <w:tcPr>
            <w:tcW w:w="570" w:type="pct"/>
            <w:vAlign w:val="center"/>
            <w:hideMark/>
          </w:tcPr>
          <w:p w14:paraId="517B03A4" w14:textId="77777777" w:rsidR="00000000" w:rsidRDefault="001A570A">
            <w:pPr>
              <w:rPr>
                <w:rFonts w:eastAsia="Times New Roman"/>
                <w:sz w:val="20"/>
                <w:szCs w:val="20"/>
              </w:rPr>
            </w:pPr>
          </w:p>
        </w:tc>
        <w:tc>
          <w:tcPr>
            <w:tcW w:w="5" w:type="pct"/>
            <w:vAlign w:val="center"/>
            <w:hideMark/>
          </w:tcPr>
          <w:p w14:paraId="77478829" w14:textId="77777777" w:rsidR="00000000" w:rsidRDefault="001A570A">
            <w:pPr>
              <w:rPr>
                <w:rFonts w:eastAsia="Times New Roman"/>
                <w:sz w:val="20"/>
                <w:szCs w:val="20"/>
              </w:rPr>
            </w:pPr>
          </w:p>
        </w:tc>
        <w:tc>
          <w:tcPr>
            <w:tcW w:w="5" w:type="pct"/>
            <w:vAlign w:val="center"/>
            <w:hideMark/>
          </w:tcPr>
          <w:p w14:paraId="0E3F8814" w14:textId="77777777" w:rsidR="00000000" w:rsidRDefault="001A570A">
            <w:pPr>
              <w:rPr>
                <w:rFonts w:eastAsia="Times New Roman"/>
                <w:sz w:val="20"/>
                <w:szCs w:val="20"/>
              </w:rPr>
            </w:pPr>
          </w:p>
        </w:tc>
        <w:tc>
          <w:tcPr>
            <w:tcW w:w="25" w:type="pct"/>
            <w:vAlign w:val="center"/>
            <w:hideMark/>
          </w:tcPr>
          <w:p w14:paraId="3654326B" w14:textId="77777777" w:rsidR="00000000" w:rsidRDefault="001A570A">
            <w:pPr>
              <w:rPr>
                <w:rFonts w:eastAsia="Times New Roman"/>
                <w:sz w:val="20"/>
                <w:szCs w:val="20"/>
              </w:rPr>
            </w:pPr>
          </w:p>
        </w:tc>
        <w:tc>
          <w:tcPr>
            <w:tcW w:w="5" w:type="pct"/>
            <w:vAlign w:val="center"/>
            <w:hideMark/>
          </w:tcPr>
          <w:p w14:paraId="571F13D4" w14:textId="77777777" w:rsidR="00000000" w:rsidRDefault="001A570A">
            <w:pPr>
              <w:rPr>
                <w:rFonts w:eastAsia="Times New Roman"/>
                <w:sz w:val="20"/>
                <w:szCs w:val="20"/>
              </w:rPr>
            </w:pPr>
          </w:p>
        </w:tc>
        <w:tc>
          <w:tcPr>
            <w:tcW w:w="50" w:type="pct"/>
            <w:vAlign w:val="center"/>
            <w:hideMark/>
          </w:tcPr>
          <w:p w14:paraId="5E488780" w14:textId="77777777" w:rsidR="00000000" w:rsidRDefault="001A570A">
            <w:pPr>
              <w:rPr>
                <w:rFonts w:eastAsia="Times New Roman"/>
                <w:sz w:val="20"/>
                <w:szCs w:val="20"/>
              </w:rPr>
            </w:pPr>
          </w:p>
        </w:tc>
        <w:tc>
          <w:tcPr>
            <w:tcW w:w="570" w:type="pct"/>
            <w:vAlign w:val="center"/>
            <w:hideMark/>
          </w:tcPr>
          <w:p w14:paraId="1F833163" w14:textId="77777777" w:rsidR="00000000" w:rsidRDefault="001A570A">
            <w:pPr>
              <w:rPr>
                <w:rFonts w:eastAsia="Times New Roman"/>
                <w:sz w:val="20"/>
                <w:szCs w:val="20"/>
              </w:rPr>
            </w:pPr>
          </w:p>
        </w:tc>
        <w:tc>
          <w:tcPr>
            <w:tcW w:w="5" w:type="pct"/>
            <w:vAlign w:val="center"/>
            <w:hideMark/>
          </w:tcPr>
          <w:p w14:paraId="070A6E6C" w14:textId="77777777" w:rsidR="00000000" w:rsidRDefault="001A570A">
            <w:pPr>
              <w:rPr>
                <w:rFonts w:eastAsia="Times New Roman"/>
                <w:sz w:val="20"/>
                <w:szCs w:val="20"/>
              </w:rPr>
            </w:pPr>
          </w:p>
        </w:tc>
        <w:tc>
          <w:tcPr>
            <w:tcW w:w="5" w:type="pct"/>
            <w:vAlign w:val="center"/>
            <w:hideMark/>
          </w:tcPr>
          <w:p w14:paraId="363AD557" w14:textId="77777777" w:rsidR="00000000" w:rsidRDefault="001A570A">
            <w:pPr>
              <w:rPr>
                <w:rFonts w:eastAsia="Times New Roman"/>
                <w:sz w:val="20"/>
                <w:szCs w:val="20"/>
              </w:rPr>
            </w:pPr>
          </w:p>
        </w:tc>
        <w:tc>
          <w:tcPr>
            <w:tcW w:w="25" w:type="pct"/>
            <w:vAlign w:val="center"/>
            <w:hideMark/>
          </w:tcPr>
          <w:p w14:paraId="0A17359D" w14:textId="77777777" w:rsidR="00000000" w:rsidRDefault="001A570A">
            <w:pPr>
              <w:rPr>
                <w:rFonts w:eastAsia="Times New Roman"/>
                <w:sz w:val="20"/>
                <w:szCs w:val="20"/>
              </w:rPr>
            </w:pPr>
          </w:p>
        </w:tc>
        <w:tc>
          <w:tcPr>
            <w:tcW w:w="5" w:type="pct"/>
            <w:vAlign w:val="center"/>
            <w:hideMark/>
          </w:tcPr>
          <w:p w14:paraId="377074B1" w14:textId="77777777" w:rsidR="00000000" w:rsidRDefault="001A570A">
            <w:pPr>
              <w:rPr>
                <w:rFonts w:eastAsia="Times New Roman"/>
                <w:sz w:val="20"/>
                <w:szCs w:val="20"/>
              </w:rPr>
            </w:pPr>
          </w:p>
        </w:tc>
        <w:tc>
          <w:tcPr>
            <w:tcW w:w="50" w:type="pct"/>
            <w:vAlign w:val="center"/>
            <w:hideMark/>
          </w:tcPr>
          <w:p w14:paraId="70398E07" w14:textId="77777777" w:rsidR="00000000" w:rsidRDefault="001A570A">
            <w:pPr>
              <w:rPr>
                <w:rFonts w:eastAsia="Times New Roman"/>
                <w:sz w:val="20"/>
                <w:szCs w:val="20"/>
              </w:rPr>
            </w:pPr>
          </w:p>
        </w:tc>
        <w:tc>
          <w:tcPr>
            <w:tcW w:w="570" w:type="pct"/>
            <w:vAlign w:val="center"/>
            <w:hideMark/>
          </w:tcPr>
          <w:p w14:paraId="6B0A99AD" w14:textId="77777777" w:rsidR="00000000" w:rsidRDefault="001A570A">
            <w:pPr>
              <w:rPr>
                <w:rFonts w:eastAsia="Times New Roman"/>
                <w:sz w:val="20"/>
                <w:szCs w:val="20"/>
              </w:rPr>
            </w:pPr>
          </w:p>
        </w:tc>
        <w:tc>
          <w:tcPr>
            <w:tcW w:w="5" w:type="pct"/>
            <w:vAlign w:val="center"/>
            <w:hideMark/>
          </w:tcPr>
          <w:p w14:paraId="10B67ADC" w14:textId="77777777" w:rsidR="00000000" w:rsidRDefault="001A570A">
            <w:pPr>
              <w:rPr>
                <w:rFonts w:eastAsia="Times New Roman"/>
                <w:sz w:val="20"/>
                <w:szCs w:val="20"/>
              </w:rPr>
            </w:pPr>
          </w:p>
        </w:tc>
        <w:tc>
          <w:tcPr>
            <w:tcW w:w="5" w:type="pct"/>
            <w:vAlign w:val="center"/>
            <w:hideMark/>
          </w:tcPr>
          <w:p w14:paraId="43940AE3" w14:textId="77777777" w:rsidR="00000000" w:rsidRDefault="001A570A">
            <w:pPr>
              <w:rPr>
                <w:rFonts w:eastAsia="Times New Roman"/>
                <w:sz w:val="20"/>
                <w:szCs w:val="20"/>
              </w:rPr>
            </w:pPr>
          </w:p>
        </w:tc>
        <w:tc>
          <w:tcPr>
            <w:tcW w:w="25" w:type="pct"/>
            <w:vAlign w:val="center"/>
            <w:hideMark/>
          </w:tcPr>
          <w:p w14:paraId="21726C73" w14:textId="77777777" w:rsidR="00000000" w:rsidRDefault="001A570A">
            <w:pPr>
              <w:rPr>
                <w:rFonts w:eastAsia="Times New Roman"/>
                <w:sz w:val="20"/>
                <w:szCs w:val="20"/>
              </w:rPr>
            </w:pPr>
          </w:p>
        </w:tc>
        <w:tc>
          <w:tcPr>
            <w:tcW w:w="5" w:type="pct"/>
            <w:vAlign w:val="center"/>
            <w:hideMark/>
          </w:tcPr>
          <w:p w14:paraId="3DB74448" w14:textId="77777777" w:rsidR="00000000" w:rsidRDefault="001A570A">
            <w:pPr>
              <w:rPr>
                <w:rFonts w:eastAsia="Times New Roman"/>
                <w:sz w:val="20"/>
                <w:szCs w:val="20"/>
              </w:rPr>
            </w:pPr>
          </w:p>
        </w:tc>
        <w:tc>
          <w:tcPr>
            <w:tcW w:w="50" w:type="pct"/>
            <w:vAlign w:val="center"/>
            <w:hideMark/>
          </w:tcPr>
          <w:p w14:paraId="3AC34317" w14:textId="77777777" w:rsidR="00000000" w:rsidRDefault="001A570A">
            <w:pPr>
              <w:rPr>
                <w:rFonts w:eastAsia="Times New Roman"/>
                <w:sz w:val="20"/>
                <w:szCs w:val="20"/>
              </w:rPr>
            </w:pPr>
          </w:p>
        </w:tc>
        <w:tc>
          <w:tcPr>
            <w:tcW w:w="570" w:type="pct"/>
            <w:vAlign w:val="center"/>
            <w:hideMark/>
          </w:tcPr>
          <w:p w14:paraId="6FF1A763" w14:textId="77777777" w:rsidR="00000000" w:rsidRDefault="001A570A">
            <w:pPr>
              <w:rPr>
                <w:rFonts w:eastAsia="Times New Roman"/>
                <w:sz w:val="20"/>
                <w:szCs w:val="20"/>
              </w:rPr>
            </w:pPr>
          </w:p>
        </w:tc>
        <w:tc>
          <w:tcPr>
            <w:tcW w:w="5" w:type="pct"/>
            <w:vAlign w:val="center"/>
            <w:hideMark/>
          </w:tcPr>
          <w:p w14:paraId="24AF7F98" w14:textId="77777777" w:rsidR="00000000" w:rsidRDefault="001A570A">
            <w:pPr>
              <w:rPr>
                <w:rFonts w:eastAsia="Times New Roman"/>
                <w:sz w:val="20"/>
                <w:szCs w:val="20"/>
              </w:rPr>
            </w:pPr>
          </w:p>
        </w:tc>
      </w:tr>
      <w:tr w:rsidR="00000000" w14:paraId="47EDB843" w14:textId="77777777">
        <w:trPr>
          <w:divId w:val="1010834651"/>
        </w:trPr>
        <w:tc>
          <w:tcPr>
            <w:tcW w:w="0" w:type="auto"/>
            <w:gridSpan w:val="3"/>
            <w:tcMar>
              <w:top w:w="0" w:type="dxa"/>
              <w:left w:w="20" w:type="dxa"/>
              <w:bottom w:w="0" w:type="dxa"/>
              <w:right w:w="20" w:type="dxa"/>
            </w:tcMar>
            <w:vAlign w:val="center"/>
            <w:hideMark/>
          </w:tcPr>
          <w:p w14:paraId="6051C6AC"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3C3F991D"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6EE1C533"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657234C"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37F1F87F"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58D6EA77"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2A3FF79" w14:textId="77777777">
        <w:trPr>
          <w:divId w:val="1010834651"/>
        </w:trPr>
        <w:tc>
          <w:tcPr>
            <w:tcW w:w="0" w:type="auto"/>
            <w:gridSpan w:val="3"/>
            <w:tcMar>
              <w:top w:w="30" w:type="dxa"/>
              <w:left w:w="20" w:type="dxa"/>
              <w:bottom w:w="30" w:type="dxa"/>
              <w:right w:w="20" w:type="dxa"/>
            </w:tcMar>
            <w:vAlign w:val="bottom"/>
            <w:hideMark/>
          </w:tcPr>
          <w:p w14:paraId="05C2C4CD"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C049383"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769BD46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30DFD1"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150731C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CE1B4"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193B8465"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52CD8B" w14:textId="77777777" w:rsidR="00000000" w:rsidRDefault="001A570A">
            <w:pPr>
              <w:jc w:val="center"/>
              <w:rPr>
                <w:rFonts w:eastAsia="Times New Roman"/>
              </w:rPr>
            </w:pPr>
            <w:r>
              <w:rPr>
                <w:rFonts w:eastAsia="Times New Roman"/>
                <w:b/>
                <w:bCs/>
                <w:color w:val="000000"/>
                <w:sz w:val="16"/>
                <w:szCs w:val="16"/>
              </w:rPr>
              <w:t>June 29, 2018</w:t>
            </w:r>
          </w:p>
        </w:tc>
      </w:tr>
      <w:tr w:rsidR="00000000" w14:paraId="29AF40B0" w14:textId="77777777">
        <w:trPr>
          <w:divId w:val="1010834651"/>
          <w:trHeight w:val="60"/>
        </w:trPr>
        <w:tc>
          <w:tcPr>
            <w:tcW w:w="0" w:type="auto"/>
            <w:gridSpan w:val="3"/>
            <w:tcMar>
              <w:top w:w="0" w:type="dxa"/>
              <w:left w:w="20" w:type="dxa"/>
              <w:bottom w:w="0" w:type="dxa"/>
              <w:right w:w="20" w:type="dxa"/>
            </w:tcMar>
            <w:vAlign w:val="center"/>
            <w:hideMark/>
          </w:tcPr>
          <w:p w14:paraId="788CA4B6"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697DF9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B68847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AF557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86EE74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ABBDA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4986DE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BC87B7" w14:textId="77777777" w:rsidR="00000000" w:rsidRDefault="001A570A">
            <w:pPr>
              <w:rPr>
                <w:rFonts w:eastAsia="Times New Roman"/>
                <w:sz w:val="20"/>
                <w:szCs w:val="20"/>
              </w:rPr>
            </w:pPr>
          </w:p>
        </w:tc>
      </w:tr>
      <w:tr w:rsidR="00000000" w14:paraId="466C682C" w14:textId="77777777">
        <w:trPr>
          <w:divId w:val="1010834651"/>
        </w:trPr>
        <w:tc>
          <w:tcPr>
            <w:tcW w:w="0" w:type="auto"/>
            <w:gridSpan w:val="3"/>
            <w:shd w:val="clear" w:color="auto" w:fill="CCEEFF"/>
            <w:tcMar>
              <w:top w:w="30" w:type="dxa"/>
              <w:left w:w="20" w:type="dxa"/>
              <w:bottom w:w="30" w:type="dxa"/>
              <w:right w:w="20" w:type="dxa"/>
            </w:tcMar>
            <w:hideMark/>
          </w:tcPr>
          <w:p w14:paraId="4351652C" w14:textId="77777777" w:rsidR="00000000" w:rsidRDefault="001A570A">
            <w:pPr>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14:paraId="24A31C88"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A553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F2ECB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7070B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9FF6F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2323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CD1E1" w14:textId="77777777" w:rsidR="00000000" w:rsidRDefault="001A570A">
            <w:pPr>
              <w:rPr>
                <w:rFonts w:eastAsia="Times New Roman"/>
                <w:sz w:val="20"/>
                <w:szCs w:val="20"/>
              </w:rPr>
            </w:pPr>
          </w:p>
        </w:tc>
      </w:tr>
      <w:tr w:rsidR="00000000" w14:paraId="7334B773" w14:textId="77777777">
        <w:trPr>
          <w:divId w:val="1010834651"/>
        </w:trPr>
        <w:tc>
          <w:tcPr>
            <w:tcW w:w="0" w:type="auto"/>
            <w:gridSpan w:val="3"/>
            <w:shd w:val="clear" w:color="auto" w:fill="FFFFFF"/>
            <w:tcMar>
              <w:top w:w="30" w:type="dxa"/>
              <w:left w:w="155" w:type="dxa"/>
              <w:bottom w:w="30" w:type="dxa"/>
              <w:right w:w="20" w:type="dxa"/>
            </w:tcMar>
            <w:hideMark/>
          </w:tcPr>
          <w:p w14:paraId="47E54C1B" w14:textId="77777777" w:rsidR="00000000" w:rsidRDefault="001A570A">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42A585C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09A7DD" w14:textId="77777777" w:rsidR="00000000" w:rsidRDefault="001A570A">
            <w:pPr>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14:paraId="0479A63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9AEFF"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EB368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974389" w14:textId="77777777" w:rsidR="00000000" w:rsidRDefault="001A570A">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3C06D9F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430C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30BCB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C42106" w14:textId="77777777" w:rsidR="00000000" w:rsidRDefault="001A570A">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5D33E90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E8EBA"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36345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838F82" w14:textId="77777777" w:rsidR="00000000" w:rsidRDefault="001A570A">
            <w:pPr>
              <w:jc w:val="right"/>
              <w:rPr>
                <w:rFonts w:eastAsia="Times New Roman"/>
              </w:rPr>
            </w:pPr>
            <w:r>
              <w:rPr>
                <w:rFonts w:eastAsia="Times New Roman"/>
                <w:color w:val="000000"/>
                <w:sz w:val="20"/>
                <w:szCs w:val="20"/>
              </w:rPr>
              <w:t>(141)</w:t>
            </w:r>
          </w:p>
        </w:tc>
        <w:tc>
          <w:tcPr>
            <w:tcW w:w="0" w:type="auto"/>
            <w:shd w:val="clear" w:color="auto" w:fill="FFFFFF"/>
            <w:tcMar>
              <w:top w:w="30" w:type="dxa"/>
              <w:left w:w="0" w:type="dxa"/>
              <w:bottom w:w="30" w:type="dxa"/>
              <w:right w:w="20" w:type="dxa"/>
            </w:tcMar>
            <w:vAlign w:val="bottom"/>
            <w:hideMark/>
          </w:tcPr>
          <w:p w14:paraId="5D2518C9" w14:textId="77777777" w:rsidR="00000000" w:rsidRDefault="001A570A">
            <w:pPr>
              <w:jc w:val="right"/>
              <w:rPr>
                <w:rFonts w:eastAsia="Times New Roman"/>
              </w:rPr>
            </w:pPr>
          </w:p>
        </w:tc>
      </w:tr>
      <w:tr w:rsidR="00000000" w14:paraId="7FE4779F" w14:textId="77777777">
        <w:trPr>
          <w:divId w:val="1010834651"/>
        </w:trPr>
        <w:tc>
          <w:tcPr>
            <w:tcW w:w="0" w:type="auto"/>
            <w:gridSpan w:val="3"/>
            <w:shd w:val="clear" w:color="auto" w:fill="CCEEFF"/>
            <w:tcMar>
              <w:top w:w="30" w:type="dxa"/>
              <w:left w:w="155" w:type="dxa"/>
              <w:bottom w:w="30" w:type="dxa"/>
              <w:right w:w="20" w:type="dxa"/>
            </w:tcMar>
            <w:hideMark/>
          </w:tcPr>
          <w:p w14:paraId="486EAE36" w14:textId="77777777" w:rsidR="00000000" w:rsidRDefault="001A570A">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591E3C23" w14:textId="77777777" w:rsidR="00000000" w:rsidRDefault="001A570A">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77F5E1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8129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CE0ED"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4A5DA9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CF46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86D81"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629DCB2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7501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9442D"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28592B72" w14:textId="77777777" w:rsidR="00000000" w:rsidRDefault="001A570A">
            <w:pPr>
              <w:jc w:val="right"/>
              <w:rPr>
                <w:rFonts w:eastAsia="Times New Roman"/>
              </w:rPr>
            </w:pPr>
          </w:p>
        </w:tc>
      </w:tr>
      <w:tr w:rsidR="00000000" w14:paraId="6F4E8FA1" w14:textId="77777777">
        <w:trPr>
          <w:divId w:val="1010834651"/>
        </w:trPr>
        <w:tc>
          <w:tcPr>
            <w:tcW w:w="0" w:type="auto"/>
            <w:gridSpan w:val="3"/>
            <w:shd w:val="clear" w:color="auto" w:fill="FFFFFF"/>
            <w:tcMar>
              <w:top w:w="30" w:type="dxa"/>
              <w:left w:w="155" w:type="dxa"/>
              <w:bottom w:w="30" w:type="dxa"/>
              <w:right w:w="20" w:type="dxa"/>
            </w:tcMar>
            <w:hideMark/>
          </w:tcPr>
          <w:p w14:paraId="7ACE0C57" w14:textId="77777777" w:rsidR="00000000" w:rsidRDefault="001A570A">
            <w:pPr>
              <w:rPr>
                <w:rFonts w:eastAsia="Times New Roman"/>
              </w:rPr>
            </w:pPr>
            <w:r>
              <w:rPr>
                <w:rFonts w:eastAsia="Times New Roman"/>
                <w:color w:val="000000"/>
                <w:sz w:val="20"/>
                <w:szCs w:val="20"/>
              </w:rPr>
              <w:t>State and local</w:t>
            </w:r>
          </w:p>
        </w:tc>
        <w:tc>
          <w:tcPr>
            <w:tcW w:w="0" w:type="auto"/>
            <w:gridSpan w:val="2"/>
            <w:shd w:val="clear" w:color="auto" w:fill="FFFFFF"/>
            <w:tcMar>
              <w:top w:w="30" w:type="dxa"/>
              <w:left w:w="20" w:type="dxa"/>
              <w:bottom w:w="30" w:type="dxa"/>
              <w:right w:w="0" w:type="dxa"/>
            </w:tcMar>
            <w:vAlign w:val="bottom"/>
            <w:hideMark/>
          </w:tcPr>
          <w:p w14:paraId="4DBC4FEE" w14:textId="77777777" w:rsidR="00000000" w:rsidRDefault="001A570A">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4C532D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D673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3CDF53"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61505E2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8C05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73F45"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4982EAF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E039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5B9DBB" w14:textId="77777777" w:rsidR="00000000" w:rsidRDefault="001A570A">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6CBED06B" w14:textId="77777777" w:rsidR="00000000" w:rsidRDefault="001A570A">
            <w:pPr>
              <w:jc w:val="right"/>
              <w:rPr>
                <w:rFonts w:eastAsia="Times New Roman"/>
              </w:rPr>
            </w:pPr>
          </w:p>
        </w:tc>
      </w:tr>
      <w:tr w:rsidR="00000000" w14:paraId="10A9DCA8" w14:textId="77777777">
        <w:trPr>
          <w:divId w:val="1010834651"/>
        </w:trPr>
        <w:tc>
          <w:tcPr>
            <w:tcW w:w="0" w:type="auto"/>
            <w:gridSpan w:val="3"/>
            <w:shd w:val="clear" w:color="auto" w:fill="CCEEFF"/>
            <w:tcMar>
              <w:top w:w="0" w:type="dxa"/>
              <w:left w:w="20" w:type="dxa"/>
              <w:bottom w:w="0" w:type="dxa"/>
              <w:right w:w="20" w:type="dxa"/>
            </w:tcMar>
            <w:vAlign w:val="center"/>
            <w:hideMark/>
          </w:tcPr>
          <w:p w14:paraId="33E90FF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58584" w14:textId="77777777" w:rsidR="00000000" w:rsidRDefault="001A570A">
            <w:pPr>
              <w:jc w:val="right"/>
              <w:rPr>
                <w:rFonts w:eastAsia="Times New Roman"/>
              </w:rPr>
            </w:pPr>
            <w:r>
              <w:rPr>
                <w:rFonts w:eastAsia="Times New Roman"/>
                <w:color w:val="000000"/>
                <w:sz w:val="20"/>
                <w:szCs w:val="20"/>
              </w:rPr>
              <w:t>458 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AFE12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EA5CF"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0BD8F4" w14:textId="77777777" w:rsidR="00000000" w:rsidRDefault="001A570A">
            <w:pPr>
              <w:jc w:val="right"/>
              <w:rPr>
                <w:rFonts w:eastAsia="Times New Roman"/>
              </w:rPr>
            </w:pPr>
            <w:r>
              <w:rPr>
                <w:rFonts w:eastAsia="Times New Roman"/>
                <w:color w:val="000000"/>
                <w:sz w:val="20"/>
                <w:szCs w:val="20"/>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8EF1E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37FB7"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A763EE" w14:textId="77777777" w:rsidR="00000000" w:rsidRDefault="001A570A">
            <w:pPr>
              <w:jc w:val="right"/>
              <w:rPr>
                <w:rFonts w:eastAsia="Times New Roman"/>
              </w:rPr>
            </w:pPr>
            <w:r>
              <w:rPr>
                <w:rFonts w:eastAsia="Times New Roman"/>
                <w:color w:val="000000"/>
                <w:sz w:val="20"/>
                <w:szCs w:val="20"/>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B149C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8002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D9CB9B" w14:textId="77777777" w:rsidR="00000000" w:rsidRDefault="001A570A">
            <w:pPr>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64B613" w14:textId="77777777" w:rsidR="00000000" w:rsidRDefault="001A570A">
            <w:pPr>
              <w:jc w:val="right"/>
              <w:rPr>
                <w:rFonts w:eastAsia="Times New Roman"/>
              </w:rPr>
            </w:pPr>
          </w:p>
        </w:tc>
      </w:tr>
      <w:tr w:rsidR="00000000" w14:paraId="732E2CD6" w14:textId="77777777">
        <w:trPr>
          <w:divId w:val="1010834651"/>
        </w:trPr>
        <w:tc>
          <w:tcPr>
            <w:tcW w:w="0" w:type="auto"/>
            <w:gridSpan w:val="3"/>
            <w:shd w:val="clear" w:color="auto" w:fill="FFFFFF"/>
            <w:tcMar>
              <w:top w:w="30" w:type="dxa"/>
              <w:left w:w="20" w:type="dxa"/>
              <w:bottom w:w="30" w:type="dxa"/>
              <w:right w:w="20" w:type="dxa"/>
            </w:tcMar>
            <w:hideMark/>
          </w:tcPr>
          <w:p w14:paraId="5F82E648" w14:textId="77777777" w:rsidR="00000000" w:rsidRDefault="001A570A">
            <w:pPr>
              <w:rPr>
                <w:rFonts w:eastAsia="Times New Roman"/>
              </w:rPr>
            </w:pPr>
            <w:r>
              <w:rPr>
                <w:rFonts w:eastAsia="Times New Roman"/>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14:paraId="3BC93C69"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F6355"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28FE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C6F9C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68A94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31B5F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DD981" w14:textId="77777777" w:rsidR="00000000" w:rsidRDefault="001A570A">
            <w:pPr>
              <w:rPr>
                <w:rFonts w:eastAsia="Times New Roman"/>
                <w:sz w:val="20"/>
                <w:szCs w:val="20"/>
              </w:rPr>
            </w:pPr>
          </w:p>
        </w:tc>
      </w:tr>
      <w:tr w:rsidR="00000000" w14:paraId="528C5D38" w14:textId="77777777">
        <w:trPr>
          <w:divId w:val="1010834651"/>
        </w:trPr>
        <w:tc>
          <w:tcPr>
            <w:tcW w:w="0" w:type="auto"/>
            <w:gridSpan w:val="3"/>
            <w:shd w:val="clear" w:color="auto" w:fill="CCEEFF"/>
            <w:tcMar>
              <w:top w:w="30" w:type="dxa"/>
              <w:left w:w="155" w:type="dxa"/>
              <w:bottom w:w="30" w:type="dxa"/>
              <w:right w:w="20" w:type="dxa"/>
            </w:tcMar>
            <w:hideMark/>
          </w:tcPr>
          <w:p w14:paraId="4D7B069A" w14:textId="77777777" w:rsidR="00000000" w:rsidRDefault="001A570A">
            <w:pPr>
              <w:rPr>
                <w:rFonts w:eastAsia="Times New Roman"/>
              </w:rPr>
            </w:pPr>
            <w:r>
              <w:rPr>
                <w:rFonts w:eastAsia="Times New Roman"/>
                <w:color w:val="000000"/>
                <w:sz w:val="20"/>
                <w:szCs w:val="20"/>
              </w:rPr>
              <w:t>United States</w:t>
            </w:r>
          </w:p>
        </w:tc>
        <w:tc>
          <w:tcPr>
            <w:tcW w:w="0" w:type="auto"/>
            <w:gridSpan w:val="2"/>
            <w:shd w:val="clear" w:color="auto" w:fill="CCEEFF"/>
            <w:tcMar>
              <w:top w:w="30" w:type="dxa"/>
              <w:left w:w="20" w:type="dxa"/>
              <w:bottom w:w="30" w:type="dxa"/>
              <w:right w:w="0" w:type="dxa"/>
            </w:tcMar>
            <w:vAlign w:val="bottom"/>
            <w:hideMark/>
          </w:tcPr>
          <w:p w14:paraId="03B91B57" w14:textId="77777777" w:rsidR="00000000" w:rsidRDefault="001A570A">
            <w:pPr>
              <w:jc w:val="right"/>
              <w:rPr>
                <w:rFonts w:eastAsia="Times New Roman"/>
              </w:rPr>
            </w:pPr>
            <w:r>
              <w:rPr>
                <w:rFonts w:eastAsia="Times New Roman"/>
                <w:color w:val="000000"/>
                <w:sz w:val="20"/>
                <w:szCs w:val="20"/>
              </w:rPr>
              <w:t>(150)</w:t>
            </w:r>
          </w:p>
        </w:tc>
        <w:tc>
          <w:tcPr>
            <w:tcW w:w="0" w:type="auto"/>
            <w:shd w:val="clear" w:color="auto" w:fill="CCEEFF"/>
            <w:tcMar>
              <w:top w:w="30" w:type="dxa"/>
              <w:left w:w="0" w:type="dxa"/>
              <w:bottom w:w="30" w:type="dxa"/>
              <w:right w:w="20" w:type="dxa"/>
            </w:tcMar>
            <w:vAlign w:val="bottom"/>
            <w:hideMark/>
          </w:tcPr>
          <w:p w14:paraId="6F5A807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F475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0ED62"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14:paraId="327FB08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4026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D480B"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24C195E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18D5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B77608" w14:textId="77777777" w:rsidR="00000000" w:rsidRDefault="001A570A">
            <w:pPr>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14:paraId="2237D252" w14:textId="77777777" w:rsidR="00000000" w:rsidRDefault="001A570A">
            <w:pPr>
              <w:jc w:val="right"/>
              <w:rPr>
                <w:rFonts w:eastAsia="Times New Roman"/>
              </w:rPr>
            </w:pPr>
          </w:p>
        </w:tc>
      </w:tr>
      <w:tr w:rsidR="00000000" w14:paraId="5ECA1A7E" w14:textId="77777777">
        <w:trPr>
          <w:divId w:val="1010834651"/>
        </w:trPr>
        <w:tc>
          <w:tcPr>
            <w:tcW w:w="0" w:type="auto"/>
            <w:gridSpan w:val="3"/>
            <w:shd w:val="clear" w:color="auto" w:fill="FFFFFF"/>
            <w:tcMar>
              <w:top w:w="30" w:type="dxa"/>
              <w:left w:w="155" w:type="dxa"/>
              <w:bottom w:w="30" w:type="dxa"/>
              <w:right w:w="20" w:type="dxa"/>
            </w:tcMar>
            <w:hideMark/>
          </w:tcPr>
          <w:p w14:paraId="6DE1077B" w14:textId="77777777" w:rsidR="00000000" w:rsidRDefault="001A570A">
            <w:pPr>
              <w:rPr>
                <w:rFonts w:eastAsia="Times New Roman"/>
              </w:rPr>
            </w:pPr>
            <w:r>
              <w:rPr>
                <w:rFonts w:eastAsia="Times New Roman"/>
                <w:color w:val="000000"/>
                <w:sz w:val="20"/>
                <w:szCs w:val="20"/>
              </w:rPr>
              <w:t>International</w:t>
            </w:r>
          </w:p>
        </w:tc>
        <w:tc>
          <w:tcPr>
            <w:tcW w:w="0" w:type="auto"/>
            <w:gridSpan w:val="2"/>
            <w:shd w:val="clear" w:color="auto" w:fill="FFFFFF"/>
            <w:tcMar>
              <w:top w:w="30" w:type="dxa"/>
              <w:left w:w="20" w:type="dxa"/>
              <w:bottom w:w="30" w:type="dxa"/>
              <w:right w:w="0" w:type="dxa"/>
            </w:tcMar>
            <w:vAlign w:val="bottom"/>
            <w:hideMark/>
          </w:tcPr>
          <w:p w14:paraId="6CE8E73A"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14:paraId="3DFB8B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3182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22633" w14:textId="77777777" w:rsidR="00000000" w:rsidRDefault="001A570A">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14:paraId="3F6035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4AB2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629EC"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3D92EB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6CB94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C3C79"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0678AE79" w14:textId="77777777" w:rsidR="00000000" w:rsidRDefault="001A570A">
            <w:pPr>
              <w:jc w:val="right"/>
              <w:rPr>
                <w:rFonts w:eastAsia="Times New Roman"/>
              </w:rPr>
            </w:pPr>
          </w:p>
        </w:tc>
      </w:tr>
      <w:tr w:rsidR="00000000" w14:paraId="4FB918B3" w14:textId="77777777">
        <w:trPr>
          <w:divId w:val="1010834651"/>
        </w:trPr>
        <w:tc>
          <w:tcPr>
            <w:tcW w:w="0" w:type="auto"/>
            <w:gridSpan w:val="3"/>
            <w:shd w:val="clear" w:color="auto" w:fill="CCEEFF"/>
            <w:tcMar>
              <w:top w:w="30" w:type="dxa"/>
              <w:left w:w="155" w:type="dxa"/>
              <w:bottom w:w="30" w:type="dxa"/>
              <w:right w:w="20" w:type="dxa"/>
            </w:tcMar>
            <w:hideMark/>
          </w:tcPr>
          <w:p w14:paraId="0A673901" w14:textId="77777777" w:rsidR="00000000" w:rsidRDefault="001A570A">
            <w:pPr>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14:paraId="35029E0D"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4076258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A667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A96F6"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1ECE352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9240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490A9A"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5D285D6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53A9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5E02B"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1EA58A58" w14:textId="77777777" w:rsidR="00000000" w:rsidRDefault="001A570A">
            <w:pPr>
              <w:jc w:val="right"/>
              <w:rPr>
                <w:rFonts w:eastAsia="Times New Roman"/>
              </w:rPr>
            </w:pPr>
          </w:p>
        </w:tc>
      </w:tr>
      <w:tr w:rsidR="00000000" w14:paraId="64884D13" w14:textId="77777777">
        <w:trPr>
          <w:divId w:val="1010834651"/>
        </w:trPr>
        <w:tc>
          <w:tcPr>
            <w:tcW w:w="0" w:type="auto"/>
            <w:gridSpan w:val="3"/>
            <w:shd w:val="clear" w:color="auto" w:fill="FFFFFF"/>
            <w:tcMar>
              <w:top w:w="0" w:type="dxa"/>
              <w:left w:w="20" w:type="dxa"/>
              <w:bottom w:w="0" w:type="dxa"/>
              <w:right w:w="20" w:type="dxa"/>
            </w:tcMar>
            <w:vAlign w:val="center"/>
            <w:hideMark/>
          </w:tcPr>
          <w:p w14:paraId="0AF576DA"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DD4B49" w14:textId="77777777" w:rsidR="00000000" w:rsidRDefault="001A570A">
            <w:pPr>
              <w:jc w:val="right"/>
              <w:rPr>
                <w:rFonts w:eastAsia="Times New Roman"/>
              </w:rPr>
            </w:pPr>
            <w:r>
              <w:rPr>
                <w:rFonts w:eastAsia="Times New Roman"/>
                <w:color w:val="000000"/>
                <w:sz w:val="20"/>
                <w:szCs w:val="20"/>
              </w:rPr>
              <w:t>(224)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9DEAF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AD499"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CAE27F" w14:textId="77777777" w:rsidR="00000000" w:rsidRDefault="001A570A">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60181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866FF"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E41329" w14:textId="77777777" w:rsidR="00000000" w:rsidRDefault="001A570A">
            <w:pPr>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BFF38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E172C"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FBD55E" w14:textId="77777777" w:rsidR="00000000" w:rsidRDefault="001A570A">
            <w:pPr>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353D95" w14:textId="77777777" w:rsidR="00000000" w:rsidRDefault="001A570A">
            <w:pPr>
              <w:jc w:val="right"/>
              <w:rPr>
                <w:rFonts w:eastAsia="Times New Roman"/>
              </w:rPr>
            </w:pPr>
          </w:p>
        </w:tc>
      </w:tr>
      <w:tr w:rsidR="00000000" w14:paraId="53F496F3" w14:textId="77777777">
        <w:trPr>
          <w:divId w:val="1010834651"/>
        </w:trPr>
        <w:tc>
          <w:tcPr>
            <w:tcW w:w="0" w:type="auto"/>
            <w:gridSpan w:val="3"/>
            <w:shd w:val="clear" w:color="auto" w:fill="CCEEFF"/>
            <w:tcMar>
              <w:top w:w="0" w:type="dxa"/>
              <w:left w:w="20" w:type="dxa"/>
              <w:bottom w:w="0" w:type="dxa"/>
              <w:right w:w="20" w:type="dxa"/>
            </w:tcMar>
            <w:vAlign w:val="center"/>
            <w:hideMark/>
          </w:tcPr>
          <w:p w14:paraId="5C01CAD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CF540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D753AD" w14:textId="77777777" w:rsidR="00000000" w:rsidRDefault="001A570A">
            <w:pPr>
              <w:jc w:val="right"/>
              <w:rPr>
                <w:rFonts w:eastAsia="Times New Roman"/>
              </w:rPr>
            </w:pPr>
            <w:r>
              <w:rPr>
                <w:rFonts w:eastAsia="Times New Roman"/>
                <w:color w:val="000000"/>
                <w:sz w:val="20"/>
                <w:szCs w:val="20"/>
              </w:rPr>
              <w:t>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B20A7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8190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F4D1F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2717CB" w14:textId="77777777" w:rsidR="00000000" w:rsidRDefault="001A570A">
            <w:pPr>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C8894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7746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48BCA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7A1FA0" w14:textId="77777777" w:rsidR="00000000" w:rsidRDefault="001A570A">
            <w:pPr>
              <w:jc w:val="right"/>
              <w:rPr>
                <w:rFonts w:eastAsia="Times New Roman"/>
              </w:rPr>
            </w:pPr>
            <w:r>
              <w:rPr>
                <w:rFonts w:eastAsia="Times New Roman"/>
                <w:color w:val="000000"/>
                <w:sz w:val="20"/>
                <w:szCs w:val="20"/>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1BDF2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C621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5D2FF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0584AD" w14:textId="77777777" w:rsidR="00000000" w:rsidRDefault="001A570A">
            <w:pPr>
              <w:jc w:val="right"/>
              <w:rPr>
                <w:rFonts w:eastAsia="Times New Roman"/>
              </w:rPr>
            </w:pPr>
            <w:r>
              <w:rPr>
                <w:rFonts w:eastAsia="Times New Roman"/>
                <w:color w:val="000000"/>
                <w:sz w:val="20"/>
                <w:szCs w:val="20"/>
              </w:rPr>
              <w:t>206 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BF9CF0" w14:textId="77777777" w:rsidR="00000000" w:rsidRDefault="001A570A">
            <w:pPr>
              <w:jc w:val="right"/>
              <w:rPr>
                <w:rFonts w:eastAsia="Times New Roman"/>
              </w:rPr>
            </w:pPr>
          </w:p>
        </w:tc>
      </w:tr>
    </w:tbl>
    <w:p w14:paraId="694FDA77" w14:textId="77777777" w:rsidR="00000000" w:rsidRDefault="001A570A">
      <w:pPr>
        <w:ind w:firstLine="450"/>
        <w:divId w:val="436367215"/>
        <w:rPr>
          <w:rFonts w:eastAsia="Times New Roman"/>
        </w:rPr>
      </w:pPr>
      <w:r>
        <w:rPr>
          <w:rFonts w:eastAsia="Times New Roman"/>
          <w:color w:val="000000"/>
          <w:sz w:val="20"/>
          <w:szCs w:val="20"/>
        </w:rPr>
        <w:t>The total income tax provision is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7"/>
        <w:gridCol w:w="121"/>
        <w:gridCol w:w="896"/>
        <w:gridCol w:w="37"/>
        <w:gridCol w:w="36"/>
        <w:gridCol w:w="36"/>
        <w:gridCol w:w="36"/>
        <w:gridCol w:w="121"/>
        <w:gridCol w:w="851"/>
        <w:gridCol w:w="36"/>
        <w:gridCol w:w="36"/>
        <w:gridCol w:w="36"/>
        <w:gridCol w:w="36"/>
        <w:gridCol w:w="120"/>
        <w:gridCol w:w="853"/>
        <w:gridCol w:w="36"/>
        <w:gridCol w:w="36"/>
        <w:gridCol w:w="36"/>
        <w:gridCol w:w="36"/>
        <w:gridCol w:w="120"/>
        <w:gridCol w:w="853"/>
        <w:gridCol w:w="36"/>
      </w:tblGrid>
      <w:tr w:rsidR="00000000" w14:paraId="5B341EAA" w14:textId="77777777">
        <w:trPr>
          <w:divId w:val="2107075808"/>
        </w:trPr>
        <w:tc>
          <w:tcPr>
            <w:tcW w:w="50" w:type="pct"/>
            <w:vAlign w:val="center"/>
            <w:hideMark/>
          </w:tcPr>
          <w:p w14:paraId="377D008A" w14:textId="77777777" w:rsidR="00000000" w:rsidRDefault="001A570A">
            <w:pPr>
              <w:ind w:firstLine="450"/>
              <w:rPr>
                <w:rFonts w:eastAsia="Times New Roman"/>
              </w:rPr>
            </w:pPr>
          </w:p>
        </w:tc>
        <w:tc>
          <w:tcPr>
            <w:tcW w:w="2337" w:type="pct"/>
            <w:vAlign w:val="center"/>
            <w:hideMark/>
          </w:tcPr>
          <w:p w14:paraId="518A8AE5" w14:textId="77777777" w:rsidR="00000000" w:rsidRDefault="001A570A">
            <w:pPr>
              <w:rPr>
                <w:rFonts w:eastAsia="Times New Roman"/>
                <w:sz w:val="20"/>
                <w:szCs w:val="20"/>
              </w:rPr>
            </w:pPr>
          </w:p>
        </w:tc>
        <w:tc>
          <w:tcPr>
            <w:tcW w:w="5" w:type="pct"/>
            <w:vAlign w:val="center"/>
            <w:hideMark/>
          </w:tcPr>
          <w:p w14:paraId="4AFF4816" w14:textId="77777777" w:rsidR="00000000" w:rsidRDefault="001A570A">
            <w:pPr>
              <w:rPr>
                <w:rFonts w:eastAsia="Times New Roman"/>
                <w:sz w:val="20"/>
                <w:szCs w:val="20"/>
              </w:rPr>
            </w:pPr>
          </w:p>
        </w:tc>
        <w:tc>
          <w:tcPr>
            <w:tcW w:w="50" w:type="pct"/>
            <w:vAlign w:val="center"/>
            <w:hideMark/>
          </w:tcPr>
          <w:p w14:paraId="3E7D461D" w14:textId="77777777" w:rsidR="00000000" w:rsidRDefault="001A570A">
            <w:pPr>
              <w:rPr>
                <w:rFonts w:eastAsia="Times New Roman"/>
                <w:sz w:val="20"/>
                <w:szCs w:val="20"/>
              </w:rPr>
            </w:pPr>
          </w:p>
        </w:tc>
        <w:tc>
          <w:tcPr>
            <w:tcW w:w="570" w:type="pct"/>
            <w:vAlign w:val="center"/>
            <w:hideMark/>
          </w:tcPr>
          <w:p w14:paraId="66F7A35F" w14:textId="77777777" w:rsidR="00000000" w:rsidRDefault="001A570A">
            <w:pPr>
              <w:rPr>
                <w:rFonts w:eastAsia="Times New Roman"/>
                <w:sz w:val="20"/>
                <w:szCs w:val="20"/>
              </w:rPr>
            </w:pPr>
          </w:p>
        </w:tc>
        <w:tc>
          <w:tcPr>
            <w:tcW w:w="5" w:type="pct"/>
            <w:vAlign w:val="center"/>
            <w:hideMark/>
          </w:tcPr>
          <w:p w14:paraId="45434F60" w14:textId="77777777" w:rsidR="00000000" w:rsidRDefault="001A570A">
            <w:pPr>
              <w:rPr>
                <w:rFonts w:eastAsia="Times New Roman"/>
                <w:sz w:val="20"/>
                <w:szCs w:val="20"/>
              </w:rPr>
            </w:pPr>
          </w:p>
        </w:tc>
        <w:tc>
          <w:tcPr>
            <w:tcW w:w="5" w:type="pct"/>
            <w:vAlign w:val="center"/>
            <w:hideMark/>
          </w:tcPr>
          <w:p w14:paraId="4248E3E0" w14:textId="77777777" w:rsidR="00000000" w:rsidRDefault="001A570A">
            <w:pPr>
              <w:rPr>
                <w:rFonts w:eastAsia="Times New Roman"/>
                <w:sz w:val="20"/>
                <w:szCs w:val="20"/>
              </w:rPr>
            </w:pPr>
          </w:p>
        </w:tc>
        <w:tc>
          <w:tcPr>
            <w:tcW w:w="25" w:type="pct"/>
            <w:vAlign w:val="center"/>
            <w:hideMark/>
          </w:tcPr>
          <w:p w14:paraId="015AE597" w14:textId="77777777" w:rsidR="00000000" w:rsidRDefault="001A570A">
            <w:pPr>
              <w:rPr>
                <w:rFonts w:eastAsia="Times New Roman"/>
                <w:sz w:val="20"/>
                <w:szCs w:val="20"/>
              </w:rPr>
            </w:pPr>
          </w:p>
        </w:tc>
        <w:tc>
          <w:tcPr>
            <w:tcW w:w="5" w:type="pct"/>
            <w:vAlign w:val="center"/>
            <w:hideMark/>
          </w:tcPr>
          <w:p w14:paraId="172683D6" w14:textId="77777777" w:rsidR="00000000" w:rsidRDefault="001A570A">
            <w:pPr>
              <w:rPr>
                <w:rFonts w:eastAsia="Times New Roman"/>
                <w:sz w:val="20"/>
                <w:szCs w:val="20"/>
              </w:rPr>
            </w:pPr>
          </w:p>
        </w:tc>
        <w:tc>
          <w:tcPr>
            <w:tcW w:w="50" w:type="pct"/>
            <w:vAlign w:val="center"/>
            <w:hideMark/>
          </w:tcPr>
          <w:p w14:paraId="3B9C6224" w14:textId="77777777" w:rsidR="00000000" w:rsidRDefault="001A570A">
            <w:pPr>
              <w:rPr>
                <w:rFonts w:eastAsia="Times New Roman"/>
                <w:sz w:val="20"/>
                <w:szCs w:val="20"/>
              </w:rPr>
            </w:pPr>
          </w:p>
        </w:tc>
        <w:tc>
          <w:tcPr>
            <w:tcW w:w="570" w:type="pct"/>
            <w:vAlign w:val="center"/>
            <w:hideMark/>
          </w:tcPr>
          <w:p w14:paraId="796DC34C" w14:textId="77777777" w:rsidR="00000000" w:rsidRDefault="001A570A">
            <w:pPr>
              <w:rPr>
                <w:rFonts w:eastAsia="Times New Roman"/>
                <w:sz w:val="20"/>
                <w:szCs w:val="20"/>
              </w:rPr>
            </w:pPr>
          </w:p>
        </w:tc>
        <w:tc>
          <w:tcPr>
            <w:tcW w:w="5" w:type="pct"/>
            <w:vAlign w:val="center"/>
            <w:hideMark/>
          </w:tcPr>
          <w:p w14:paraId="02EA3665" w14:textId="77777777" w:rsidR="00000000" w:rsidRDefault="001A570A">
            <w:pPr>
              <w:rPr>
                <w:rFonts w:eastAsia="Times New Roman"/>
                <w:sz w:val="20"/>
                <w:szCs w:val="20"/>
              </w:rPr>
            </w:pPr>
          </w:p>
        </w:tc>
        <w:tc>
          <w:tcPr>
            <w:tcW w:w="5" w:type="pct"/>
            <w:vAlign w:val="center"/>
            <w:hideMark/>
          </w:tcPr>
          <w:p w14:paraId="6E3576DD" w14:textId="77777777" w:rsidR="00000000" w:rsidRDefault="001A570A">
            <w:pPr>
              <w:rPr>
                <w:rFonts w:eastAsia="Times New Roman"/>
                <w:sz w:val="20"/>
                <w:szCs w:val="20"/>
              </w:rPr>
            </w:pPr>
          </w:p>
        </w:tc>
        <w:tc>
          <w:tcPr>
            <w:tcW w:w="25" w:type="pct"/>
            <w:vAlign w:val="center"/>
            <w:hideMark/>
          </w:tcPr>
          <w:p w14:paraId="141DE2A4" w14:textId="77777777" w:rsidR="00000000" w:rsidRDefault="001A570A">
            <w:pPr>
              <w:rPr>
                <w:rFonts w:eastAsia="Times New Roman"/>
                <w:sz w:val="20"/>
                <w:szCs w:val="20"/>
              </w:rPr>
            </w:pPr>
          </w:p>
        </w:tc>
        <w:tc>
          <w:tcPr>
            <w:tcW w:w="5" w:type="pct"/>
            <w:vAlign w:val="center"/>
            <w:hideMark/>
          </w:tcPr>
          <w:p w14:paraId="598C7CC7" w14:textId="77777777" w:rsidR="00000000" w:rsidRDefault="001A570A">
            <w:pPr>
              <w:rPr>
                <w:rFonts w:eastAsia="Times New Roman"/>
                <w:sz w:val="20"/>
                <w:szCs w:val="20"/>
              </w:rPr>
            </w:pPr>
          </w:p>
        </w:tc>
        <w:tc>
          <w:tcPr>
            <w:tcW w:w="50" w:type="pct"/>
            <w:vAlign w:val="center"/>
            <w:hideMark/>
          </w:tcPr>
          <w:p w14:paraId="7D9BB7E7" w14:textId="77777777" w:rsidR="00000000" w:rsidRDefault="001A570A">
            <w:pPr>
              <w:rPr>
                <w:rFonts w:eastAsia="Times New Roman"/>
                <w:sz w:val="20"/>
                <w:szCs w:val="20"/>
              </w:rPr>
            </w:pPr>
          </w:p>
        </w:tc>
        <w:tc>
          <w:tcPr>
            <w:tcW w:w="570" w:type="pct"/>
            <w:vAlign w:val="center"/>
            <w:hideMark/>
          </w:tcPr>
          <w:p w14:paraId="59EB2269" w14:textId="77777777" w:rsidR="00000000" w:rsidRDefault="001A570A">
            <w:pPr>
              <w:rPr>
                <w:rFonts w:eastAsia="Times New Roman"/>
                <w:sz w:val="20"/>
                <w:szCs w:val="20"/>
              </w:rPr>
            </w:pPr>
          </w:p>
        </w:tc>
        <w:tc>
          <w:tcPr>
            <w:tcW w:w="5" w:type="pct"/>
            <w:vAlign w:val="center"/>
            <w:hideMark/>
          </w:tcPr>
          <w:p w14:paraId="2C93FBF9" w14:textId="77777777" w:rsidR="00000000" w:rsidRDefault="001A570A">
            <w:pPr>
              <w:rPr>
                <w:rFonts w:eastAsia="Times New Roman"/>
                <w:sz w:val="20"/>
                <w:szCs w:val="20"/>
              </w:rPr>
            </w:pPr>
          </w:p>
        </w:tc>
        <w:tc>
          <w:tcPr>
            <w:tcW w:w="5" w:type="pct"/>
            <w:vAlign w:val="center"/>
            <w:hideMark/>
          </w:tcPr>
          <w:p w14:paraId="44365387" w14:textId="77777777" w:rsidR="00000000" w:rsidRDefault="001A570A">
            <w:pPr>
              <w:rPr>
                <w:rFonts w:eastAsia="Times New Roman"/>
                <w:sz w:val="20"/>
                <w:szCs w:val="20"/>
              </w:rPr>
            </w:pPr>
          </w:p>
        </w:tc>
        <w:tc>
          <w:tcPr>
            <w:tcW w:w="25" w:type="pct"/>
            <w:vAlign w:val="center"/>
            <w:hideMark/>
          </w:tcPr>
          <w:p w14:paraId="732F343D" w14:textId="77777777" w:rsidR="00000000" w:rsidRDefault="001A570A">
            <w:pPr>
              <w:rPr>
                <w:rFonts w:eastAsia="Times New Roman"/>
                <w:sz w:val="20"/>
                <w:szCs w:val="20"/>
              </w:rPr>
            </w:pPr>
          </w:p>
        </w:tc>
        <w:tc>
          <w:tcPr>
            <w:tcW w:w="5" w:type="pct"/>
            <w:vAlign w:val="center"/>
            <w:hideMark/>
          </w:tcPr>
          <w:p w14:paraId="74F3EBF6" w14:textId="77777777" w:rsidR="00000000" w:rsidRDefault="001A570A">
            <w:pPr>
              <w:rPr>
                <w:rFonts w:eastAsia="Times New Roman"/>
                <w:sz w:val="20"/>
                <w:szCs w:val="20"/>
              </w:rPr>
            </w:pPr>
          </w:p>
        </w:tc>
        <w:tc>
          <w:tcPr>
            <w:tcW w:w="50" w:type="pct"/>
            <w:vAlign w:val="center"/>
            <w:hideMark/>
          </w:tcPr>
          <w:p w14:paraId="4CB03A79" w14:textId="77777777" w:rsidR="00000000" w:rsidRDefault="001A570A">
            <w:pPr>
              <w:rPr>
                <w:rFonts w:eastAsia="Times New Roman"/>
                <w:sz w:val="20"/>
                <w:szCs w:val="20"/>
              </w:rPr>
            </w:pPr>
          </w:p>
        </w:tc>
        <w:tc>
          <w:tcPr>
            <w:tcW w:w="570" w:type="pct"/>
            <w:vAlign w:val="center"/>
            <w:hideMark/>
          </w:tcPr>
          <w:p w14:paraId="1FC00269" w14:textId="77777777" w:rsidR="00000000" w:rsidRDefault="001A570A">
            <w:pPr>
              <w:rPr>
                <w:rFonts w:eastAsia="Times New Roman"/>
                <w:sz w:val="20"/>
                <w:szCs w:val="20"/>
              </w:rPr>
            </w:pPr>
          </w:p>
        </w:tc>
        <w:tc>
          <w:tcPr>
            <w:tcW w:w="5" w:type="pct"/>
            <w:vAlign w:val="center"/>
            <w:hideMark/>
          </w:tcPr>
          <w:p w14:paraId="24293071" w14:textId="77777777" w:rsidR="00000000" w:rsidRDefault="001A570A">
            <w:pPr>
              <w:rPr>
                <w:rFonts w:eastAsia="Times New Roman"/>
                <w:sz w:val="20"/>
                <w:szCs w:val="20"/>
              </w:rPr>
            </w:pPr>
          </w:p>
        </w:tc>
      </w:tr>
      <w:tr w:rsidR="00000000" w14:paraId="2C89540C" w14:textId="77777777">
        <w:trPr>
          <w:divId w:val="2107075808"/>
        </w:trPr>
        <w:tc>
          <w:tcPr>
            <w:tcW w:w="0" w:type="auto"/>
            <w:gridSpan w:val="3"/>
            <w:tcMar>
              <w:top w:w="0" w:type="dxa"/>
              <w:left w:w="20" w:type="dxa"/>
              <w:bottom w:w="0" w:type="dxa"/>
              <w:right w:w="20" w:type="dxa"/>
            </w:tcMar>
            <w:vAlign w:val="center"/>
            <w:hideMark/>
          </w:tcPr>
          <w:p w14:paraId="798941C3"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21ACC629"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7C3AD128"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776E98F"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27EB00DF"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7D8D3078"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1217841C" w14:textId="77777777">
        <w:trPr>
          <w:divId w:val="2107075808"/>
        </w:trPr>
        <w:tc>
          <w:tcPr>
            <w:tcW w:w="0" w:type="auto"/>
            <w:gridSpan w:val="3"/>
            <w:tcMar>
              <w:top w:w="30" w:type="dxa"/>
              <w:left w:w="20" w:type="dxa"/>
              <w:bottom w:w="30" w:type="dxa"/>
              <w:right w:w="20" w:type="dxa"/>
            </w:tcMar>
            <w:vAlign w:val="bottom"/>
            <w:hideMark/>
          </w:tcPr>
          <w:p w14:paraId="2B6A0BEE"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E586C73"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41453A1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D254AE"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7B07664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EAE404"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F3A58F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743B65" w14:textId="77777777" w:rsidR="00000000" w:rsidRDefault="001A570A">
            <w:pPr>
              <w:jc w:val="center"/>
              <w:rPr>
                <w:rFonts w:eastAsia="Times New Roman"/>
              </w:rPr>
            </w:pPr>
            <w:r>
              <w:rPr>
                <w:rFonts w:eastAsia="Times New Roman"/>
                <w:b/>
                <w:bCs/>
                <w:color w:val="000000"/>
                <w:sz w:val="16"/>
                <w:szCs w:val="16"/>
              </w:rPr>
              <w:t>June 29, 2018</w:t>
            </w:r>
          </w:p>
        </w:tc>
      </w:tr>
      <w:tr w:rsidR="00000000" w14:paraId="3D50C30F" w14:textId="77777777">
        <w:trPr>
          <w:divId w:val="2107075808"/>
          <w:trHeight w:val="60"/>
        </w:trPr>
        <w:tc>
          <w:tcPr>
            <w:tcW w:w="0" w:type="auto"/>
            <w:gridSpan w:val="3"/>
            <w:tcMar>
              <w:top w:w="0" w:type="dxa"/>
              <w:left w:w="20" w:type="dxa"/>
              <w:bottom w:w="0" w:type="dxa"/>
              <w:right w:w="20" w:type="dxa"/>
            </w:tcMar>
            <w:vAlign w:val="center"/>
            <w:hideMark/>
          </w:tcPr>
          <w:p w14:paraId="2B33E7BC"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14DEEA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5C9C1A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1711F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818FE1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D8BA4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26F34A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438BA3" w14:textId="77777777" w:rsidR="00000000" w:rsidRDefault="001A570A">
            <w:pPr>
              <w:rPr>
                <w:rFonts w:eastAsia="Times New Roman"/>
                <w:sz w:val="20"/>
                <w:szCs w:val="20"/>
              </w:rPr>
            </w:pPr>
          </w:p>
        </w:tc>
      </w:tr>
      <w:tr w:rsidR="00000000" w14:paraId="23E41CC2" w14:textId="77777777">
        <w:trPr>
          <w:divId w:val="2107075808"/>
        </w:trPr>
        <w:tc>
          <w:tcPr>
            <w:tcW w:w="0" w:type="auto"/>
            <w:gridSpan w:val="3"/>
            <w:shd w:val="clear" w:color="auto" w:fill="CCEEFF"/>
            <w:tcMar>
              <w:top w:w="30" w:type="dxa"/>
              <w:left w:w="20" w:type="dxa"/>
              <w:bottom w:w="30" w:type="dxa"/>
              <w:right w:w="20" w:type="dxa"/>
            </w:tcMar>
            <w:hideMark/>
          </w:tcPr>
          <w:p w14:paraId="5E57DDEE" w14:textId="77777777" w:rsidR="00000000" w:rsidRDefault="001A570A">
            <w:pPr>
              <w:rPr>
                <w:rFonts w:eastAsia="Times New Roman"/>
              </w:rPr>
            </w:pPr>
            <w:r>
              <w:rPr>
                <w:rFonts w:eastAsia="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6BE9D83D"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1981C4" w14:textId="77777777" w:rsidR="00000000" w:rsidRDefault="001A570A">
            <w:pPr>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14:paraId="3E93FB5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F23B5"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A9B97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3BB9A1" w14:textId="77777777" w:rsidR="00000000" w:rsidRDefault="001A570A">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14:paraId="634D3B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9667F"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0DE85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96E8B0" w14:textId="77777777" w:rsidR="00000000" w:rsidRDefault="001A570A">
            <w:pPr>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14:paraId="5969595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446C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6D002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AC0EFE" w14:textId="77777777" w:rsidR="00000000" w:rsidRDefault="001A570A">
            <w:pPr>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14:paraId="5BC807E7" w14:textId="77777777" w:rsidR="00000000" w:rsidRDefault="001A570A">
            <w:pPr>
              <w:jc w:val="right"/>
              <w:rPr>
                <w:rFonts w:eastAsia="Times New Roman"/>
              </w:rPr>
            </w:pPr>
          </w:p>
        </w:tc>
      </w:tr>
      <w:tr w:rsidR="00000000" w14:paraId="3D40E8DF" w14:textId="77777777">
        <w:trPr>
          <w:divId w:val="2107075808"/>
        </w:trPr>
        <w:tc>
          <w:tcPr>
            <w:tcW w:w="0" w:type="auto"/>
            <w:gridSpan w:val="3"/>
            <w:shd w:val="clear" w:color="auto" w:fill="FFFFFF"/>
            <w:tcMar>
              <w:top w:w="30" w:type="dxa"/>
              <w:left w:w="20" w:type="dxa"/>
              <w:bottom w:w="30" w:type="dxa"/>
              <w:right w:w="20" w:type="dxa"/>
            </w:tcMar>
            <w:hideMark/>
          </w:tcPr>
          <w:p w14:paraId="01301147" w14:textId="77777777" w:rsidR="00000000" w:rsidRDefault="001A570A">
            <w:pPr>
              <w:rPr>
                <w:rFonts w:eastAsia="Times New Roman"/>
              </w:rPr>
            </w:pPr>
            <w:r>
              <w:rPr>
                <w:rFonts w:eastAsia="Times New Roman"/>
                <w:color w:val="00000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14:paraId="2C13794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1F8FC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A95A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AE74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77F8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2391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53BCB"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27D387B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9DDA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85025" w14:textId="77777777" w:rsidR="00000000" w:rsidRDefault="001A570A">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2A774939" w14:textId="77777777" w:rsidR="00000000" w:rsidRDefault="001A570A">
            <w:pPr>
              <w:jc w:val="right"/>
              <w:rPr>
                <w:rFonts w:eastAsia="Times New Roman"/>
              </w:rPr>
            </w:pPr>
          </w:p>
        </w:tc>
      </w:tr>
      <w:tr w:rsidR="00000000" w14:paraId="31DA99B7" w14:textId="77777777">
        <w:trPr>
          <w:divId w:val="2107075808"/>
        </w:trPr>
        <w:tc>
          <w:tcPr>
            <w:tcW w:w="0" w:type="auto"/>
            <w:gridSpan w:val="3"/>
            <w:shd w:val="clear" w:color="auto" w:fill="CCEEFF"/>
            <w:tcMar>
              <w:top w:w="30" w:type="dxa"/>
              <w:left w:w="20" w:type="dxa"/>
              <w:bottom w:w="30" w:type="dxa"/>
              <w:right w:w="20" w:type="dxa"/>
            </w:tcMar>
            <w:hideMark/>
          </w:tcPr>
          <w:p w14:paraId="7E3292B1" w14:textId="77777777" w:rsidR="00000000" w:rsidRDefault="001A570A">
            <w:pPr>
              <w:rPr>
                <w:rFonts w:eastAsia="Times New Roman"/>
              </w:rPr>
            </w:pPr>
            <w:r>
              <w:rPr>
                <w:rFonts w:eastAsia="Times New Roman"/>
                <w:color w:val="000000"/>
                <w:sz w:val="20"/>
                <w:szCs w:val="20"/>
              </w:rPr>
              <w:t>Total income tax provision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328EC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9C5983" w14:textId="77777777" w:rsidR="00000000" w:rsidRDefault="001A570A">
            <w:pPr>
              <w:jc w:val="right"/>
              <w:rPr>
                <w:rFonts w:eastAsia="Times New Roman"/>
              </w:rPr>
            </w:pPr>
            <w:r>
              <w:rPr>
                <w:rFonts w:eastAsia="Times New Roman"/>
                <w:color w:val="000000"/>
                <w:sz w:val="20"/>
                <w:szCs w:val="20"/>
              </w:rPr>
              <w:t>234 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22BB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9815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333F6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14C5DB" w14:textId="77777777" w:rsidR="00000000" w:rsidRDefault="001A570A">
            <w:pPr>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F7688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1FA8D"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A5E88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D7A12C" w14:textId="77777777" w:rsidR="00000000" w:rsidRDefault="001A570A">
            <w:pPr>
              <w:jc w:val="right"/>
              <w:rPr>
                <w:rFonts w:eastAsia="Times New Roman"/>
              </w:rPr>
            </w:pPr>
            <w:r>
              <w:rPr>
                <w:rFonts w:eastAsia="Times New Roman"/>
                <w:color w:val="000000"/>
                <w:sz w:val="20"/>
                <w:szCs w:val="20"/>
              </w:rPr>
              <w:t>159 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4EEC2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56AFC"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A5F37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7A766C" w14:textId="77777777" w:rsidR="00000000" w:rsidRDefault="001A570A">
            <w:pPr>
              <w:jc w:val="right"/>
              <w:rPr>
                <w:rFonts w:eastAsia="Times New Roman"/>
              </w:rPr>
            </w:pPr>
            <w:r>
              <w:rPr>
                <w:rFonts w:eastAsia="Times New Roman"/>
                <w:color w:val="000000"/>
                <w:sz w:val="20"/>
                <w:szCs w:val="20"/>
              </w:rPr>
              <w:t>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1DE4AD" w14:textId="77777777" w:rsidR="00000000" w:rsidRDefault="001A570A">
            <w:pPr>
              <w:jc w:val="right"/>
              <w:rPr>
                <w:rFonts w:eastAsia="Times New Roman"/>
              </w:rPr>
            </w:pPr>
          </w:p>
        </w:tc>
      </w:tr>
    </w:tbl>
    <w:p w14:paraId="2A47C54B" w14:textId="77777777" w:rsidR="00000000" w:rsidRDefault="001A570A">
      <w:pPr>
        <w:ind w:firstLine="450"/>
        <w:divId w:val="1886211176"/>
        <w:rPr>
          <w:rFonts w:eastAsia="Times New Roman"/>
        </w:rPr>
      </w:pPr>
      <w:r>
        <w:rPr>
          <w:rFonts w:eastAsia="Times New Roman"/>
          <w:color w:val="000000"/>
          <w:sz w:val="20"/>
          <w:szCs w:val="20"/>
        </w:rPr>
        <w:t>A reconciliation of the U.S. statutory income tax rate to our effective income tax rate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87"/>
        <w:gridCol w:w="38"/>
        <w:gridCol w:w="39"/>
        <w:gridCol w:w="851"/>
        <w:gridCol w:w="187"/>
        <w:gridCol w:w="36"/>
        <w:gridCol w:w="36"/>
        <w:gridCol w:w="36"/>
        <w:gridCol w:w="54"/>
        <w:gridCol w:w="772"/>
        <w:gridCol w:w="187"/>
        <w:gridCol w:w="36"/>
        <w:gridCol w:w="36"/>
        <w:gridCol w:w="36"/>
        <w:gridCol w:w="38"/>
        <w:gridCol w:w="788"/>
        <w:gridCol w:w="188"/>
        <w:gridCol w:w="36"/>
        <w:gridCol w:w="36"/>
        <w:gridCol w:w="36"/>
        <w:gridCol w:w="38"/>
        <w:gridCol w:w="788"/>
        <w:gridCol w:w="188"/>
      </w:tblGrid>
      <w:tr w:rsidR="00000000" w14:paraId="47A288E6" w14:textId="77777777">
        <w:trPr>
          <w:divId w:val="1881896933"/>
        </w:trPr>
        <w:tc>
          <w:tcPr>
            <w:tcW w:w="50" w:type="pct"/>
            <w:vAlign w:val="center"/>
            <w:hideMark/>
          </w:tcPr>
          <w:p w14:paraId="1E68907C" w14:textId="77777777" w:rsidR="00000000" w:rsidRDefault="001A570A">
            <w:pPr>
              <w:ind w:firstLine="450"/>
              <w:rPr>
                <w:rFonts w:eastAsia="Times New Roman"/>
              </w:rPr>
            </w:pPr>
          </w:p>
        </w:tc>
        <w:tc>
          <w:tcPr>
            <w:tcW w:w="2337" w:type="pct"/>
            <w:vAlign w:val="center"/>
            <w:hideMark/>
          </w:tcPr>
          <w:p w14:paraId="2C7BAE67" w14:textId="77777777" w:rsidR="00000000" w:rsidRDefault="001A570A">
            <w:pPr>
              <w:rPr>
                <w:rFonts w:eastAsia="Times New Roman"/>
                <w:sz w:val="20"/>
                <w:szCs w:val="20"/>
              </w:rPr>
            </w:pPr>
          </w:p>
        </w:tc>
        <w:tc>
          <w:tcPr>
            <w:tcW w:w="5" w:type="pct"/>
            <w:vAlign w:val="center"/>
            <w:hideMark/>
          </w:tcPr>
          <w:p w14:paraId="1FDE7897" w14:textId="77777777" w:rsidR="00000000" w:rsidRDefault="001A570A">
            <w:pPr>
              <w:rPr>
                <w:rFonts w:eastAsia="Times New Roman"/>
                <w:sz w:val="20"/>
                <w:szCs w:val="20"/>
              </w:rPr>
            </w:pPr>
          </w:p>
        </w:tc>
        <w:tc>
          <w:tcPr>
            <w:tcW w:w="50" w:type="pct"/>
            <w:vAlign w:val="center"/>
            <w:hideMark/>
          </w:tcPr>
          <w:p w14:paraId="34C50429" w14:textId="77777777" w:rsidR="00000000" w:rsidRDefault="001A570A">
            <w:pPr>
              <w:rPr>
                <w:rFonts w:eastAsia="Times New Roman"/>
                <w:sz w:val="20"/>
                <w:szCs w:val="20"/>
              </w:rPr>
            </w:pPr>
          </w:p>
        </w:tc>
        <w:tc>
          <w:tcPr>
            <w:tcW w:w="570" w:type="pct"/>
            <w:vAlign w:val="center"/>
            <w:hideMark/>
          </w:tcPr>
          <w:p w14:paraId="053D616E" w14:textId="77777777" w:rsidR="00000000" w:rsidRDefault="001A570A">
            <w:pPr>
              <w:rPr>
                <w:rFonts w:eastAsia="Times New Roman"/>
                <w:sz w:val="20"/>
                <w:szCs w:val="20"/>
              </w:rPr>
            </w:pPr>
          </w:p>
        </w:tc>
        <w:tc>
          <w:tcPr>
            <w:tcW w:w="5" w:type="pct"/>
            <w:vAlign w:val="center"/>
            <w:hideMark/>
          </w:tcPr>
          <w:p w14:paraId="1ECF65D8" w14:textId="77777777" w:rsidR="00000000" w:rsidRDefault="001A570A">
            <w:pPr>
              <w:rPr>
                <w:rFonts w:eastAsia="Times New Roman"/>
                <w:sz w:val="20"/>
                <w:szCs w:val="20"/>
              </w:rPr>
            </w:pPr>
          </w:p>
        </w:tc>
        <w:tc>
          <w:tcPr>
            <w:tcW w:w="5" w:type="pct"/>
            <w:vAlign w:val="center"/>
            <w:hideMark/>
          </w:tcPr>
          <w:p w14:paraId="1582E1BE" w14:textId="77777777" w:rsidR="00000000" w:rsidRDefault="001A570A">
            <w:pPr>
              <w:rPr>
                <w:rFonts w:eastAsia="Times New Roman"/>
                <w:sz w:val="20"/>
                <w:szCs w:val="20"/>
              </w:rPr>
            </w:pPr>
          </w:p>
        </w:tc>
        <w:tc>
          <w:tcPr>
            <w:tcW w:w="25" w:type="pct"/>
            <w:vAlign w:val="center"/>
            <w:hideMark/>
          </w:tcPr>
          <w:p w14:paraId="591AFA6F" w14:textId="77777777" w:rsidR="00000000" w:rsidRDefault="001A570A">
            <w:pPr>
              <w:rPr>
                <w:rFonts w:eastAsia="Times New Roman"/>
                <w:sz w:val="20"/>
                <w:szCs w:val="20"/>
              </w:rPr>
            </w:pPr>
          </w:p>
        </w:tc>
        <w:tc>
          <w:tcPr>
            <w:tcW w:w="5" w:type="pct"/>
            <w:vAlign w:val="center"/>
            <w:hideMark/>
          </w:tcPr>
          <w:p w14:paraId="7B0647F1" w14:textId="77777777" w:rsidR="00000000" w:rsidRDefault="001A570A">
            <w:pPr>
              <w:rPr>
                <w:rFonts w:eastAsia="Times New Roman"/>
                <w:sz w:val="20"/>
                <w:szCs w:val="20"/>
              </w:rPr>
            </w:pPr>
          </w:p>
        </w:tc>
        <w:tc>
          <w:tcPr>
            <w:tcW w:w="50" w:type="pct"/>
            <w:vAlign w:val="center"/>
            <w:hideMark/>
          </w:tcPr>
          <w:p w14:paraId="3B02DDAA" w14:textId="77777777" w:rsidR="00000000" w:rsidRDefault="001A570A">
            <w:pPr>
              <w:rPr>
                <w:rFonts w:eastAsia="Times New Roman"/>
                <w:sz w:val="20"/>
                <w:szCs w:val="20"/>
              </w:rPr>
            </w:pPr>
          </w:p>
        </w:tc>
        <w:tc>
          <w:tcPr>
            <w:tcW w:w="570" w:type="pct"/>
            <w:vAlign w:val="center"/>
            <w:hideMark/>
          </w:tcPr>
          <w:p w14:paraId="77FE98FF" w14:textId="77777777" w:rsidR="00000000" w:rsidRDefault="001A570A">
            <w:pPr>
              <w:rPr>
                <w:rFonts w:eastAsia="Times New Roman"/>
                <w:sz w:val="20"/>
                <w:szCs w:val="20"/>
              </w:rPr>
            </w:pPr>
          </w:p>
        </w:tc>
        <w:tc>
          <w:tcPr>
            <w:tcW w:w="5" w:type="pct"/>
            <w:vAlign w:val="center"/>
            <w:hideMark/>
          </w:tcPr>
          <w:p w14:paraId="7D407175" w14:textId="77777777" w:rsidR="00000000" w:rsidRDefault="001A570A">
            <w:pPr>
              <w:rPr>
                <w:rFonts w:eastAsia="Times New Roman"/>
                <w:sz w:val="20"/>
                <w:szCs w:val="20"/>
              </w:rPr>
            </w:pPr>
          </w:p>
        </w:tc>
        <w:tc>
          <w:tcPr>
            <w:tcW w:w="5" w:type="pct"/>
            <w:vAlign w:val="center"/>
            <w:hideMark/>
          </w:tcPr>
          <w:p w14:paraId="2C4D9B67" w14:textId="77777777" w:rsidR="00000000" w:rsidRDefault="001A570A">
            <w:pPr>
              <w:rPr>
                <w:rFonts w:eastAsia="Times New Roman"/>
                <w:sz w:val="20"/>
                <w:szCs w:val="20"/>
              </w:rPr>
            </w:pPr>
          </w:p>
        </w:tc>
        <w:tc>
          <w:tcPr>
            <w:tcW w:w="25" w:type="pct"/>
            <w:vAlign w:val="center"/>
            <w:hideMark/>
          </w:tcPr>
          <w:p w14:paraId="384F88AC" w14:textId="77777777" w:rsidR="00000000" w:rsidRDefault="001A570A">
            <w:pPr>
              <w:rPr>
                <w:rFonts w:eastAsia="Times New Roman"/>
                <w:sz w:val="20"/>
                <w:szCs w:val="20"/>
              </w:rPr>
            </w:pPr>
          </w:p>
        </w:tc>
        <w:tc>
          <w:tcPr>
            <w:tcW w:w="5" w:type="pct"/>
            <w:vAlign w:val="center"/>
            <w:hideMark/>
          </w:tcPr>
          <w:p w14:paraId="5E3B088C" w14:textId="77777777" w:rsidR="00000000" w:rsidRDefault="001A570A">
            <w:pPr>
              <w:rPr>
                <w:rFonts w:eastAsia="Times New Roman"/>
                <w:sz w:val="20"/>
                <w:szCs w:val="20"/>
              </w:rPr>
            </w:pPr>
          </w:p>
        </w:tc>
        <w:tc>
          <w:tcPr>
            <w:tcW w:w="50" w:type="pct"/>
            <w:vAlign w:val="center"/>
            <w:hideMark/>
          </w:tcPr>
          <w:p w14:paraId="19C3C970" w14:textId="77777777" w:rsidR="00000000" w:rsidRDefault="001A570A">
            <w:pPr>
              <w:rPr>
                <w:rFonts w:eastAsia="Times New Roman"/>
                <w:sz w:val="20"/>
                <w:szCs w:val="20"/>
              </w:rPr>
            </w:pPr>
          </w:p>
        </w:tc>
        <w:tc>
          <w:tcPr>
            <w:tcW w:w="570" w:type="pct"/>
            <w:vAlign w:val="center"/>
            <w:hideMark/>
          </w:tcPr>
          <w:p w14:paraId="07139AB8" w14:textId="77777777" w:rsidR="00000000" w:rsidRDefault="001A570A">
            <w:pPr>
              <w:rPr>
                <w:rFonts w:eastAsia="Times New Roman"/>
                <w:sz w:val="20"/>
                <w:szCs w:val="20"/>
              </w:rPr>
            </w:pPr>
          </w:p>
        </w:tc>
        <w:tc>
          <w:tcPr>
            <w:tcW w:w="5" w:type="pct"/>
            <w:vAlign w:val="center"/>
            <w:hideMark/>
          </w:tcPr>
          <w:p w14:paraId="16232DD5" w14:textId="77777777" w:rsidR="00000000" w:rsidRDefault="001A570A">
            <w:pPr>
              <w:rPr>
                <w:rFonts w:eastAsia="Times New Roman"/>
                <w:sz w:val="20"/>
                <w:szCs w:val="20"/>
              </w:rPr>
            </w:pPr>
          </w:p>
        </w:tc>
        <w:tc>
          <w:tcPr>
            <w:tcW w:w="5" w:type="pct"/>
            <w:vAlign w:val="center"/>
            <w:hideMark/>
          </w:tcPr>
          <w:p w14:paraId="5EA20591" w14:textId="77777777" w:rsidR="00000000" w:rsidRDefault="001A570A">
            <w:pPr>
              <w:rPr>
                <w:rFonts w:eastAsia="Times New Roman"/>
                <w:sz w:val="20"/>
                <w:szCs w:val="20"/>
              </w:rPr>
            </w:pPr>
          </w:p>
        </w:tc>
        <w:tc>
          <w:tcPr>
            <w:tcW w:w="25" w:type="pct"/>
            <w:vAlign w:val="center"/>
            <w:hideMark/>
          </w:tcPr>
          <w:p w14:paraId="08BC6691" w14:textId="77777777" w:rsidR="00000000" w:rsidRDefault="001A570A">
            <w:pPr>
              <w:rPr>
                <w:rFonts w:eastAsia="Times New Roman"/>
                <w:sz w:val="20"/>
                <w:szCs w:val="20"/>
              </w:rPr>
            </w:pPr>
          </w:p>
        </w:tc>
        <w:tc>
          <w:tcPr>
            <w:tcW w:w="5" w:type="pct"/>
            <w:vAlign w:val="center"/>
            <w:hideMark/>
          </w:tcPr>
          <w:p w14:paraId="3EB788D1" w14:textId="77777777" w:rsidR="00000000" w:rsidRDefault="001A570A">
            <w:pPr>
              <w:rPr>
                <w:rFonts w:eastAsia="Times New Roman"/>
                <w:sz w:val="20"/>
                <w:szCs w:val="20"/>
              </w:rPr>
            </w:pPr>
          </w:p>
        </w:tc>
        <w:tc>
          <w:tcPr>
            <w:tcW w:w="50" w:type="pct"/>
            <w:vAlign w:val="center"/>
            <w:hideMark/>
          </w:tcPr>
          <w:p w14:paraId="22087FFC" w14:textId="77777777" w:rsidR="00000000" w:rsidRDefault="001A570A">
            <w:pPr>
              <w:rPr>
                <w:rFonts w:eastAsia="Times New Roman"/>
                <w:sz w:val="20"/>
                <w:szCs w:val="20"/>
              </w:rPr>
            </w:pPr>
          </w:p>
        </w:tc>
        <w:tc>
          <w:tcPr>
            <w:tcW w:w="570" w:type="pct"/>
            <w:vAlign w:val="center"/>
            <w:hideMark/>
          </w:tcPr>
          <w:p w14:paraId="3B22BA05" w14:textId="77777777" w:rsidR="00000000" w:rsidRDefault="001A570A">
            <w:pPr>
              <w:rPr>
                <w:rFonts w:eastAsia="Times New Roman"/>
                <w:sz w:val="20"/>
                <w:szCs w:val="20"/>
              </w:rPr>
            </w:pPr>
          </w:p>
        </w:tc>
        <w:tc>
          <w:tcPr>
            <w:tcW w:w="5" w:type="pct"/>
            <w:vAlign w:val="center"/>
            <w:hideMark/>
          </w:tcPr>
          <w:p w14:paraId="3E4712A1" w14:textId="77777777" w:rsidR="00000000" w:rsidRDefault="001A570A">
            <w:pPr>
              <w:rPr>
                <w:rFonts w:eastAsia="Times New Roman"/>
                <w:sz w:val="20"/>
                <w:szCs w:val="20"/>
              </w:rPr>
            </w:pPr>
          </w:p>
        </w:tc>
      </w:tr>
      <w:tr w:rsidR="00000000" w14:paraId="61D7289B" w14:textId="77777777">
        <w:trPr>
          <w:divId w:val="1881896933"/>
        </w:trPr>
        <w:tc>
          <w:tcPr>
            <w:tcW w:w="0" w:type="auto"/>
            <w:gridSpan w:val="3"/>
            <w:tcMar>
              <w:top w:w="0" w:type="dxa"/>
              <w:left w:w="20" w:type="dxa"/>
              <w:bottom w:w="0" w:type="dxa"/>
              <w:right w:w="20" w:type="dxa"/>
            </w:tcMar>
            <w:vAlign w:val="center"/>
            <w:hideMark/>
          </w:tcPr>
          <w:p w14:paraId="416AB44C"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3593B229"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7E268D9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281374C9"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0D741811"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39CBFDDF"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5D0F615" w14:textId="77777777">
        <w:trPr>
          <w:divId w:val="1881896933"/>
        </w:trPr>
        <w:tc>
          <w:tcPr>
            <w:tcW w:w="0" w:type="auto"/>
            <w:gridSpan w:val="3"/>
            <w:tcMar>
              <w:top w:w="0" w:type="dxa"/>
              <w:left w:w="20" w:type="dxa"/>
              <w:bottom w:w="0" w:type="dxa"/>
              <w:right w:w="20" w:type="dxa"/>
            </w:tcMar>
            <w:vAlign w:val="center"/>
            <w:hideMark/>
          </w:tcPr>
          <w:p w14:paraId="163D9EE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068AB1"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770382A9"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B88FD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2F73347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AFF797"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06BA5791"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BE04F5" w14:textId="77777777" w:rsidR="00000000" w:rsidRDefault="001A570A">
            <w:pPr>
              <w:jc w:val="center"/>
              <w:rPr>
                <w:rFonts w:eastAsia="Times New Roman"/>
              </w:rPr>
            </w:pPr>
            <w:r>
              <w:rPr>
                <w:rFonts w:eastAsia="Times New Roman"/>
                <w:b/>
                <w:bCs/>
                <w:color w:val="000000"/>
                <w:sz w:val="16"/>
                <w:szCs w:val="16"/>
              </w:rPr>
              <w:t>June 29, 2018</w:t>
            </w:r>
          </w:p>
        </w:tc>
      </w:tr>
      <w:tr w:rsidR="00000000" w14:paraId="03EAF05B" w14:textId="77777777">
        <w:trPr>
          <w:divId w:val="1881896933"/>
          <w:trHeight w:val="60"/>
        </w:trPr>
        <w:tc>
          <w:tcPr>
            <w:tcW w:w="0" w:type="auto"/>
            <w:gridSpan w:val="3"/>
            <w:tcMar>
              <w:top w:w="0" w:type="dxa"/>
              <w:left w:w="20" w:type="dxa"/>
              <w:bottom w:w="0" w:type="dxa"/>
              <w:right w:w="20" w:type="dxa"/>
            </w:tcMar>
            <w:vAlign w:val="center"/>
            <w:hideMark/>
          </w:tcPr>
          <w:p w14:paraId="4C7D5D9E"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07D560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3595BD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266F5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B8A9FD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23EF4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D9F324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58FCE7" w14:textId="77777777" w:rsidR="00000000" w:rsidRDefault="001A570A">
            <w:pPr>
              <w:rPr>
                <w:rFonts w:eastAsia="Times New Roman"/>
                <w:sz w:val="20"/>
                <w:szCs w:val="20"/>
              </w:rPr>
            </w:pPr>
          </w:p>
        </w:tc>
      </w:tr>
      <w:tr w:rsidR="00000000" w14:paraId="1E7A85C6" w14:textId="77777777">
        <w:trPr>
          <w:divId w:val="1881896933"/>
        </w:trPr>
        <w:tc>
          <w:tcPr>
            <w:tcW w:w="0" w:type="auto"/>
            <w:gridSpan w:val="3"/>
            <w:shd w:val="clear" w:color="auto" w:fill="CCEEFF"/>
            <w:tcMar>
              <w:top w:w="30" w:type="dxa"/>
              <w:left w:w="20" w:type="dxa"/>
              <w:bottom w:w="30" w:type="dxa"/>
              <w:right w:w="20" w:type="dxa"/>
            </w:tcMar>
            <w:hideMark/>
          </w:tcPr>
          <w:p w14:paraId="67137CA4" w14:textId="77777777" w:rsidR="00000000" w:rsidRDefault="001A570A">
            <w:pPr>
              <w:rPr>
                <w:rFonts w:eastAsia="Times New Roman"/>
              </w:rPr>
            </w:pPr>
            <w:r>
              <w:rPr>
                <w:rFonts w:eastAsia="Times New Roman"/>
                <w:color w:val="000000"/>
                <w:sz w:val="20"/>
                <w:szCs w:val="20"/>
              </w:rPr>
              <w:t>U.S. statutory income tax rate</w:t>
            </w:r>
          </w:p>
        </w:tc>
        <w:tc>
          <w:tcPr>
            <w:tcW w:w="0" w:type="auto"/>
            <w:gridSpan w:val="2"/>
            <w:shd w:val="clear" w:color="auto" w:fill="CCEEFF"/>
            <w:tcMar>
              <w:top w:w="30" w:type="dxa"/>
              <w:left w:w="20" w:type="dxa"/>
              <w:bottom w:w="30" w:type="dxa"/>
              <w:right w:w="0" w:type="dxa"/>
            </w:tcMar>
            <w:vAlign w:val="bottom"/>
            <w:hideMark/>
          </w:tcPr>
          <w:p w14:paraId="71A19882" w14:textId="77777777" w:rsidR="00000000" w:rsidRDefault="001A570A">
            <w:pPr>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14:paraId="5F64B9DF"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3B8996"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1A16B6" w14:textId="77777777" w:rsidR="00000000" w:rsidRDefault="001A570A">
            <w:pPr>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14:paraId="74E6081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7D0B771"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1A2B50" w14:textId="77777777" w:rsidR="00000000" w:rsidRDefault="001A570A">
            <w:pPr>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14:paraId="4FFC7DEB"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7782C1"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DFEC8C" w14:textId="77777777" w:rsidR="00000000" w:rsidRDefault="001A570A">
            <w:pPr>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14:paraId="048286D0" w14:textId="77777777" w:rsidR="00000000" w:rsidRDefault="001A570A">
            <w:pPr>
              <w:jc w:val="right"/>
              <w:rPr>
                <w:rFonts w:eastAsia="Times New Roman"/>
              </w:rPr>
            </w:pPr>
            <w:r>
              <w:rPr>
                <w:rFonts w:eastAsia="Times New Roman"/>
                <w:color w:val="000000"/>
                <w:sz w:val="20"/>
                <w:szCs w:val="20"/>
              </w:rPr>
              <w:t>%</w:t>
            </w:r>
          </w:p>
        </w:tc>
      </w:tr>
      <w:tr w:rsidR="00000000" w14:paraId="10E77F86" w14:textId="77777777">
        <w:trPr>
          <w:divId w:val="1881896933"/>
        </w:trPr>
        <w:tc>
          <w:tcPr>
            <w:tcW w:w="0" w:type="auto"/>
            <w:gridSpan w:val="3"/>
            <w:shd w:val="clear" w:color="auto" w:fill="FFFFFF"/>
            <w:tcMar>
              <w:top w:w="30" w:type="dxa"/>
              <w:left w:w="20" w:type="dxa"/>
              <w:bottom w:w="30" w:type="dxa"/>
              <w:right w:w="20" w:type="dxa"/>
            </w:tcMar>
            <w:hideMark/>
          </w:tcPr>
          <w:p w14:paraId="5D6AB6D9" w14:textId="77777777" w:rsidR="00000000" w:rsidRDefault="001A570A">
            <w:pPr>
              <w:rPr>
                <w:rFonts w:eastAsia="Times New Roman"/>
              </w:rPr>
            </w:pPr>
            <w:r>
              <w:rPr>
                <w:rFonts w:eastAsia="Times New Roman"/>
                <w:color w:val="000000"/>
                <w:sz w:val="20"/>
                <w:szCs w:val="20"/>
              </w:rPr>
              <w:t>State taxes</w:t>
            </w:r>
          </w:p>
        </w:tc>
        <w:tc>
          <w:tcPr>
            <w:tcW w:w="0" w:type="auto"/>
            <w:gridSpan w:val="2"/>
            <w:shd w:val="clear" w:color="auto" w:fill="FFFFFF"/>
            <w:tcMar>
              <w:top w:w="30" w:type="dxa"/>
              <w:left w:w="20" w:type="dxa"/>
              <w:bottom w:w="30" w:type="dxa"/>
              <w:right w:w="0" w:type="dxa"/>
            </w:tcMar>
            <w:vAlign w:val="bottom"/>
            <w:hideMark/>
          </w:tcPr>
          <w:p w14:paraId="61F58C54" w14:textId="77777777" w:rsidR="00000000" w:rsidRDefault="001A570A">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241569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EDF1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708557" w14:textId="77777777" w:rsidR="00000000" w:rsidRDefault="001A570A">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53B81F3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34FA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4D554" w14:textId="77777777" w:rsidR="00000000" w:rsidRDefault="001A570A">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4E58A8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2E85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D84406" w14:textId="77777777" w:rsidR="00000000" w:rsidRDefault="001A570A">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0AB65BAC" w14:textId="77777777" w:rsidR="00000000" w:rsidRDefault="001A570A">
            <w:pPr>
              <w:jc w:val="right"/>
              <w:rPr>
                <w:rFonts w:eastAsia="Times New Roman"/>
              </w:rPr>
            </w:pPr>
          </w:p>
        </w:tc>
      </w:tr>
      <w:tr w:rsidR="00000000" w14:paraId="30E47C00" w14:textId="77777777">
        <w:trPr>
          <w:divId w:val="1881896933"/>
        </w:trPr>
        <w:tc>
          <w:tcPr>
            <w:tcW w:w="0" w:type="auto"/>
            <w:gridSpan w:val="3"/>
            <w:shd w:val="clear" w:color="auto" w:fill="CCEEFF"/>
            <w:tcMar>
              <w:top w:w="30" w:type="dxa"/>
              <w:left w:w="20" w:type="dxa"/>
              <w:bottom w:w="30" w:type="dxa"/>
              <w:right w:w="20" w:type="dxa"/>
            </w:tcMar>
            <w:hideMark/>
          </w:tcPr>
          <w:p w14:paraId="1C13E756" w14:textId="77777777" w:rsidR="00000000" w:rsidRDefault="001A570A">
            <w:pPr>
              <w:rPr>
                <w:rFonts w:eastAsia="Times New Roman"/>
              </w:rPr>
            </w:pPr>
            <w:r>
              <w:rPr>
                <w:rFonts w:eastAsia="Times New Roman"/>
                <w:color w:val="000000"/>
                <w:sz w:val="20"/>
                <w:szCs w:val="20"/>
              </w:rPr>
              <w:t>International income</w:t>
            </w:r>
          </w:p>
        </w:tc>
        <w:tc>
          <w:tcPr>
            <w:tcW w:w="0" w:type="auto"/>
            <w:gridSpan w:val="2"/>
            <w:shd w:val="clear" w:color="auto" w:fill="CCEEFF"/>
            <w:tcMar>
              <w:top w:w="30" w:type="dxa"/>
              <w:left w:w="20" w:type="dxa"/>
              <w:bottom w:w="30" w:type="dxa"/>
              <w:right w:w="0" w:type="dxa"/>
            </w:tcMar>
            <w:vAlign w:val="bottom"/>
            <w:hideMark/>
          </w:tcPr>
          <w:p w14:paraId="429E95CD" w14:textId="77777777" w:rsidR="00000000" w:rsidRDefault="001A570A">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58E59E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C190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97A88" w14:textId="77777777" w:rsidR="00000000" w:rsidRDefault="001A570A">
            <w:pPr>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0D4EB4D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B375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073C7B" w14:textId="77777777" w:rsidR="00000000" w:rsidRDefault="001A570A">
            <w:pPr>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14:paraId="11A80AC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27B2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BD24D" w14:textId="77777777" w:rsidR="00000000" w:rsidRDefault="001A570A">
            <w:pPr>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14:paraId="042F97F0" w14:textId="77777777" w:rsidR="00000000" w:rsidRDefault="001A570A">
            <w:pPr>
              <w:jc w:val="right"/>
              <w:rPr>
                <w:rFonts w:eastAsia="Times New Roman"/>
              </w:rPr>
            </w:pPr>
          </w:p>
        </w:tc>
      </w:tr>
      <w:tr w:rsidR="00000000" w14:paraId="72FF7E9C" w14:textId="77777777">
        <w:trPr>
          <w:divId w:val="1881896933"/>
        </w:trPr>
        <w:tc>
          <w:tcPr>
            <w:tcW w:w="0" w:type="auto"/>
            <w:gridSpan w:val="3"/>
            <w:shd w:val="clear" w:color="auto" w:fill="FFFFFF"/>
            <w:tcMar>
              <w:top w:w="30" w:type="dxa"/>
              <w:left w:w="20" w:type="dxa"/>
              <w:bottom w:w="30" w:type="dxa"/>
              <w:right w:w="20" w:type="dxa"/>
            </w:tcMar>
            <w:hideMark/>
          </w:tcPr>
          <w:p w14:paraId="4875CD1D" w14:textId="77777777" w:rsidR="00000000" w:rsidRDefault="001A570A">
            <w:pPr>
              <w:rPr>
                <w:rFonts w:eastAsia="Times New Roman"/>
              </w:rPr>
            </w:pPr>
            <w:r>
              <w:rPr>
                <w:rFonts w:eastAsia="Times New Roman"/>
                <w:color w:val="000000"/>
                <w:sz w:val="20"/>
                <w:szCs w:val="20"/>
              </w:rPr>
              <w:t>Non-deductible goodwill impairment</w:t>
            </w:r>
          </w:p>
        </w:tc>
        <w:tc>
          <w:tcPr>
            <w:tcW w:w="0" w:type="auto"/>
            <w:gridSpan w:val="2"/>
            <w:shd w:val="clear" w:color="auto" w:fill="FFFFFF"/>
            <w:tcMar>
              <w:top w:w="30" w:type="dxa"/>
              <w:left w:w="20" w:type="dxa"/>
              <w:bottom w:w="30" w:type="dxa"/>
              <w:right w:w="0" w:type="dxa"/>
            </w:tcMar>
            <w:vAlign w:val="bottom"/>
            <w:hideMark/>
          </w:tcPr>
          <w:p w14:paraId="6A4AA574" w14:textId="77777777" w:rsidR="00000000" w:rsidRDefault="001A570A">
            <w:pPr>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4CBA3DC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04DE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8D474"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9B61E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8774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4786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1C965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11A1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1E56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9B830F" w14:textId="77777777" w:rsidR="00000000" w:rsidRDefault="001A570A">
            <w:pPr>
              <w:jc w:val="right"/>
              <w:rPr>
                <w:rFonts w:eastAsia="Times New Roman"/>
              </w:rPr>
            </w:pPr>
          </w:p>
        </w:tc>
      </w:tr>
      <w:tr w:rsidR="00000000" w14:paraId="0C6B100E" w14:textId="77777777">
        <w:trPr>
          <w:divId w:val="1881896933"/>
        </w:trPr>
        <w:tc>
          <w:tcPr>
            <w:tcW w:w="0" w:type="auto"/>
            <w:gridSpan w:val="3"/>
            <w:shd w:val="clear" w:color="auto" w:fill="CCEEFF"/>
            <w:tcMar>
              <w:top w:w="30" w:type="dxa"/>
              <w:left w:w="20" w:type="dxa"/>
              <w:bottom w:w="30" w:type="dxa"/>
              <w:right w:w="20" w:type="dxa"/>
            </w:tcMar>
            <w:hideMark/>
          </w:tcPr>
          <w:p w14:paraId="4EA90E4C" w14:textId="77777777" w:rsidR="00000000" w:rsidRDefault="001A570A">
            <w:pPr>
              <w:rPr>
                <w:rFonts w:eastAsia="Times New Roman"/>
              </w:rPr>
            </w:pPr>
            <w:r>
              <w:rPr>
                <w:rFonts w:eastAsia="Times New Roman"/>
                <w:color w:val="000000"/>
                <w:sz w:val="20"/>
                <w:szCs w:val="20"/>
              </w:rPr>
              <w:t>Research and development tax credit</w:t>
            </w:r>
          </w:p>
        </w:tc>
        <w:tc>
          <w:tcPr>
            <w:tcW w:w="0" w:type="auto"/>
            <w:gridSpan w:val="2"/>
            <w:shd w:val="clear" w:color="auto" w:fill="CCEEFF"/>
            <w:tcMar>
              <w:top w:w="30" w:type="dxa"/>
              <w:left w:w="20" w:type="dxa"/>
              <w:bottom w:w="30" w:type="dxa"/>
              <w:right w:w="0" w:type="dxa"/>
            </w:tcMar>
            <w:vAlign w:val="bottom"/>
            <w:hideMark/>
          </w:tcPr>
          <w:p w14:paraId="46965B8A" w14:textId="77777777" w:rsidR="00000000" w:rsidRDefault="001A570A">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14:paraId="1142A67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9A55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498ABF" w14:textId="77777777" w:rsidR="00000000" w:rsidRDefault="001A570A">
            <w:pPr>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14:paraId="785C906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DE45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CEAF4F" w14:textId="77777777" w:rsidR="00000000" w:rsidRDefault="001A570A">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572836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B70DB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53F94" w14:textId="77777777" w:rsidR="00000000" w:rsidRDefault="001A570A">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59B4E968" w14:textId="77777777" w:rsidR="00000000" w:rsidRDefault="001A570A">
            <w:pPr>
              <w:jc w:val="right"/>
              <w:rPr>
                <w:rFonts w:eastAsia="Times New Roman"/>
              </w:rPr>
            </w:pPr>
          </w:p>
        </w:tc>
      </w:tr>
      <w:tr w:rsidR="00000000" w14:paraId="48735074" w14:textId="77777777">
        <w:trPr>
          <w:divId w:val="1881896933"/>
        </w:trPr>
        <w:tc>
          <w:tcPr>
            <w:tcW w:w="0" w:type="auto"/>
            <w:gridSpan w:val="3"/>
            <w:shd w:val="clear" w:color="auto" w:fill="FFFFFF"/>
            <w:tcMar>
              <w:top w:w="30" w:type="dxa"/>
              <w:left w:w="20" w:type="dxa"/>
              <w:bottom w:w="30" w:type="dxa"/>
              <w:right w:w="20" w:type="dxa"/>
            </w:tcMar>
            <w:hideMark/>
          </w:tcPr>
          <w:p w14:paraId="02539154" w14:textId="77777777" w:rsidR="00000000" w:rsidRDefault="001A570A">
            <w:pPr>
              <w:rPr>
                <w:rFonts w:eastAsia="Times New Roman"/>
              </w:rPr>
            </w:pPr>
            <w:r>
              <w:rPr>
                <w:rFonts w:eastAsia="Times New Roman"/>
                <w:color w:val="000000"/>
                <w:sz w:val="20"/>
                <w:szCs w:val="20"/>
              </w:rPr>
              <w:t xml:space="preserve">Foreign derived intangibles income deduction </w:t>
            </w:r>
          </w:p>
        </w:tc>
        <w:tc>
          <w:tcPr>
            <w:tcW w:w="0" w:type="auto"/>
            <w:gridSpan w:val="2"/>
            <w:shd w:val="clear" w:color="auto" w:fill="FFFFFF"/>
            <w:tcMar>
              <w:top w:w="30" w:type="dxa"/>
              <w:left w:w="20" w:type="dxa"/>
              <w:bottom w:w="30" w:type="dxa"/>
              <w:right w:w="0" w:type="dxa"/>
            </w:tcMar>
            <w:vAlign w:val="bottom"/>
            <w:hideMark/>
          </w:tcPr>
          <w:p w14:paraId="5AFAE562" w14:textId="77777777" w:rsidR="00000000" w:rsidRDefault="001A570A">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663EBE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8E30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95736" w14:textId="77777777" w:rsidR="00000000" w:rsidRDefault="001A570A">
            <w:pPr>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14:paraId="38236EC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DE96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F6909" w14:textId="77777777" w:rsidR="00000000" w:rsidRDefault="001A570A">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5AFD51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FE71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16A5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1A9281" w14:textId="77777777" w:rsidR="00000000" w:rsidRDefault="001A570A">
            <w:pPr>
              <w:jc w:val="right"/>
              <w:rPr>
                <w:rFonts w:eastAsia="Times New Roman"/>
              </w:rPr>
            </w:pPr>
          </w:p>
        </w:tc>
      </w:tr>
      <w:tr w:rsidR="00000000" w14:paraId="2767CB82" w14:textId="77777777">
        <w:trPr>
          <w:divId w:val="1881896933"/>
        </w:trPr>
        <w:tc>
          <w:tcPr>
            <w:tcW w:w="0" w:type="auto"/>
            <w:gridSpan w:val="3"/>
            <w:shd w:val="clear" w:color="auto" w:fill="CCEEFF"/>
            <w:tcMar>
              <w:top w:w="30" w:type="dxa"/>
              <w:left w:w="20" w:type="dxa"/>
              <w:bottom w:w="30" w:type="dxa"/>
              <w:right w:w="20" w:type="dxa"/>
            </w:tcMar>
            <w:hideMark/>
          </w:tcPr>
          <w:p w14:paraId="0AE25A12" w14:textId="77777777" w:rsidR="00000000" w:rsidRDefault="001A570A">
            <w:pPr>
              <w:rPr>
                <w:rFonts w:eastAsia="Times New Roman"/>
              </w:rPr>
            </w:pPr>
            <w:r>
              <w:rPr>
                <w:rFonts w:eastAsia="Times New Roman"/>
                <w:color w:val="000000"/>
                <w:sz w:val="20"/>
                <w:szCs w:val="20"/>
              </w:rPr>
              <w:t>Change in valuation allowance</w:t>
            </w:r>
          </w:p>
        </w:tc>
        <w:tc>
          <w:tcPr>
            <w:tcW w:w="0" w:type="auto"/>
            <w:gridSpan w:val="2"/>
            <w:shd w:val="clear" w:color="auto" w:fill="CCEEFF"/>
            <w:tcMar>
              <w:top w:w="30" w:type="dxa"/>
              <w:left w:w="20" w:type="dxa"/>
              <w:bottom w:w="30" w:type="dxa"/>
              <w:right w:w="0" w:type="dxa"/>
            </w:tcMar>
            <w:vAlign w:val="bottom"/>
            <w:hideMark/>
          </w:tcPr>
          <w:p w14:paraId="28A6158B" w14:textId="77777777" w:rsidR="00000000" w:rsidRDefault="001A570A">
            <w:pPr>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14:paraId="0695476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0B5A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47CFC" w14:textId="77777777" w:rsidR="00000000" w:rsidRDefault="001A570A">
            <w:pPr>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14:paraId="2B5BC2C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C80F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B9B47"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4680EB3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BFFC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F9575" w14:textId="77777777" w:rsidR="00000000" w:rsidRDefault="001A570A">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59B59D7E" w14:textId="77777777" w:rsidR="00000000" w:rsidRDefault="001A570A">
            <w:pPr>
              <w:jc w:val="right"/>
              <w:rPr>
                <w:rFonts w:eastAsia="Times New Roman"/>
              </w:rPr>
            </w:pPr>
          </w:p>
        </w:tc>
      </w:tr>
      <w:tr w:rsidR="00000000" w14:paraId="7626D4ED" w14:textId="77777777">
        <w:trPr>
          <w:divId w:val="1881896933"/>
        </w:trPr>
        <w:tc>
          <w:tcPr>
            <w:tcW w:w="0" w:type="auto"/>
            <w:gridSpan w:val="3"/>
            <w:shd w:val="clear" w:color="auto" w:fill="FFFFFF"/>
            <w:tcMar>
              <w:top w:w="30" w:type="dxa"/>
              <w:left w:w="20" w:type="dxa"/>
              <w:bottom w:w="30" w:type="dxa"/>
              <w:right w:w="20" w:type="dxa"/>
            </w:tcMar>
            <w:hideMark/>
          </w:tcPr>
          <w:p w14:paraId="53F700CF" w14:textId="77777777" w:rsidR="00000000" w:rsidRDefault="001A570A">
            <w:pPr>
              <w:rPr>
                <w:rFonts w:eastAsia="Times New Roman"/>
              </w:rPr>
            </w:pPr>
            <w:r>
              <w:rPr>
                <w:rFonts w:eastAsia="Times New Roman"/>
                <w:color w:val="000000"/>
                <w:sz w:val="20"/>
                <w:szCs w:val="20"/>
              </w:rPr>
              <w:t>U.S. production activity benefit</w:t>
            </w:r>
          </w:p>
        </w:tc>
        <w:tc>
          <w:tcPr>
            <w:tcW w:w="0" w:type="auto"/>
            <w:gridSpan w:val="2"/>
            <w:shd w:val="clear" w:color="auto" w:fill="FFFFFF"/>
            <w:tcMar>
              <w:top w:w="30" w:type="dxa"/>
              <w:left w:w="20" w:type="dxa"/>
              <w:bottom w:w="30" w:type="dxa"/>
              <w:right w:w="0" w:type="dxa"/>
            </w:tcMar>
            <w:vAlign w:val="bottom"/>
            <w:hideMark/>
          </w:tcPr>
          <w:p w14:paraId="45E6E31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A28D5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463D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4651B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BAD9C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1E63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9789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03091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FF2C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924E3C" w14:textId="77777777" w:rsidR="00000000" w:rsidRDefault="001A570A">
            <w:pPr>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14:paraId="06D00A46" w14:textId="77777777" w:rsidR="00000000" w:rsidRDefault="001A570A">
            <w:pPr>
              <w:jc w:val="right"/>
              <w:rPr>
                <w:rFonts w:eastAsia="Times New Roman"/>
              </w:rPr>
            </w:pPr>
          </w:p>
        </w:tc>
      </w:tr>
      <w:tr w:rsidR="00000000" w14:paraId="5588ED40" w14:textId="77777777">
        <w:trPr>
          <w:divId w:val="1881896933"/>
        </w:trPr>
        <w:tc>
          <w:tcPr>
            <w:tcW w:w="0" w:type="auto"/>
            <w:gridSpan w:val="3"/>
            <w:shd w:val="clear" w:color="auto" w:fill="CCEEFF"/>
            <w:tcMar>
              <w:top w:w="30" w:type="dxa"/>
              <w:left w:w="20" w:type="dxa"/>
              <w:bottom w:w="30" w:type="dxa"/>
              <w:right w:w="20" w:type="dxa"/>
            </w:tcMar>
            <w:hideMark/>
          </w:tcPr>
          <w:p w14:paraId="4AC37C76" w14:textId="77777777" w:rsidR="00000000" w:rsidRDefault="001A570A">
            <w:pPr>
              <w:divId w:val="1485899447"/>
              <w:rPr>
                <w:rFonts w:eastAsia="Times New Roman"/>
              </w:rPr>
            </w:pPr>
            <w:r>
              <w:rPr>
                <w:rFonts w:eastAsia="Times New Roman"/>
                <w:color w:val="000000"/>
                <w:sz w:val="20"/>
                <w:szCs w:val="20"/>
              </w:rPr>
              <w:t>Equity-based compensatio</w:t>
            </w:r>
            <w:r>
              <w:rPr>
                <w:rFonts w:eastAsia="Times New Roman"/>
                <w:color w:val="000000"/>
                <w:sz w:val="20"/>
                <w:szCs w:val="20"/>
              </w:rPr>
              <w:t>n</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488A9827"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07FBEF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EF6F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4F477" w14:textId="77777777" w:rsidR="00000000" w:rsidRDefault="001A570A">
            <w:pPr>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14:paraId="35533C7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2924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22506" w14:textId="77777777" w:rsidR="00000000" w:rsidRDefault="001A570A">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14:paraId="65834DB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94D1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FE6AB"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14:paraId="3EE0EA4A" w14:textId="77777777" w:rsidR="00000000" w:rsidRDefault="001A570A">
            <w:pPr>
              <w:jc w:val="right"/>
              <w:rPr>
                <w:rFonts w:eastAsia="Times New Roman"/>
              </w:rPr>
            </w:pPr>
          </w:p>
        </w:tc>
      </w:tr>
      <w:tr w:rsidR="00000000" w14:paraId="6584C8E1" w14:textId="77777777">
        <w:trPr>
          <w:divId w:val="1881896933"/>
        </w:trPr>
        <w:tc>
          <w:tcPr>
            <w:tcW w:w="0" w:type="auto"/>
            <w:gridSpan w:val="3"/>
            <w:vAlign w:val="center"/>
            <w:hideMark/>
          </w:tcPr>
          <w:p w14:paraId="01029E53" w14:textId="77777777" w:rsidR="00000000" w:rsidRDefault="001A570A">
            <w:pPr>
              <w:jc w:val="right"/>
              <w:rPr>
                <w:rFonts w:eastAsia="Times New Roman"/>
                <w:sz w:val="20"/>
                <w:szCs w:val="20"/>
              </w:rPr>
            </w:pPr>
          </w:p>
        </w:tc>
        <w:tc>
          <w:tcPr>
            <w:tcW w:w="0" w:type="auto"/>
            <w:gridSpan w:val="3"/>
            <w:vAlign w:val="center"/>
            <w:hideMark/>
          </w:tcPr>
          <w:p w14:paraId="5C80831C" w14:textId="77777777" w:rsidR="00000000" w:rsidRDefault="001A570A">
            <w:pPr>
              <w:rPr>
                <w:rFonts w:eastAsia="Times New Roman"/>
                <w:sz w:val="20"/>
                <w:szCs w:val="20"/>
              </w:rPr>
            </w:pPr>
          </w:p>
        </w:tc>
        <w:tc>
          <w:tcPr>
            <w:tcW w:w="0" w:type="auto"/>
            <w:gridSpan w:val="3"/>
            <w:vAlign w:val="center"/>
            <w:hideMark/>
          </w:tcPr>
          <w:p w14:paraId="4932A26A" w14:textId="77777777" w:rsidR="00000000" w:rsidRDefault="001A570A">
            <w:pPr>
              <w:rPr>
                <w:rFonts w:eastAsia="Times New Roman"/>
                <w:sz w:val="20"/>
                <w:szCs w:val="20"/>
              </w:rPr>
            </w:pPr>
          </w:p>
        </w:tc>
        <w:tc>
          <w:tcPr>
            <w:tcW w:w="0" w:type="auto"/>
            <w:gridSpan w:val="3"/>
            <w:vAlign w:val="center"/>
            <w:hideMark/>
          </w:tcPr>
          <w:p w14:paraId="368D8843" w14:textId="77777777" w:rsidR="00000000" w:rsidRDefault="001A570A">
            <w:pPr>
              <w:rPr>
                <w:rFonts w:eastAsia="Times New Roman"/>
                <w:sz w:val="20"/>
                <w:szCs w:val="20"/>
              </w:rPr>
            </w:pPr>
          </w:p>
        </w:tc>
        <w:tc>
          <w:tcPr>
            <w:tcW w:w="0" w:type="auto"/>
            <w:gridSpan w:val="3"/>
            <w:vAlign w:val="center"/>
            <w:hideMark/>
          </w:tcPr>
          <w:p w14:paraId="6EB13E51" w14:textId="77777777" w:rsidR="00000000" w:rsidRDefault="001A570A">
            <w:pPr>
              <w:rPr>
                <w:rFonts w:eastAsia="Times New Roman"/>
                <w:sz w:val="20"/>
                <w:szCs w:val="20"/>
              </w:rPr>
            </w:pPr>
          </w:p>
        </w:tc>
        <w:tc>
          <w:tcPr>
            <w:tcW w:w="0" w:type="auto"/>
            <w:gridSpan w:val="3"/>
            <w:vAlign w:val="center"/>
            <w:hideMark/>
          </w:tcPr>
          <w:p w14:paraId="20B08A4F" w14:textId="77777777" w:rsidR="00000000" w:rsidRDefault="001A570A">
            <w:pPr>
              <w:rPr>
                <w:rFonts w:eastAsia="Times New Roman"/>
                <w:sz w:val="20"/>
                <w:szCs w:val="20"/>
              </w:rPr>
            </w:pPr>
          </w:p>
        </w:tc>
        <w:tc>
          <w:tcPr>
            <w:tcW w:w="0" w:type="auto"/>
            <w:gridSpan w:val="3"/>
            <w:vAlign w:val="center"/>
            <w:hideMark/>
          </w:tcPr>
          <w:p w14:paraId="2FB6CD4B" w14:textId="77777777" w:rsidR="00000000" w:rsidRDefault="001A570A">
            <w:pPr>
              <w:rPr>
                <w:rFonts w:eastAsia="Times New Roman"/>
                <w:sz w:val="20"/>
                <w:szCs w:val="20"/>
              </w:rPr>
            </w:pPr>
          </w:p>
        </w:tc>
        <w:tc>
          <w:tcPr>
            <w:tcW w:w="0" w:type="auto"/>
            <w:gridSpan w:val="3"/>
            <w:vAlign w:val="center"/>
            <w:hideMark/>
          </w:tcPr>
          <w:p w14:paraId="12EE92DC" w14:textId="77777777" w:rsidR="00000000" w:rsidRDefault="001A570A">
            <w:pPr>
              <w:rPr>
                <w:rFonts w:eastAsia="Times New Roman"/>
                <w:sz w:val="20"/>
                <w:szCs w:val="20"/>
              </w:rPr>
            </w:pPr>
          </w:p>
        </w:tc>
      </w:tr>
      <w:tr w:rsidR="00000000" w14:paraId="2095F56C" w14:textId="77777777">
        <w:trPr>
          <w:divId w:val="1881896933"/>
        </w:trPr>
        <w:tc>
          <w:tcPr>
            <w:tcW w:w="0" w:type="auto"/>
            <w:gridSpan w:val="3"/>
            <w:shd w:val="clear" w:color="auto" w:fill="FFFFFF"/>
            <w:tcMar>
              <w:top w:w="30" w:type="dxa"/>
              <w:left w:w="20" w:type="dxa"/>
              <w:bottom w:w="30" w:type="dxa"/>
              <w:right w:w="20" w:type="dxa"/>
            </w:tcMar>
            <w:hideMark/>
          </w:tcPr>
          <w:p w14:paraId="321B3A1A" w14:textId="77777777" w:rsidR="00000000" w:rsidRDefault="001A570A">
            <w:pPr>
              <w:rPr>
                <w:rFonts w:eastAsia="Times New Roman"/>
              </w:rPr>
            </w:pPr>
            <w:r>
              <w:rPr>
                <w:rFonts w:eastAsia="Times New Roman"/>
                <w:color w:val="000000"/>
                <w:sz w:val="20"/>
                <w:szCs w:val="20"/>
              </w:rPr>
              <w:t>Settlement of tax audits</w:t>
            </w:r>
          </w:p>
        </w:tc>
        <w:tc>
          <w:tcPr>
            <w:tcW w:w="0" w:type="auto"/>
            <w:gridSpan w:val="2"/>
            <w:shd w:val="clear" w:color="auto" w:fill="FFFFFF"/>
            <w:tcMar>
              <w:top w:w="30" w:type="dxa"/>
              <w:left w:w="20" w:type="dxa"/>
              <w:bottom w:w="30" w:type="dxa"/>
              <w:right w:w="0" w:type="dxa"/>
            </w:tcMar>
            <w:vAlign w:val="bottom"/>
            <w:hideMark/>
          </w:tcPr>
          <w:p w14:paraId="5990D388" w14:textId="77777777" w:rsidR="00000000" w:rsidRDefault="001A570A">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14:paraId="240FEB5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32CE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EC01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3CC75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928C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E4D0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BD231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7E94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CD395" w14:textId="77777777" w:rsidR="00000000" w:rsidRDefault="001A570A">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14:paraId="1A0DDAF7" w14:textId="77777777" w:rsidR="00000000" w:rsidRDefault="001A570A">
            <w:pPr>
              <w:jc w:val="right"/>
              <w:rPr>
                <w:rFonts w:eastAsia="Times New Roman"/>
              </w:rPr>
            </w:pPr>
          </w:p>
        </w:tc>
      </w:tr>
      <w:tr w:rsidR="00000000" w14:paraId="54F9756C" w14:textId="77777777">
        <w:trPr>
          <w:divId w:val="1881896933"/>
        </w:trPr>
        <w:tc>
          <w:tcPr>
            <w:tcW w:w="0" w:type="auto"/>
            <w:gridSpan w:val="3"/>
            <w:shd w:val="clear" w:color="auto" w:fill="CCEEFF"/>
            <w:tcMar>
              <w:top w:w="30" w:type="dxa"/>
              <w:left w:w="20" w:type="dxa"/>
              <w:bottom w:w="30" w:type="dxa"/>
              <w:right w:w="20" w:type="dxa"/>
            </w:tcMar>
            <w:hideMark/>
          </w:tcPr>
          <w:p w14:paraId="33F4F2D9" w14:textId="77777777" w:rsidR="00000000" w:rsidRDefault="001A570A">
            <w:pPr>
              <w:rPr>
                <w:rFonts w:eastAsia="Times New Roman"/>
              </w:rPr>
            </w:pPr>
            <w:r>
              <w:rPr>
                <w:rFonts w:eastAsia="Times New Roman"/>
                <w:color w:val="000000"/>
                <w:sz w:val="20"/>
                <w:szCs w:val="20"/>
              </w:rPr>
              <w:t>U.S. tax reform</w:t>
            </w:r>
          </w:p>
        </w:tc>
        <w:tc>
          <w:tcPr>
            <w:tcW w:w="0" w:type="auto"/>
            <w:gridSpan w:val="2"/>
            <w:shd w:val="clear" w:color="auto" w:fill="CCEEFF"/>
            <w:tcMar>
              <w:top w:w="30" w:type="dxa"/>
              <w:left w:w="20" w:type="dxa"/>
              <w:bottom w:w="30" w:type="dxa"/>
              <w:right w:w="0" w:type="dxa"/>
            </w:tcMar>
            <w:vAlign w:val="bottom"/>
            <w:hideMark/>
          </w:tcPr>
          <w:p w14:paraId="571534A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9242A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5271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A60D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B137A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1A41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0E1B1"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0F2D4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7C3F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4F0A2" w14:textId="77777777" w:rsidR="00000000" w:rsidRDefault="001A570A">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7B0048E5" w14:textId="77777777" w:rsidR="00000000" w:rsidRDefault="001A570A">
            <w:pPr>
              <w:jc w:val="right"/>
              <w:rPr>
                <w:rFonts w:eastAsia="Times New Roman"/>
              </w:rPr>
            </w:pPr>
          </w:p>
        </w:tc>
      </w:tr>
      <w:tr w:rsidR="00000000" w14:paraId="5C0785ED" w14:textId="77777777">
        <w:trPr>
          <w:divId w:val="1881896933"/>
        </w:trPr>
        <w:tc>
          <w:tcPr>
            <w:tcW w:w="0" w:type="auto"/>
            <w:gridSpan w:val="3"/>
            <w:shd w:val="clear" w:color="auto" w:fill="FFFFFF"/>
            <w:tcMar>
              <w:top w:w="30" w:type="dxa"/>
              <w:left w:w="20" w:type="dxa"/>
              <w:bottom w:w="30" w:type="dxa"/>
              <w:right w:w="20" w:type="dxa"/>
            </w:tcMar>
            <w:hideMark/>
          </w:tcPr>
          <w:p w14:paraId="011A905F" w14:textId="77777777" w:rsidR="00000000" w:rsidRDefault="001A570A">
            <w:pPr>
              <w:rPr>
                <w:rFonts w:eastAsia="Times New Roman"/>
              </w:rPr>
            </w:pPr>
            <w:r>
              <w:rPr>
                <w:rFonts w:eastAsia="Times New Roman"/>
                <w:color w:val="000000"/>
                <w:sz w:val="20"/>
                <w:szCs w:val="20"/>
              </w:rPr>
              <w:t>Other items</w:t>
            </w:r>
          </w:p>
        </w:tc>
        <w:tc>
          <w:tcPr>
            <w:tcW w:w="0" w:type="auto"/>
            <w:gridSpan w:val="2"/>
            <w:shd w:val="clear" w:color="auto" w:fill="FFFFFF"/>
            <w:tcMar>
              <w:top w:w="30" w:type="dxa"/>
              <w:left w:w="20" w:type="dxa"/>
              <w:bottom w:w="30" w:type="dxa"/>
              <w:right w:w="0" w:type="dxa"/>
            </w:tcMar>
            <w:vAlign w:val="bottom"/>
            <w:hideMark/>
          </w:tcPr>
          <w:p w14:paraId="732141B5" w14:textId="77777777" w:rsidR="00000000" w:rsidRDefault="001A570A">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5DE2BB9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4229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0E428" w14:textId="77777777" w:rsidR="00000000" w:rsidRDefault="001A570A">
            <w:pPr>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126DCDC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C909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36192"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1482F5C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BC80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5B498" w14:textId="77777777" w:rsidR="00000000" w:rsidRDefault="001A570A">
            <w:pPr>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0C7E1565" w14:textId="77777777" w:rsidR="00000000" w:rsidRDefault="001A570A">
            <w:pPr>
              <w:jc w:val="right"/>
              <w:rPr>
                <w:rFonts w:eastAsia="Times New Roman"/>
              </w:rPr>
            </w:pPr>
          </w:p>
        </w:tc>
      </w:tr>
      <w:tr w:rsidR="00000000" w14:paraId="29E4C1A5" w14:textId="77777777">
        <w:trPr>
          <w:divId w:val="1881896933"/>
        </w:trPr>
        <w:tc>
          <w:tcPr>
            <w:tcW w:w="0" w:type="auto"/>
            <w:gridSpan w:val="3"/>
            <w:shd w:val="clear" w:color="auto" w:fill="CCEEFF"/>
            <w:tcMar>
              <w:top w:w="30" w:type="dxa"/>
              <w:left w:w="20" w:type="dxa"/>
              <w:bottom w:w="30" w:type="dxa"/>
              <w:right w:w="20" w:type="dxa"/>
            </w:tcMar>
            <w:hideMark/>
          </w:tcPr>
          <w:p w14:paraId="27A9C4D1" w14:textId="77777777" w:rsidR="00000000" w:rsidRDefault="001A570A">
            <w:pPr>
              <w:rPr>
                <w:rFonts w:eastAsia="Times New Roman"/>
              </w:rPr>
            </w:pPr>
            <w:r>
              <w:rPr>
                <w:rFonts w:eastAsia="Times New Roman"/>
                <w:color w:val="000000"/>
                <w:sz w:val="20"/>
                <w:szCs w:val="20"/>
              </w:rPr>
              <w:t>Effective income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F05919" w14:textId="77777777" w:rsidR="00000000" w:rsidRDefault="001A570A">
            <w:pPr>
              <w:jc w:val="right"/>
              <w:rPr>
                <w:rFonts w:eastAsia="Times New Roman"/>
              </w:rPr>
            </w:pPr>
            <w:r>
              <w:rPr>
                <w:rFonts w:eastAsia="Times New Roman"/>
                <w:color w:val="000000"/>
                <w:sz w:val="20"/>
                <w:szCs w:val="20"/>
              </w:rPr>
              <w:t>17.7 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96DF63"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04A17E" w14:textId="77777777" w:rsidR="00000000" w:rsidRDefault="001A570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B45862" w14:textId="77777777" w:rsidR="00000000" w:rsidRDefault="001A570A">
            <w:pPr>
              <w:jc w:val="right"/>
              <w:rPr>
                <w:rFonts w:eastAsia="Times New Roman"/>
              </w:rPr>
            </w:pPr>
            <w:r>
              <w:rPr>
                <w:rFonts w:eastAsia="Times New Roman"/>
                <w:color w:val="000000"/>
                <w:sz w:val="20"/>
                <w:szCs w:val="20"/>
              </w:rPr>
              <w:t>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AF79E0"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FE34AC8" w14:textId="77777777" w:rsidR="00000000" w:rsidRDefault="001A570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B8D4A3" w14:textId="77777777" w:rsidR="00000000" w:rsidRDefault="001A570A">
            <w:pPr>
              <w:jc w:val="right"/>
              <w:rPr>
                <w:rFonts w:eastAsia="Times New Roman"/>
              </w:rPr>
            </w:pPr>
            <w:r>
              <w:rPr>
                <w:rFonts w:eastAsia="Times New Roman"/>
                <w:color w:val="000000"/>
                <w:sz w:val="20"/>
                <w:szCs w:val="20"/>
              </w:rPr>
              <w:t>14.4 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C26654" w14:textId="77777777" w:rsidR="00000000" w:rsidRDefault="001A570A">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ADC7AC2" w14:textId="77777777" w:rsidR="00000000" w:rsidRDefault="001A570A">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5E40F0" w14:textId="77777777" w:rsidR="00000000" w:rsidRDefault="001A570A">
            <w:pPr>
              <w:jc w:val="right"/>
              <w:rPr>
                <w:rFonts w:eastAsia="Times New Roman"/>
              </w:rPr>
            </w:pPr>
            <w:r>
              <w:rPr>
                <w:rFonts w:eastAsia="Times New Roman"/>
                <w:color w:val="000000"/>
                <w:sz w:val="20"/>
                <w:szCs w:val="20"/>
              </w:rPr>
              <w:t>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EE1692" w14:textId="77777777" w:rsidR="00000000" w:rsidRDefault="001A570A">
            <w:pPr>
              <w:jc w:val="right"/>
              <w:rPr>
                <w:rFonts w:eastAsia="Times New Roman"/>
              </w:rPr>
            </w:pPr>
            <w:r>
              <w:rPr>
                <w:rFonts w:eastAsia="Times New Roman"/>
                <w:color w:val="000000"/>
                <w:sz w:val="20"/>
                <w:szCs w:val="20"/>
              </w:rPr>
              <w:t>%</w:t>
            </w:r>
          </w:p>
        </w:tc>
      </w:tr>
    </w:tbl>
    <w:p w14:paraId="47E5B247" w14:textId="77777777" w:rsidR="00000000" w:rsidRDefault="001A570A">
      <w:pPr>
        <w:divId w:val="1024357089"/>
        <w:rPr>
          <w:rFonts w:eastAsia="Times New Roman"/>
        </w:rPr>
      </w:pPr>
      <w:r>
        <w:rPr>
          <w:rFonts w:eastAsia="Times New Roman"/>
          <w:color w:val="000000"/>
          <w:sz w:val="16"/>
          <w:szCs w:val="16"/>
        </w:rPr>
        <w:t>_______________</w:t>
      </w:r>
    </w:p>
    <w:p w14:paraId="51F537BE" w14:textId="77777777" w:rsidR="00000000" w:rsidRDefault="001A570A">
      <w:pPr>
        <w:ind w:hanging="360"/>
        <w:divId w:val="972977994"/>
        <w:rPr>
          <w:rFonts w:eastAsia="Times New Roman"/>
        </w:rPr>
      </w:pPr>
      <w:r>
        <w:rPr>
          <w:rFonts w:eastAsia="Times New Roman"/>
          <w:color w:val="000000"/>
          <w:sz w:val="16"/>
          <w:szCs w:val="16"/>
        </w:rPr>
        <w:t>(1)In</w:t>
      </w:r>
      <w:r>
        <w:rPr>
          <w:rFonts w:eastAsia="Times New Roman"/>
          <w:color w:val="000000"/>
          <w:sz w:val="16"/>
          <w:szCs w:val="16"/>
        </w:rPr>
        <w:t xml:space="preserve">cludes non-deductible equity-based compensation and excess tax benefits from equity-based compensation. </w:t>
      </w:r>
    </w:p>
    <w:p w14:paraId="476847B8" w14:textId="77777777" w:rsidR="00000000" w:rsidRDefault="001A570A">
      <w:pPr>
        <w:ind w:firstLine="450"/>
        <w:divId w:val="173884990"/>
        <w:rPr>
          <w:rFonts w:eastAsia="Times New Roman"/>
        </w:rPr>
      </w:pPr>
      <w:r>
        <w:rPr>
          <w:rFonts w:eastAsia="Times New Roman"/>
          <w:color w:val="000000"/>
          <w:sz w:val="20"/>
          <w:szCs w:val="20"/>
        </w:rPr>
        <w:t>As of January 1, 2021, we estimate our outside basis difference in foreign subsidiaries that are considered indefinitely reinvested to be approximately</w:t>
      </w:r>
      <w:r>
        <w:rPr>
          <w:rFonts w:eastAsia="Times New Roman"/>
          <w:color w:val="000000"/>
          <w:sz w:val="20"/>
          <w:szCs w:val="20"/>
        </w:rPr>
        <w:t xml:space="preserve"> $1 billion. The outside basis difference is comprised predominantly of purchase accounting adjustments and to a lesser extent, undistributed earnings and other equity adjustments. In the event of a disposition of the foreign subsidiaries or a distribution</w:t>
      </w:r>
      <w:r>
        <w:rPr>
          <w:rFonts w:eastAsia="Times New Roman"/>
          <w:color w:val="000000"/>
          <w:sz w:val="20"/>
          <w:szCs w:val="20"/>
        </w:rPr>
        <w:t xml:space="preserve">, we may be subject to incremental U.S. income taxes, subject to an adjustment for foreign tax credits, </w:t>
      </w:r>
    </w:p>
    <w:p w14:paraId="06943391" w14:textId="77777777" w:rsidR="00000000" w:rsidRDefault="001A570A">
      <w:pPr>
        <w:ind w:firstLine="450"/>
        <w:jc w:val="center"/>
        <w:divId w:val="1367827196"/>
        <w:rPr>
          <w:rFonts w:eastAsia="Times New Roman"/>
        </w:rPr>
      </w:pPr>
      <w:r>
        <w:rPr>
          <w:rFonts w:eastAsia="Times New Roman"/>
          <w:color w:val="000000"/>
          <w:sz w:val="20"/>
          <w:szCs w:val="20"/>
        </w:rPr>
        <w:t>121</w:t>
      </w:r>
    </w:p>
    <w:p w14:paraId="7E8AED5B" w14:textId="77777777" w:rsidR="00000000" w:rsidRDefault="001A570A">
      <w:pPr>
        <w:rPr>
          <w:rFonts w:eastAsia="Times New Roman"/>
        </w:rPr>
      </w:pPr>
      <w:r>
        <w:rPr>
          <w:rFonts w:eastAsia="Times New Roman"/>
        </w:rPr>
        <w:pict w14:anchorId="25363629">
          <v:rect id="_x0000_i1149" style="width:0;height:1.5pt" o:hralign="center" o:hrstd="t" o:hr="t" fillcolor="#a0a0a0" stroked="f"/>
        </w:pict>
      </w:r>
    </w:p>
    <w:p w14:paraId="32C0B84A" w14:textId="77777777" w:rsidR="00000000" w:rsidRDefault="001A570A">
      <w:pPr>
        <w:ind w:firstLine="450"/>
        <w:divId w:val="885415385"/>
        <w:rPr>
          <w:rFonts w:eastAsia="Times New Roman"/>
        </w:rPr>
      </w:pPr>
    </w:p>
    <w:p w14:paraId="266ACF05" w14:textId="77777777" w:rsidR="00000000" w:rsidRDefault="001A570A">
      <w:pPr>
        <w:divId w:val="614336543"/>
        <w:rPr>
          <w:rFonts w:eastAsia="Times New Roman"/>
        </w:rPr>
      </w:pPr>
      <w:r>
        <w:rPr>
          <w:rFonts w:eastAsia="Times New Roman"/>
          <w:color w:val="000000"/>
          <w:sz w:val="20"/>
          <w:szCs w:val="20"/>
        </w:rPr>
        <w:t>and withholding taxes or income taxes payable to the foreign jurisdictions. As of January 1, 2021, the determination of the amount of unrecognized deferred tax liability related to the outside basis difference is not p</w:t>
      </w:r>
      <w:r>
        <w:rPr>
          <w:rFonts w:eastAsia="Times New Roman"/>
          <w:color w:val="000000"/>
          <w:sz w:val="20"/>
          <w:szCs w:val="20"/>
        </w:rPr>
        <w:t xml:space="preserve">racticable. </w:t>
      </w:r>
    </w:p>
    <w:p w14:paraId="6A94A803" w14:textId="77777777" w:rsidR="00000000" w:rsidRDefault="001A570A">
      <w:pPr>
        <w:divId w:val="526455529"/>
        <w:rPr>
          <w:rFonts w:eastAsia="Times New Roman"/>
        </w:rPr>
      </w:pPr>
      <w:r>
        <w:rPr>
          <w:rFonts w:eastAsia="Times New Roman"/>
          <w:b/>
          <w:bCs/>
          <w:color w:val="000000"/>
          <w:sz w:val="20"/>
          <w:szCs w:val="20"/>
        </w:rPr>
        <w:t>Tax Law Changes</w:t>
      </w:r>
    </w:p>
    <w:p w14:paraId="63FE79F1" w14:textId="77777777" w:rsidR="00000000" w:rsidRDefault="001A570A">
      <w:pPr>
        <w:ind w:firstLine="450"/>
        <w:divId w:val="2009625863"/>
        <w:rPr>
          <w:rFonts w:eastAsia="Times New Roman"/>
        </w:rPr>
      </w:pPr>
      <w:r>
        <w:rPr>
          <w:rFonts w:eastAsia="Times New Roman"/>
          <w:color w:val="000000"/>
          <w:sz w:val="20"/>
          <w:szCs w:val="20"/>
        </w:rPr>
        <w:t>On December 22, 2017, the Tax Cuts and Jobs Act of 2017 (the “Tax Act”) was signed into U.S. law. Among other provisions, the Tax Act reduced the U.S. statutory corporate income tax rate from a maximum 35 percent to a flat 21 p</w:t>
      </w:r>
      <w:r>
        <w:rPr>
          <w:rFonts w:eastAsia="Times New Roman"/>
          <w:color w:val="000000"/>
          <w:sz w:val="20"/>
          <w:szCs w:val="20"/>
        </w:rPr>
        <w:t xml:space="preserve">ercent, effective January 1, 2018. Based on our fiscal year end, our blended U.S. statutory corporate income tax rate for fiscal 2018 was 28.1 percent. This drop in the tax rate resulted in a one-time benefit of $26 million ($.21 per diluted share) at the </w:t>
      </w:r>
      <w:r>
        <w:rPr>
          <w:rFonts w:eastAsia="Times New Roman"/>
          <w:color w:val="000000"/>
          <w:sz w:val="20"/>
          <w:szCs w:val="20"/>
        </w:rPr>
        <w:t xml:space="preserve">date of enactment. Additionally, we recognized expense of $8 million in fiscal 2018 to revalue our existing net deferred income tax balances. </w:t>
      </w:r>
    </w:p>
    <w:p w14:paraId="3499003F" w14:textId="77777777" w:rsidR="00000000" w:rsidRDefault="001A570A">
      <w:pPr>
        <w:ind w:firstLine="450"/>
        <w:divId w:val="1039549305"/>
        <w:rPr>
          <w:rFonts w:eastAsia="Times New Roman"/>
        </w:rPr>
      </w:pPr>
      <w:r>
        <w:rPr>
          <w:rFonts w:eastAsia="Times New Roman"/>
          <w:color w:val="000000"/>
          <w:sz w:val="20"/>
          <w:szCs w:val="20"/>
        </w:rPr>
        <w:t>During the second quarter of fiscal 2019, we completed our accounting for the income tax impact of enactment of t</w:t>
      </w:r>
      <w:r>
        <w:rPr>
          <w:rFonts w:eastAsia="Times New Roman"/>
          <w:color w:val="000000"/>
          <w:sz w:val="20"/>
          <w:szCs w:val="20"/>
        </w:rPr>
        <w:t xml:space="preserve">he Tax Act and there were no material changes from the estimates reported in our Current Report on Form 8-K filed with the SEC on December 13, 2018. </w:t>
      </w:r>
    </w:p>
    <w:p w14:paraId="6CAB47BA" w14:textId="77777777" w:rsidR="00000000" w:rsidRDefault="001A570A">
      <w:pPr>
        <w:ind w:firstLine="450"/>
        <w:divId w:val="101844396"/>
        <w:rPr>
          <w:rFonts w:eastAsia="Times New Roman"/>
        </w:rPr>
      </w:pPr>
      <w:r>
        <w:rPr>
          <w:rFonts w:eastAsia="Times New Roman"/>
          <w:color w:val="000000"/>
          <w:sz w:val="20"/>
          <w:szCs w:val="20"/>
        </w:rPr>
        <w:t>The implementation of a modified territorial tax system under the Tax Act subjects us to tax on our Global</w:t>
      </w:r>
      <w:r>
        <w:rPr>
          <w:rFonts w:eastAsia="Times New Roman"/>
          <w:color w:val="000000"/>
          <w:sz w:val="20"/>
          <w:szCs w:val="20"/>
        </w:rPr>
        <w:t xml:space="preserve"> Intangible Low-Taxed Income (“GILTI”) starting with fiscal 2019. The Financial Accounting Standards Board has permitted companies to make an accounting policy decision to either (1) treat taxes due on future GILTI inclusions in U.S. taxable income as a cu</w:t>
      </w:r>
      <w:r>
        <w:rPr>
          <w:rFonts w:eastAsia="Times New Roman"/>
          <w:color w:val="000000"/>
          <w:sz w:val="20"/>
          <w:szCs w:val="20"/>
        </w:rPr>
        <w:t>rrent-period expense when incurred (“period cost method”) or (2) factor such amounts into the measurement of its deferred taxes (“deferred method”). We have elected to use the period cost method.</w:t>
      </w:r>
    </w:p>
    <w:p w14:paraId="01EB986B" w14:textId="77777777" w:rsidR="00000000" w:rsidRDefault="001A570A">
      <w:pPr>
        <w:divId w:val="452407939"/>
        <w:rPr>
          <w:rFonts w:eastAsia="Times New Roman"/>
        </w:rPr>
      </w:pPr>
      <w:r>
        <w:rPr>
          <w:rFonts w:eastAsia="Times New Roman"/>
          <w:b/>
          <w:bCs/>
          <w:color w:val="000000"/>
          <w:sz w:val="20"/>
          <w:szCs w:val="20"/>
        </w:rPr>
        <w:t>Deferred Income Tax Assets (Liabilities)</w:t>
      </w:r>
    </w:p>
    <w:p w14:paraId="4642FF70" w14:textId="77777777" w:rsidR="00000000" w:rsidRDefault="001A570A">
      <w:pPr>
        <w:ind w:firstLine="450"/>
        <w:divId w:val="1963925100"/>
        <w:rPr>
          <w:rFonts w:eastAsia="Times New Roman"/>
        </w:rPr>
      </w:pPr>
      <w:r>
        <w:rPr>
          <w:rFonts w:eastAsia="Times New Roman"/>
          <w:color w:val="000000"/>
          <w:sz w:val="20"/>
          <w:szCs w:val="20"/>
        </w:rPr>
        <w:t>The components of d</w:t>
      </w:r>
      <w:r>
        <w:rPr>
          <w:rFonts w:eastAsia="Times New Roman"/>
          <w:color w:val="000000"/>
          <w:sz w:val="20"/>
          <w:szCs w:val="20"/>
        </w:rPr>
        <w:t>eferred income tax assets (liabilities)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75"/>
        <w:gridCol w:w="39"/>
        <w:gridCol w:w="120"/>
        <w:gridCol w:w="1049"/>
        <w:gridCol w:w="36"/>
        <w:gridCol w:w="36"/>
        <w:gridCol w:w="36"/>
        <w:gridCol w:w="36"/>
        <w:gridCol w:w="120"/>
        <w:gridCol w:w="1011"/>
        <w:gridCol w:w="36"/>
        <w:gridCol w:w="36"/>
        <w:gridCol w:w="36"/>
      </w:tblGrid>
      <w:tr w:rsidR="00000000" w14:paraId="6C5133F3" w14:textId="77777777">
        <w:trPr>
          <w:divId w:val="666515570"/>
        </w:trPr>
        <w:tc>
          <w:tcPr>
            <w:tcW w:w="50" w:type="pct"/>
            <w:vAlign w:val="center"/>
            <w:hideMark/>
          </w:tcPr>
          <w:p w14:paraId="134E38DE" w14:textId="77777777" w:rsidR="00000000" w:rsidRDefault="001A570A">
            <w:pPr>
              <w:ind w:firstLine="450"/>
              <w:rPr>
                <w:rFonts w:eastAsia="Times New Roman"/>
              </w:rPr>
            </w:pPr>
          </w:p>
        </w:tc>
        <w:tc>
          <w:tcPr>
            <w:tcW w:w="3472" w:type="pct"/>
            <w:vAlign w:val="center"/>
            <w:hideMark/>
          </w:tcPr>
          <w:p w14:paraId="3AE86A93" w14:textId="77777777" w:rsidR="00000000" w:rsidRDefault="001A570A">
            <w:pPr>
              <w:rPr>
                <w:rFonts w:eastAsia="Times New Roman"/>
                <w:sz w:val="20"/>
                <w:szCs w:val="20"/>
              </w:rPr>
            </w:pPr>
          </w:p>
        </w:tc>
        <w:tc>
          <w:tcPr>
            <w:tcW w:w="5" w:type="pct"/>
            <w:vAlign w:val="center"/>
            <w:hideMark/>
          </w:tcPr>
          <w:p w14:paraId="014D5FA6" w14:textId="77777777" w:rsidR="00000000" w:rsidRDefault="001A570A">
            <w:pPr>
              <w:rPr>
                <w:rFonts w:eastAsia="Times New Roman"/>
                <w:sz w:val="20"/>
                <w:szCs w:val="20"/>
              </w:rPr>
            </w:pPr>
          </w:p>
        </w:tc>
        <w:tc>
          <w:tcPr>
            <w:tcW w:w="50" w:type="pct"/>
            <w:vAlign w:val="center"/>
            <w:hideMark/>
          </w:tcPr>
          <w:p w14:paraId="105B1968" w14:textId="77777777" w:rsidR="00000000" w:rsidRDefault="001A570A">
            <w:pPr>
              <w:rPr>
                <w:rFonts w:eastAsia="Times New Roman"/>
                <w:sz w:val="20"/>
                <w:szCs w:val="20"/>
              </w:rPr>
            </w:pPr>
          </w:p>
        </w:tc>
        <w:tc>
          <w:tcPr>
            <w:tcW w:w="663" w:type="pct"/>
            <w:vAlign w:val="center"/>
            <w:hideMark/>
          </w:tcPr>
          <w:p w14:paraId="11EA63CE" w14:textId="77777777" w:rsidR="00000000" w:rsidRDefault="001A570A">
            <w:pPr>
              <w:rPr>
                <w:rFonts w:eastAsia="Times New Roman"/>
                <w:sz w:val="20"/>
                <w:szCs w:val="20"/>
              </w:rPr>
            </w:pPr>
          </w:p>
        </w:tc>
        <w:tc>
          <w:tcPr>
            <w:tcW w:w="5" w:type="pct"/>
            <w:vAlign w:val="center"/>
            <w:hideMark/>
          </w:tcPr>
          <w:p w14:paraId="68039D94" w14:textId="77777777" w:rsidR="00000000" w:rsidRDefault="001A570A">
            <w:pPr>
              <w:rPr>
                <w:rFonts w:eastAsia="Times New Roman"/>
                <w:sz w:val="20"/>
                <w:szCs w:val="20"/>
              </w:rPr>
            </w:pPr>
          </w:p>
        </w:tc>
        <w:tc>
          <w:tcPr>
            <w:tcW w:w="5" w:type="pct"/>
            <w:vAlign w:val="center"/>
            <w:hideMark/>
          </w:tcPr>
          <w:p w14:paraId="6DC120C0" w14:textId="77777777" w:rsidR="00000000" w:rsidRDefault="001A570A">
            <w:pPr>
              <w:rPr>
                <w:rFonts w:eastAsia="Times New Roman"/>
                <w:sz w:val="20"/>
                <w:szCs w:val="20"/>
              </w:rPr>
            </w:pPr>
          </w:p>
        </w:tc>
        <w:tc>
          <w:tcPr>
            <w:tcW w:w="25" w:type="pct"/>
            <w:vAlign w:val="center"/>
            <w:hideMark/>
          </w:tcPr>
          <w:p w14:paraId="25125026" w14:textId="77777777" w:rsidR="00000000" w:rsidRDefault="001A570A">
            <w:pPr>
              <w:rPr>
                <w:rFonts w:eastAsia="Times New Roman"/>
                <w:sz w:val="20"/>
                <w:szCs w:val="20"/>
              </w:rPr>
            </w:pPr>
          </w:p>
        </w:tc>
        <w:tc>
          <w:tcPr>
            <w:tcW w:w="5" w:type="pct"/>
            <w:vAlign w:val="center"/>
            <w:hideMark/>
          </w:tcPr>
          <w:p w14:paraId="4A9998F2" w14:textId="77777777" w:rsidR="00000000" w:rsidRDefault="001A570A">
            <w:pPr>
              <w:rPr>
                <w:rFonts w:eastAsia="Times New Roman"/>
                <w:sz w:val="20"/>
                <w:szCs w:val="20"/>
              </w:rPr>
            </w:pPr>
          </w:p>
        </w:tc>
        <w:tc>
          <w:tcPr>
            <w:tcW w:w="50" w:type="pct"/>
            <w:vAlign w:val="center"/>
            <w:hideMark/>
          </w:tcPr>
          <w:p w14:paraId="018D5F46" w14:textId="77777777" w:rsidR="00000000" w:rsidRDefault="001A570A">
            <w:pPr>
              <w:rPr>
                <w:rFonts w:eastAsia="Times New Roman"/>
                <w:sz w:val="20"/>
                <w:szCs w:val="20"/>
              </w:rPr>
            </w:pPr>
          </w:p>
        </w:tc>
        <w:tc>
          <w:tcPr>
            <w:tcW w:w="663" w:type="pct"/>
            <w:vAlign w:val="center"/>
            <w:hideMark/>
          </w:tcPr>
          <w:p w14:paraId="278CAE5D" w14:textId="77777777" w:rsidR="00000000" w:rsidRDefault="001A570A">
            <w:pPr>
              <w:rPr>
                <w:rFonts w:eastAsia="Times New Roman"/>
                <w:sz w:val="20"/>
                <w:szCs w:val="20"/>
              </w:rPr>
            </w:pPr>
          </w:p>
        </w:tc>
        <w:tc>
          <w:tcPr>
            <w:tcW w:w="5" w:type="pct"/>
            <w:vAlign w:val="center"/>
            <w:hideMark/>
          </w:tcPr>
          <w:p w14:paraId="5B09E686" w14:textId="77777777" w:rsidR="00000000" w:rsidRDefault="001A570A">
            <w:pPr>
              <w:rPr>
                <w:rFonts w:eastAsia="Times New Roman"/>
                <w:sz w:val="20"/>
                <w:szCs w:val="20"/>
              </w:rPr>
            </w:pPr>
          </w:p>
        </w:tc>
        <w:tc>
          <w:tcPr>
            <w:tcW w:w="0" w:type="auto"/>
            <w:vAlign w:val="center"/>
            <w:hideMark/>
          </w:tcPr>
          <w:p w14:paraId="25DD85A0" w14:textId="77777777" w:rsidR="00000000" w:rsidRDefault="001A570A">
            <w:pPr>
              <w:rPr>
                <w:rFonts w:eastAsia="Times New Roman"/>
                <w:sz w:val="20"/>
                <w:szCs w:val="20"/>
              </w:rPr>
            </w:pPr>
          </w:p>
        </w:tc>
        <w:tc>
          <w:tcPr>
            <w:tcW w:w="0" w:type="auto"/>
            <w:vAlign w:val="center"/>
            <w:hideMark/>
          </w:tcPr>
          <w:p w14:paraId="3E5C0C50" w14:textId="77777777" w:rsidR="00000000" w:rsidRDefault="001A570A">
            <w:pPr>
              <w:rPr>
                <w:rFonts w:eastAsia="Times New Roman"/>
                <w:sz w:val="20"/>
                <w:szCs w:val="20"/>
              </w:rPr>
            </w:pPr>
          </w:p>
        </w:tc>
      </w:tr>
      <w:tr w:rsidR="00000000" w14:paraId="4D2E46AD" w14:textId="77777777">
        <w:trPr>
          <w:divId w:val="666515570"/>
        </w:trPr>
        <w:tc>
          <w:tcPr>
            <w:tcW w:w="0" w:type="auto"/>
            <w:gridSpan w:val="3"/>
            <w:tcMar>
              <w:top w:w="30" w:type="dxa"/>
              <w:left w:w="20" w:type="dxa"/>
              <w:bottom w:w="30" w:type="dxa"/>
              <w:right w:w="20" w:type="dxa"/>
            </w:tcMar>
            <w:vAlign w:val="bottom"/>
            <w:hideMark/>
          </w:tcPr>
          <w:p w14:paraId="0242D7C9"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595CD9B7"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A1914F4"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F45AC76"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7EF5D9D8" w14:textId="77777777" w:rsidR="00000000" w:rsidRDefault="001A570A">
            <w:pPr>
              <w:jc w:val="center"/>
              <w:rPr>
                <w:rFonts w:eastAsia="Times New Roman"/>
              </w:rPr>
            </w:pPr>
          </w:p>
        </w:tc>
        <w:tc>
          <w:tcPr>
            <w:tcW w:w="0" w:type="auto"/>
            <w:vAlign w:val="center"/>
            <w:hideMark/>
          </w:tcPr>
          <w:p w14:paraId="38B32F67" w14:textId="77777777" w:rsidR="00000000" w:rsidRDefault="001A570A">
            <w:pPr>
              <w:rPr>
                <w:rFonts w:eastAsia="Times New Roman"/>
                <w:sz w:val="20"/>
                <w:szCs w:val="20"/>
              </w:rPr>
            </w:pPr>
          </w:p>
        </w:tc>
      </w:tr>
      <w:tr w:rsidR="00000000" w14:paraId="2CD9FCDC" w14:textId="77777777">
        <w:trPr>
          <w:divId w:val="666515570"/>
        </w:trPr>
        <w:tc>
          <w:tcPr>
            <w:tcW w:w="0" w:type="auto"/>
            <w:gridSpan w:val="3"/>
            <w:tcMar>
              <w:top w:w="30" w:type="dxa"/>
              <w:left w:w="20" w:type="dxa"/>
              <w:bottom w:w="30" w:type="dxa"/>
              <w:right w:w="20" w:type="dxa"/>
            </w:tcMar>
            <w:vAlign w:val="bottom"/>
            <w:hideMark/>
          </w:tcPr>
          <w:p w14:paraId="035A46E6"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14:paraId="395E962F"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CB45E7D"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99E450" w14:textId="77777777" w:rsidR="00000000" w:rsidRDefault="001A570A">
            <w:pPr>
              <w:rPr>
                <w:rFonts w:eastAsia="Times New Roman"/>
                <w:sz w:val="20"/>
                <w:szCs w:val="20"/>
              </w:rPr>
            </w:pPr>
          </w:p>
        </w:tc>
        <w:tc>
          <w:tcPr>
            <w:tcW w:w="0" w:type="auto"/>
            <w:vAlign w:val="center"/>
            <w:hideMark/>
          </w:tcPr>
          <w:p w14:paraId="60D89120" w14:textId="77777777" w:rsidR="00000000" w:rsidRDefault="001A570A">
            <w:pPr>
              <w:rPr>
                <w:rFonts w:eastAsia="Times New Roman"/>
                <w:sz w:val="20"/>
                <w:szCs w:val="20"/>
              </w:rPr>
            </w:pPr>
          </w:p>
        </w:tc>
        <w:tc>
          <w:tcPr>
            <w:tcW w:w="0" w:type="auto"/>
            <w:vAlign w:val="center"/>
            <w:hideMark/>
          </w:tcPr>
          <w:p w14:paraId="6F445E13" w14:textId="77777777" w:rsidR="00000000" w:rsidRDefault="001A570A">
            <w:pPr>
              <w:rPr>
                <w:rFonts w:eastAsia="Times New Roman"/>
                <w:sz w:val="20"/>
                <w:szCs w:val="20"/>
              </w:rPr>
            </w:pPr>
          </w:p>
        </w:tc>
      </w:tr>
      <w:tr w:rsidR="00000000" w14:paraId="60963C48" w14:textId="77777777">
        <w:trPr>
          <w:divId w:val="666515570"/>
        </w:trPr>
        <w:tc>
          <w:tcPr>
            <w:tcW w:w="0" w:type="auto"/>
            <w:gridSpan w:val="3"/>
            <w:shd w:val="clear" w:color="auto" w:fill="CCEEFF"/>
            <w:tcMar>
              <w:top w:w="30" w:type="dxa"/>
              <w:left w:w="20" w:type="dxa"/>
              <w:bottom w:w="30" w:type="dxa"/>
              <w:right w:w="20" w:type="dxa"/>
            </w:tcMar>
            <w:hideMark/>
          </w:tcPr>
          <w:p w14:paraId="41C6446F" w14:textId="77777777" w:rsidR="00000000" w:rsidRDefault="001A570A">
            <w:pPr>
              <w:rPr>
                <w:rFonts w:eastAsia="Times New Roman"/>
              </w:rPr>
            </w:pPr>
            <w:r>
              <w:rPr>
                <w:rFonts w:eastAsia="Times New Roman"/>
                <w:color w:val="00000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14:paraId="6E3C3F39"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252F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4483F3" w14:textId="77777777" w:rsidR="00000000" w:rsidRDefault="001A570A">
            <w:pPr>
              <w:rPr>
                <w:rFonts w:eastAsia="Times New Roman"/>
                <w:sz w:val="20"/>
                <w:szCs w:val="20"/>
              </w:rPr>
            </w:pPr>
          </w:p>
        </w:tc>
        <w:tc>
          <w:tcPr>
            <w:tcW w:w="0" w:type="auto"/>
            <w:vAlign w:val="center"/>
            <w:hideMark/>
          </w:tcPr>
          <w:p w14:paraId="4486D50C" w14:textId="77777777" w:rsidR="00000000" w:rsidRDefault="001A570A">
            <w:pPr>
              <w:rPr>
                <w:rFonts w:eastAsia="Times New Roman"/>
                <w:sz w:val="20"/>
                <w:szCs w:val="20"/>
              </w:rPr>
            </w:pPr>
          </w:p>
        </w:tc>
        <w:tc>
          <w:tcPr>
            <w:tcW w:w="0" w:type="auto"/>
            <w:vAlign w:val="center"/>
            <w:hideMark/>
          </w:tcPr>
          <w:p w14:paraId="03A80A0D" w14:textId="77777777" w:rsidR="00000000" w:rsidRDefault="001A570A">
            <w:pPr>
              <w:rPr>
                <w:rFonts w:eastAsia="Times New Roman"/>
                <w:sz w:val="20"/>
                <w:szCs w:val="20"/>
              </w:rPr>
            </w:pPr>
          </w:p>
        </w:tc>
      </w:tr>
      <w:tr w:rsidR="00000000" w14:paraId="4B23D8A6" w14:textId="77777777">
        <w:trPr>
          <w:divId w:val="666515570"/>
        </w:trPr>
        <w:tc>
          <w:tcPr>
            <w:tcW w:w="0" w:type="auto"/>
            <w:gridSpan w:val="3"/>
            <w:vAlign w:val="center"/>
            <w:hideMark/>
          </w:tcPr>
          <w:p w14:paraId="7E9392C2" w14:textId="77777777" w:rsidR="00000000" w:rsidRDefault="001A570A">
            <w:pPr>
              <w:rPr>
                <w:rFonts w:eastAsia="Times New Roman"/>
                <w:sz w:val="20"/>
                <w:szCs w:val="20"/>
              </w:rPr>
            </w:pPr>
          </w:p>
        </w:tc>
        <w:tc>
          <w:tcPr>
            <w:tcW w:w="0" w:type="auto"/>
            <w:gridSpan w:val="3"/>
            <w:vAlign w:val="center"/>
            <w:hideMark/>
          </w:tcPr>
          <w:p w14:paraId="7E721F4C" w14:textId="77777777" w:rsidR="00000000" w:rsidRDefault="001A570A">
            <w:pPr>
              <w:rPr>
                <w:rFonts w:eastAsia="Times New Roman"/>
                <w:sz w:val="20"/>
                <w:szCs w:val="20"/>
              </w:rPr>
            </w:pPr>
          </w:p>
        </w:tc>
        <w:tc>
          <w:tcPr>
            <w:tcW w:w="0" w:type="auto"/>
            <w:gridSpan w:val="3"/>
            <w:vAlign w:val="center"/>
            <w:hideMark/>
          </w:tcPr>
          <w:p w14:paraId="7B27AC81" w14:textId="77777777" w:rsidR="00000000" w:rsidRDefault="001A570A">
            <w:pPr>
              <w:rPr>
                <w:rFonts w:eastAsia="Times New Roman"/>
                <w:sz w:val="20"/>
                <w:szCs w:val="20"/>
              </w:rPr>
            </w:pPr>
          </w:p>
        </w:tc>
        <w:tc>
          <w:tcPr>
            <w:tcW w:w="0" w:type="auto"/>
            <w:gridSpan w:val="3"/>
            <w:vAlign w:val="center"/>
            <w:hideMark/>
          </w:tcPr>
          <w:p w14:paraId="3C11C17B" w14:textId="77777777" w:rsidR="00000000" w:rsidRDefault="001A570A">
            <w:pPr>
              <w:rPr>
                <w:rFonts w:eastAsia="Times New Roman"/>
                <w:sz w:val="20"/>
                <w:szCs w:val="20"/>
              </w:rPr>
            </w:pPr>
          </w:p>
        </w:tc>
        <w:tc>
          <w:tcPr>
            <w:tcW w:w="0" w:type="auto"/>
            <w:vAlign w:val="center"/>
            <w:hideMark/>
          </w:tcPr>
          <w:p w14:paraId="103865D3" w14:textId="77777777" w:rsidR="00000000" w:rsidRDefault="001A570A">
            <w:pPr>
              <w:rPr>
                <w:rFonts w:eastAsia="Times New Roman"/>
                <w:sz w:val="20"/>
                <w:szCs w:val="20"/>
              </w:rPr>
            </w:pPr>
          </w:p>
        </w:tc>
        <w:tc>
          <w:tcPr>
            <w:tcW w:w="0" w:type="auto"/>
            <w:vAlign w:val="center"/>
            <w:hideMark/>
          </w:tcPr>
          <w:p w14:paraId="5EA716D5" w14:textId="77777777" w:rsidR="00000000" w:rsidRDefault="001A570A">
            <w:pPr>
              <w:rPr>
                <w:rFonts w:eastAsia="Times New Roman"/>
                <w:sz w:val="20"/>
                <w:szCs w:val="20"/>
              </w:rPr>
            </w:pPr>
          </w:p>
        </w:tc>
      </w:tr>
      <w:tr w:rsidR="00000000" w14:paraId="6B099F44" w14:textId="77777777">
        <w:trPr>
          <w:divId w:val="666515570"/>
        </w:trPr>
        <w:tc>
          <w:tcPr>
            <w:tcW w:w="0" w:type="auto"/>
            <w:gridSpan w:val="3"/>
            <w:shd w:val="clear" w:color="auto" w:fill="FFFFFF"/>
            <w:tcMar>
              <w:top w:w="30" w:type="dxa"/>
              <w:left w:w="155" w:type="dxa"/>
              <w:bottom w:w="30" w:type="dxa"/>
              <w:right w:w="20" w:type="dxa"/>
            </w:tcMar>
            <w:hideMark/>
          </w:tcPr>
          <w:p w14:paraId="393B2807" w14:textId="77777777" w:rsidR="00000000" w:rsidRDefault="001A570A">
            <w:pPr>
              <w:rPr>
                <w:rFonts w:eastAsia="Times New Roman"/>
              </w:rPr>
            </w:pPr>
            <w:r>
              <w:rPr>
                <w:rFonts w:eastAsia="Times New Roman"/>
                <w:color w:val="000000"/>
                <w:sz w:val="20"/>
                <w:szCs w:val="20"/>
              </w:rPr>
              <w:t>Accruals</w:t>
            </w:r>
          </w:p>
        </w:tc>
        <w:tc>
          <w:tcPr>
            <w:tcW w:w="0" w:type="auto"/>
            <w:shd w:val="clear" w:color="auto" w:fill="FFFFFF"/>
            <w:tcMar>
              <w:top w:w="30" w:type="dxa"/>
              <w:left w:w="20" w:type="dxa"/>
              <w:bottom w:w="30" w:type="dxa"/>
              <w:right w:w="0" w:type="dxa"/>
            </w:tcMar>
            <w:vAlign w:val="bottom"/>
            <w:hideMark/>
          </w:tcPr>
          <w:p w14:paraId="2D7B789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CD65AF" w14:textId="77777777" w:rsidR="00000000" w:rsidRDefault="001A570A">
            <w:pPr>
              <w:jc w:val="right"/>
              <w:rPr>
                <w:rFonts w:eastAsia="Times New Roman"/>
              </w:rPr>
            </w:pPr>
            <w:r>
              <w:rPr>
                <w:rFonts w:eastAsia="Times New Roman"/>
                <w:color w:val="000000"/>
                <w:sz w:val="20"/>
                <w:szCs w:val="20"/>
              </w:rPr>
              <w:t>315 </w:t>
            </w:r>
          </w:p>
        </w:tc>
        <w:tc>
          <w:tcPr>
            <w:tcW w:w="0" w:type="auto"/>
            <w:shd w:val="clear" w:color="auto" w:fill="FFFFFF"/>
            <w:tcMar>
              <w:top w:w="30" w:type="dxa"/>
              <w:left w:w="0" w:type="dxa"/>
              <w:bottom w:w="30" w:type="dxa"/>
              <w:right w:w="20" w:type="dxa"/>
            </w:tcMar>
            <w:vAlign w:val="bottom"/>
            <w:hideMark/>
          </w:tcPr>
          <w:p w14:paraId="06C2D2F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38F2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3824C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E712E5" w14:textId="77777777" w:rsidR="00000000" w:rsidRDefault="001A570A">
            <w:pPr>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14:paraId="3DCCD506" w14:textId="77777777" w:rsidR="00000000" w:rsidRDefault="001A570A">
            <w:pPr>
              <w:jc w:val="right"/>
              <w:rPr>
                <w:rFonts w:eastAsia="Times New Roman"/>
              </w:rPr>
            </w:pPr>
          </w:p>
        </w:tc>
        <w:tc>
          <w:tcPr>
            <w:tcW w:w="0" w:type="auto"/>
            <w:vAlign w:val="center"/>
            <w:hideMark/>
          </w:tcPr>
          <w:p w14:paraId="76152E81" w14:textId="77777777" w:rsidR="00000000" w:rsidRDefault="001A570A">
            <w:pPr>
              <w:jc w:val="right"/>
              <w:rPr>
                <w:rFonts w:eastAsia="Times New Roman"/>
                <w:sz w:val="20"/>
                <w:szCs w:val="20"/>
              </w:rPr>
            </w:pPr>
          </w:p>
        </w:tc>
        <w:tc>
          <w:tcPr>
            <w:tcW w:w="0" w:type="auto"/>
            <w:vAlign w:val="center"/>
            <w:hideMark/>
          </w:tcPr>
          <w:p w14:paraId="25A5F736" w14:textId="77777777" w:rsidR="00000000" w:rsidRDefault="001A570A">
            <w:pPr>
              <w:rPr>
                <w:rFonts w:eastAsia="Times New Roman"/>
                <w:sz w:val="20"/>
                <w:szCs w:val="20"/>
              </w:rPr>
            </w:pPr>
          </w:p>
        </w:tc>
      </w:tr>
      <w:tr w:rsidR="00000000" w14:paraId="121CC898" w14:textId="77777777">
        <w:trPr>
          <w:divId w:val="666515570"/>
        </w:trPr>
        <w:tc>
          <w:tcPr>
            <w:tcW w:w="0" w:type="auto"/>
            <w:gridSpan w:val="3"/>
            <w:vAlign w:val="center"/>
            <w:hideMark/>
          </w:tcPr>
          <w:p w14:paraId="6B2FECEF" w14:textId="77777777" w:rsidR="00000000" w:rsidRDefault="001A570A">
            <w:pPr>
              <w:rPr>
                <w:rFonts w:eastAsia="Times New Roman"/>
                <w:sz w:val="20"/>
                <w:szCs w:val="20"/>
              </w:rPr>
            </w:pPr>
          </w:p>
        </w:tc>
        <w:tc>
          <w:tcPr>
            <w:tcW w:w="0" w:type="auto"/>
            <w:gridSpan w:val="3"/>
            <w:vAlign w:val="center"/>
            <w:hideMark/>
          </w:tcPr>
          <w:p w14:paraId="28A18922" w14:textId="77777777" w:rsidR="00000000" w:rsidRDefault="001A570A">
            <w:pPr>
              <w:rPr>
                <w:rFonts w:eastAsia="Times New Roman"/>
                <w:sz w:val="20"/>
                <w:szCs w:val="20"/>
              </w:rPr>
            </w:pPr>
          </w:p>
        </w:tc>
        <w:tc>
          <w:tcPr>
            <w:tcW w:w="0" w:type="auto"/>
            <w:gridSpan w:val="3"/>
            <w:vAlign w:val="center"/>
            <w:hideMark/>
          </w:tcPr>
          <w:p w14:paraId="58169E03" w14:textId="77777777" w:rsidR="00000000" w:rsidRDefault="001A570A">
            <w:pPr>
              <w:rPr>
                <w:rFonts w:eastAsia="Times New Roman"/>
                <w:sz w:val="20"/>
                <w:szCs w:val="20"/>
              </w:rPr>
            </w:pPr>
          </w:p>
        </w:tc>
        <w:tc>
          <w:tcPr>
            <w:tcW w:w="0" w:type="auto"/>
            <w:gridSpan w:val="3"/>
            <w:vAlign w:val="center"/>
            <w:hideMark/>
          </w:tcPr>
          <w:p w14:paraId="76B8CFEC" w14:textId="77777777" w:rsidR="00000000" w:rsidRDefault="001A570A">
            <w:pPr>
              <w:rPr>
                <w:rFonts w:eastAsia="Times New Roman"/>
                <w:sz w:val="20"/>
                <w:szCs w:val="20"/>
              </w:rPr>
            </w:pPr>
          </w:p>
        </w:tc>
        <w:tc>
          <w:tcPr>
            <w:tcW w:w="0" w:type="auto"/>
            <w:vAlign w:val="center"/>
            <w:hideMark/>
          </w:tcPr>
          <w:p w14:paraId="2B0D9416" w14:textId="77777777" w:rsidR="00000000" w:rsidRDefault="001A570A">
            <w:pPr>
              <w:rPr>
                <w:rFonts w:eastAsia="Times New Roman"/>
                <w:sz w:val="20"/>
                <w:szCs w:val="20"/>
              </w:rPr>
            </w:pPr>
          </w:p>
        </w:tc>
        <w:tc>
          <w:tcPr>
            <w:tcW w:w="0" w:type="auto"/>
            <w:vAlign w:val="center"/>
            <w:hideMark/>
          </w:tcPr>
          <w:p w14:paraId="42F6D381" w14:textId="77777777" w:rsidR="00000000" w:rsidRDefault="001A570A">
            <w:pPr>
              <w:rPr>
                <w:rFonts w:eastAsia="Times New Roman"/>
                <w:sz w:val="20"/>
                <w:szCs w:val="20"/>
              </w:rPr>
            </w:pPr>
          </w:p>
        </w:tc>
      </w:tr>
      <w:tr w:rsidR="00000000" w14:paraId="70B929FD" w14:textId="77777777">
        <w:trPr>
          <w:divId w:val="666515570"/>
        </w:trPr>
        <w:tc>
          <w:tcPr>
            <w:tcW w:w="0" w:type="auto"/>
            <w:gridSpan w:val="3"/>
            <w:shd w:val="clear" w:color="auto" w:fill="CCEEFF"/>
            <w:tcMar>
              <w:top w:w="30" w:type="dxa"/>
              <w:left w:w="155" w:type="dxa"/>
              <w:bottom w:w="30" w:type="dxa"/>
              <w:right w:w="20" w:type="dxa"/>
            </w:tcMar>
            <w:hideMark/>
          </w:tcPr>
          <w:p w14:paraId="754822B1" w14:textId="77777777" w:rsidR="00000000" w:rsidRDefault="001A570A">
            <w:pPr>
              <w:rPr>
                <w:rFonts w:eastAsia="Times New Roman"/>
              </w:rPr>
            </w:pPr>
            <w:r>
              <w:rPr>
                <w:rFonts w:eastAsia="Times New Roman"/>
                <w:color w:val="000000"/>
                <w:sz w:val="20"/>
                <w:szCs w:val="20"/>
              </w:rPr>
              <w:t>Tax loss and credit carryforwards</w:t>
            </w:r>
          </w:p>
        </w:tc>
        <w:tc>
          <w:tcPr>
            <w:tcW w:w="0" w:type="auto"/>
            <w:gridSpan w:val="2"/>
            <w:shd w:val="clear" w:color="auto" w:fill="CCEEFF"/>
            <w:tcMar>
              <w:top w:w="30" w:type="dxa"/>
              <w:left w:w="20" w:type="dxa"/>
              <w:bottom w:w="30" w:type="dxa"/>
              <w:right w:w="0" w:type="dxa"/>
            </w:tcMar>
            <w:vAlign w:val="bottom"/>
            <w:hideMark/>
          </w:tcPr>
          <w:p w14:paraId="6B67D855" w14:textId="77777777" w:rsidR="00000000" w:rsidRDefault="001A570A">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09E334C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CB8E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DF3AC" w14:textId="77777777" w:rsidR="00000000" w:rsidRDefault="001A570A">
            <w:pPr>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14:paraId="2679D63E" w14:textId="77777777" w:rsidR="00000000" w:rsidRDefault="001A570A">
            <w:pPr>
              <w:jc w:val="right"/>
              <w:rPr>
                <w:rFonts w:eastAsia="Times New Roman"/>
              </w:rPr>
            </w:pPr>
          </w:p>
        </w:tc>
        <w:tc>
          <w:tcPr>
            <w:tcW w:w="0" w:type="auto"/>
            <w:vAlign w:val="center"/>
            <w:hideMark/>
          </w:tcPr>
          <w:p w14:paraId="2B1CCA50" w14:textId="77777777" w:rsidR="00000000" w:rsidRDefault="001A570A">
            <w:pPr>
              <w:jc w:val="right"/>
              <w:rPr>
                <w:rFonts w:eastAsia="Times New Roman"/>
                <w:sz w:val="20"/>
                <w:szCs w:val="20"/>
              </w:rPr>
            </w:pPr>
          </w:p>
        </w:tc>
        <w:tc>
          <w:tcPr>
            <w:tcW w:w="0" w:type="auto"/>
            <w:vAlign w:val="center"/>
            <w:hideMark/>
          </w:tcPr>
          <w:p w14:paraId="0A8A24F9" w14:textId="77777777" w:rsidR="00000000" w:rsidRDefault="001A570A">
            <w:pPr>
              <w:rPr>
                <w:rFonts w:eastAsia="Times New Roman"/>
                <w:sz w:val="20"/>
                <w:szCs w:val="20"/>
              </w:rPr>
            </w:pPr>
          </w:p>
        </w:tc>
      </w:tr>
      <w:tr w:rsidR="00000000" w14:paraId="6829F262" w14:textId="77777777">
        <w:trPr>
          <w:divId w:val="666515570"/>
        </w:trPr>
        <w:tc>
          <w:tcPr>
            <w:tcW w:w="0" w:type="auto"/>
            <w:gridSpan w:val="3"/>
            <w:vAlign w:val="center"/>
            <w:hideMark/>
          </w:tcPr>
          <w:p w14:paraId="0A8CBE55" w14:textId="77777777" w:rsidR="00000000" w:rsidRDefault="001A570A">
            <w:pPr>
              <w:rPr>
                <w:rFonts w:eastAsia="Times New Roman"/>
                <w:sz w:val="20"/>
                <w:szCs w:val="20"/>
              </w:rPr>
            </w:pPr>
          </w:p>
        </w:tc>
        <w:tc>
          <w:tcPr>
            <w:tcW w:w="0" w:type="auto"/>
            <w:gridSpan w:val="3"/>
            <w:vAlign w:val="center"/>
            <w:hideMark/>
          </w:tcPr>
          <w:p w14:paraId="546E7A40" w14:textId="77777777" w:rsidR="00000000" w:rsidRDefault="001A570A">
            <w:pPr>
              <w:rPr>
                <w:rFonts w:eastAsia="Times New Roman"/>
                <w:sz w:val="20"/>
                <w:szCs w:val="20"/>
              </w:rPr>
            </w:pPr>
          </w:p>
        </w:tc>
        <w:tc>
          <w:tcPr>
            <w:tcW w:w="0" w:type="auto"/>
            <w:gridSpan w:val="3"/>
            <w:vAlign w:val="center"/>
            <w:hideMark/>
          </w:tcPr>
          <w:p w14:paraId="2D54CC02" w14:textId="77777777" w:rsidR="00000000" w:rsidRDefault="001A570A">
            <w:pPr>
              <w:rPr>
                <w:rFonts w:eastAsia="Times New Roman"/>
                <w:sz w:val="20"/>
                <w:szCs w:val="20"/>
              </w:rPr>
            </w:pPr>
          </w:p>
        </w:tc>
        <w:tc>
          <w:tcPr>
            <w:tcW w:w="0" w:type="auto"/>
            <w:gridSpan w:val="3"/>
            <w:vAlign w:val="center"/>
            <w:hideMark/>
          </w:tcPr>
          <w:p w14:paraId="29232BA4" w14:textId="77777777" w:rsidR="00000000" w:rsidRDefault="001A570A">
            <w:pPr>
              <w:rPr>
                <w:rFonts w:eastAsia="Times New Roman"/>
                <w:sz w:val="20"/>
                <w:szCs w:val="20"/>
              </w:rPr>
            </w:pPr>
          </w:p>
        </w:tc>
        <w:tc>
          <w:tcPr>
            <w:tcW w:w="0" w:type="auto"/>
            <w:vAlign w:val="center"/>
            <w:hideMark/>
          </w:tcPr>
          <w:p w14:paraId="454DEDEC" w14:textId="77777777" w:rsidR="00000000" w:rsidRDefault="001A570A">
            <w:pPr>
              <w:rPr>
                <w:rFonts w:eastAsia="Times New Roman"/>
                <w:sz w:val="20"/>
                <w:szCs w:val="20"/>
              </w:rPr>
            </w:pPr>
          </w:p>
        </w:tc>
        <w:tc>
          <w:tcPr>
            <w:tcW w:w="0" w:type="auto"/>
            <w:vAlign w:val="center"/>
            <w:hideMark/>
          </w:tcPr>
          <w:p w14:paraId="59AD4B2D" w14:textId="77777777" w:rsidR="00000000" w:rsidRDefault="001A570A">
            <w:pPr>
              <w:rPr>
                <w:rFonts w:eastAsia="Times New Roman"/>
                <w:sz w:val="20"/>
                <w:szCs w:val="20"/>
              </w:rPr>
            </w:pPr>
          </w:p>
        </w:tc>
      </w:tr>
      <w:tr w:rsidR="00000000" w14:paraId="0E0BD7B1" w14:textId="77777777">
        <w:trPr>
          <w:divId w:val="666515570"/>
        </w:trPr>
        <w:tc>
          <w:tcPr>
            <w:tcW w:w="0" w:type="auto"/>
            <w:gridSpan w:val="3"/>
            <w:shd w:val="clear" w:color="auto" w:fill="FFFFFF"/>
            <w:tcMar>
              <w:top w:w="30" w:type="dxa"/>
              <w:left w:w="155" w:type="dxa"/>
              <w:bottom w:w="30" w:type="dxa"/>
              <w:right w:w="20" w:type="dxa"/>
            </w:tcMar>
            <w:hideMark/>
          </w:tcPr>
          <w:p w14:paraId="2C448F2A" w14:textId="77777777" w:rsidR="00000000" w:rsidRDefault="001A570A">
            <w:pPr>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14:paraId="5D3517DF"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58E1A92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2AFD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04B7B" w14:textId="77777777" w:rsidR="00000000" w:rsidRDefault="001A570A">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691C8400" w14:textId="77777777" w:rsidR="00000000" w:rsidRDefault="001A570A">
            <w:pPr>
              <w:jc w:val="right"/>
              <w:rPr>
                <w:rFonts w:eastAsia="Times New Roman"/>
              </w:rPr>
            </w:pPr>
          </w:p>
        </w:tc>
        <w:tc>
          <w:tcPr>
            <w:tcW w:w="0" w:type="auto"/>
            <w:vAlign w:val="center"/>
            <w:hideMark/>
          </w:tcPr>
          <w:p w14:paraId="0600D76F" w14:textId="77777777" w:rsidR="00000000" w:rsidRDefault="001A570A">
            <w:pPr>
              <w:jc w:val="right"/>
              <w:rPr>
                <w:rFonts w:eastAsia="Times New Roman"/>
                <w:sz w:val="20"/>
                <w:szCs w:val="20"/>
              </w:rPr>
            </w:pPr>
          </w:p>
        </w:tc>
        <w:tc>
          <w:tcPr>
            <w:tcW w:w="0" w:type="auto"/>
            <w:vAlign w:val="center"/>
            <w:hideMark/>
          </w:tcPr>
          <w:p w14:paraId="69557239" w14:textId="77777777" w:rsidR="00000000" w:rsidRDefault="001A570A">
            <w:pPr>
              <w:rPr>
                <w:rFonts w:eastAsia="Times New Roman"/>
                <w:sz w:val="20"/>
                <w:szCs w:val="20"/>
              </w:rPr>
            </w:pPr>
          </w:p>
        </w:tc>
      </w:tr>
      <w:tr w:rsidR="00000000" w14:paraId="5BC3C418" w14:textId="77777777">
        <w:trPr>
          <w:divId w:val="666515570"/>
        </w:trPr>
        <w:tc>
          <w:tcPr>
            <w:tcW w:w="0" w:type="auto"/>
            <w:gridSpan w:val="3"/>
            <w:shd w:val="clear" w:color="auto" w:fill="CCEEFF"/>
            <w:tcMar>
              <w:top w:w="30" w:type="dxa"/>
              <w:left w:w="155" w:type="dxa"/>
              <w:bottom w:w="30" w:type="dxa"/>
              <w:right w:w="20" w:type="dxa"/>
            </w:tcMar>
            <w:hideMark/>
          </w:tcPr>
          <w:p w14:paraId="775E52C0" w14:textId="77777777" w:rsidR="00000000" w:rsidRDefault="001A570A">
            <w:pPr>
              <w:rPr>
                <w:rFonts w:eastAsia="Times New Roman"/>
              </w:rPr>
            </w:pPr>
            <w:r>
              <w:rPr>
                <w:rFonts w:eastAsia="Times New Roman"/>
                <w:color w:val="000000"/>
                <w:sz w:val="20"/>
                <w:szCs w:val="20"/>
              </w:rPr>
              <w:t>Capital loss carryforwards</w:t>
            </w:r>
          </w:p>
        </w:tc>
        <w:tc>
          <w:tcPr>
            <w:tcW w:w="0" w:type="auto"/>
            <w:gridSpan w:val="2"/>
            <w:shd w:val="clear" w:color="auto" w:fill="CCEEFF"/>
            <w:tcMar>
              <w:top w:w="30" w:type="dxa"/>
              <w:left w:w="20" w:type="dxa"/>
              <w:bottom w:w="30" w:type="dxa"/>
              <w:right w:w="0" w:type="dxa"/>
            </w:tcMar>
            <w:vAlign w:val="bottom"/>
            <w:hideMark/>
          </w:tcPr>
          <w:p w14:paraId="78998B74"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587DD2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BC5F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2628F6" w14:textId="77777777" w:rsidR="00000000" w:rsidRDefault="001A570A">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1AFE40DB" w14:textId="77777777" w:rsidR="00000000" w:rsidRDefault="001A570A">
            <w:pPr>
              <w:jc w:val="right"/>
              <w:rPr>
                <w:rFonts w:eastAsia="Times New Roman"/>
              </w:rPr>
            </w:pPr>
          </w:p>
        </w:tc>
        <w:tc>
          <w:tcPr>
            <w:tcW w:w="0" w:type="auto"/>
            <w:vAlign w:val="center"/>
            <w:hideMark/>
          </w:tcPr>
          <w:p w14:paraId="270AE315" w14:textId="77777777" w:rsidR="00000000" w:rsidRDefault="001A570A">
            <w:pPr>
              <w:jc w:val="right"/>
              <w:rPr>
                <w:rFonts w:eastAsia="Times New Roman"/>
                <w:sz w:val="20"/>
                <w:szCs w:val="20"/>
              </w:rPr>
            </w:pPr>
          </w:p>
        </w:tc>
        <w:tc>
          <w:tcPr>
            <w:tcW w:w="0" w:type="auto"/>
            <w:vAlign w:val="center"/>
            <w:hideMark/>
          </w:tcPr>
          <w:p w14:paraId="67B66814" w14:textId="77777777" w:rsidR="00000000" w:rsidRDefault="001A570A">
            <w:pPr>
              <w:rPr>
                <w:rFonts w:eastAsia="Times New Roman"/>
                <w:sz w:val="20"/>
                <w:szCs w:val="20"/>
              </w:rPr>
            </w:pPr>
          </w:p>
        </w:tc>
      </w:tr>
      <w:tr w:rsidR="00000000" w14:paraId="070853A5" w14:textId="77777777">
        <w:trPr>
          <w:divId w:val="666515570"/>
        </w:trPr>
        <w:tc>
          <w:tcPr>
            <w:tcW w:w="0" w:type="auto"/>
            <w:gridSpan w:val="3"/>
            <w:vAlign w:val="center"/>
            <w:hideMark/>
          </w:tcPr>
          <w:p w14:paraId="0046BE17" w14:textId="77777777" w:rsidR="00000000" w:rsidRDefault="001A570A">
            <w:pPr>
              <w:rPr>
                <w:rFonts w:eastAsia="Times New Roman"/>
                <w:sz w:val="20"/>
                <w:szCs w:val="20"/>
              </w:rPr>
            </w:pPr>
          </w:p>
        </w:tc>
        <w:tc>
          <w:tcPr>
            <w:tcW w:w="0" w:type="auto"/>
            <w:gridSpan w:val="3"/>
            <w:vAlign w:val="center"/>
            <w:hideMark/>
          </w:tcPr>
          <w:p w14:paraId="34F72504" w14:textId="77777777" w:rsidR="00000000" w:rsidRDefault="001A570A">
            <w:pPr>
              <w:rPr>
                <w:rFonts w:eastAsia="Times New Roman"/>
                <w:sz w:val="20"/>
                <w:szCs w:val="20"/>
              </w:rPr>
            </w:pPr>
          </w:p>
        </w:tc>
        <w:tc>
          <w:tcPr>
            <w:tcW w:w="0" w:type="auto"/>
            <w:gridSpan w:val="3"/>
            <w:vAlign w:val="center"/>
            <w:hideMark/>
          </w:tcPr>
          <w:p w14:paraId="0853C7D3" w14:textId="77777777" w:rsidR="00000000" w:rsidRDefault="001A570A">
            <w:pPr>
              <w:rPr>
                <w:rFonts w:eastAsia="Times New Roman"/>
                <w:sz w:val="20"/>
                <w:szCs w:val="20"/>
              </w:rPr>
            </w:pPr>
          </w:p>
        </w:tc>
        <w:tc>
          <w:tcPr>
            <w:tcW w:w="0" w:type="auto"/>
            <w:gridSpan w:val="3"/>
            <w:vAlign w:val="center"/>
            <w:hideMark/>
          </w:tcPr>
          <w:p w14:paraId="1125A274" w14:textId="77777777" w:rsidR="00000000" w:rsidRDefault="001A570A">
            <w:pPr>
              <w:rPr>
                <w:rFonts w:eastAsia="Times New Roman"/>
                <w:sz w:val="20"/>
                <w:szCs w:val="20"/>
              </w:rPr>
            </w:pPr>
          </w:p>
        </w:tc>
        <w:tc>
          <w:tcPr>
            <w:tcW w:w="0" w:type="auto"/>
            <w:vAlign w:val="center"/>
            <w:hideMark/>
          </w:tcPr>
          <w:p w14:paraId="6BD5E37A" w14:textId="77777777" w:rsidR="00000000" w:rsidRDefault="001A570A">
            <w:pPr>
              <w:rPr>
                <w:rFonts w:eastAsia="Times New Roman"/>
                <w:sz w:val="20"/>
                <w:szCs w:val="20"/>
              </w:rPr>
            </w:pPr>
          </w:p>
        </w:tc>
        <w:tc>
          <w:tcPr>
            <w:tcW w:w="0" w:type="auto"/>
            <w:vAlign w:val="center"/>
            <w:hideMark/>
          </w:tcPr>
          <w:p w14:paraId="0784A706" w14:textId="77777777" w:rsidR="00000000" w:rsidRDefault="001A570A">
            <w:pPr>
              <w:rPr>
                <w:rFonts w:eastAsia="Times New Roman"/>
                <w:sz w:val="20"/>
                <w:szCs w:val="20"/>
              </w:rPr>
            </w:pPr>
          </w:p>
        </w:tc>
      </w:tr>
      <w:tr w:rsidR="00000000" w14:paraId="697C3128" w14:textId="77777777">
        <w:trPr>
          <w:divId w:val="666515570"/>
        </w:trPr>
        <w:tc>
          <w:tcPr>
            <w:tcW w:w="0" w:type="auto"/>
            <w:gridSpan w:val="3"/>
            <w:shd w:val="clear" w:color="auto" w:fill="FFFFFF"/>
            <w:tcMar>
              <w:top w:w="30" w:type="dxa"/>
              <w:left w:w="155" w:type="dxa"/>
              <w:bottom w:w="30" w:type="dxa"/>
              <w:right w:w="20" w:type="dxa"/>
            </w:tcMar>
            <w:hideMark/>
          </w:tcPr>
          <w:p w14:paraId="657D98D6" w14:textId="77777777" w:rsidR="00000000" w:rsidRDefault="001A570A">
            <w:pPr>
              <w:rPr>
                <w:rFonts w:eastAsia="Times New Roman"/>
              </w:rPr>
            </w:pPr>
            <w:r>
              <w:rPr>
                <w:rFonts w:eastAsia="Times New Roman"/>
                <w:color w:val="000000"/>
                <w:sz w:val="20"/>
                <w:szCs w:val="20"/>
              </w:rPr>
              <w:t>Pension and other post-employment benefits</w:t>
            </w:r>
          </w:p>
        </w:tc>
        <w:tc>
          <w:tcPr>
            <w:tcW w:w="0" w:type="auto"/>
            <w:gridSpan w:val="2"/>
            <w:shd w:val="clear" w:color="auto" w:fill="FFFFFF"/>
            <w:tcMar>
              <w:top w:w="30" w:type="dxa"/>
              <w:left w:w="20" w:type="dxa"/>
              <w:bottom w:w="30" w:type="dxa"/>
              <w:right w:w="0" w:type="dxa"/>
            </w:tcMar>
            <w:vAlign w:val="bottom"/>
            <w:hideMark/>
          </w:tcPr>
          <w:p w14:paraId="1E5D36EA" w14:textId="77777777" w:rsidR="00000000" w:rsidRDefault="001A570A">
            <w:pPr>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bottom"/>
            <w:hideMark/>
          </w:tcPr>
          <w:p w14:paraId="79107B6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C35A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329E6" w14:textId="77777777" w:rsidR="00000000" w:rsidRDefault="001A570A">
            <w:pPr>
              <w:jc w:val="right"/>
              <w:rPr>
                <w:rFonts w:eastAsia="Times New Roman"/>
              </w:rPr>
            </w:pPr>
            <w:r>
              <w:rPr>
                <w:rFonts w:eastAsia="Times New Roman"/>
                <w:color w:val="000000"/>
                <w:sz w:val="20"/>
                <w:szCs w:val="20"/>
              </w:rPr>
              <w:t>431 </w:t>
            </w:r>
          </w:p>
        </w:tc>
        <w:tc>
          <w:tcPr>
            <w:tcW w:w="0" w:type="auto"/>
            <w:shd w:val="clear" w:color="auto" w:fill="FFFFFF"/>
            <w:tcMar>
              <w:top w:w="30" w:type="dxa"/>
              <w:left w:w="0" w:type="dxa"/>
              <w:bottom w:w="30" w:type="dxa"/>
              <w:right w:w="20" w:type="dxa"/>
            </w:tcMar>
            <w:vAlign w:val="bottom"/>
            <w:hideMark/>
          </w:tcPr>
          <w:p w14:paraId="46EB3B6A" w14:textId="77777777" w:rsidR="00000000" w:rsidRDefault="001A570A">
            <w:pPr>
              <w:jc w:val="right"/>
              <w:rPr>
                <w:rFonts w:eastAsia="Times New Roman"/>
              </w:rPr>
            </w:pPr>
          </w:p>
        </w:tc>
        <w:tc>
          <w:tcPr>
            <w:tcW w:w="0" w:type="auto"/>
            <w:vAlign w:val="center"/>
            <w:hideMark/>
          </w:tcPr>
          <w:p w14:paraId="495329B3" w14:textId="77777777" w:rsidR="00000000" w:rsidRDefault="001A570A">
            <w:pPr>
              <w:jc w:val="right"/>
              <w:rPr>
                <w:rFonts w:eastAsia="Times New Roman"/>
                <w:sz w:val="20"/>
                <w:szCs w:val="20"/>
              </w:rPr>
            </w:pPr>
          </w:p>
        </w:tc>
        <w:tc>
          <w:tcPr>
            <w:tcW w:w="0" w:type="auto"/>
            <w:vAlign w:val="center"/>
            <w:hideMark/>
          </w:tcPr>
          <w:p w14:paraId="167389DA" w14:textId="77777777" w:rsidR="00000000" w:rsidRDefault="001A570A">
            <w:pPr>
              <w:rPr>
                <w:rFonts w:eastAsia="Times New Roman"/>
                <w:sz w:val="20"/>
                <w:szCs w:val="20"/>
              </w:rPr>
            </w:pPr>
          </w:p>
        </w:tc>
      </w:tr>
      <w:tr w:rsidR="00000000" w14:paraId="7926C4AC" w14:textId="77777777">
        <w:trPr>
          <w:divId w:val="666515570"/>
        </w:trPr>
        <w:tc>
          <w:tcPr>
            <w:tcW w:w="0" w:type="auto"/>
            <w:gridSpan w:val="3"/>
            <w:vAlign w:val="center"/>
            <w:hideMark/>
          </w:tcPr>
          <w:p w14:paraId="5C76B7E0" w14:textId="77777777" w:rsidR="00000000" w:rsidRDefault="001A570A">
            <w:pPr>
              <w:rPr>
                <w:rFonts w:eastAsia="Times New Roman"/>
                <w:sz w:val="20"/>
                <w:szCs w:val="20"/>
              </w:rPr>
            </w:pPr>
          </w:p>
        </w:tc>
        <w:tc>
          <w:tcPr>
            <w:tcW w:w="0" w:type="auto"/>
            <w:gridSpan w:val="3"/>
            <w:vAlign w:val="center"/>
            <w:hideMark/>
          </w:tcPr>
          <w:p w14:paraId="5178FF3D" w14:textId="77777777" w:rsidR="00000000" w:rsidRDefault="001A570A">
            <w:pPr>
              <w:rPr>
                <w:rFonts w:eastAsia="Times New Roman"/>
                <w:sz w:val="20"/>
                <w:szCs w:val="20"/>
              </w:rPr>
            </w:pPr>
          </w:p>
        </w:tc>
        <w:tc>
          <w:tcPr>
            <w:tcW w:w="0" w:type="auto"/>
            <w:gridSpan w:val="3"/>
            <w:vAlign w:val="center"/>
            <w:hideMark/>
          </w:tcPr>
          <w:p w14:paraId="29E4B276" w14:textId="77777777" w:rsidR="00000000" w:rsidRDefault="001A570A">
            <w:pPr>
              <w:rPr>
                <w:rFonts w:eastAsia="Times New Roman"/>
                <w:sz w:val="20"/>
                <w:szCs w:val="20"/>
              </w:rPr>
            </w:pPr>
          </w:p>
        </w:tc>
        <w:tc>
          <w:tcPr>
            <w:tcW w:w="0" w:type="auto"/>
            <w:gridSpan w:val="3"/>
            <w:vAlign w:val="center"/>
            <w:hideMark/>
          </w:tcPr>
          <w:p w14:paraId="459F108A" w14:textId="77777777" w:rsidR="00000000" w:rsidRDefault="001A570A">
            <w:pPr>
              <w:rPr>
                <w:rFonts w:eastAsia="Times New Roman"/>
                <w:sz w:val="20"/>
                <w:szCs w:val="20"/>
              </w:rPr>
            </w:pPr>
          </w:p>
        </w:tc>
        <w:tc>
          <w:tcPr>
            <w:tcW w:w="0" w:type="auto"/>
            <w:vAlign w:val="center"/>
            <w:hideMark/>
          </w:tcPr>
          <w:p w14:paraId="024A5667" w14:textId="77777777" w:rsidR="00000000" w:rsidRDefault="001A570A">
            <w:pPr>
              <w:rPr>
                <w:rFonts w:eastAsia="Times New Roman"/>
                <w:sz w:val="20"/>
                <w:szCs w:val="20"/>
              </w:rPr>
            </w:pPr>
          </w:p>
        </w:tc>
        <w:tc>
          <w:tcPr>
            <w:tcW w:w="0" w:type="auto"/>
            <w:vAlign w:val="center"/>
            <w:hideMark/>
          </w:tcPr>
          <w:p w14:paraId="78E15FD7" w14:textId="77777777" w:rsidR="00000000" w:rsidRDefault="001A570A">
            <w:pPr>
              <w:rPr>
                <w:rFonts w:eastAsia="Times New Roman"/>
                <w:sz w:val="20"/>
                <w:szCs w:val="20"/>
              </w:rPr>
            </w:pPr>
          </w:p>
        </w:tc>
      </w:tr>
      <w:tr w:rsidR="00000000" w14:paraId="106FCDC2" w14:textId="77777777">
        <w:trPr>
          <w:divId w:val="666515570"/>
        </w:trPr>
        <w:tc>
          <w:tcPr>
            <w:tcW w:w="0" w:type="auto"/>
            <w:gridSpan w:val="3"/>
            <w:vAlign w:val="center"/>
            <w:hideMark/>
          </w:tcPr>
          <w:p w14:paraId="5F53FE48" w14:textId="77777777" w:rsidR="00000000" w:rsidRDefault="001A570A">
            <w:pPr>
              <w:rPr>
                <w:rFonts w:eastAsia="Times New Roman"/>
                <w:sz w:val="20"/>
                <w:szCs w:val="20"/>
              </w:rPr>
            </w:pPr>
          </w:p>
        </w:tc>
        <w:tc>
          <w:tcPr>
            <w:tcW w:w="0" w:type="auto"/>
            <w:gridSpan w:val="3"/>
            <w:vAlign w:val="center"/>
            <w:hideMark/>
          </w:tcPr>
          <w:p w14:paraId="344EFD7A" w14:textId="77777777" w:rsidR="00000000" w:rsidRDefault="001A570A">
            <w:pPr>
              <w:rPr>
                <w:rFonts w:eastAsia="Times New Roman"/>
                <w:sz w:val="20"/>
                <w:szCs w:val="20"/>
              </w:rPr>
            </w:pPr>
          </w:p>
        </w:tc>
        <w:tc>
          <w:tcPr>
            <w:tcW w:w="0" w:type="auto"/>
            <w:gridSpan w:val="3"/>
            <w:vAlign w:val="center"/>
            <w:hideMark/>
          </w:tcPr>
          <w:p w14:paraId="555F0BAF" w14:textId="77777777" w:rsidR="00000000" w:rsidRDefault="001A570A">
            <w:pPr>
              <w:rPr>
                <w:rFonts w:eastAsia="Times New Roman"/>
                <w:sz w:val="20"/>
                <w:szCs w:val="20"/>
              </w:rPr>
            </w:pPr>
          </w:p>
        </w:tc>
        <w:tc>
          <w:tcPr>
            <w:tcW w:w="0" w:type="auto"/>
            <w:gridSpan w:val="3"/>
            <w:vAlign w:val="center"/>
            <w:hideMark/>
          </w:tcPr>
          <w:p w14:paraId="3A5014A9" w14:textId="77777777" w:rsidR="00000000" w:rsidRDefault="001A570A">
            <w:pPr>
              <w:rPr>
                <w:rFonts w:eastAsia="Times New Roman"/>
                <w:sz w:val="20"/>
                <w:szCs w:val="20"/>
              </w:rPr>
            </w:pPr>
          </w:p>
        </w:tc>
        <w:tc>
          <w:tcPr>
            <w:tcW w:w="0" w:type="auto"/>
            <w:vAlign w:val="center"/>
            <w:hideMark/>
          </w:tcPr>
          <w:p w14:paraId="2D357A4D" w14:textId="77777777" w:rsidR="00000000" w:rsidRDefault="001A570A">
            <w:pPr>
              <w:rPr>
                <w:rFonts w:eastAsia="Times New Roman"/>
                <w:sz w:val="20"/>
                <w:szCs w:val="20"/>
              </w:rPr>
            </w:pPr>
          </w:p>
        </w:tc>
        <w:tc>
          <w:tcPr>
            <w:tcW w:w="0" w:type="auto"/>
            <w:vAlign w:val="center"/>
            <w:hideMark/>
          </w:tcPr>
          <w:p w14:paraId="77A1ACD1" w14:textId="77777777" w:rsidR="00000000" w:rsidRDefault="001A570A">
            <w:pPr>
              <w:rPr>
                <w:rFonts w:eastAsia="Times New Roman"/>
                <w:sz w:val="20"/>
                <w:szCs w:val="20"/>
              </w:rPr>
            </w:pPr>
          </w:p>
        </w:tc>
      </w:tr>
      <w:tr w:rsidR="00000000" w14:paraId="61B36002" w14:textId="77777777">
        <w:trPr>
          <w:divId w:val="666515570"/>
        </w:trPr>
        <w:tc>
          <w:tcPr>
            <w:tcW w:w="0" w:type="auto"/>
            <w:gridSpan w:val="3"/>
            <w:shd w:val="clear" w:color="auto" w:fill="CCEEFF"/>
            <w:tcMar>
              <w:top w:w="30" w:type="dxa"/>
              <w:left w:w="155" w:type="dxa"/>
              <w:bottom w:w="30" w:type="dxa"/>
              <w:right w:w="20" w:type="dxa"/>
            </w:tcMar>
            <w:hideMark/>
          </w:tcPr>
          <w:p w14:paraId="2C353A75" w14:textId="77777777" w:rsidR="00000000" w:rsidRDefault="001A570A">
            <w:pPr>
              <w:rPr>
                <w:rFonts w:eastAsia="Times New Roman"/>
              </w:rPr>
            </w:pPr>
            <w:r>
              <w:rPr>
                <w:rFonts w:eastAsia="Times New Roman"/>
                <w:color w:val="000000"/>
                <w:sz w:val="20"/>
                <w:szCs w:val="20"/>
              </w:rPr>
              <w:t>Operating lease obligation</w:t>
            </w:r>
          </w:p>
        </w:tc>
        <w:tc>
          <w:tcPr>
            <w:tcW w:w="0" w:type="auto"/>
            <w:gridSpan w:val="2"/>
            <w:shd w:val="clear" w:color="auto" w:fill="CCEEFF"/>
            <w:tcMar>
              <w:top w:w="30" w:type="dxa"/>
              <w:left w:w="20" w:type="dxa"/>
              <w:bottom w:w="30" w:type="dxa"/>
              <w:right w:w="0" w:type="dxa"/>
            </w:tcMar>
            <w:vAlign w:val="bottom"/>
            <w:hideMark/>
          </w:tcPr>
          <w:p w14:paraId="11107013" w14:textId="77777777" w:rsidR="00000000" w:rsidRDefault="001A570A">
            <w:pPr>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14:paraId="3EA84D0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F4A3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EE65C3" w14:textId="77777777" w:rsidR="00000000" w:rsidRDefault="001A570A">
            <w:pPr>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14:paraId="2AC2BE83" w14:textId="77777777" w:rsidR="00000000" w:rsidRDefault="001A570A">
            <w:pPr>
              <w:jc w:val="right"/>
              <w:rPr>
                <w:rFonts w:eastAsia="Times New Roman"/>
              </w:rPr>
            </w:pPr>
          </w:p>
        </w:tc>
        <w:tc>
          <w:tcPr>
            <w:tcW w:w="0" w:type="auto"/>
            <w:vAlign w:val="center"/>
            <w:hideMark/>
          </w:tcPr>
          <w:p w14:paraId="0C1364CF" w14:textId="77777777" w:rsidR="00000000" w:rsidRDefault="001A570A">
            <w:pPr>
              <w:jc w:val="right"/>
              <w:rPr>
                <w:rFonts w:eastAsia="Times New Roman"/>
                <w:sz w:val="20"/>
                <w:szCs w:val="20"/>
              </w:rPr>
            </w:pPr>
          </w:p>
        </w:tc>
        <w:tc>
          <w:tcPr>
            <w:tcW w:w="0" w:type="auto"/>
            <w:vAlign w:val="center"/>
            <w:hideMark/>
          </w:tcPr>
          <w:p w14:paraId="5F0F1C09" w14:textId="77777777" w:rsidR="00000000" w:rsidRDefault="001A570A">
            <w:pPr>
              <w:rPr>
                <w:rFonts w:eastAsia="Times New Roman"/>
                <w:sz w:val="20"/>
                <w:szCs w:val="20"/>
              </w:rPr>
            </w:pPr>
          </w:p>
        </w:tc>
      </w:tr>
      <w:tr w:rsidR="00000000" w14:paraId="3F4C5B33" w14:textId="77777777">
        <w:trPr>
          <w:divId w:val="666515570"/>
        </w:trPr>
        <w:tc>
          <w:tcPr>
            <w:tcW w:w="0" w:type="auto"/>
            <w:gridSpan w:val="3"/>
            <w:shd w:val="clear" w:color="auto" w:fill="FFFFFF"/>
            <w:tcMar>
              <w:top w:w="30" w:type="dxa"/>
              <w:left w:w="155" w:type="dxa"/>
              <w:bottom w:w="30" w:type="dxa"/>
              <w:right w:w="20" w:type="dxa"/>
            </w:tcMar>
            <w:hideMark/>
          </w:tcPr>
          <w:p w14:paraId="3977054B" w14:textId="77777777" w:rsidR="00000000" w:rsidRDefault="001A570A">
            <w:pPr>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14:paraId="2612DC8C" w14:textId="77777777" w:rsidR="00000000" w:rsidRDefault="001A570A">
            <w:pPr>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14:paraId="3CA3B99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350F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6B4CE" w14:textId="77777777" w:rsidR="00000000" w:rsidRDefault="001A570A">
            <w:pPr>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14:paraId="722313FB" w14:textId="77777777" w:rsidR="00000000" w:rsidRDefault="001A570A">
            <w:pPr>
              <w:jc w:val="right"/>
              <w:rPr>
                <w:rFonts w:eastAsia="Times New Roman"/>
              </w:rPr>
            </w:pPr>
          </w:p>
        </w:tc>
        <w:tc>
          <w:tcPr>
            <w:tcW w:w="0" w:type="auto"/>
            <w:vAlign w:val="center"/>
            <w:hideMark/>
          </w:tcPr>
          <w:p w14:paraId="46C27985" w14:textId="77777777" w:rsidR="00000000" w:rsidRDefault="001A570A">
            <w:pPr>
              <w:jc w:val="right"/>
              <w:rPr>
                <w:rFonts w:eastAsia="Times New Roman"/>
                <w:sz w:val="20"/>
                <w:szCs w:val="20"/>
              </w:rPr>
            </w:pPr>
          </w:p>
        </w:tc>
        <w:tc>
          <w:tcPr>
            <w:tcW w:w="0" w:type="auto"/>
            <w:vAlign w:val="center"/>
            <w:hideMark/>
          </w:tcPr>
          <w:p w14:paraId="2DBCCE8A" w14:textId="77777777" w:rsidR="00000000" w:rsidRDefault="001A570A">
            <w:pPr>
              <w:rPr>
                <w:rFonts w:eastAsia="Times New Roman"/>
                <w:sz w:val="20"/>
                <w:szCs w:val="20"/>
              </w:rPr>
            </w:pPr>
          </w:p>
        </w:tc>
      </w:tr>
      <w:tr w:rsidR="00000000" w14:paraId="23BC0BE2" w14:textId="77777777">
        <w:trPr>
          <w:divId w:val="666515570"/>
        </w:trPr>
        <w:tc>
          <w:tcPr>
            <w:tcW w:w="0" w:type="auto"/>
            <w:gridSpan w:val="3"/>
            <w:vAlign w:val="center"/>
            <w:hideMark/>
          </w:tcPr>
          <w:p w14:paraId="6F538FE9" w14:textId="77777777" w:rsidR="00000000" w:rsidRDefault="001A570A">
            <w:pPr>
              <w:rPr>
                <w:rFonts w:eastAsia="Times New Roman"/>
                <w:sz w:val="20"/>
                <w:szCs w:val="20"/>
              </w:rPr>
            </w:pPr>
          </w:p>
        </w:tc>
        <w:tc>
          <w:tcPr>
            <w:tcW w:w="0" w:type="auto"/>
            <w:gridSpan w:val="3"/>
            <w:vAlign w:val="center"/>
            <w:hideMark/>
          </w:tcPr>
          <w:p w14:paraId="73C4DC6C" w14:textId="77777777" w:rsidR="00000000" w:rsidRDefault="001A570A">
            <w:pPr>
              <w:rPr>
                <w:rFonts w:eastAsia="Times New Roman"/>
                <w:sz w:val="20"/>
                <w:szCs w:val="20"/>
              </w:rPr>
            </w:pPr>
          </w:p>
        </w:tc>
        <w:tc>
          <w:tcPr>
            <w:tcW w:w="0" w:type="auto"/>
            <w:gridSpan w:val="3"/>
            <w:vAlign w:val="center"/>
            <w:hideMark/>
          </w:tcPr>
          <w:p w14:paraId="624901F6" w14:textId="77777777" w:rsidR="00000000" w:rsidRDefault="001A570A">
            <w:pPr>
              <w:rPr>
                <w:rFonts w:eastAsia="Times New Roman"/>
                <w:sz w:val="20"/>
                <w:szCs w:val="20"/>
              </w:rPr>
            </w:pPr>
          </w:p>
        </w:tc>
        <w:tc>
          <w:tcPr>
            <w:tcW w:w="0" w:type="auto"/>
            <w:gridSpan w:val="3"/>
            <w:vAlign w:val="center"/>
            <w:hideMark/>
          </w:tcPr>
          <w:p w14:paraId="25DD1568" w14:textId="77777777" w:rsidR="00000000" w:rsidRDefault="001A570A">
            <w:pPr>
              <w:rPr>
                <w:rFonts w:eastAsia="Times New Roman"/>
                <w:sz w:val="20"/>
                <w:szCs w:val="20"/>
              </w:rPr>
            </w:pPr>
          </w:p>
        </w:tc>
        <w:tc>
          <w:tcPr>
            <w:tcW w:w="0" w:type="auto"/>
            <w:vAlign w:val="center"/>
            <w:hideMark/>
          </w:tcPr>
          <w:p w14:paraId="2D8B04DC" w14:textId="77777777" w:rsidR="00000000" w:rsidRDefault="001A570A">
            <w:pPr>
              <w:rPr>
                <w:rFonts w:eastAsia="Times New Roman"/>
                <w:sz w:val="20"/>
                <w:szCs w:val="20"/>
              </w:rPr>
            </w:pPr>
          </w:p>
        </w:tc>
        <w:tc>
          <w:tcPr>
            <w:tcW w:w="0" w:type="auto"/>
            <w:vAlign w:val="center"/>
            <w:hideMark/>
          </w:tcPr>
          <w:p w14:paraId="494629BD" w14:textId="77777777" w:rsidR="00000000" w:rsidRDefault="001A570A">
            <w:pPr>
              <w:rPr>
                <w:rFonts w:eastAsia="Times New Roman"/>
                <w:sz w:val="20"/>
                <w:szCs w:val="20"/>
              </w:rPr>
            </w:pPr>
          </w:p>
        </w:tc>
      </w:tr>
      <w:tr w:rsidR="00000000" w14:paraId="4977911C" w14:textId="77777777">
        <w:trPr>
          <w:divId w:val="666515570"/>
        </w:trPr>
        <w:tc>
          <w:tcPr>
            <w:tcW w:w="0" w:type="auto"/>
            <w:gridSpan w:val="3"/>
            <w:shd w:val="clear" w:color="auto" w:fill="CCEEFF"/>
            <w:tcMar>
              <w:top w:w="30" w:type="dxa"/>
              <w:left w:w="20" w:type="dxa"/>
              <w:bottom w:w="30" w:type="dxa"/>
              <w:right w:w="20" w:type="dxa"/>
            </w:tcMar>
            <w:hideMark/>
          </w:tcPr>
          <w:p w14:paraId="002096E0" w14:textId="77777777" w:rsidR="00000000" w:rsidRDefault="001A570A">
            <w:pPr>
              <w:divId w:val="377822039"/>
              <w:rPr>
                <w:rFonts w:eastAsia="Times New Roman"/>
              </w:rPr>
            </w:pPr>
            <w:r>
              <w:rPr>
                <w:rFonts w:eastAsia="Times New Roman"/>
                <w:color w:val="000000"/>
                <w:sz w:val="20"/>
                <w:szCs w:val="20"/>
              </w:rPr>
              <w:t>Valuation allowanc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D48C492" w14:textId="77777777" w:rsidR="00000000" w:rsidRDefault="001A570A">
            <w:pPr>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14:paraId="6BAA13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A0DF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8755A3" w14:textId="77777777" w:rsidR="00000000" w:rsidRDefault="001A570A">
            <w:pPr>
              <w:jc w:val="right"/>
              <w:rPr>
                <w:rFonts w:eastAsia="Times New Roman"/>
              </w:rPr>
            </w:pPr>
            <w:r>
              <w:rPr>
                <w:rFonts w:eastAsia="Times New Roman"/>
                <w:color w:val="000000"/>
                <w:sz w:val="20"/>
                <w:szCs w:val="20"/>
              </w:rPr>
              <w:t>(185)</w:t>
            </w:r>
          </w:p>
        </w:tc>
        <w:tc>
          <w:tcPr>
            <w:tcW w:w="0" w:type="auto"/>
            <w:shd w:val="clear" w:color="auto" w:fill="CCEEFF"/>
            <w:tcMar>
              <w:top w:w="30" w:type="dxa"/>
              <w:left w:w="0" w:type="dxa"/>
              <w:bottom w:w="30" w:type="dxa"/>
              <w:right w:w="20" w:type="dxa"/>
            </w:tcMar>
            <w:vAlign w:val="bottom"/>
            <w:hideMark/>
          </w:tcPr>
          <w:p w14:paraId="22ED2702" w14:textId="77777777" w:rsidR="00000000" w:rsidRDefault="001A570A">
            <w:pPr>
              <w:jc w:val="right"/>
              <w:rPr>
                <w:rFonts w:eastAsia="Times New Roman"/>
              </w:rPr>
            </w:pPr>
          </w:p>
        </w:tc>
        <w:tc>
          <w:tcPr>
            <w:tcW w:w="0" w:type="auto"/>
            <w:vAlign w:val="center"/>
            <w:hideMark/>
          </w:tcPr>
          <w:p w14:paraId="7EFE3491" w14:textId="77777777" w:rsidR="00000000" w:rsidRDefault="001A570A">
            <w:pPr>
              <w:jc w:val="right"/>
              <w:rPr>
                <w:rFonts w:eastAsia="Times New Roman"/>
                <w:sz w:val="20"/>
                <w:szCs w:val="20"/>
              </w:rPr>
            </w:pPr>
          </w:p>
        </w:tc>
        <w:tc>
          <w:tcPr>
            <w:tcW w:w="0" w:type="auto"/>
            <w:vAlign w:val="center"/>
            <w:hideMark/>
          </w:tcPr>
          <w:p w14:paraId="79338B65" w14:textId="77777777" w:rsidR="00000000" w:rsidRDefault="001A570A">
            <w:pPr>
              <w:rPr>
                <w:rFonts w:eastAsia="Times New Roman"/>
                <w:sz w:val="20"/>
                <w:szCs w:val="20"/>
              </w:rPr>
            </w:pPr>
          </w:p>
        </w:tc>
      </w:tr>
      <w:tr w:rsidR="00000000" w14:paraId="2B4954CD" w14:textId="77777777">
        <w:trPr>
          <w:divId w:val="666515570"/>
        </w:trPr>
        <w:tc>
          <w:tcPr>
            <w:tcW w:w="0" w:type="auto"/>
            <w:gridSpan w:val="3"/>
            <w:shd w:val="clear" w:color="auto" w:fill="FFFFFF"/>
            <w:tcMar>
              <w:top w:w="30" w:type="dxa"/>
              <w:left w:w="20" w:type="dxa"/>
              <w:bottom w:w="30" w:type="dxa"/>
              <w:right w:w="20" w:type="dxa"/>
            </w:tcMar>
            <w:hideMark/>
          </w:tcPr>
          <w:p w14:paraId="0B06BCE9" w14:textId="77777777" w:rsidR="00000000" w:rsidRDefault="001A570A">
            <w:pPr>
              <w:rPr>
                <w:rFonts w:eastAsia="Times New Roman"/>
              </w:rPr>
            </w:pPr>
            <w:r>
              <w:rPr>
                <w:rFonts w:eastAsia="Times New Roman"/>
                <w:color w:val="000000"/>
                <w:sz w:val="20"/>
                <w:szCs w:val="20"/>
              </w:rPr>
              <w:t>Deferred tax assets,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89F30A" w14:textId="77777777" w:rsidR="00000000" w:rsidRDefault="001A570A">
            <w:pPr>
              <w:jc w:val="right"/>
              <w:rPr>
                <w:rFonts w:eastAsia="Times New Roman"/>
              </w:rPr>
            </w:pPr>
            <w:r>
              <w:rPr>
                <w:rFonts w:eastAsia="Times New Roman"/>
                <w:color w:val="000000"/>
                <w:sz w:val="20"/>
                <w:szCs w:val="20"/>
              </w:rPr>
              <w:t>1,277 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3D898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27B35"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CD4E56" w14:textId="77777777" w:rsidR="00000000" w:rsidRDefault="001A570A">
            <w:pPr>
              <w:jc w:val="right"/>
              <w:rPr>
                <w:rFonts w:eastAsia="Times New Roman"/>
              </w:rPr>
            </w:pPr>
            <w:r>
              <w:rPr>
                <w:rFonts w:eastAsia="Times New Roman"/>
                <w:color w:val="000000"/>
                <w:sz w:val="20"/>
                <w:szCs w:val="20"/>
              </w:rPr>
              <w:t>1,185 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4307EB" w14:textId="77777777" w:rsidR="00000000" w:rsidRDefault="001A570A">
            <w:pPr>
              <w:jc w:val="right"/>
              <w:rPr>
                <w:rFonts w:eastAsia="Times New Roman"/>
              </w:rPr>
            </w:pPr>
          </w:p>
        </w:tc>
        <w:tc>
          <w:tcPr>
            <w:tcW w:w="0" w:type="auto"/>
            <w:vAlign w:val="center"/>
            <w:hideMark/>
          </w:tcPr>
          <w:p w14:paraId="38939192" w14:textId="77777777" w:rsidR="00000000" w:rsidRDefault="001A570A">
            <w:pPr>
              <w:jc w:val="right"/>
              <w:rPr>
                <w:rFonts w:eastAsia="Times New Roman"/>
                <w:sz w:val="20"/>
                <w:szCs w:val="20"/>
              </w:rPr>
            </w:pPr>
          </w:p>
        </w:tc>
        <w:tc>
          <w:tcPr>
            <w:tcW w:w="0" w:type="auto"/>
            <w:vAlign w:val="center"/>
            <w:hideMark/>
          </w:tcPr>
          <w:p w14:paraId="104467A8" w14:textId="77777777" w:rsidR="00000000" w:rsidRDefault="001A570A">
            <w:pPr>
              <w:rPr>
                <w:rFonts w:eastAsia="Times New Roman"/>
                <w:sz w:val="20"/>
                <w:szCs w:val="20"/>
              </w:rPr>
            </w:pPr>
          </w:p>
        </w:tc>
      </w:tr>
      <w:tr w:rsidR="00000000" w14:paraId="73D83F88" w14:textId="77777777">
        <w:trPr>
          <w:divId w:val="666515570"/>
          <w:trHeight w:val="280"/>
        </w:trPr>
        <w:tc>
          <w:tcPr>
            <w:tcW w:w="0" w:type="auto"/>
            <w:gridSpan w:val="3"/>
            <w:shd w:val="clear" w:color="auto" w:fill="CCEEFF"/>
            <w:tcMar>
              <w:top w:w="0" w:type="dxa"/>
              <w:left w:w="20" w:type="dxa"/>
              <w:bottom w:w="0" w:type="dxa"/>
              <w:right w:w="20" w:type="dxa"/>
            </w:tcMar>
            <w:vAlign w:val="center"/>
            <w:hideMark/>
          </w:tcPr>
          <w:p w14:paraId="3746FBD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391A6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B61E4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B49397" w14:textId="77777777" w:rsidR="00000000" w:rsidRDefault="001A570A">
            <w:pPr>
              <w:rPr>
                <w:rFonts w:eastAsia="Times New Roman"/>
                <w:sz w:val="20"/>
                <w:szCs w:val="20"/>
              </w:rPr>
            </w:pPr>
          </w:p>
        </w:tc>
        <w:tc>
          <w:tcPr>
            <w:tcW w:w="0" w:type="auto"/>
            <w:vAlign w:val="center"/>
            <w:hideMark/>
          </w:tcPr>
          <w:p w14:paraId="298EBCC2" w14:textId="77777777" w:rsidR="00000000" w:rsidRDefault="001A570A">
            <w:pPr>
              <w:rPr>
                <w:rFonts w:eastAsia="Times New Roman"/>
                <w:sz w:val="20"/>
                <w:szCs w:val="20"/>
              </w:rPr>
            </w:pPr>
          </w:p>
        </w:tc>
        <w:tc>
          <w:tcPr>
            <w:tcW w:w="0" w:type="auto"/>
            <w:vAlign w:val="center"/>
            <w:hideMark/>
          </w:tcPr>
          <w:p w14:paraId="63EC1B17" w14:textId="77777777" w:rsidR="00000000" w:rsidRDefault="001A570A">
            <w:pPr>
              <w:rPr>
                <w:rFonts w:eastAsia="Times New Roman"/>
                <w:sz w:val="20"/>
                <w:szCs w:val="20"/>
              </w:rPr>
            </w:pPr>
          </w:p>
        </w:tc>
      </w:tr>
      <w:tr w:rsidR="00000000" w14:paraId="116E1F03" w14:textId="77777777">
        <w:trPr>
          <w:divId w:val="666515570"/>
        </w:trPr>
        <w:tc>
          <w:tcPr>
            <w:tcW w:w="0" w:type="auto"/>
            <w:gridSpan w:val="3"/>
            <w:shd w:val="clear" w:color="auto" w:fill="FFFFFF"/>
            <w:tcMar>
              <w:top w:w="30" w:type="dxa"/>
              <w:left w:w="20" w:type="dxa"/>
              <w:bottom w:w="30" w:type="dxa"/>
              <w:right w:w="20" w:type="dxa"/>
            </w:tcMar>
            <w:hideMark/>
          </w:tcPr>
          <w:p w14:paraId="4A0A401D" w14:textId="77777777" w:rsidR="00000000" w:rsidRDefault="001A570A">
            <w:pPr>
              <w:rPr>
                <w:rFonts w:eastAsia="Times New Roman"/>
              </w:rPr>
            </w:pPr>
            <w:r>
              <w:rPr>
                <w:rFonts w:eastAsia="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vAlign w:val="center"/>
            <w:hideMark/>
          </w:tcPr>
          <w:p w14:paraId="064A6E2F"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1A5C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F2105F" w14:textId="77777777" w:rsidR="00000000" w:rsidRDefault="001A570A">
            <w:pPr>
              <w:rPr>
                <w:rFonts w:eastAsia="Times New Roman"/>
                <w:sz w:val="20"/>
                <w:szCs w:val="20"/>
              </w:rPr>
            </w:pPr>
          </w:p>
        </w:tc>
        <w:tc>
          <w:tcPr>
            <w:tcW w:w="0" w:type="auto"/>
            <w:vAlign w:val="center"/>
            <w:hideMark/>
          </w:tcPr>
          <w:p w14:paraId="2B6AEC32" w14:textId="77777777" w:rsidR="00000000" w:rsidRDefault="001A570A">
            <w:pPr>
              <w:rPr>
                <w:rFonts w:eastAsia="Times New Roman"/>
                <w:sz w:val="20"/>
                <w:szCs w:val="20"/>
              </w:rPr>
            </w:pPr>
          </w:p>
        </w:tc>
        <w:tc>
          <w:tcPr>
            <w:tcW w:w="0" w:type="auto"/>
            <w:vAlign w:val="center"/>
            <w:hideMark/>
          </w:tcPr>
          <w:p w14:paraId="3FF41248" w14:textId="77777777" w:rsidR="00000000" w:rsidRDefault="001A570A">
            <w:pPr>
              <w:rPr>
                <w:rFonts w:eastAsia="Times New Roman"/>
                <w:sz w:val="20"/>
                <w:szCs w:val="20"/>
              </w:rPr>
            </w:pPr>
          </w:p>
        </w:tc>
      </w:tr>
      <w:tr w:rsidR="00000000" w14:paraId="72525D6F" w14:textId="77777777">
        <w:trPr>
          <w:divId w:val="666515570"/>
        </w:trPr>
        <w:tc>
          <w:tcPr>
            <w:tcW w:w="0" w:type="auto"/>
            <w:gridSpan w:val="3"/>
            <w:shd w:val="clear" w:color="auto" w:fill="CCEEFF"/>
            <w:tcMar>
              <w:top w:w="30" w:type="dxa"/>
              <w:left w:w="155" w:type="dxa"/>
              <w:bottom w:w="30" w:type="dxa"/>
              <w:right w:w="20" w:type="dxa"/>
            </w:tcMar>
            <w:hideMark/>
          </w:tcPr>
          <w:p w14:paraId="48A87B2C" w14:textId="77777777" w:rsidR="00000000" w:rsidRDefault="001A570A">
            <w:pPr>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14:paraId="028A32F6" w14:textId="77777777" w:rsidR="00000000" w:rsidRDefault="001A570A">
            <w:pPr>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14:paraId="0AD1B10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1331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19FC8" w14:textId="77777777" w:rsidR="00000000" w:rsidRDefault="001A570A">
            <w:pPr>
              <w:jc w:val="right"/>
              <w:rPr>
                <w:rFonts w:eastAsia="Times New Roman"/>
              </w:rPr>
            </w:pPr>
            <w:r>
              <w:rPr>
                <w:rFonts w:eastAsia="Times New Roman"/>
                <w:color w:val="000000"/>
                <w:sz w:val="20"/>
                <w:szCs w:val="20"/>
              </w:rPr>
              <w:t>(159)</w:t>
            </w:r>
          </w:p>
        </w:tc>
        <w:tc>
          <w:tcPr>
            <w:tcW w:w="0" w:type="auto"/>
            <w:shd w:val="clear" w:color="auto" w:fill="CCEEFF"/>
            <w:tcMar>
              <w:top w:w="30" w:type="dxa"/>
              <w:left w:w="0" w:type="dxa"/>
              <w:bottom w:w="30" w:type="dxa"/>
              <w:right w:w="20" w:type="dxa"/>
            </w:tcMar>
            <w:vAlign w:val="bottom"/>
            <w:hideMark/>
          </w:tcPr>
          <w:p w14:paraId="59ABB394" w14:textId="77777777" w:rsidR="00000000" w:rsidRDefault="001A570A">
            <w:pPr>
              <w:jc w:val="right"/>
              <w:rPr>
                <w:rFonts w:eastAsia="Times New Roman"/>
              </w:rPr>
            </w:pPr>
          </w:p>
        </w:tc>
        <w:tc>
          <w:tcPr>
            <w:tcW w:w="0" w:type="auto"/>
            <w:vAlign w:val="center"/>
            <w:hideMark/>
          </w:tcPr>
          <w:p w14:paraId="2B1516EC" w14:textId="77777777" w:rsidR="00000000" w:rsidRDefault="001A570A">
            <w:pPr>
              <w:jc w:val="right"/>
              <w:rPr>
                <w:rFonts w:eastAsia="Times New Roman"/>
                <w:sz w:val="20"/>
                <w:szCs w:val="20"/>
              </w:rPr>
            </w:pPr>
          </w:p>
        </w:tc>
        <w:tc>
          <w:tcPr>
            <w:tcW w:w="0" w:type="auto"/>
            <w:vAlign w:val="center"/>
            <w:hideMark/>
          </w:tcPr>
          <w:p w14:paraId="631D33A0" w14:textId="77777777" w:rsidR="00000000" w:rsidRDefault="001A570A">
            <w:pPr>
              <w:rPr>
                <w:rFonts w:eastAsia="Times New Roman"/>
                <w:sz w:val="20"/>
                <w:szCs w:val="20"/>
              </w:rPr>
            </w:pPr>
          </w:p>
        </w:tc>
      </w:tr>
      <w:tr w:rsidR="00000000" w14:paraId="71996FE4" w14:textId="77777777">
        <w:trPr>
          <w:divId w:val="666515570"/>
        </w:trPr>
        <w:tc>
          <w:tcPr>
            <w:tcW w:w="0" w:type="auto"/>
            <w:gridSpan w:val="3"/>
            <w:shd w:val="clear" w:color="auto" w:fill="FFFFFF"/>
            <w:tcMar>
              <w:top w:w="30" w:type="dxa"/>
              <w:left w:w="155" w:type="dxa"/>
              <w:bottom w:w="30" w:type="dxa"/>
              <w:right w:w="20" w:type="dxa"/>
            </w:tcMar>
            <w:hideMark/>
          </w:tcPr>
          <w:p w14:paraId="5CD76322" w14:textId="77777777" w:rsidR="00000000" w:rsidRDefault="001A570A">
            <w:pPr>
              <w:rPr>
                <w:rFonts w:eastAsia="Times New Roman"/>
              </w:rPr>
            </w:pPr>
            <w:r>
              <w:rPr>
                <w:rFonts w:eastAsia="Times New Roman"/>
                <w:color w:val="000000"/>
                <w:sz w:val="20"/>
                <w:szCs w:val="20"/>
              </w:rPr>
              <w:t>Unbilled receivables</w:t>
            </w:r>
          </w:p>
        </w:tc>
        <w:tc>
          <w:tcPr>
            <w:tcW w:w="0" w:type="auto"/>
            <w:gridSpan w:val="2"/>
            <w:shd w:val="clear" w:color="auto" w:fill="FFFFFF"/>
            <w:tcMar>
              <w:top w:w="30" w:type="dxa"/>
              <w:left w:w="20" w:type="dxa"/>
              <w:bottom w:w="30" w:type="dxa"/>
              <w:right w:w="0" w:type="dxa"/>
            </w:tcMar>
            <w:vAlign w:val="bottom"/>
            <w:hideMark/>
          </w:tcPr>
          <w:p w14:paraId="4E02FA46" w14:textId="77777777" w:rsidR="00000000" w:rsidRDefault="001A570A">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14:paraId="634830F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C206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47FCB" w14:textId="77777777" w:rsidR="00000000" w:rsidRDefault="001A570A">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14:paraId="3A6736D5" w14:textId="77777777" w:rsidR="00000000" w:rsidRDefault="001A570A">
            <w:pPr>
              <w:jc w:val="right"/>
              <w:rPr>
                <w:rFonts w:eastAsia="Times New Roman"/>
              </w:rPr>
            </w:pPr>
          </w:p>
        </w:tc>
        <w:tc>
          <w:tcPr>
            <w:tcW w:w="0" w:type="auto"/>
            <w:vAlign w:val="center"/>
            <w:hideMark/>
          </w:tcPr>
          <w:p w14:paraId="24AF6A0A" w14:textId="77777777" w:rsidR="00000000" w:rsidRDefault="001A570A">
            <w:pPr>
              <w:jc w:val="right"/>
              <w:rPr>
                <w:rFonts w:eastAsia="Times New Roman"/>
                <w:sz w:val="20"/>
                <w:szCs w:val="20"/>
              </w:rPr>
            </w:pPr>
          </w:p>
        </w:tc>
        <w:tc>
          <w:tcPr>
            <w:tcW w:w="0" w:type="auto"/>
            <w:vAlign w:val="center"/>
            <w:hideMark/>
          </w:tcPr>
          <w:p w14:paraId="7883C13E" w14:textId="77777777" w:rsidR="00000000" w:rsidRDefault="001A570A">
            <w:pPr>
              <w:rPr>
                <w:rFonts w:eastAsia="Times New Roman"/>
                <w:sz w:val="20"/>
                <w:szCs w:val="20"/>
              </w:rPr>
            </w:pPr>
          </w:p>
        </w:tc>
      </w:tr>
      <w:tr w:rsidR="00000000" w14:paraId="75C5E6FA" w14:textId="77777777">
        <w:trPr>
          <w:divId w:val="666515570"/>
        </w:trPr>
        <w:tc>
          <w:tcPr>
            <w:tcW w:w="0" w:type="auto"/>
            <w:gridSpan w:val="3"/>
            <w:shd w:val="clear" w:color="auto" w:fill="CCEEFF"/>
            <w:tcMar>
              <w:top w:w="30" w:type="dxa"/>
              <w:left w:w="155" w:type="dxa"/>
              <w:bottom w:w="30" w:type="dxa"/>
              <w:right w:w="20" w:type="dxa"/>
            </w:tcMar>
            <w:hideMark/>
          </w:tcPr>
          <w:p w14:paraId="26666E26" w14:textId="77777777" w:rsidR="00000000" w:rsidRDefault="001A570A">
            <w:pPr>
              <w:rPr>
                <w:rFonts w:eastAsia="Times New Roman"/>
              </w:rPr>
            </w:pPr>
            <w:r>
              <w:rPr>
                <w:rFonts w:eastAsia="Times New Roman"/>
                <w:color w:val="000000"/>
                <w:sz w:val="20"/>
                <w:szCs w:val="20"/>
              </w:rPr>
              <w:t>Acquired intangibles</w:t>
            </w:r>
          </w:p>
        </w:tc>
        <w:tc>
          <w:tcPr>
            <w:tcW w:w="0" w:type="auto"/>
            <w:gridSpan w:val="2"/>
            <w:shd w:val="clear" w:color="auto" w:fill="CCEEFF"/>
            <w:tcMar>
              <w:top w:w="30" w:type="dxa"/>
              <w:left w:w="20" w:type="dxa"/>
              <w:bottom w:w="30" w:type="dxa"/>
              <w:right w:w="0" w:type="dxa"/>
            </w:tcMar>
            <w:vAlign w:val="bottom"/>
            <w:hideMark/>
          </w:tcPr>
          <w:p w14:paraId="429C6612" w14:textId="77777777" w:rsidR="00000000" w:rsidRDefault="001A570A">
            <w:pPr>
              <w:jc w:val="right"/>
              <w:rPr>
                <w:rFonts w:eastAsia="Times New Roman"/>
              </w:rPr>
            </w:pPr>
            <w:r>
              <w:rPr>
                <w:rFonts w:eastAsia="Times New Roman"/>
                <w:color w:val="000000"/>
                <w:sz w:val="20"/>
                <w:szCs w:val="20"/>
              </w:rPr>
              <w:t>(1,934)</w:t>
            </w:r>
          </w:p>
        </w:tc>
        <w:tc>
          <w:tcPr>
            <w:tcW w:w="0" w:type="auto"/>
            <w:shd w:val="clear" w:color="auto" w:fill="CCEEFF"/>
            <w:tcMar>
              <w:top w:w="30" w:type="dxa"/>
              <w:left w:w="0" w:type="dxa"/>
              <w:bottom w:w="30" w:type="dxa"/>
              <w:right w:w="20" w:type="dxa"/>
            </w:tcMar>
            <w:vAlign w:val="bottom"/>
            <w:hideMark/>
          </w:tcPr>
          <w:p w14:paraId="0504983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FF0A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D06134" w14:textId="77777777" w:rsidR="00000000" w:rsidRDefault="001A570A">
            <w:pPr>
              <w:jc w:val="right"/>
              <w:rPr>
                <w:rFonts w:eastAsia="Times New Roman"/>
              </w:rPr>
            </w:pPr>
            <w:r>
              <w:rPr>
                <w:rFonts w:eastAsia="Times New Roman"/>
                <w:color w:val="000000"/>
                <w:sz w:val="20"/>
                <w:szCs w:val="20"/>
              </w:rPr>
              <w:t>(2,037)</w:t>
            </w:r>
          </w:p>
        </w:tc>
        <w:tc>
          <w:tcPr>
            <w:tcW w:w="0" w:type="auto"/>
            <w:shd w:val="clear" w:color="auto" w:fill="CCEEFF"/>
            <w:tcMar>
              <w:top w:w="30" w:type="dxa"/>
              <w:left w:w="0" w:type="dxa"/>
              <w:bottom w:w="30" w:type="dxa"/>
              <w:right w:w="20" w:type="dxa"/>
            </w:tcMar>
            <w:vAlign w:val="bottom"/>
            <w:hideMark/>
          </w:tcPr>
          <w:p w14:paraId="722DF19D" w14:textId="77777777" w:rsidR="00000000" w:rsidRDefault="001A570A">
            <w:pPr>
              <w:jc w:val="right"/>
              <w:rPr>
                <w:rFonts w:eastAsia="Times New Roman"/>
              </w:rPr>
            </w:pPr>
          </w:p>
        </w:tc>
        <w:tc>
          <w:tcPr>
            <w:tcW w:w="0" w:type="auto"/>
            <w:vAlign w:val="center"/>
            <w:hideMark/>
          </w:tcPr>
          <w:p w14:paraId="679AF930" w14:textId="77777777" w:rsidR="00000000" w:rsidRDefault="001A570A">
            <w:pPr>
              <w:jc w:val="right"/>
              <w:rPr>
                <w:rFonts w:eastAsia="Times New Roman"/>
                <w:sz w:val="20"/>
                <w:szCs w:val="20"/>
              </w:rPr>
            </w:pPr>
          </w:p>
        </w:tc>
        <w:tc>
          <w:tcPr>
            <w:tcW w:w="0" w:type="auto"/>
            <w:vAlign w:val="center"/>
            <w:hideMark/>
          </w:tcPr>
          <w:p w14:paraId="3F5688AB" w14:textId="77777777" w:rsidR="00000000" w:rsidRDefault="001A570A">
            <w:pPr>
              <w:rPr>
                <w:rFonts w:eastAsia="Times New Roman"/>
                <w:sz w:val="20"/>
                <w:szCs w:val="20"/>
              </w:rPr>
            </w:pPr>
          </w:p>
        </w:tc>
      </w:tr>
      <w:tr w:rsidR="00000000" w14:paraId="4F8FEA91" w14:textId="77777777">
        <w:trPr>
          <w:divId w:val="666515570"/>
        </w:trPr>
        <w:tc>
          <w:tcPr>
            <w:tcW w:w="0" w:type="auto"/>
            <w:gridSpan w:val="3"/>
            <w:shd w:val="clear" w:color="auto" w:fill="FFFFFF"/>
            <w:tcMar>
              <w:top w:w="30" w:type="dxa"/>
              <w:left w:w="155" w:type="dxa"/>
              <w:bottom w:w="30" w:type="dxa"/>
              <w:right w:w="20" w:type="dxa"/>
            </w:tcMar>
            <w:hideMark/>
          </w:tcPr>
          <w:p w14:paraId="443B0360" w14:textId="77777777" w:rsidR="00000000" w:rsidRDefault="001A570A">
            <w:pPr>
              <w:rPr>
                <w:rFonts w:eastAsia="Times New Roman"/>
              </w:rPr>
            </w:pPr>
            <w:r>
              <w:rPr>
                <w:rFonts w:eastAsia="Times New Roman"/>
                <w:color w:val="00000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14:paraId="26FD4BC6" w14:textId="77777777" w:rsidR="00000000" w:rsidRDefault="001A570A">
            <w:pPr>
              <w:jc w:val="right"/>
              <w:rPr>
                <w:rFonts w:eastAsia="Times New Roman"/>
              </w:rPr>
            </w:pPr>
            <w:r>
              <w:rPr>
                <w:rFonts w:eastAsia="Times New Roman"/>
                <w:color w:val="000000"/>
                <w:sz w:val="20"/>
                <w:szCs w:val="20"/>
              </w:rPr>
              <w:t>(182)</w:t>
            </w:r>
          </w:p>
        </w:tc>
        <w:tc>
          <w:tcPr>
            <w:tcW w:w="0" w:type="auto"/>
            <w:shd w:val="clear" w:color="auto" w:fill="FFFFFF"/>
            <w:tcMar>
              <w:top w:w="30" w:type="dxa"/>
              <w:left w:w="0" w:type="dxa"/>
              <w:bottom w:w="30" w:type="dxa"/>
              <w:right w:w="20" w:type="dxa"/>
            </w:tcMar>
            <w:vAlign w:val="bottom"/>
            <w:hideMark/>
          </w:tcPr>
          <w:p w14:paraId="5E50B2D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A8A2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2A0AF" w14:textId="77777777" w:rsidR="00000000" w:rsidRDefault="001A570A">
            <w:pPr>
              <w:jc w:val="right"/>
              <w:rPr>
                <w:rFonts w:eastAsia="Times New Roman"/>
              </w:rPr>
            </w:pPr>
            <w:r>
              <w:rPr>
                <w:rFonts w:eastAsia="Times New Roman"/>
                <w:color w:val="000000"/>
                <w:sz w:val="20"/>
                <w:szCs w:val="20"/>
              </w:rPr>
              <w:t>(196)</w:t>
            </w:r>
          </w:p>
        </w:tc>
        <w:tc>
          <w:tcPr>
            <w:tcW w:w="0" w:type="auto"/>
            <w:shd w:val="clear" w:color="auto" w:fill="FFFFFF"/>
            <w:tcMar>
              <w:top w:w="30" w:type="dxa"/>
              <w:left w:w="0" w:type="dxa"/>
              <w:bottom w:w="30" w:type="dxa"/>
              <w:right w:w="20" w:type="dxa"/>
            </w:tcMar>
            <w:vAlign w:val="bottom"/>
            <w:hideMark/>
          </w:tcPr>
          <w:p w14:paraId="1D9B1AFD" w14:textId="77777777" w:rsidR="00000000" w:rsidRDefault="001A570A">
            <w:pPr>
              <w:jc w:val="right"/>
              <w:rPr>
                <w:rFonts w:eastAsia="Times New Roman"/>
              </w:rPr>
            </w:pPr>
          </w:p>
        </w:tc>
        <w:tc>
          <w:tcPr>
            <w:tcW w:w="0" w:type="auto"/>
            <w:vAlign w:val="center"/>
            <w:hideMark/>
          </w:tcPr>
          <w:p w14:paraId="62672557" w14:textId="77777777" w:rsidR="00000000" w:rsidRDefault="001A570A">
            <w:pPr>
              <w:jc w:val="right"/>
              <w:rPr>
                <w:rFonts w:eastAsia="Times New Roman"/>
                <w:sz w:val="20"/>
                <w:szCs w:val="20"/>
              </w:rPr>
            </w:pPr>
          </w:p>
        </w:tc>
        <w:tc>
          <w:tcPr>
            <w:tcW w:w="0" w:type="auto"/>
            <w:vAlign w:val="center"/>
            <w:hideMark/>
          </w:tcPr>
          <w:p w14:paraId="2A1054BF" w14:textId="77777777" w:rsidR="00000000" w:rsidRDefault="001A570A">
            <w:pPr>
              <w:rPr>
                <w:rFonts w:eastAsia="Times New Roman"/>
                <w:sz w:val="20"/>
                <w:szCs w:val="20"/>
              </w:rPr>
            </w:pPr>
          </w:p>
        </w:tc>
      </w:tr>
      <w:tr w:rsidR="00000000" w14:paraId="5BFE677D" w14:textId="77777777">
        <w:trPr>
          <w:divId w:val="666515570"/>
        </w:trPr>
        <w:tc>
          <w:tcPr>
            <w:tcW w:w="0" w:type="auto"/>
            <w:gridSpan w:val="3"/>
            <w:shd w:val="clear" w:color="auto" w:fill="CCEEFF"/>
            <w:tcMar>
              <w:top w:w="30" w:type="dxa"/>
              <w:left w:w="155" w:type="dxa"/>
              <w:bottom w:w="30" w:type="dxa"/>
              <w:right w:w="20" w:type="dxa"/>
            </w:tcMar>
            <w:hideMark/>
          </w:tcPr>
          <w:p w14:paraId="5F26ABF1" w14:textId="77777777" w:rsidR="00000000" w:rsidRDefault="001A570A">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99F32A3" w14:textId="77777777" w:rsidR="00000000" w:rsidRDefault="001A570A">
            <w:pPr>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14:paraId="1B667B3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2E62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4E7FF" w14:textId="77777777" w:rsidR="00000000" w:rsidRDefault="001A570A">
            <w:pPr>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14:paraId="7E94FC72" w14:textId="77777777" w:rsidR="00000000" w:rsidRDefault="001A570A">
            <w:pPr>
              <w:jc w:val="right"/>
              <w:rPr>
                <w:rFonts w:eastAsia="Times New Roman"/>
              </w:rPr>
            </w:pPr>
          </w:p>
        </w:tc>
        <w:tc>
          <w:tcPr>
            <w:tcW w:w="0" w:type="auto"/>
            <w:vAlign w:val="center"/>
            <w:hideMark/>
          </w:tcPr>
          <w:p w14:paraId="34A5A750" w14:textId="77777777" w:rsidR="00000000" w:rsidRDefault="001A570A">
            <w:pPr>
              <w:jc w:val="right"/>
              <w:rPr>
                <w:rFonts w:eastAsia="Times New Roman"/>
                <w:sz w:val="20"/>
                <w:szCs w:val="20"/>
              </w:rPr>
            </w:pPr>
          </w:p>
        </w:tc>
        <w:tc>
          <w:tcPr>
            <w:tcW w:w="0" w:type="auto"/>
            <w:vAlign w:val="center"/>
            <w:hideMark/>
          </w:tcPr>
          <w:p w14:paraId="52107251" w14:textId="77777777" w:rsidR="00000000" w:rsidRDefault="001A570A">
            <w:pPr>
              <w:rPr>
                <w:rFonts w:eastAsia="Times New Roman"/>
                <w:sz w:val="20"/>
                <w:szCs w:val="20"/>
              </w:rPr>
            </w:pPr>
          </w:p>
        </w:tc>
      </w:tr>
      <w:tr w:rsidR="00000000" w14:paraId="4EDBA8C1" w14:textId="77777777">
        <w:trPr>
          <w:divId w:val="666515570"/>
        </w:trPr>
        <w:tc>
          <w:tcPr>
            <w:tcW w:w="0" w:type="auto"/>
            <w:gridSpan w:val="3"/>
            <w:vAlign w:val="center"/>
            <w:hideMark/>
          </w:tcPr>
          <w:p w14:paraId="49D50CFD" w14:textId="77777777" w:rsidR="00000000" w:rsidRDefault="001A570A">
            <w:pPr>
              <w:rPr>
                <w:rFonts w:eastAsia="Times New Roman"/>
                <w:sz w:val="20"/>
                <w:szCs w:val="20"/>
              </w:rPr>
            </w:pPr>
          </w:p>
        </w:tc>
        <w:tc>
          <w:tcPr>
            <w:tcW w:w="0" w:type="auto"/>
            <w:gridSpan w:val="3"/>
            <w:vAlign w:val="center"/>
            <w:hideMark/>
          </w:tcPr>
          <w:p w14:paraId="0D6012F1" w14:textId="77777777" w:rsidR="00000000" w:rsidRDefault="001A570A">
            <w:pPr>
              <w:rPr>
                <w:rFonts w:eastAsia="Times New Roman"/>
                <w:sz w:val="20"/>
                <w:szCs w:val="20"/>
              </w:rPr>
            </w:pPr>
          </w:p>
        </w:tc>
        <w:tc>
          <w:tcPr>
            <w:tcW w:w="0" w:type="auto"/>
            <w:gridSpan w:val="3"/>
            <w:vAlign w:val="center"/>
            <w:hideMark/>
          </w:tcPr>
          <w:p w14:paraId="39C3508A" w14:textId="77777777" w:rsidR="00000000" w:rsidRDefault="001A570A">
            <w:pPr>
              <w:rPr>
                <w:rFonts w:eastAsia="Times New Roman"/>
                <w:sz w:val="20"/>
                <w:szCs w:val="20"/>
              </w:rPr>
            </w:pPr>
          </w:p>
        </w:tc>
        <w:tc>
          <w:tcPr>
            <w:tcW w:w="0" w:type="auto"/>
            <w:gridSpan w:val="3"/>
            <w:vAlign w:val="center"/>
            <w:hideMark/>
          </w:tcPr>
          <w:p w14:paraId="14F57F53" w14:textId="77777777" w:rsidR="00000000" w:rsidRDefault="001A570A">
            <w:pPr>
              <w:rPr>
                <w:rFonts w:eastAsia="Times New Roman"/>
                <w:sz w:val="20"/>
                <w:szCs w:val="20"/>
              </w:rPr>
            </w:pPr>
          </w:p>
        </w:tc>
        <w:tc>
          <w:tcPr>
            <w:tcW w:w="0" w:type="auto"/>
            <w:vAlign w:val="center"/>
            <w:hideMark/>
          </w:tcPr>
          <w:p w14:paraId="292247AE" w14:textId="77777777" w:rsidR="00000000" w:rsidRDefault="001A570A">
            <w:pPr>
              <w:rPr>
                <w:rFonts w:eastAsia="Times New Roman"/>
                <w:sz w:val="20"/>
                <w:szCs w:val="20"/>
              </w:rPr>
            </w:pPr>
          </w:p>
        </w:tc>
        <w:tc>
          <w:tcPr>
            <w:tcW w:w="0" w:type="auto"/>
            <w:vAlign w:val="center"/>
            <w:hideMark/>
          </w:tcPr>
          <w:p w14:paraId="23249E5A" w14:textId="77777777" w:rsidR="00000000" w:rsidRDefault="001A570A">
            <w:pPr>
              <w:rPr>
                <w:rFonts w:eastAsia="Times New Roman"/>
                <w:sz w:val="20"/>
                <w:szCs w:val="20"/>
              </w:rPr>
            </w:pPr>
          </w:p>
        </w:tc>
      </w:tr>
      <w:tr w:rsidR="00000000" w14:paraId="38662DBB" w14:textId="77777777">
        <w:trPr>
          <w:divId w:val="666515570"/>
        </w:trPr>
        <w:tc>
          <w:tcPr>
            <w:tcW w:w="0" w:type="auto"/>
            <w:gridSpan w:val="3"/>
            <w:shd w:val="clear" w:color="auto" w:fill="FFFFFF"/>
            <w:tcMar>
              <w:top w:w="30" w:type="dxa"/>
              <w:left w:w="20" w:type="dxa"/>
              <w:bottom w:w="30" w:type="dxa"/>
              <w:right w:w="20" w:type="dxa"/>
            </w:tcMar>
            <w:hideMark/>
          </w:tcPr>
          <w:p w14:paraId="5BE5C795" w14:textId="77777777" w:rsidR="00000000" w:rsidRDefault="001A570A">
            <w:pPr>
              <w:rPr>
                <w:rFonts w:eastAsia="Times New Roman"/>
              </w:rPr>
            </w:pPr>
            <w:r>
              <w:rPr>
                <w:rFonts w:eastAsia="Times New Roman"/>
                <w:color w:val="000000"/>
                <w:sz w:val="20"/>
                <w:szCs w:val="20"/>
              </w:rPr>
              <w:t>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26864F" w14:textId="77777777" w:rsidR="00000000" w:rsidRDefault="001A570A">
            <w:pPr>
              <w:jc w:val="right"/>
              <w:rPr>
                <w:rFonts w:eastAsia="Times New Roman"/>
              </w:rPr>
            </w:pPr>
            <w:r>
              <w:rPr>
                <w:rFonts w:eastAsia="Times New Roman"/>
                <w:color w:val="000000"/>
                <w:sz w:val="20"/>
                <w:szCs w:val="20"/>
              </w:rPr>
              <w:t>(2,395)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FB3CB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64021"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E71C9E" w14:textId="77777777" w:rsidR="00000000" w:rsidRDefault="001A570A">
            <w:pPr>
              <w:jc w:val="right"/>
              <w:rPr>
                <w:rFonts w:eastAsia="Times New Roman"/>
              </w:rPr>
            </w:pPr>
            <w:r>
              <w:rPr>
                <w:rFonts w:eastAsia="Times New Roman"/>
                <w:color w:val="000000"/>
                <w:sz w:val="20"/>
                <w:szCs w:val="20"/>
              </w:rPr>
              <w:t>(2,564)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4178B9" w14:textId="77777777" w:rsidR="00000000" w:rsidRDefault="001A570A">
            <w:pPr>
              <w:jc w:val="right"/>
              <w:rPr>
                <w:rFonts w:eastAsia="Times New Roman"/>
              </w:rPr>
            </w:pPr>
          </w:p>
        </w:tc>
        <w:tc>
          <w:tcPr>
            <w:tcW w:w="0" w:type="auto"/>
            <w:vAlign w:val="center"/>
            <w:hideMark/>
          </w:tcPr>
          <w:p w14:paraId="5CC101D6" w14:textId="77777777" w:rsidR="00000000" w:rsidRDefault="001A570A">
            <w:pPr>
              <w:jc w:val="right"/>
              <w:rPr>
                <w:rFonts w:eastAsia="Times New Roman"/>
                <w:sz w:val="20"/>
                <w:szCs w:val="20"/>
              </w:rPr>
            </w:pPr>
          </w:p>
        </w:tc>
        <w:tc>
          <w:tcPr>
            <w:tcW w:w="0" w:type="auto"/>
            <w:vAlign w:val="center"/>
            <w:hideMark/>
          </w:tcPr>
          <w:p w14:paraId="73705B29" w14:textId="77777777" w:rsidR="00000000" w:rsidRDefault="001A570A">
            <w:pPr>
              <w:rPr>
                <w:rFonts w:eastAsia="Times New Roman"/>
                <w:sz w:val="20"/>
                <w:szCs w:val="20"/>
              </w:rPr>
            </w:pPr>
          </w:p>
        </w:tc>
      </w:tr>
      <w:tr w:rsidR="00000000" w14:paraId="01141803" w14:textId="77777777">
        <w:trPr>
          <w:divId w:val="666515570"/>
        </w:trPr>
        <w:tc>
          <w:tcPr>
            <w:tcW w:w="0" w:type="auto"/>
            <w:gridSpan w:val="3"/>
            <w:shd w:val="clear" w:color="auto" w:fill="CCEEFF"/>
            <w:tcMar>
              <w:top w:w="30" w:type="dxa"/>
              <w:left w:w="20" w:type="dxa"/>
              <w:bottom w:w="30" w:type="dxa"/>
              <w:right w:w="20" w:type="dxa"/>
            </w:tcMar>
            <w:hideMark/>
          </w:tcPr>
          <w:p w14:paraId="42F51FE6" w14:textId="77777777" w:rsidR="00000000" w:rsidRDefault="001A570A">
            <w:pPr>
              <w:rPr>
                <w:rFonts w:eastAsia="Times New Roman"/>
              </w:rPr>
            </w:pPr>
            <w:r>
              <w:rPr>
                <w:rFonts w:eastAsia="Times New Roman"/>
                <w:color w:val="000000"/>
                <w:sz w:val="20"/>
                <w:szCs w:val="20"/>
              </w:rPr>
              <w:t>Net deferred tax assets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D5808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B0FAA3" w14:textId="77777777" w:rsidR="00000000" w:rsidRDefault="001A570A">
            <w:pPr>
              <w:jc w:val="right"/>
              <w:rPr>
                <w:rFonts w:eastAsia="Times New Roman"/>
              </w:rPr>
            </w:pPr>
            <w:r>
              <w:rPr>
                <w:rFonts w:eastAsia="Times New Roman"/>
                <w:color w:val="000000"/>
                <w:sz w:val="20"/>
                <w:szCs w:val="20"/>
              </w:rPr>
              <w:t>(1,118)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8C042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803D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08275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DB404E" w14:textId="77777777" w:rsidR="00000000" w:rsidRDefault="001A570A">
            <w:pPr>
              <w:jc w:val="right"/>
              <w:rPr>
                <w:rFonts w:eastAsia="Times New Roman"/>
              </w:rPr>
            </w:pPr>
            <w:r>
              <w:rPr>
                <w:rFonts w:eastAsia="Times New Roman"/>
                <w:color w:val="000000"/>
                <w:sz w:val="20"/>
                <w:szCs w:val="20"/>
              </w:rPr>
              <w:t>(1,379)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3EAD2D" w14:textId="77777777" w:rsidR="00000000" w:rsidRDefault="001A570A">
            <w:pPr>
              <w:jc w:val="right"/>
              <w:rPr>
                <w:rFonts w:eastAsia="Times New Roman"/>
              </w:rPr>
            </w:pPr>
          </w:p>
        </w:tc>
        <w:tc>
          <w:tcPr>
            <w:tcW w:w="0" w:type="auto"/>
            <w:vAlign w:val="center"/>
            <w:hideMark/>
          </w:tcPr>
          <w:p w14:paraId="10868412" w14:textId="77777777" w:rsidR="00000000" w:rsidRDefault="001A570A">
            <w:pPr>
              <w:jc w:val="right"/>
              <w:rPr>
                <w:rFonts w:eastAsia="Times New Roman"/>
                <w:sz w:val="20"/>
                <w:szCs w:val="20"/>
              </w:rPr>
            </w:pPr>
          </w:p>
        </w:tc>
        <w:tc>
          <w:tcPr>
            <w:tcW w:w="0" w:type="auto"/>
            <w:vAlign w:val="center"/>
            <w:hideMark/>
          </w:tcPr>
          <w:p w14:paraId="13856F86" w14:textId="77777777" w:rsidR="00000000" w:rsidRDefault="001A570A">
            <w:pPr>
              <w:rPr>
                <w:rFonts w:eastAsia="Times New Roman"/>
                <w:sz w:val="20"/>
                <w:szCs w:val="20"/>
              </w:rPr>
            </w:pPr>
          </w:p>
        </w:tc>
      </w:tr>
    </w:tbl>
    <w:p w14:paraId="7AE9E4A2" w14:textId="77777777" w:rsidR="00000000" w:rsidRDefault="001A570A">
      <w:pPr>
        <w:divId w:val="2132048449"/>
        <w:rPr>
          <w:rFonts w:eastAsia="Times New Roman"/>
        </w:rPr>
      </w:pPr>
      <w:r>
        <w:rPr>
          <w:rFonts w:eastAsia="Times New Roman"/>
          <w:color w:val="000000"/>
          <w:sz w:val="16"/>
          <w:szCs w:val="16"/>
        </w:rPr>
        <w:t>_______________</w:t>
      </w:r>
    </w:p>
    <w:p w14:paraId="79F507DF" w14:textId="77777777" w:rsidR="00000000" w:rsidRDefault="001A570A">
      <w:pPr>
        <w:ind w:hanging="360"/>
        <w:divId w:val="1158495348"/>
        <w:rPr>
          <w:rFonts w:eastAsia="Times New Roman"/>
        </w:rPr>
      </w:pPr>
      <w:r>
        <w:rPr>
          <w:rFonts w:eastAsia="Times New Roman"/>
          <w:color w:val="000000"/>
          <w:sz w:val="16"/>
          <w:szCs w:val="16"/>
        </w:rPr>
        <w:t>(1)</w:t>
      </w:r>
      <w:r>
        <w:rPr>
          <w:rFonts w:eastAsia="Times New Roman"/>
          <w:color w:val="000000"/>
          <w:sz w:val="16"/>
          <w:szCs w:val="16"/>
        </w:rPr>
        <w:t>The valuation allowance has been established to offset certain domestic and foreign deferred tax assets due to uncertainty regarding our ability to realize them in the future.</w:t>
      </w:r>
    </w:p>
    <w:p w14:paraId="483BE67B" w14:textId="77777777" w:rsidR="00000000" w:rsidRDefault="001A570A">
      <w:pPr>
        <w:ind w:firstLine="450"/>
        <w:divId w:val="1343430260"/>
        <w:rPr>
          <w:rFonts w:eastAsia="Times New Roman"/>
        </w:rPr>
      </w:pPr>
      <w:r>
        <w:rPr>
          <w:rFonts w:eastAsia="Times New Roman"/>
          <w:color w:val="000000"/>
          <w:sz w:val="20"/>
          <w:szCs w:val="20"/>
        </w:rPr>
        <w:t>Net deferred tax assets (liabilities) were classified as follows in our Consolid</w:t>
      </w:r>
      <w:r>
        <w:rPr>
          <w:rFonts w:eastAsia="Times New Roman"/>
          <w:color w:val="000000"/>
          <w:sz w:val="20"/>
          <w:szCs w:val="20"/>
        </w:rPr>
        <w:t>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9"/>
        <w:gridCol w:w="5677"/>
        <w:gridCol w:w="38"/>
        <w:gridCol w:w="120"/>
        <w:gridCol w:w="1049"/>
        <w:gridCol w:w="36"/>
        <w:gridCol w:w="36"/>
        <w:gridCol w:w="36"/>
        <w:gridCol w:w="36"/>
        <w:gridCol w:w="120"/>
        <w:gridCol w:w="1011"/>
        <w:gridCol w:w="36"/>
        <w:gridCol w:w="36"/>
        <w:gridCol w:w="36"/>
      </w:tblGrid>
      <w:tr w:rsidR="00000000" w14:paraId="45345FF6" w14:textId="77777777">
        <w:trPr>
          <w:divId w:val="1393115924"/>
        </w:trPr>
        <w:tc>
          <w:tcPr>
            <w:tcW w:w="50" w:type="pct"/>
            <w:vAlign w:val="center"/>
            <w:hideMark/>
          </w:tcPr>
          <w:p w14:paraId="3D05C8E3" w14:textId="77777777" w:rsidR="00000000" w:rsidRDefault="001A570A">
            <w:pPr>
              <w:ind w:firstLine="450"/>
              <w:rPr>
                <w:rFonts w:eastAsia="Times New Roman"/>
              </w:rPr>
            </w:pPr>
          </w:p>
        </w:tc>
        <w:tc>
          <w:tcPr>
            <w:tcW w:w="3472" w:type="pct"/>
            <w:vAlign w:val="center"/>
            <w:hideMark/>
          </w:tcPr>
          <w:p w14:paraId="21F87BE4" w14:textId="77777777" w:rsidR="00000000" w:rsidRDefault="001A570A">
            <w:pPr>
              <w:rPr>
                <w:rFonts w:eastAsia="Times New Roman"/>
                <w:sz w:val="20"/>
                <w:szCs w:val="20"/>
              </w:rPr>
            </w:pPr>
          </w:p>
        </w:tc>
        <w:tc>
          <w:tcPr>
            <w:tcW w:w="5" w:type="pct"/>
            <w:vAlign w:val="center"/>
            <w:hideMark/>
          </w:tcPr>
          <w:p w14:paraId="54B5A1FC" w14:textId="77777777" w:rsidR="00000000" w:rsidRDefault="001A570A">
            <w:pPr>
              <w:rPr>
                <w:rFonts w:eastAsia="Times New Roman"/>
                <w:sz w:val="20"/>
                <w:szCs w:val="20"/>
              </w:rPr>
            </w:pPr>
          </w:p>
        </w:tc>
        <w:tc>
          <w:tcPr>
            <w:tcW w:w="50" w:type="pct"/>
            <w:vAlign w:val="center"/>
            <w:hideMark/>
          </w:tcPr>
          <w:p w14:paraId="57141750" w14:textId="77777777" w:rsidR="00000000" w:rsidRDefault="001A570A">
            <w:pPr>
              <w:rPr>
                <w:rFonts w:eastAsia="Times New Roman"/>
                <w:sz w:val="20"/>
                <w:szCs w:val="20"/>
              </w:rPr>
            </w:pPr>
          </w:p>
        </w:tc>
        <w:tc>
          <w:tcPr>
            <w:tcW w:w="663" w:type="pct"/>
            <w:vAlign w:val="center"/>
            <w:hideMark/>
          </w:tcPr>
          <w:p w14:paraId="38CF3EF1" w14:textId="77777777" w:rsidR="00000000" w:rsidRDefault="001A570A">
            <w:pPr>
              <w:rPr>
                <w:rFonts w:eastAsia="Times New Roman"/>
                <w:sz w:val="20"/>
                <w:szCs w:val="20"/>
              </w:rPr>
            </w:pPr>
          </w:p>
        </w:tc>
        <w:tc>
          <w:tcPr>
            <w:tcW w:w="5" w:type="pct"/>
            <w:vAlign w:val="center"/>
            <w:hideMark/>
          </w:tcPr>
          <w:p w14:paraId="01AE6617" w14:textId="77777777" w:rsidR="00000000" w:rsidRDefault="001A570A">
            <w:pPr>
              <w:rPr>
                <w:rFonts w:eastAsia="Times New Roman"/>
                <w:sz w:val="20"/>
                <w:szCs w:val="20"/>
              </w:rPr>
            </w:pPr>
          </w:p>
        </w:tc>
        <w:tc>
          <w:tcPr>
            <w:tcW w:w="5" w:type="pct"/>
            <w:vAlign w:val="center"/>
            <w:hideMark/>
          </w:tcPr>
          <w:p w14:paraId="1A8F3F39" w14:textId="77777777" w:rsidR="00000000" w:rsidRDefault="001A570A">
            <w:pPr>
              <w:rPr>
                <w:rFonts w:eastAsia="Times New Roman"/>
                <w:sz w:val="20"/>
                <w:szCs w:val="20"/>
              </w:rPr>
            </w:pPr>
          </w:p>
        </w:tc>
        <w:tc>
          <w:tcPr>
            <w:tcW w:w="25" w:type="pct"/>
            <w:vAlign w:val="center"/>
            <w:hideMark/>
          </w:tcPr>
          <w:p w14:paraId="04793066" w14:textId="77777777" w:rsidR="00000000" w:rsidRDefault="001A570A">
            <w:pPr>
              <w:rPr>
                <w:rFonts w:eastAsia="Times New Roman"/>
                <w:sz w:val="20"/>
                <w:szCs w:val="20"/>
              </w:rPr>
            </w:pPr>
          </w:p>
        </w:tc>
        <w:tc>
          <w:tcPr>
            <w:tcW w:w="5" w:type="pct"/>
            <w:vAlign w:val="center"/>
            <w:hideMark/>
          </w:tcPr>
          <w:p w14:paraId="3842767F" w14:textId="77777777" w:rsidR="00000000" w:rsidRDefault="001A570A">
            <w:pPr>
              <w:rPr>
                <w:rFonts w:eastAsia="Times New Roman"/>
                <w:sz w:val="20"/>
                <w:szCs w:val="20"/>
              </w:rPr>
            </w:pPr>
          </w:p>
        </w:tc>
        <w:tc>
          <w:tcPr>
            <w:tcW w:w="50" w:type="pct"/>
            <w:vAlign w:val="center"/>
            <w:hideMark/>
          </w:tcPr>
          <w:p w14:paraId="68C8BDE0" w14:textId="77777777" w:rsidR="00000000" w:rsidRDefault="001A570A">
            <w:pPr>
              <w:rPr>
                <w:rFonts w:eastAsia="Times New Roman"/>
                <w:sz w:val="20"/>
                <w:szCs w:val="20"/>
              </w:rPr>
            </w:pPr>
          </w:p>
        </w:tc>
        <w:tc>
          <w:tcPr>
            <w:tcW w:w="663" w:type="pct"/>
            <w:vAlign w:val="center"/>
            <w:hideMark/>
          </w:tcPr>
          <w:p w14:paraId="78292F1C" w14:textId="77777777" w:rsidR="00000000" w:rsidRDefault="001A570A">
            <w:pPr>
              <w:rPr>
                <w:rFonts w:eastAsia="Times New Roman"/>
                <w:sz w:val="20"/>
                <w:szCs w:val="20"/>
              </w:rPr>
            </w:pPr>
          </w:p>
        </w:tc>
        <w:tc>
          <w:tcPr>
            <w:tcW w:w="5" w:type="pct"/>
            <w:vAlign w:val="center"/>
            <w:hideMark/>
          </w:tcPr>
          <w:p w14:paraId="5F014539" w14:textId="77777777" w:rsidR="00000000" w:rsidRDefault="001A570A">
            <w:pPr>
              <w:rPr>
                <w:rFonts w:eastAsia="Times New Roman"/>
                <w:sz w:val="20"/>
                <w:szCs w:val="20"/>
              </w:rPr>
            </w:pPr>
          </w:p>
        </w:tc>
        <w:tc>
          <w:tcPr>
            <w:tcW w:w="0" w:type="auto"/>
            <w:vAlign w:val="center"/>
            <w:hideMark/>
          </w:tcPr>
          <w:p w14:paraId="4EC985E1" w14:textId="77777777" w:rsidR="00000000" w:rsidRDefault="001A570A">
            <w:pPr>
              <w:rPr>
                <w:rFonts w:eastAsia="Times New Roman"/>
                <w:sz w:val="20"/>
                <w:szCs w:val="20"/>
              </w:rPr>
            </w:pPr>
          </w:p>
        </w:tc>
        <w:tc>
          <w:tcPr>
            <w:tcW w:w="0" w:type="auto"/>
            <w:vAlign w:val="center"/>
            <w:hideMark/>
          </w:tcPr>
          <w:p w14:paraId="2421F157" w14:textId="77777777" w:rsidR="00000000" w:rsidRDefault="001A570A">
            <w:pPr>
              <w:rPr>
                <w:rFonts w:eastAsia="Times New Roman"/>
                <w:sz w:val="20"/>
                <w:szCs w:val="20"/>
              </w:rPr>
            </w:pPr>
          </w:p>
        </w:tc>
      </w:tr>
      <w:tr w:rsidR="00000000" w14:paraId="2F7DB96B" w14:textId="77777777">
        <w:trPr>
          <w:divId w:val="1393115924"/>
        </w:trPr>
        <w:tc>
          <w:tcPr>
            <w:tcW w:w="0" w:type="auto"/>
            <w:gridSpan w:val="3"/>
            <w:tcMar>
              <w:top w:w="30" w:type="dxa"/>
              <w:left w:w="20" w:type="dxa"/>
              <w:bottom w:w="30" w:type="dxa"/>
              <w:right w:w="20" w:type="dxa"/>
            </w:tcMar>
            <w:vAlign w:val="bottom"/>
            <w:hideMark/>
          </w:tcPr>
          <w:p w14:paraId="0552338B"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3D900070"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586D9138"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E68E496"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19164721" w14:textId="77777777" w:rsidR="00000000" w:rsidRDefault="001A570A">
            <w:pPr>
              <w:jc w:val="center"/>
              <w:rPr>
                <w:rFonts w:eastAsia="Times New Roman"/>
              </w:rPr>
            </w:pPr>
          </w:p>
        </w:tc>
        <w:tc>
          <w:tcPr>
            <w:tcW w:w="0" w:type="auto"/>
            <w:vAlign w:val="center"/>
            <w:hideMark/>
          </w:tcPr>
          <w:p w14:paraId="06B3818D" w14:textId="77777777" w:rsidR="00000000" w:rsidRDefault="001A570A">
            <w:pPr>
              <w:rPr>
                <w:rFonts w:eastAsia="Times New Roman"/>
                <w:sz w:val="20"/>
                <w:szCs w:val="20"/>
              </w:rPr>
            </w:pPr>
          </w:p>
        </w:tc>
      </w:tr>
      <w:tr w:rsidR="00000000" w14:paraId="40E7711D" w14:textId="77777777">
        <w:trPr>
          <w:divId w:val="1393115924"/>
          <w:trHeight w:val="60"/>
        </w:trPr>
        <w:tc>
          <w:tcPr>
            <w:tcW w:w="0" w:type="auto"/>
            <w:gridSpan w:val="3"/>
            <w:tcMar>
              <w:top w:w="0" w:type="dxa"/>
              <w:left w:w="20" w:type="dxa"/>
              <w:bottom w:w="0" w:type="dxa"/>
              <w:right w:w="20" w:type="dxa"/>
            </w:tcMar>
            <w:vAlign w:val="center"/>
            <w:hideMark/>
          </w:tcPr>
          <w:p w14:paraId="053F046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97D42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4B2D0F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080DD6" w14:textId="77777777" w:rsidR="00000000" w:rsidRDefault="001A570A">
            <w:pPr>
              <w:rPr>
                <w:rFonts w:eastAsia="Times New Roman"/>
                <w:sz w:val="20"/>
                <w:szCs w:val="20"/>
              </w:rPr>
            </w:pPr>
          </w:p>
        </w:tc>
        <w:tc>
          <w:tcPr>
            <w:tcW w:w="0" w:type="auto"/>
            <w:vAlign w:val="center"/>
            <w:hideMark/>
          </w:tcPr>
          <w:p w14:paraId="7F07D714" w14:textId="77777777" w:rsidR="00000000" w:rsidRDefault="001A570A">
            <w:pPr>
              <w:rPr>
                <w:rFonts w:eastAsia="Times New Roman"/>
                <w:sz w:val="20"/>
                <w:szCs w:val="20"/>
              </w:rPr>
            </w:pPr>
          </w:p>
        </w:tc>
        <w:tc>
          <w:tcPr>
            <w:tcW w:w="0" w:type="auto"/>
            <w:vAlign w:val="center"/>
            <w:hideMark/>
          </w:tcPr>
          <w:p w14:paraId="6AD322B5" w14:textId="77777777" w:rsidR="00000000" w:rsidRDefault="001A570A">
            <w:pPr>
              <w:rPr>
                <w:rFonts w:eastAsia="Times New Roman"/>
                <w:sz w:val="20"/>
                <w:szCs w:val="20"/>
              </w:rPr>
            </w:pPr>
          </w:p>
        </w:tc>
      </w:tr>
      <w:tr w:rsidR="00000000" w14:paraId="5AC9B054" w14:textId="77777777">
        <w:trPr>
          <w:divId w:val="1393115924"/>
        </w:trPr>
        <w:tc>
          <w:tcPr>
            <w:tcW w:w="0" w:type="auto"/>
            <w:gridSpan w:val="3"/>
            <w:shd w:val="clear" w:color="auto" w:fill="CCEEFF"/>
            <w:tcMar>
              <w:top w:w="30" w:type="dxa"/>
              <w:left w:w="155" w:type="dxa"/>
              <w:bottom w:w="30" w:type="dxa"/>
              <w:right w:w="20" w:type="dxa"/>
            </w:tcMar>
            <w:hideMark/>
          </w:tcPr>
          <w:p w14:paraId="09EB4D04" w14:textId="77777777" w:rsidR="00000000" w:rsidRDefault="001A570A">
            <w:pPr>
              <w:rPr>
                <w:rFonts w:eastAsia="Times New Roman"/>
              </w:rPr>
            </w:pPr>
            <w:r>
              <w:rPr>
                <w:rFonts w:eastAsia="Times New Roman"/>
                <w:color w:val="000000"/>
                <w:sz w:val="20"/>
                <w:szCs w:val="20"/>
              </w:rPr>
              <w:t>Non-current deferred income tax assets</w:t>
            </w:r>
          </w:p>
        </w:tc>
        <w:tc>
          <w:tcPr>
            <w:tcW w:w="0" w:type="auto"/>
            <w:shd w:val="clear" w:color="auto" w:fill="CCEEFF"/>
            <w:tcMar>
              <w:top w:w="30" w:type="dxa"/>
              <w:left w:w="20" w:type="dxa"/>
              <w:bottom w:w="30" w:type="dxa"/>
              <w:right w:w="0" w:type="dxa"/>
            </w:tcMar>
            <w:vAlign w:val="bottom"/>
            <w:hideMark/>
          </w:tcPr>
          <w:p w14:paraId="22F64003"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027759" w14:textId="77777777" w:rsidR="00000000" w:rsidRDefault="001A570A">
            <w:pPr>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65A97D6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BC93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A3B1D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EAD4BC" w14:textId="77777777" w:rsidR="00000000" w:rsidRDefault="001A570A">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14:paraId="2FEFF049" w14:textId="77777777" w:rsidR="00000000" w:rsidRDefault="001A570A">
            <w:pPr>
              <w:jc w:val="right"/>
              <w:rPr>
                <w:rFonts w:eastAsia="Times New Roman"/>
              </w:rPr>
            </w:pPr>
          </w:p>
        </w:tc>
        <w:tc>
          <w:tcPr>
            <w:tcW w:w="0" w:type="auto"/>
            <w:vAlign w:val="center"/>
            <w:hideMark/>
          </w:tcPr>
          <w:p w14:paraId="22E1FF02" w14:textId="77777777" w:rsidR="00000000" w:rsidRDefault="001A570A">
            <w:pPr>
              <w:jc w:val="right"/>
              <w:rPr>
                <w:rFonts w:eastAsia="Times New Roman"/>
                <w:sz w:val="20"/>
                <w:szCs w:val="20"/>
              </w:rPr>
            </w:pPr>
          </w:p>
        </w:tc>
        <w:tc>
          <w:tcPr>
            <w:tcW w:w="0" w:type="auto"/>
            <w:vAlign w:val="center"/>
            <w:hideMark/>
          </w:tcPr>
          <w:p w14:paraId="5300A513" w14:textId="77777777" w:rsidR="00000000" w:rsidRDefault="001A570A">
            <w:pPr>
              <w:rPr>
                <w:rFonts w:eastAsia="Times New Roman"/>
                <w:sz w:val="20"/>
                <w:szCs w:val="20"/>
              </w:rPr>
            </w:pPr>
          </w:p>
        </w:tc>
      </w:tr>
      <w:tr w:rsidR="00000000" w14:paraId="69B44851" w14:textId="77777777">
        <w:trPr>
          <w:divId w:val="1393115924"/>
        </w:trPr>
        <w:tc>
          <w:tcPr>
            <w:tcW w:w="0" w:type="auto"/>
            <w:gridSpan w:val="3"/>
            <w:shd w:val="clear" w:color="auto" w:fill="FFFFFF"/>
            <w:tcMar>
              <w:top w:w="30" w:type="dxa"/>
              <w:left w:w="155" w:type="dxa"/>
              <w:bottom w:w="30" w:type="dxa"/>
              <w:right w:w="20" w:type="dxa"/>
            </w:tcMar>
            <w:hideMark/>
          </w:tcPr>
          <w:p w14:paraId="067E6BF9" w14:textId="77777777" w:rsidR="00000000" w:rsidRDefault="001A570A">
            <w:pPr>
              <w:rPr>
                <w:rFonts w:eastAsia="Times New Roman"/>
              </w:rPr>
            </w:pPr>
            <w:r>
              <w:rPr>
                <w:rFonts w:eastAsia="Times New Roman"/>
                <w:color w:val="000000"/>
                <w:sz w:val="20"/>
                <w:szCs w:val="20"/>
              </w:rPr>
              <w:t>Non-current deferred income tax liabilities</w:t>
            </w:r>
          </w:p>
        </w:tc>
        <w:tc>
          <w:tcPr>
            <w:tcW w:w="0" w:type="auto"/>
            <w:gridSpan w:val="2"/>
            <w:shd w:val="clear" w:color="auto" w:fill="FFFFFF"/>
            <w:tcMar>
              <w:top w:w="30" w:type="dxa"/>
              <w:left w:w="20" w:type="dxa"/>
              <w:bottom w:w="30" w:type="dxa"/>
              <w:right w:w="0" w:type="dxa"/>
            </w:tcMar>
            <w:vAlign w:val="bottom"/>
            <w:hideMark/>
          </w:tcPr>
          <w:p w14:paraId="3B00E0B0" w14:textId="77777777" w:rsidR="00000000" w:rsidRDefault="001A570A">
            <w:pPr>
              <w:jc w:val="right"/>
              <w:rPr>
                <w:rFonts w:eastAsia="Times New Roman"/>
              </w:rPr>
            </w:pPr>
            <w:r>
              <w:rPr>
                <w:rFonts w:eastAsia="Times New Roman"/>
                <w:color w:val="000000"/>
                <w:sz w:val="20"/>
                <w:szCs w:val="20"/>
              </w:rPr>
              <w:t>(1,237)</w:t>
            </w:r>
          </w:p>
        </w:tc>
        <w:tc>
          <w:tcPr>
            <w:tcW w:w="0" w:type="auto"/>
            <w:shd w:val="clear" w:color="auto" w:fill="FFFFFF"/>
            <w:tcMar>
              <w:top w:w="30" w:type="dxa"/>
              <w:left w:w="0" w:type="dxa"/>
              <w:bottom w:w="30" w:type="dxa"/>
              <w:right w:w="20" w:type="dxa"/>
            </w:tcMar>
            <w:vAlign w:val="bottom"/>
            <w:hideMark/>
          </w:tcPr>
          <w:p w14:paraId="2BB880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1C4C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7FC30" w14:textId="77777777" w:rsidR="00000000" w:rsidRDefault="001A570A">
            <w:pPr>
              <w:jc w:val="right"/>
              <w:rPr>
                <w:rFonts w:eastAsia="Times New Roman"/>
              </w:rPr>
            </w:pPr>
            <w:r>
              <w:rPr>
                <w:rFonts w:eastAsia="Times New Roman"/>
                <w:color w:val="000000"/>
                <w:sz w:val="20"/>
                <w:szCs w:val="20"/>
              </w:rPr>
              <w:t>(1,481)</w:t>
            </w:r>
          </w:p>
        </w:tc>
        <w:tc>
          <w:tcPr>
            <w:tcW w:w="0" w:type="auto"/>
            <w:shd w:val="clear" w:color="auto" w:fill="FFFFFF"/>
            <w:tcMar>
              <w:top w:w="30" w:type="dxa"/>
              <w:left w:w="0" w:type="dxa"/>
              <w:bottom w:w="30" w:type="dxa"/>
              <w:right w:w="20" w:type="dxa"/>
            </w:tcMar>
            <w:vAlign w:val="bottom"/>
            <w:hideMark/>
          </w:tcPr>
          <w:p w14:paraId="1DE27FC0" w14:textId="77777777" w:rsidR="00000000" w:rsidRDefault="001A570A">
            <w:pPr>
              <w:jc w:val="right"/>
              <w:rPr>
                <w:rFonts w:eastAsia="Times New Roman"/>
              </w:rPr>
            </w:pPr>
          </w:p>
        </w:tc>
        <w:tc>
          <w:tcPr>
            <w:tcW w:w="0" w:type="auto"/>
            <w:vAlign w:val="center"/>
            <w:hideMark/>
          </w:tcPr>
          <w:p w14:paraId="154BB913" w14:textId="77777777" w:rsidR="00000000" w:rsidRDefault="001A570A">
            <w:pPr>
              <w:jc w:val="right"/>
              <w:rPr>
                <w:rFonts w:eastAsia="Times New Roman"/>
                <w:sz w:val="20"/>
                <w:szCs w:val="20"/>
              </w:rPr>
            </w:pPr>
          </w:p>
        </w:tc>
        <w:tc>
          <w:tcPr>
            <w:tcW w:w="0" w:type="auto"/>
            <w:vAlign w:val="center"/>
            <w:hideMark/>
          </w:tcPr>
          <w:p w14:paraId="1507DCF4" w14:textId="77777777" w:rsidR="00000000" w:rsidRDefault="001A570A">
            <w:pPr>
              <w:rPr>
                <w:rFonts w:eastAsia="Times New Roman"/>
                <w:sz w:val="20"/>
                <w:szCs w:val="20"/>
              </w:rPr>
            </w:pPr>
          </w:p>
        </w:tc>
      </w:tr>
      <w:tr w:rsidR="00000000" w14:paraId="42902816" w14:textId="77777777">
        <w:trPr>
          <w:divId w:val="1393115924"/>
        </w:trPr>
        <w:tc>
          <w:tcPr>
            <w:tcW w:w="0" w:type="auto"/>
            <w:gridSpan w:val="3"/>
            <w:shd w:val="clear" w:color="auto" w:fill="CCEEFF"/>
            <w:tcMar>
              <w:top w:w="0" w:type="dxa"/>
              <w:left w:w="20" w:type="dxa"/>
              <w:bottom w:w="0" w:type="dxa"/>
              <w:right w:w="20" w:type="dxa"/>
            </w:tcMar>
            <w:vAlign w:val="center"/>
            <w:hideMark/>
          </w:tcPr>
          <w:p w14:paraId="444736CC"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0E151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4CCDAD" w14:textId="77777777" w:rsidR="00000000" w:rsidRDefault="001A570A">
            <w:pPr>
              <w:jc w:val="right"/>
              <w:rPr>
                <w:rFonts w:eastAsia="Times New Roman"/>
              </w:rPr>
            </w:pPr>
            <w:r>
              <w:rPr>
                <w:rFonts w:eastAsia="Times New Roman"/>
                <w:color w:val="000000"/>
                <w:sz w:val="20"/>
                <w:szCs w:val="20"/>
              </w:rPr>
              <w:t>(1,118)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7B657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FD36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8EF6F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A4E03C" w14:textId="77777777" w:rsidR="00000000" w:rsidRDefault="001A570A">
            <w:pPr>
              <w:jc w:val="right"/>
              <w:rPr>
                <w:rFonts w:eastAsia="Times New Roman"/>
              </w:rPr>
            </w:pPr>
            <w:r>
              <w:rPr>
                <w:rFonts w:eastAsia="Times New Roman"/>
                <w:color w:val="000000"/>
                <w:sz w:val="20"/>
                <w:szCs w:val="20"/>
              </w:rPr>
              <w:t>(1,379)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3B1F5D" w14:textId="77777777" w:rsidR="00000000" w:rsidRDefault="001A570A">
            <w:pPr>
              <w:jc w:val="right"/>
              <w:rPr>
                <w:rFonts w:eastAsia="Times New Roman"/>
              </w:rPr>
            </w:pPr>
          </w:p>
        </w:tc>
        <w:tc>
          <w:tcPr>
            <w:tcW w:w="0" w:type="auto"/>
            <w:vAlign w:val="center"/>
            <w:hideMark/>
          </w:tcPr>
          <w:p w14:paraId="242EE3CA" w14:textId="77777777" w:rsidR="00000000" w:rsidRDefault="001A570A">
            <w:pPr>
              <w:jc w:val="right"/>
              <w:rPr>
                <w:rFonts w:eastAsia="Times New Roman"/>
                <w:sz w:val="20"/>
                <w:szCs w:val="20"/>
              </w:rPr>
            </w:pPr>
          </w:p>
        </w:tc>
        <w:tc>
          <w:tcPr>
            <w:tcW w:w="0" w:type="auto"/>
            <w:vAlign w:val="center"/>
            <w:hideMark/>
          </w:tcPr>
          <w:p w14:paraId="35E58E48" w14:textId="77777777" w:rsidR="00000000" w:rsidRDefault="001A570A">
            <w:pPr>
              <w:rPr>
                <w:rFonts w:eastAsia="Times New Roman"/>
                <w:sz w:val="20"/>
                <w:szCs w:val="20"/>
              </w:rPr>
            </w:pPr>
          </w:p>
        </w:tc>
      </w:tr>
    </w:tbl>
    <w:p w14:paraId="2F5EBC38" w14:textId="77777777" w:rsidR="00000000" w:rsidRDefault="001A570A">
      <w:pPr>
        <w:ind w:firstLine="450"/>
        <w:jc w:val="center"/>
        <w:divId w:val="1863787721"/>
        <w:rPr>
          <w:rFonts w:eastAsia="Times New Roman"/>
        </w:rPr>
      </w:pPr>
      <w:r>
        <w:rPr>
          <w:rFonts w:eastAsia="Times New Roman"/>
          <w:color w:val="000000"/>
          <w:sz w:val="20"/>
          <w:szCs w:val="20"/>
        </w:rPr>
        <w:t>122</w:t>
      </w:r>
    </w:p>
    <w:p w14:paraId="60677D38" w14:textId="77777777" w:rsidR="00000000" w:rsidRDefault="001A570A">
      <w:pPr>
        <w:rPr>
          <w:rFonts w:eastAsia="Times New Roman"/>
        </w:rPr>
      </w:pPr>
      <w:r>
        <w:rPr>
          <w:rFonts w:eastAsia="Times New Roman"/>
        </w:rPr>
        <w:pict w14:anchorId="2BC89218">
          <v:rect id="_x0000_i1150" style="width:0;height:1.5pt" o:hralign="center" o:hrstd="t" o:hr="t" fillcolor="#a0a0a0" stroked="f"/>
        </w:pict>
      </w:r>
    </w:p>
    <w:p w14:paraId="7D3BB51E" w14:textId="77777777" w:rsidR="00000000" w:rsidRDefault="001A570A">
      <w:pPr>
        <w:ind w:firstLine="450"/>
        <w:divId w:val="1735084825"/>
        <w:rPr>
          <w:rFonts w:eastAsia="Times New Roman"/>
        </w:rPr>
      </w:pPr>
    </w:p>
    <w:p w14:paraId="76A02FB0" w14:textId="77777777" w:rsidR="00000000" w:rsidRDefault="001A570A">
      <w:pPr>
        <w:ind w:firstLine="450"/>
        <w:divId w:val="828059092"/>
        <w:rPr>
          <w:rFonts w:eastAsia="Times New Roman"/>
        </w:rPr>
      </w:pPr>
      <w:r>
        <w:rPr>
          <w:rFonts w:eastAsia="Times New Roman"/>
          <w:color w:val="000000"/>
          <w:sz w:val="20"/>
          <w:szCs w:val="20"/>
        </w:rPr>
        <w:t>Tax loss and credit carryforwards at January 1, 2021 have expiration dates ranging from less than one year and no expiration in certain instances. The tax-effected amounts of federal, international, and state and local</w:t>
      </w:r>
      <w:r>
        <w:rPr>
          <w:rFonts w:eastAsia="Times New Roman"/>
          <w:color w:val="000000"/>
          <w:sz w:val="20"/>
          <w:szCs w:val="20"/>
        </w:rPr>
        <w:t xml:space="preserve"> operating loss carryforwards at January 1, 2021 were $7 million, $43 million and $15 million, respectively. The tax-effected amounts of federal, international, and state and local capital loss carryforwards were not material at January 1, 2021. The amount</w:t>
      </w:r>
      <w:r>
        <w:rPr>
          <w:rFonts w:eastAsia="Times New Roman"/>
          <w:color w:val="000000"/>
          <w:sz w:val="20"/>
          <w:szCs w:val="20"/>
        </w:rPr>
        <w:t>s of federal, international, and state and local credit carryforwards at January 1, 2021 were $6 million, $10 million and $81 million, respectively.</w:t>
      </w:r>
    </w:p>
    <w:p w14:paraId="7A527370" w14:textId="77777777" w:rsidR="00000000" w:rsidRDefault="001A570A">
      <w:pPr>
        <w:ind w:firstLine="450"/>
        <w:divId w:val="1167139169"/>
        <w:rPr>
          <w:rFonts w:eastAsia="Times New Roman"/>
        </w:rPr>
      </w:pPr>
      <w:r>
        <w:rPr>
          <w:rFonts w:eastAsia="Times New Roman"/>
          <w:color w:val="000000"/>
          <w:sz w:val="20"/>
          <w:szCs w:val="20"/>
        </w:rPr>
        <w:t>Loss from continuing operations before income taxes of international subsidiaries was $101 million in fiscal 2020 and income from continuing operations before income taxes of international subsidiaries was $96 million, $37 million and $43 million in the tw</w:t>
      </w:r>
      <w:r>
        <w:rPr>
          <w:rFonts w:eastAsia="Times New Roman"/>
          <w:color w:val="000000"/>
          <w:sz w:val="20"/>
          <w:szCs w:val="20"/>
        </w:rPr>
        <w:t>o quarters ended January 3, 2020, and in fiscal 2019 and 2018, respectively. We paid $394 million in income taxes, net of refunds received, in fiscal 2020; received $8 million in income tax refunds, net of income taxes paid, in the two quarters ended Janua</w:t>
      </w:r>
      <w:r>
        <w:rPr>
          <w:rFonts w:eastAsia="Times New Roman"/>
          <w:color w:val="000000"/>
          <w:sz w:val="20"/>
          <w:szCs w:val="20"/>
        </w:rPr>
        <w:t xml:space="preserve">ry 3, 2020; paid $137 million in income taxes, net of refunds received, in fiscal 2019; and received $8 million in income tax refunds, net of income taxes paid, in fiscal 2018. </w:t>
      </w:r>
    </w:p>
    <w:p w14:paraId="48237D4F" w14:textId="77777777" w:rsidR="00000000" w:rsidRDefault="001A570A">
      <w:pPr>
        <w:divId w:val="583609119"/>
        <w:rPr>
          <w:rFonts w:eastAsia="Times New Roman"/>
        </w:rPr>
      </w:pPr>
      <w:r>
        <w:rPr>
          <w:rFonts w:eastAsia="Times New Roman"/>
          <w:b/>
          <w:bCs/>
          <w:color w:val="000000"/>
          <w:sz w:val="20"/>
          <w:szCs w:val="20"/>
        </w:rPr>
        <w:t>Tax Uncertainties</w:t>
      </w:r>
    </w:p>
    <w:p w14:paraId="148B0FA7" w14:textId="77777777" w:rsidR="00000000" w:rsidRDefault="001A570A">
      <w:pPr>
        <w:ind w:firstLine="450"/>
        <w:divId w:val="1289894479"/>
        <w:rPr>
          <w:rFonts w:eastAsia="Times New Roman"/>
        </w:rPr>
      </w:pPr>
      <w:r>
        <w:rPr>
          <w:rFonts w:eastAsia="Times New Roman"/>
          <w:color w:val="000000"/>
          <w:sz w:val="20"/>
          <w:szCs w:val="20"/>
        </w:rPr>
        <w:t>A reconciliation of the beginning and ending amounts of unre</w:t>
      </w:r>
      <w:r>
        <w:rPr>
          <w:rFonts w:eastAsia="Times New Roman"/>
          <w:color w:val="000000"/>
          <w:sz w:val="20"/>
          <w:szCs w:val="20"/>
        </w:rPr>
        <w:t>cognized tax benefits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8"/>
        <w:gridCol w:w="121"/>
        <w:gridCol w:w="896"/>
        <w:gridCol w:w="37"/>
        <w:gridCol w:w="36"/>
        <w:gridCol w:w="36"/>
        <w:gridCol w:w="36"/>
        <w:gridCol w:w="121"/>
        <w:gridCol w:w="851"/>
        <w:gridCol w:w="36"/>
        <w:gridCol w:w="36"/>
        <w:gridCol w:w="36"/>
        <w:gridCol w:w="36"/>
        <w:gridCol w:w="120"/>
        <w:gridCol w:w="852"/>
        <w:gridCol w:w="36"/>
        <w:gridCol w:w="36"/>
        <w:gridCol w:w="36"/>
        <w:gridCol w:w="36"/>
        <w:gridCol w:w="120"/>
        <w:gridCol w:w="853"/>
        <w:gridCol w:w="36"/>
      </w:tblGrid>
      <w:tr w:rsidR="00000000" w14:paraId="5637B1FB" w14:textId="77777777">
        <w:trPr>
          <w:divId w:val="1774084307"/>
        </w:trPr>
        <w:tc>
          <w:tcPr>
            <w:tcW w:w="50" w:type="pct"/>
            <w:vAlign w:val="center"/>
            <w:hideMark/>
          </w:tcPr>
          <w:p w14:paraId="35E425E0" w14:textId="77777777" w:rsidR="00000000" w:rsidRDefault="001A570A">
            <w:pPr>
              <w:ind w:firstLine="450"/>
              <w:rPr>
                <w:rFonts w:eastAsia="Times New Roman"/>
              </w:rPr>
            </w:pPr>
          </w:p>
        </w:tc>
        <w:tc>
          <w:tcPr>
            <w:tcW w:w="2337" w:type="pct"/>
            <w:vAlign w:val="center"/>
            <w:hideMark/>
          </w:tcPr>
          <w:p w14:paraId="0C8DE2A9" w14:textId="77777777" w:rsidR="00000000" w:rsidRDefault="001A570A">
            <w:pPr>
              <w:rPr>
                <w:rFonts w:eastAsia="Times New Roman"/>
                <w:sz w:val="20"/>
                <w:szCs w:val="20"/>
              </w:rPr>
            </w:pPr>
          </w:p>
        </w:tc>
        <w:tc>
          <w:tcPr>
            <w:tcW w:w="5" w:type="pct"/>
            <w:vAlign w:val="center"/>
            <w:hideMark/>
          </w:tcPr>
          <w:p w14:paraId="3A3D3088" w14:textId="77777777" w:rsidR="00000000" w:rsidRDefault="001A570A">
            <w:pPr>
              <w:rPr>
                <w:rFonts w:eastAsia="Times New Roman"/>
                <w:sz w:val="20"/>
                <w:szCs w:val="20"/>
              </w:rPr>
            </w:pPr>
          </w:p>
        </w:tc>
        <w:tc>
          <w:tcPr>
            <w:tcW w:w="50" w:type="pct"/>
            <w:vAlign w:val="center"/>
            <w:hideMark/>
          </w:tcPr>
          <w:p w14:paraId="587BA1A7" w14:textId="77777777" w:rsidR="00000000" w:rsidRDefault="001A570A">
            <w:pPr>
              <w:rPr>
                <w:rFonts w:eastAsia="Times New Roman"/>
                <w:sz w:val="20"/>
                <w:szCs w:val="20"/>
              </w:rPr>
            </w:pPr>
          </w:p>
        </w:tc>
        <w:tc>
          <w:tcPr>
            <w:tcW w:w="570" w:type="pct"/>
            <w:vAlign w:val="center"/>
            <w:hideMark/>
          </w:tcPr>
          <w:p w14:paraId="19F5721D" w14:textId="77777777" w:rsidR="00000000" w:rsidRDefault="001A570A">
            <w:pPr>
              <w:rPr>
                <w:rFonts w:eastAsia="Times New Roman"/>
                <w:sz w:val="20"/>
                <w:szCs w:val="20"/>
              </w:rPr>
            </w:pPr>
          </w:p>
        </w:tc>
        <w:tc>
          <w:tcPr>
            <w:tcW w:w="5" w:type="pct"/>
            <w:vAlign w:val="center"/>
            <w:hideMark/>
          </w:tcPr>
          <w:p w14:paraId="78279255" w14:textId="77777777" w:rsidR="00000000" w:rsidRDefault="001A570A">
            <w:pPr>
              <w:rPr>
                <w:rFonts w:eastAsia="Times New Roman"/>
                <w:sz w:val="20"/>
                <w:szCs w:val="20"/>
              </w:rPr>
            </w:pPr>
          </w:p>
        </w:tc>
        <w:tc>
          <w:tcPr>
            <w:tcW w:w="5" w:type="pct"/>
            <w:vAlign w:val="center"/>
            <w:hideMark/>
          </w:tcPr>
          <w:p w14:paraId="2125B1E1" w14:textId="77777777" w:rsidR="00000000" w:rsidRDefault="001A570A">
            <w:pPr>
              <w:rPr>
                <w:rFonts w:eastAsia="Times New Roman"/>
                <w:sz w:val="20"/>
                <w:szCs w:val="20"/>
              </w:rPr>
            </w:pPr>
          </w:p>
        </w:tc>
        <w:tc>
          <w:tcPr>
            <w:tcW w:w="25" w:type="pct"/>
            <w:vAlign w:val="center"/>
            <w:hideMark/>
          </w:tcPr>
          <w:p w14:paraId="3E25C6E7" w14:textId="77777777" w:rsidR="00000000" w:rsidRDefault="001A570A">
            <w:pPr>
              <w:rPr>
                <w:rFonts w:eastAsia="Times New Roman"/>
                <w:sz w:val="20"/>
                <w:szCs w:val="20"/>
              </w:rPr>
            </w:pPr>
          </w:p>
        </w:tc>
        <w:tc>
          <w:tcPr>
            <w:tcW w:w="5" w:type="pct"/>
            <w:vAlign w:val="center"/>
            <w:hideMark/>
          </w:tcPr>
          <w:p w14:paraId="4A4C4E4E" w14:textId="77777777" w:rsidR="00000000" w:rsidRDefault="001A570A">
            <w:pPr>
              <w:rPr>
                <w:rFonts w:eastAsia="Times New Roman"/>
                <w:sz w:val="20"/>
                <w:szCs w:val="20"/>
              </w:rPr>
            </w:pPr>
          </w:p>
        </w:tc>
        <w:tc>
          <w:tcPr>
            <w:tcW w:w="50" w:type="pct"/>
            <w:vAlign w:val="center"/>
            <w:hideMark/>
          </w:tcPr>
          <w:p w14:paraId="6C64DDA0" w14:textId="77777777" w:rsidR="00000000" w:rsidRDefault="001A570A">
            <w:pPr>
              <w:rPr>
                <w:rFonts w:eastAsia="Times New Roman"/>
                <w:sz w:val="20"/>
                <w:szCs w:val="20"/>
              </w:rPr>
            </w:pPr>
          </w:p>
        </w:tc>
        <w:tc>
          <w:tcPr>
            <w:tcW w:w="570" w:type="pct"/>
            <w:vAlign w:val="center"/>
            <w:hideMark/>
          </w:tcPr>
          <w:p w14:paraId="7497346A" w14:textId="77777777" w:rsidR="00000000" w:rsidRDefault="001A570A">
            <w:pPr>
              <w:rPr>
                <w:rFonts w:eastAsia="Times New Roman"/>
                <w:sz w:val="20"/>
                <w:szCs w:val="20"/>
              </w:rPr>
            </w:pPr>
          </w:p>
        </w:tc>
        <w:tc>
          <w:tcPr>
            <w:tcW w:w="5" w:type="pct"/>
            <w:vAlign w:val="center"/>
            <w:hideMark/>
          </w:tcPr>
          <w:p w14:paraId="67C2B8EC" w14:textId="77777777" w:rsidR="00000000" w:rsidRDefault="001A570A">
            <w:pPr>
              <w:rPr>
                <w:rFonts w:eastAsia="Times New Roman"/>
                <w:sz w:val="20"/>
                <w:szCs w:val="20"/>
              </w:rPr>
            </w:pPr>
          </w:p>
        </w:tc>
        <w:tc>
          <w:tcPr>
            <w:tcW w:w="5" w:type="pct"/>
            <w:vAlign w:val="center"/>
            <w:hideMark/>
          </w:tcPr>
          <w:p w14:paraId="343D1DA9" w14:textId="77777777" w:rsidR="00000000" w:rsidRDefault="001A570A">
            <w:pPr>
              <w:rPr>
                <w:rFonts w:eastAsia="Times New Roman"/>
                <w:sz w:val="20"/>
                <w:szCs w:val="20"/>
              </w:rPr>
            </w:pPr>
          </w:p>
        </w:tc>
        <w:tc>
          <w:tcPr>
            <w:tcW w:w="25" w:type="pct"/>
            <w:vAlign w:val="center"/>
            <w:hideMark/>
          </w:tcPr>
          <w:p w14:paraId="27A7B3C3" w14:textId="77777777" w:rsidR="00000000" w:rsidRDefault="001A570A">
            <w:pPr>
              <w:rPr>
                <w:rFonts w:eastAsia="Times New Roman"/>
                <w:sz w:val="20"/>
                <w:szCs w:val="20"/>
              </w:rPr>
            </w:pPr>
          </w:p>
        </w:tc>
        <w:tc>
          <w:tcPr>
            <w:tcW w:w="5" w:type="pct"/>
            <w:vAlign w:val="center"/>
            <w:hideMark/>
          </w:tcPr>
          <w:p w14:paraId="67A811BC" w14:textId="77777777" w:rsidR="00000000" w:rsidRDefault="001A570A">
            <w:pPr>
              <w:rPr>
                <w:rFonts w:eastAsia="Times New Roman"/>
                <w:sz w:val="20"/>
                <w:szCs w:val="20"/>
              </w:rPr>
            </w:pPr>
          </w:p>
        </w:tc>
        <w:tc>
          <w:tcPr>
            <w:tcW w:w="50" w:type="pct"/>
            <w:vAlign w:val="center"/>
            <w:hideMark/>
          </w:tcPr>
          <w:p w14:paraId="35BD4798" w14:textId="77777777" w:rsidR="00000000" w:rsidRDefault="001A570A">
            <w:pPr>
              <w:rPr>
                <w:rFonts w:eastAsia="Times New Roman"/>
                <w:sz w:val="20"/>
                <w:szCs w:val="20"/>
              </w:rPr>
            </w:pPr>
          </w:p>
        </w:tc>
        <w:tc>
          <w:tcPr>
            <w:tcW w:w="570" w:type="pct"/>
            <w:vAlign w:val="center"/>
            <w:hideMark/>
          </w:tcPr>
          <w:p w14:paraId="39705415" w14:textId="77777777" w:rsidR="00000000" w:rsidRDefault="001A570A">
            <w:pPr>
              <w:rPr>
                <w:rFonts w:eastAsia="Times New Roman"/>
                <w:sz w:val="20"/>
                <w:szCs w:val="20"/>
              </w:rPr>
            </w:pPr>
          </w:p>
        </w:tc>
        <w:tc>
          <w:tcPr>
            <w:tcW w:w="5" w:type="pct"/>
            <w:vAlign w:val="center"/>
            <w:hideMark/>
          </w:tcPr>
          <w:p w14:paraId="25567682" w14:textId="77777777" w:rsidR="00000000" w:rsidRDefault="001A570A">
            <w:pPr>
              <w:rPr>
                <w:rFonts w:eastAsia="Times New Roman"/>
                <w:sz w:val="20"/>
                <w:szCs w:val="20"/>
              </w:rPr>
            </w:pPr>
          </w:p>
        </w:tc>
        <w:tc>
          <w:tcPr>
            <w:tcW w:w="5" w:type="pct"/>
            <w:vAlign w:val="center"/>
            <w:hideMark/>
          </w:tcPr>
          <w:p w14:paraId="010D1AA5" w14:textId="77777777" w:rsidR="00000000" w:rsidRDefault="001A570A">
            <w:pPr>
              <w:rPr>
                <w:rFonts w:eastAsia="Times New Roman"/>
                <w:sz w:val="20"/>
                <w:szCs w:val="20"/>
              </w:rPr>
            </w:pPr>
          </w:p>
        </w:tc>
        <w:tc>
          <w:tcPr>
            <w:tcW w:w="25" w:type="pct"/>
            <w:vAlign w:val="center"/>
            <w:hideMark/>
          </w:tcPr>
          <w:p w14:paraId="6EC3CF01" w14:textId="77777777" w:rsidR="00000000" w:rsidRDefault="001A570A">
            <w:pPr>
              <w:rPr>
                <w:rFonts w:eastAsia="Times New Roman"/>
                <w:sz w:val="20"/>
                <w:szCs w:val="20"/>
              </w:rPr>
            </w:pPr>
          </w:p>
        </w:tc>
        <w:tc>
          <w:tcPr>
            <w:tcW w:w="5" w:type="pct"/>
            <w:vAlign w:val="center"/>
            <w:hideMark/>
          </w:tcPr>
          <w:p w14:paraId="68E959DD" w14:textId="77777777" w:rsidR="00000000" w:rsidRDefault="001A570A">
            <w:pPr>
              <w:rPr>
                <w:rFonts w:eastAsia="Times New Roman"/>
                <w:sz w:val="20"/>
                <w:szCs w:val="20"/>
              </w:rPr>
            </w:pPr>
          </w:p>
        </w:tc>
        <w:tc>
          <w:tcPr>
            <w:tcW w:w="50" w:type="pct"/>
            <w:vAlign w:val="center"/>
            <w:hideMark/>
          </w:tcPr>
          <w:p w14:paraId="5B296C71" w14:textId="77777777" w:rsidR="00000000" w:rsidRDefault="001A570A">
            <w:pPr>
              <w:rPr>
                <w:rFonts w:eastAsia="Times New Roman"/>
                <w:sz w:val="20"/>
                <w:szCs w:val="20"/>
              </w:rPr>
            </w:pPr>
          </w:p>
        </w:tc>
        <w:tc>
          <w:tcPr>
            <w:tcW w:w="570" w:type="pct"/>
            <w:vAlign w:val="center"/>
            <w:hideMark/>
          </w:tcPr>
          <w:p w14:paraId="5F32203D" w14:textId="77777777" w:rsidR="00000000" w:rsidRDefault="001A570A">
            <w:pPr>
              <w:rPr>
                <w:rFonts w:eastAsia="Times New Roman"/>
                <w:sz w:val="20"/>
                <w:szCs w:val="20"/>
              </w:rPr>
            </w:pPr>
          </w:p>
        </w:tc>
        <w:tc>
          <w:tcPr>
            <w:tcW w:w="5" w:type="pct"/>
            <w:vAlign w:val="center"/>
            <w:hideMark/>
          </w:tcPr>
          <w:p w14:paraId="210BA14C" w14:textId="77777777" w:rsidR="00000000" w:rsidRDefault="001A570A">
            <w:pPr>
              <w:rPr>
                <w:rFonts w:eastAsia="Times New Roman"/>
                <w:sz w:val="20"/>
                <w:szCs w:val="20"/>
              </w:rPr>
            </w:pPr>
          </w:p>
        </w:tc>
      </w:tr>
      <w:tr w:rsidR="00000000" w14:paraId="21A0A188" w14:textId="77777777">
        <w:trPr>
          <w:divId w:val="1774084307"/>
        </w:trPr>
        <w:tc>
          <w:tcPr>
            <w:tcW w:w="0" w:type="auto"/>
            <w:gridSpan w:val="3"/>
            <w:tcMar>
              <w:top w:w="0" w:type="dxa"/>
              <w:left w:w="20" w:type="dxa"/>
              <w:bottom w:w="0" w:type="dxa"/>
              <w:right w:w="20" w:type="dxa"/>
            </w:tcMar>
            <w:vAlign w:val="center"/>
            <w:hideMark/>
          </w:tcPr>
          <w:p w14:paraId="31B3CE10"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59F51A85"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2B0750E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52B8BAE3"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13E67D0B"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0C57DC07"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687878A2" w14:textId="77777777">
        <w:trPr>
          <w:divId w:val="1774084307"/>
        </w:trPr>
        <w:tc>
          <w:tcPr>
            <w:tcW w:w="0" w:type="auto"/>
            <w:gridSpan w:val="3"/>
            <w:tcMar>
              <w:top w:w="30" w:type="dxa"/>
              <w:left w:w="20" w:type="dxa"/>
              <w:bottom w:w="30" w:type="dxa"/>
              <w:right w:w="20" w:type="dxa"/>
            </w:tcMar>
            <w:vAlign w:val="bottom"/>
            <w:hideMark/>
          </w:tcPr>
          <w:p w14:paraId="2A619F98"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E34651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3B17A350"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E0FA20"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15E84AB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87CF1D"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421439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2A7FE0" w14:textId="77777777" w:rsidR="00000000" w:rsidRDefault="001A570A">
            <w:pPr>
              <w:jc w:val="center"/>
              <w:rPr>
                <w:rFonts w:eastAsia="Times New Roman"/>
              </w:rPr>
            </w:pPr>
            <w:r>
              <w:rPr>
                <w:rFonts w:eastAsia="Times New Roman"/>
                <w:b/>
                <w:bCs/>
                <w:color w:val="000000"/>
                <w:sz w:val="16"/>
                <w:szCs w:val="16"/>
              </w:rPr>
              <w:t>June 29, 2018</w:t>
            </w:r>
          </w:p>
        </w:tc>
      </w:tr>
      <w:tr w:rsidR="00000000" w14:paraId="1E53B0F3" w14:textId="77777777">
        <w:trPr>
          <w:divId w:val="1774084307"/>
          <w:trHeight w:val="60"/>
        </w:trPr>
        <w:tc>
          <w:tcPr>
            <w:tcW w:w="0" w:type="auto"/>
            <w:gridSpan w:val="3"/>
            <w:tcMar>
              <w:top w:w="0" w:type="dxa"/>
              <w:left w:w="20" w:type="dxa"/>
              <w:bottom w:w="0" w:type="dxa"/>
              <w:right w:w="20" w:type="dxa"/>
            </w:tcMar>
            <w:vAlign w:val="center"/>
            <w:hideMark/>
          </w:tcPr>
          <w:p w14:paraId="70B8CAE5"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C4CB08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51DC05B"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69204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90806A1"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F3293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2817A1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35FDBA" w14:textId="77777777" w:rsidR="00000000" w:rsidRDefault="001A570A">
            <w:pPr>
              <w:rPr>
                <w:rFonts w:eastAsia="Times New Roman"/>
                <w:sz w:val="20"/>
                <w:szCs w:val="20"/>
              </w:rPr>
            </w:pPr>
          </w:p>
        </w:tc>
      </w:tr>
      <w:tr w:rsidR="00000000" w14:paraId="7997A28A" w14:textId="77777777">
        <w:trPr>
          <w:divId w:val="1774084307"/>
        </w:trPr>
        <w:tc>
          <w:tcPr>
            <w:tcW w:w="0" w:type="auto"/>
            <w:gridSpan w:val="3"/>
            <w:shd w:val="clear" w:color="auto" w:fill="CCEEFF"/>
            <w:tcMar>
              <w:top w:w="30" w:type="dxa"/>
              <w:left w:w="20" w:type="dxa"/>
              <w:bottom w:w="30" w:type="dxa"/>
              <w:right w:w="20" w:type="dxa"/>
            </w:tcMar>
            <w:hideMark/>
          </w:tcPr>
          <w:p w14:paraId="0BB80EBB" w14:textId="77777777" w:rsidR="00000000" w:rsidRDefault="001A570A">
            <w:pPr>
              <w:rPr>
                <w:rFonts w:eastAsia="Times New Roman"/>
              </w:rPr>
            </w:pPr>
            <w:r>
              <w:rPr>
                <w:rFonts w:eastAsia="Times New Roman"/>
                <w:color w:val="000000"/>
                <w:sz w:val="20"/>
                <w:szCs w:val="20"/>
              </w:rPr>
              <w:t>Balance at beginning of period</w:t>
            </w:r>
          </w:p>
        </w:tc>
        <w:tc>
          <w:tcPr>
            <w:tcW w:w="0" w:type="auto"/>
            <w:shd w:val="clear" w:color="auto" w:fill="CCEEFF"/>
            <w:tcMar>
              <w:top w:w="30" w:type="dxa"/>
              <w:left w:w="20" w:type="dxa"/>
              <w:bottom w:w="30" w:type="dxa"/>
              <w:right w:w="0" w:type="dxa"/>
            </w:tcMar>
            <w:vAlign w:val="bottom"/>
            <w:hideMark/>
          </w:tcPr>
          <w:p w14:paraId="2F19D51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1136FE" w14:textId="77777777" w:rsidR="00000000" w:rsidRDefault="001A570A">
            <w:pPr>
              <w:jc w:val="right"/>
              <w:rPr>
                <w:rFonts w:eastAsia="Times New Roman"/>
              </w:rPr>
            </w:pPr>
            <w:r>
              <w:rPr>
                <w:rFonts w:eastAsia="Times New Roman"/>
                <w:color w:val="000000"/>
                <w:sz w:val="20"/>
                <w:szCs w:val="20"/>
              </w:rPr>
              <w:t>438 </w:t>
            </w:r>
          </w:p>
        </w:tc>
        <w:tc>
          <w:tcPr>
            <w:tcW w:w="0" w:type="auto"/>
            <w:shd w:val="clear" w:color="auto" w:fill="CCEEFF"/>
            <w:tcMar>
              <w:top w:w="30" w:type="dxa"/>
              <w:left w:w="0" w:type="dxa"/>
              <w:bottom w:w="30" w:type="dxa"/>
              <w:right w:w="20" w:type="dxa"/>
            </w:tcMar>
            <w:vAlign w:val="bottom"/>
            <w:hideMark/>
          </w:tcPr>
          <w:p w14:paraId="68775B0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B2010"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39D27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4BF21B" w14:textId="77777777" w:rsidR="00000000" w:rsidRDefault="001A570A">
            <w:pPr>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14:paraId="3593A53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6EE2C"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5C061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62A726" w14:textId="77777777" w:rsidR="00000000" w:rsidRDefault="001A570A">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14:paraId="06B3543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396A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A867F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A9C8B3" w14:textId="77777777" w:rsidR="00000000" w:rsidRDefault="001A570A">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14:paraId="13853D91" w14:textId="77777777" w:rsidR="00000000" w:rsidRDefault="001A570A">
            <w:pPr>
              <w:jc w:val="right"/>
              <w:rPr>
                <w:rFonts w:eastAsia="Times New Roman"/>
              </w:rPr>
            </w:pPr>
          </w:p>
        </w:tc>
      </w:tr>
      <w:tr w:rsidR="00000000" w14:paraId="679FF1CA" w14:textId="77777777">
        <w:trPr>
          <w:divId w:val="1774084307"/>
        </w:trPr>
        <w:tc>
          <w:tcPr>
            <w:tcW w:w="0" w:type="auto"/>
            <w:gridSpan w:val="3"/>
            <w:shd w:val="clear" w:color="auto" w:fill="FFFFFF"/>
            <w:tcMar>
              <w:top w:w="30" w:type="dxa"/>
              <w:left w:w="20" w:type="dxa"/>
              <w:bottom w:w="30" w:type="dxa"/>
              <w:right w:w="20" w:type="dxa"/>
            </w:tcMar>
            <w:hideMark/>
          </w:tcPr>
          <w:p w14:paraId="4943712F" w14:textId="77777777" w:rsidR="00000000" w:rsidRDefault="001A570A">
            <w:pPr>
              <w:ind w:hanging="270"/>
              <w:divId w:val="22440896"/>
              <w:rPr>
                <w:rFonts w:eastAsia="Times New Roman"/>
              </w:rPr>
            </w:pPr>
            <w:r>
              <w:rPr>
                <w:rFonts w:eastAsia="Times New Roman"/>
                <w:color w:val="000000"/>
                <w:sz w:val="20"/>
                <w:szCs w:val="20"/>
              </w:rPr>
              <w:t>Additions based on tax positions taken during current period</w:t>
            </w:r>
          </w:p>
        </w:tc>
        <w:tc>
          <w:tcPr>
            <w:tcW w:w="0" w:type="auto"/>
            <w:gridSpan w:val="2"/>
            <w:shd w:val="clear" w:color="auto" w:fill="FFFFFF"/>
            <w:tcMar>
              <w:top w:w="30" w:type="dxa"/>
              <w:left w:w="20" w:type="dxa"/>
              <w:bottom w:w="30" w:type="dxa"/>
              <w:right w:w="0" w:type="dxa"/>
            </w:tcMar>
            <w:vAlign w:val="bottom"/>
            <w:hideMark/>
          </w:tcPr>
          <w:p w14:paraId="3B59E507" w14:textId="77777777" w:rsidR="00000000" w:rsidRDefault="001A570A">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02B405E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41A6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5E24B" w14:textId="77777777" w:rsidR="00000000" w:rsidRDefault="001A570A">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7347584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2470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3BAA0A"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6EF71AF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1A38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7B8EB8" w14:textId="77777777" w:rsidR="00000000" w:rsidRDefault="001A570A">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481EFB6A" w14:textId="77777777" w:rsidR="00000000" w:rsidRDefault="001A570A">
            <w:pPr>
              <w:jc w:val="right"/>
              <w:rPr>
                <w:rFonts w:eastAsia="Times New Roman"/>
              </w:rPr>
            </w:pPr>
          </w:p>
        </w:tc>
      </w:tr>
      <w:tr w:rsidR="00000000" w14:paraId="02E65774" w14:textId="77777777">
        <w:trPr>
          <w:divId w:val="1774084307"/>
        </w:trPr>
        <w:tc>
          <w:tcPr>
            <w:tcW w:w="0" w:type="auto"/>
            <w:gridSpan w:val="3"/>
            <w:shd w:val="clear" w:color="auto" w:fill="CCEEFF"/>
            <w:tcMar>
              <w:top w:w="30" w:type="dxa"/>
              <w:left w:w="20" w:type="dxa"/>
              <w:bottom w:w="30" w:type="dxa"/>
              <w:right w:w="20" w:type="dxa"/>
            </w:tcMar>
            <w:hideMark/>
          </w:tcPr>
          <w:p w14:paraId="7E0BBBE1" w14:textId="77777777" w:rsidR="00000000" w:rsidRDefault="001A570A">
            <w:pPr>
              <w:ind w:hanging="270"/>
              <w:divId w:val="1094517933"/>
              <w:rPr>
                <w:rFonts w:eastAsia="Times New Roman"/>
              </w:rPr>
            </w:pPr>
            <w:r>
              <w:rPr>
                <w:rFonts w:eastAsia="Times New Roman"/>
                <w:color w:val="000000"/>
                <w:sz w:val="20"/>
                <w:szCs w:val="20"/>
              </w:rPr>
              <w:t>Additions based on tax positions taken during prior periods</w:t>
            </w:r>
          </w:p>
        </w:tc>
        <w:tc>
          <w:tcPr>
            <w:tcW w:w="0" w:type="auto"/>
            <w:gridSpan w:val="2"/>
            <w:shd w:val="clear" w:color="auto" w:fill="CCEEFF"/>
            <w:tcMar>
              <w:top w:w="30" w:type="dxa"/>
              <w:left w:w="20" w:type="dxa"/>
              <w:bottom w:w="30" w:type="dxa"/>
              <w:right w:w="0" w:type="dxa"/>
            </w:tcMar>
            <w:vAlign w:val="bottom"/>
            <w:hideMark/>
          </w:tcPr>
          <w:p w14:paraId="23339D5A" w14:textId="77777777" w:rsidR="00000000" w:rsidRDefault="001A570A">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0E284D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F7AF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5D163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2B316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3E17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D54EB" w14:textId="77777777" w:rsidR="00000000" w:rsidRDefault="001A570A">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14:paraId="326F882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7E0C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07994C"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4490D273" w14:textId="77777777" w:rsidR="00000000" w:rsidRDefault="001A570A">
            <w:pPr>
              <w:jc w:val="right"/>
              <w:rPr>
                <w:rFonts w:eastAsia="Times New Roman"/>
              </w:rPr>
            </w:pPr>
          </w:p>
        </w:tc>
      </w:tr>
      <w:tr w:rsidR="00000000" w14:paraId="5A328E1D" w14:textId="77777777">
        <w:trPr>
          <w:divId w:val="1774084307"/>
        </w:trPr>
        <w:tc>
          <w:tcPr>
            <w:tcW w:w="0" w:type="auto"/>
            <w:gridSpan w:val="3"/>
            <w:shd w:val="clear" w:color="auto" w:fill="FFFFFF"/>
            <w:tcMar>
              <w:top w:w="30" w:type="dxa"/>
              <w:left w:w="20" w:type="dxa"/>
              <w:bottom w:w="30" w:type="dxa"/>
              <w:right w:w="20" w:type="dxa"/>
            </w:tcMar>
            <w:hideMark/>
          </w:tcPr>
          <w:p w14:paraId="59B5B02A" w14:textId="77777777" w:rsidR="00000000" w:rsidRDefault="001A570A">
            <w:pPr>
              <w:rPr>
                <w:rFonts w:eastAsia="Times New Roman"/>
              </w:rPr>
            </w:pPr>
            <w:r>
              <w:rPr>
                <w:rFonts w:eastAsia="Times New Roman"/>
                <w:color w:val="000000"/>
                <w:sz w:val="20"/>
                <w:szCs w:val="20"/>
              </w:rPr>
              <w:t>Additions for tax positions related to acquired entities</w:t>
            </w:r>
          </w:p>
        </w:tc>
        <w:tc>
          <w:tcPr>
            <w:tcW w:w="0" w:type="auto"/>
            <w:gridSpan w:val="2"/>
            <w:shd w:val="clear" w:color="auto" w:fill="FFFFFF"/>
            <w:tcMar>
              <w:top w:w="30" w:type="dxa"/>
              <w:left w:w="20" w:type="dxa"/>
              <w:bottom w:w="30" w:type="dxa"/>
              <w:right w:w="0" w:type="dxa"/>
            </w:tcMar>
            <w:vAlign w:val="bottom"/>
            <w:hideMark/>
          </w:tcPr>
          <w:p w14:paraId="2A342FDA" w14:textId="77777777" w:rsidR="00000000" w:rsidRDefault="001A570A">
            <w:pPr>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2F1C7A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7B5C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501E9" w14:textId="77777777" w:rsidR="00000000" w:rsidRDefault="001A570A">
            <w:pPr>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14:paraId="43C71C1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D6D0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C9B1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F7346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2F65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2338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10023C" w14:textId="77777777" w:rsidR="00000000" w:rsidRDefault="001A570A">
            <w:pPr>
              <w:jc w:val="right"/>
              <w:rPr>
                <w:rFonts w:eastAsia="Times New Roman"/>
              </w:rPr>
            </w:pPr>
          </w:p>
        </w:tc>
      </w:tr>
      <w:tr w:rsidR="00000000" w14:paraId="23CB6D44" w14:textId="77777777">
        <w:trPr>
          <w:divId w:val="1774084307"/>
        </w:trPr>
        <w:tc>
          <w:tcPr>
            <w:tcW w:w="0" w:type="auto"/>
            <w:gridSpan w:val="3"/>
            <w:shd w:val="clear" w:color="auto" w:fill="CCEEFF"/>
            <w:tcMar>
              <w:top w:w="30" w:type="dxa"/>
              <w:left w:w="20" w:type="dxa"/>
              <w:bottom w:w="30" w:type="dxa"/>
              <w:right w:w="20" w:type="dxa"/>
            </w:tcMar>
            <w:hideMark/>
          </w:tcPr>
          <w:p w14:paraId="6082D1F7" w14:textId="77777777" w:rsidR="00000000" w:rsidRDefault="001A570A">
            <w:pPr>
              <w:ind w:hanging="270"/>
              <w:divId w:val="2028022422"/>
              <w:rPr>
                <w:rFonts w:eastAsia="Times New Roman"/>
              </w:rPr>
            </w:pPr>
            <w:r>
              <w:rPr>
                <w:rFonts w:eastAsia="Times New Roman"/>
                <w:color w:val="000000"/>
                <w:sz w:val="20"/>
                <w:szCs w:val="20"/>
              </w:rPr>
              <w:t>Decreases based on tax positions taken during prior periods</w:t>
            </w:r>
          </w:p>
        </w:tc>
        <w:tc>
          <w:tcPr>
            <w:tcW w:w="0" w:type="auto"/>
            <w:gridSpan w:val="2"/>
            <w:shd w:val="clear" w:color="auto" w:fill="CCEEFF"/>
            <w:tcMar>
              <w:top w:w="30" w:type="dxa"/>
              <w:left w:w="20" w:type="dxa"/>
              <w:bottom w:w="30" w:type="dxa"/>
              <w:right w:w="0" w:type="dxa"/>
            </w:tcMar>
            <w:vAlign w:val="bottom"/>
            <w:hideMark/>
          </w:tcPr>
          <w:p w14:paraId="15BDCBFF" w14:textId="77777777" w:rsidR="00000000" w:rsidRDefault="001A570A">
            <w:pPr>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14:paraId="2D47B24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E3F6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24344F"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05F769E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6AD6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6B370" w14:textId="77777777" w:rsidR="00000000" w:rsidRDefault="001A570A">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712EAEE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9686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271B26" w14:textId="77777777" w:rsidR="00000000" w:rsidRDefault="001A570A">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7C495193" w14:textId="77777777" w:rsidR="00000000" w:rsidRDefault="001A570A">
            <w:pPr>
              <w:jc w:val="right"/>
              <w:rPr>
                <w:rFonts w:eastAsia="Times New Roman"/>
              </w:rPr>
            </w:pPr>
          </w:p>
        </w:tc>
      </w:tr>
      <w:tr w:rsidR="00000000" w14:paraId="50ADE0A3" w14:textId="77777777">
        <w:trPr>
          <w:divId w:val="1774084307"/>
        </w:trPr>
        <w:tc>
          <w:tcPr>
            <w:tcW w:w="0" w:type="auto"/>
            <w:gridSpan w:val="3"/>
            <w:shd w:val="clear" w:color="auto" w:fill="FFFFFF"/>
            <w:tcMar>
              <w:top w:w="30" w:type="dxa"/>
              <w:left w:w="20" w:type="dxa"/>
              <w:bottom w:w="30" w:type="dxa"/>
              <w:right w:w="20" w:type="dxa"/>
            </w:tcMar>
            <w:hideMark/>
          </w:tcPr>
          <w:p w14:paraId="4E2B7CBB" w14:textId="77777777" w:rsidR="00000000" w:rsidRDefault="001A570A">
            <w:pPr>
              <w:rPr>
                <w:rFonts w:eastAsia="Times New Roman"/>
              </w:rPr>
            </w:pPr>
            <w:r>
              <w:rPr>
                <w:rFonts w:eastAsia="Times New Roman"/>
                <w:color w:val="000000"/>
                <w:sz w:val="20"/>
                <w:szCs w:val="20"/>
              </w:rPr>
              <w:t>Decreases from lapse in statutes of limitations</w:t>
            </w:r>
          </w:p>
        </w:tc>
        <w:tc>
          <w:tcPr>
            <w:tcW w:w="0" w:type="auto"/>
            <w:gridSpan w:val="2"/>
            <w:shd w:val="clear" w:color="auto" w:fill="FFFFFF"/>
            <w:tcMar>
              <w:top w:w="30" w:type="dxa"/>
              <w:left w:w="20" w:type="dxa"/>
              <w:bottom w:w="30" w:type="dxa"/>
              <w:right w:w="0" w:type="dxa"/>
            </w:tcMar>
            <w:vAlign w:val="bottom"/>
            <w:hideMark/>
          </w:tcPr>
          <w:p w14:paraId="755CE028"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071050A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2BC5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30D6E8" w14:textId="77777777" w:rsidR="00000000" w:rsidRDefault="001A570A">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2AB179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D710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56E0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3A2E8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8994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BE4D7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AF4319" w14:textId="77777777" w:rsidR="00000000" w:rsidRDefault="001A570A">
            <w:pPr>
              <w:jc w:val="right"/>
              <w:rPr>
                <w:rFonts w:eastAsia="Times New Roman"/>
              </w:rPr>
            </w:pPr>
          </w:p>
        </w:tc>
      </w:tr>
      <w:tr w:rsidR="00000000" w14:paraId="1FD3DDD3" w14:textId="77777777">
        <w:trPr>
          <w:divId w:val="1774084307"/>
        </w:trPr>
        <w:tc>
          <w:tcPr>
            <w:tcW w:w="0" w:type="auto"/>
            <w:gridSpan w:val="3"/>
            <w:shd w:val="clear" w:color="auto" w:fill="CCEEFF"/>
            <w:tcMar>
              <w:top w:w="30" w:type="dxa"/>
              <w:left w:w="20" w:type="dxa"/>
              <w:bottom w:w="30" w:type="dxa"/>
              <w:right w:w="20" w:type="dxa"/>
            </w:tcMar>
            <w:hideMark/>
          </w:tcPr>
          <w:p w14:paraId="398F9CCA" w14:textId="77777777" w:rsidR="00000000" w:rsidRDefault="001A570A">
            <w:pPr>
              <w:rPr>
                <w:rFonts w:eastAsia="Times New Roman"/>
              </w:rPr>
            </w:pPr>
            <w:r>
              <w:rPr>
                <w:rFonts w:eastAsia="Times New Roman"/>
                <w:color w:val="000000"/>
                <w:sz w:val="20"/>
                <w:szCs w:val="20"/>
              </w:rPr>
              <w:t>Decreases from settlements</w:t>
            </w:r>
          </w:p>
        </w:tc>
        <w:tc>
          <w:tcPr>
            <w:tcW w:w="0" w:type="auto"/>
            <w:gridSpan w:val="2"/>
            <w:shd w:val="clear" w:color="auto" w:fill="CCEEFF"/>
            <w:tcMar>
              <w:top w:w="30" w:type="dxa"/>
              <w:left w:w="20" w:type="dxa"/>
              <w:bottom w:w="30" w:type="dxa"/>
              <w:right w:w="0" w:type="dxa"/>
            </w:tcMar>
            <w:vAlign w:val="bottom"/>
            <w:hideMark/>
          </w:tcPr>
          <w:p w14:paraId="557EC779" w14:textId="77777777" w:rsidR="00000000" w:rsidRDefault="001A570A">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7BB761D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1831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F11A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D4F6A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74D5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2EF94C"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1E8CC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C1A7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F4F7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798AF0" w14:textId="77777777" w:rsidR="00000000" w:rsidRDefault="001A570A">
            <w:pPr>
              <w:jc w:val="right"/>
              <w:rPr>
                <w:rFonts w:eastAsia="Times New Roman"/>
              </w:rPr>
            </w:pPr>
          </w:p>
        </w:tc>
      </w:tr>
      <w:tr w:rsidR="00000000" w14:paraId="3E44A249" w14:textId="77777777">
        <w:trPr>
          <w:divId w:val="1774084307"/>
        </w:trPr>
        <w:tc>
          <w:tcPr>
            <w:tcW w:w="0" w:type="auto"/>
            <w:gridSpan w:val="3"/>
            <w:shd w:val="clear" w:color="auto" w:fill="FFFFFF"/>
            <w:tcMar>
              <w:top w:w="30" w:type="dxa"/>
              <w:left w:w="20" w:type="dxa"/>
              <w:bottom w:w="30" w:type="dxa"/>
              <w:right w:w="20" w:type="dxa"/>
            </w:tcMar>
            <w:hideMark/>
          </w:tcPr>
          <w:p w14:paraId="1DF1A9D1" w14:textId="77777777" w:rsidR="00000000" w:rsidRDefault="001A570A">
            <w:pPr>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0C795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96C95C" w14:textId="77777777" w:rsidR="00000000" w:rsidRDefault="001A570A">
            <w:pPr>
              <w:jc w:val="right"/>
              <w:rPr>
                <w:rFonts w:eastAsia="Times New Roman"/>
              </w:rPr>
            </w:pPr>
            <w:r>
              <w:rPr>
                <w:rFonts w:eastAsia="Times New Roman"/>
                <w:color w:val="000000"/>
                <w:sz w:val="20"/>
                <w:szCs w:val="20"/>
              </w:rPr>
              <w:t>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B772F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31FF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AE083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7E1CBF" w14:textId="77777777" w:rsidR="00000000" w:rsidRDefault="001A570A">
            <w:pPr>
              <w:jc w:val="right"/>
              <w:rPr>
                <w:rFonts w:eastAsia="Times New Roman"/>
              </w:rPr>
            </w:pPr>
            <w:r>
              <w:rPr>
                <w:rFonts w:eastAsia="Times New Roman"/>
                <w:color w:val="000000"/>
                <w:sz w:val="20"/>
                <w:szCs w:val="20"/>
              </w:rPr>
              <w:t>438 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217B0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A1C8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A638F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E46394" w14:textId="77777777" w:rsidR="00000000" w:rsidRDefault="001A570A">
            <w:pPr>
              <w:jc w:val="right"/>
              <w:rPr>
                <w:rFonts w:eastAsia="Times New Roman"/>
              </w:rPr>
            </w:pPr>
            <w:r>
              <w:rPr>
                <w:rFonts w:eastAsia="Times New Roman"/>
                <w:color w:val="000000"/>
                <w:sz w:val="20"/>
                <w:szCs w:val="20"/>
              </w:rPr>
              <w:t>204 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CCE44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F5F61"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DAB3F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365574" w14:textId="77777777" w:rsidR="00000000" w:rsidRDefault="001A570A">
            <w:pPr>
              <w:jc w:val="right"/>
              <w:rPr>
                <w:rFonts w:eastAsia="Times New Roman"/>
              </w:rPr>
            </w:pPr>
            <w:r>
              <w:rPr>
                <w:rFonts w:eastAsia="Times New Roman"/>
                <w:color w:val="000000"/>
                <w:sz w:val="20"/>
                <w:szCs w:val="20"/>
              </w:rPr>
              <w:t>102 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793DCC" w14:textId="77777777" w:rsidR="00000000" w:rsidRDefault="001A570A">
            <w:pPr>
              <w:jc w:val="right"/>
              <w:rPr>
                <w:rFonts w:eastAsia="Times New Roman"/>
              </w:rPr>
            </w:pPr>
          </w:p>
        </w:tc>
      </w:tr>
    </w:tbl>
    <w:p w14:paraId="6A12A8ED" w14:textId="77777777" w:rsidR="00000000" w:rsidRDefault="001A570A">
      <w:pPr>
        <w:ind w:firstLine="450"/>
        <w:divId w:val="577832278"/>
        <w:rPr>
          <w:rFonts w:eastAsia="Times New Roman"/>
        </w:rPr>
      </w:pPr>
      <w:r>
        <w:rPr>
          <w:rFonts w:eastAsia="Times New Roman"/>
          <w:color w:val="000000"/>
          <w:sz w:val="20"/>
          <w:szCs w:val="20"/>
        </w:rPr>
        <w:t>As of January 1, 2021, we had $542 million of unrecognized tax benefits, of which $453 million would favorably impact our future tax rates in the event that the tax benefits are eventually recognized. As of January 3,</w:t>
      </w:r>
      <w:r>
        <w:rPr>
          <w:rFonts w:eastAsia="Times New Roman"/>
          <w:color w:val="000000"/>
          <w:sz w:val="20"/>
          <w:szCs w:val="20"/>
        </w:rPr>
        <w:t xml:space="preserve"> 2020, we had $438 million of unrecognized tax benefits, of which $313 million would favorably impact our future tax rates in the event that the tax benefits are eventually recognized.</w:t>
      </w:r>
    </w:p>
    <w:p w14:paraId="68E78734" w14:textId="77777777" w:rsidR="00000000" w:rsidRDefault="001A570A">
      <w:pPr>
        <w:ind w:firstLine="450"/>
        <w:divId w:val="1051073771"/>
        <w:rPr>
          <w:rFonts w:eastAsia="Times New Roman"/>
        </w:rPr>
      </w:pPr>
      <w:r>
        <w:rPr>
          <w:rFonts w:eastAsia="Times New Roman"/>
          <w:color w:val="000000"/>
          <w:sz w:val="20"/>
          <w:szCs w:val="20"/>
        </w:rPr>
        <w:t>We recognize accrued interest and penalties related to unrecognized tax</w:t>
      </w:r>
      <w:r>
        <w:rPr>
          <w:rFonts w:eastAsia="Times New Roman"/>
          <w:color w:val="000000"/>
          <w:sz w:val="20"/>
          <w:szCs w:val="20"/>
        </w:rPr>
        <w:t xml:space="preserve"> benefits as part of our income tax expense. We recognized interest and penalties of $14 million and $2 million in fiscal 2020 and the two quarters ended January 3, 2020, respectively, and none in fiscal 2019. We had accrued $47 million for the potential p</w:t>
      </w:r>
      <w:r>
        <w:rPr>
          <w:rFonts w:eastAsia="Times New Roman"/>
          <w:color w:val="000000"/>
          <w:sz w:val="20"/>
          <w:szCs w:val="20"/>
        </w:rPr>
        <w:t>ayment of interest and penalties as of January 1, 2021 (and this amount was not included in the $542 million of unrecognized tax benefits balance at January 1, 2021 shown above). We had accrued $31 million for the potential payment of interest and penaltie</w:t>
      </w:r>
      <w:r>
        <w:rPr>
          <w:rFonts w:eastAsia="Times New Roman"/>
          <w:color w:val="000000"/>
          <w:sz w:val="20"/>
          <w:szCs w:val="20"/>
        </w:rPr>
        <w:t xml:space="preserve">s as of January 3, 2020 (and this amount was not included in the $438 million of unrecognized tax benefits balance at January 3, 2020 shown above). </w:t>
      </w:r>
    </w:p>
    <w:p w14:paraId="153AC071" w14:textId="77777777" w:rsidR="00000000" w:rsidRDefault="001A570A">
      <w:pPr>
        <w:ind w:firstLine="450"/>
        <w:divId w:val="30693469"/>
        <w:rPr>
          <w:rFonts w:eastAsia="Times New Roman"/>
        </w:rPr>
      </w:pPr>
      <w:r>
        <w:rPr>
          <w:rFonts w:eastAsia="Times New Roman"/>
          <w:color w:val="000000"/>
          <w:sz w:val="20"/>
          <w:szCs w:val="20"/>
        </w:rPr>
        <w:t>We file numerous separate and consolidated income tax returns reporting our financial results and, where ap</w:t>
      </w:r>
      <w:r>
        <w:rPr>
          <w:rFonts w:eastAsia="Times New Roman"/>
          <w:color w:val="000000"/>
          <w:sz w:val="20"/>
          <w:szCs w:val="20"/>
        </w:rPr>
        <w:t>propriate, those of our subsidiaries and affiliates, in the U.S. Federal jurisdiction and various state, local and foreign jurisdictions. Pursuant to the Compliance Assurance Process, the IRS is examining the Harris federal tax returns for fiscal 2017, 201</w:t>
      </w:r>
      <w:r>
        <w:rPr>
          <w:rFonts w:eastAsia="Times New Roman"/>
          <w:color w:val="000000"/>
          <w:sz w:val="20"/>
          <w:szCs w:val="20"/>
        </w:rPr>
        <w:t>8 and 2019 and refund claims related to fiscal 2010 through 2016. In addition, legacy L3’s federal tax returns for calendar years 2017 and 2018 are currently under IRS examination and refund claims related to calendar years 2012, 2013, 2015 and 2016 have b</w:t>
      </w:r>
      <w:r>
        <w:rPr>
          <w:rFonts w:eastAsia="Times New Roman"/>
          <w:color w:val="000000"/>
          <w:sz w:val="20"/>
          <w:szCs w:val="20"/>
        </w:rPr>
        <w:t>een filed with the IRS.</w:t>
      </w:r>
    </w:p>
    <w:p w14:paraId="09F56DC5" w14:textId="77777777" w:rsidR="00000000" w:rsidRDefault="001A570A">
      <w:pPr>
        <w:ind w:firstLine="450"/>
        <w:divId w:val="251472814"/>
        <w:rPr>
          <w:rFonts w:eastAsia="Times New Roman"/>
        </w:rPr>
      </w:pPr>
      <w:r>
        <w:rPr>
          <w:rFonts w:eastAsia="Times New Roman"/>
          <w:color w:val="000000"/>
          <w:sz w:val="20"/>
          <w:szCs w:val="20"/>
        </w:rPr>
        <w:t>We are currently under examination or contesting proposed adjustments by various state and international tax authorities for fiscal years ranging from 2010 through 2018. It is reasonably possible that there could be a significant decrease or increase to ou</w:t>
      </w:r>
      <w:r>
        <w:rPr>
          <w:rFonts w:eastAsia="Times New Roman"/>
          <w:color w:val="000000"/>
          <w:sz w:val="20"/>
          <w:szCs w:val="20"/>
        </w:rPr>
        <w:t>r unrecognized tax benefit balance during the course of the next twelve months as these examinations continue, other tax examinations commence or various statutes of limitations expire. An estimate of the range of possible changes cannot be made for remain</w:t>
      </w:r>
      <w:r>
        <w:rPr>
          <w:rFonts w:eastAsia="Times New Roman"/>
          <w:color w:val="000000"/>
          <w:sz w:val="20"/>
          <w:szCs w:val="20"/>
        </w:rPr>
        <w:t>ing unrecognized tax benefits because of the significant number of jurisdictions in which we do business and the number of open tax periods.</w:t>
      </w:r>
    </w:p>
    <w:p w14:paraId="2780D351" w14:textId="77777777" w:rsidR="00000000" w:rsidRDefault="001A570A">
      <w:pPr>
        <w:divId w:val="1379280902"/>
        <w:rPr>
          <w:rFonts w:eastAsia="Times New Roman"/>
        </w:rPr>
      </w:pPr>
      <w:r>
        <w:rPr>
          <w:rFonts w:eastAsia="Times New Roman"/>
          <w:b/>
          <w:bCs/>
          <w:color w:val="000000"/>
          <w:sz w:val="20"/>
          <w:szCs w:val="20"/>
        </w:rPr>
        <w:t xml:space="preserve">NOTE 24: BACKLOG </w:t>
      </w:r>
    </w:p>
    <w:p w14:paraId="14379F79" w14:textId="77777777" w:rsidR="00000000" w:rsidRDefault="001A570A">
      <w:pPr>
        <w:ind w:firstLine="450"/>
        <w:divId w:val="1949120123"/>
        <w:rPr>
          <w:rFonts w:eastAsia="Times New Roman"/>
        </w:rPr>
      </w:pPr>
      <w:r>
        <w:rPr>
          <w:rFonts w:eastAsia="Times New Roman"/>
          <w:color w:val="000000"/>
          <w:sz w:val="20"/>
          <w:szCs w:val="20"/>
        </w:rPr>
        <w:t>Backlog, which is the equivalent of our remaining performance obligations, represents the future revenue we expect to recognize as we perform on our current contracts. Backlog comprises both funded backlog (i.e., firm orders for which funding is authorized</w:t>
      </w:r>
      <w:r>
        <w:rPr>
          <w:rFonts w:eastAsia="Times New Roman"/>
          <w:color w:val="000000"/>
          <w:sz w:val="20"/>
          <w:szCs w:val="20"/>
        </w:rPr>
        <w:t xml:space="preserve"> and appropriated) and unfunded backlog. Backlog excludes unexercised contract options and potential orders under ordering-type contracts, such as indefinite delivery, indefinite quantity contracts. </w:t>
      </w:r>
    </w:p>
    <w:p w14:paraId="34ED9EA7" w14:textId="77777777" w:rsidR="00000000" w:rsidRDefault="001A570A">
      <w:pPr>
        <w:ind w:firstLine="450"/>
        <w:jc w:val="center"/>
        <w:divId w:val="367030721"/>
        <w:rPr>
          <w:rFonts w:eastAsia="Times New Roman"/>
        </w:rPr>
      </w:pPr>
      <w:r>
        <w:rPr>
          <w:rFonts w:eastAsia="Times New Roman"/>
          <w:color w:val="000000"/>
          <w:sz w:val="20"/>
          <w:szCs w:val="20"/>
        </w:rPr>
        <w:t>123</w:t>
      </w:r>
    </w:p>
    <w:p w14:paraId="1AEC4144" w14:textId="77777777" w:rsidR="00000000" w:rsidRDefault="001A570A">
      <w:pPr>
        <w:rPr>
          <w:rFonts w:eastAsia="Times New Roman"/>
        </w:rPr>
      </w:pPr>
      <w:r>
        <w:rPr>
          <w:rFonts w:eastAsia="Times New Roman"/>
        </w:rPr>
        <w:pict w14:anchorId="48997C55">
          <v:rect id="_x0000_i1151" style="width:0;height:1.5pt" o:hralign="center" o:hrstd="t" o:hr="t" fillcolor="#a0a0a0" stroked="f"/>
        </w:pict>
      </w:r>
    </w:p>
    <w:p w14:paraId="749083F3" w14:textId="77777777" w:rsidR="00000000" w:rsidRDefault="001A570A">
      <w:pPr>
        <w:ind w:firstLine="450"/>
        <w:divId w:val="36710163"/>
        <w:rPr>
          <w:rFonts w:eastAsia="Times New Roman"/>
        </w:rPr>
      </w:pPr>
    </w:p>
    <w:p w14:paraId="6722EE98" w14:textId="77777777" w:rsidR="00000000" w:rsidRDefault="001A570A">
      <w:pPr>
        <w:ind w:firstLine="450"/>
        <w:divId w:val="1590113383"/>
        <w:rPr>
          <w:rFonts w:eastAsia="Times New Roman"/>
        </w:rPr>
      </w:pPr>
      <w:r>
        <w:rPr>
          <w:rFonts w:eastAsia="Times New Roman"/>
          <w:color w:val="000000"/>
          <w:sz w:val="20"/>
          <w:szCs w:val="20"/>
        </w:rPr>
        <w:t xml:space="preserve">At January 1, </w:t>
      </w:r>
      <w:r>
        <w:rPr>
          <w:rFonts w:eastAsia="Times New Roman"/>
          <w:color w:val="000000"/>
          <w:sz w:val="20"/>
          <w:szCs w:val="20"/>
        </w:rPr>
        <w:t>2021, our ending backlog was $21.7 billion. We expect to recognize approximately 54 percent of the revenue associated with this backlog by the end of 2021 and approximately 85 percent by the end of 2023, with the remainder to be recognized thereafter. At J</w:t>
      </w:r>
      <w:r>
        <w:rPr>
          <w:rFonts w:eastAsia="Times New Roman"/>
          <w:color w:val="000000"/>
          <w:sz w:val="20"/>
          <w:szCs w:val="20"/>
        </w:rPr>
        <w:t xml:space="preserve">anuary 3, 2020, our ending backlog was $20.6 billion, including $380 million of backlog associated with the airport security and automation business, which was divested during the quarter ended July 3, 2020. </w:t>
      </w:r>
    </w:p>
    <w:p w14:paraId="42283E05" w14:textId="77777777" w:rsidR="00000000" w:rsidRDefault="001A570A">
      <w:pPr>
        <w:divId w:val="1613122283"/>
        <w:rPr>
          <w:rFonts w:eastAsia="Times New Roman"/>
        </w:rPr>
      </w:pPr>
      <w:r>
        <w:rPr>
          <w:rFonts w:eastAsia="Times New Roman"/>
          <w:b/>
          <w:bCs/>
          <w:color w:val="000000"/>
          <w:sz w:val="20"/>
          <w:szCs w:val="20"/>
        </w:rPr>
        <w:t xml:space="preserve">NOTE 25: BUSINESS SEGMENTS </w:t>
      </w:r>
    </w:p>
    <w:p w14:paraId="1CE028E0" w14:textId="77777777" w:rsidR="00000000" w:rsidRDefault="001A570A">
      <w:pPr>
        <w:ind w:firstLine="450"/>
        <w:divId w:val="1207136488"/>
        <w:rPr>
          <w:rFonts w:eastAsia="Times New Roman"/>
        </w:rPr>
      </w:pPr>
      <w:r>
        <w:rPr>
          <w:rFonts w:eastAsia="Times New Roman"/>
          <w:color w:val="000000"/>
          <w:sz w:val="20"/>
          <w:szCs w:val="20"/>
        </w:rPr>
        <w:t>We structure our op</w:t>
      </w:r>
      <w:r>
        <w:rPr>
          <w:rFonts w:eastAsia="Times New Roman"/>
          <w:color w:val="000000"/>
          <w:sz w:val="20"/>
          <w:szCs w:val="20"/>
        </w:rPr>
        <w:t>erations primarily around the products, systems and services we sell and the markets we serve, and we report the financial results of our continuing operations in the following four operating segments, which are also our reportable segments and are referre</w:t>
      </w:r>
      <w:r>
        <w:rPr>
          <w:rFonts w:eastAsia="Times New Roman"/>
          <w:color w:val="000000"/>
          <w:sz w:val="20"/>
          <w:szCs w:val="20"/>
        </w:rPr>
        <w:t xml:space="preserve">d to as our business segments: </w:t>
      </w:r>
    </w:p>
    <w:p w14:paraId="5E8CD1CB" w14:textId="77777777" w:rsidR="00000000" w:rsidRDefault="001A570A">
      <w:pPr>
        <w:ind w:hanging="180"/>
        <w:divId w:val="512450364"/>
        <w:rPr>
          <w:rFonts w:eastAsia="Times New Roman"/>
        </w:rPr>
      </w:pPr>
      <w:r>
        <w:rPr>
          <w:rFonts w:eastAsia="Times New Roman"/>
          <w:color w:val="000000"/>
          <w:sz w:val="20"/>
          <w:szCs w:val="20"/>
        </w:rPr>
        <w:t>•Integrated Mission Systems, including multi-mission ISR and communication systems; integrated electrical and electronic systems for maritime platforms; and advanced electro-optical and infrared solutions;</w:t>
      </w:r>
    </w:p>
    <w:p w14:paraId="5B595055" w14:textId="77777777" w:rsidR="00000000" w:rsidRDefault="001A570A">
      <w:pPr>
        <w:ind w:hanging="180"/>
        <w:divId w:val="725571848"/>
        <w:rPr>
          <w:rFonts w:eastAsia="Times New Roman"/>
        </w:rPr>
      </w:pPr>
      <w:r>
        <w:rPr>
          <w:rFonts w:eastAsia="Times New Roman"/>
          <w:color w:val="000000"/>
          <w:sz w:val="20"/>
          <w:szCs w:val="20"/>
        </w:rPr>
        <w:t>•Space and Airborn</w:t>
      </w:r>
      <w:r>
        <w:rPr>
          <w:rFonts w:eastAsia="Times New Roman"/>
          <w:color w:val="000000"/>
          <w:sz w:val="20"/>
          <w:szCs w:val="20"/>
        </w:rPr>
        <w:t>e Systems, including space payloads, sensors and full-mission solutions; classified intelligence and cyber defense; mission avionics; and electronic warfare;</w:t>
      </w:r>
    </w:p>
    <w:p w14:paraId="0C6BA2D3" w14:textId="77777777" w:rsidR="00000000" w:rsidRDefault="001A570A">
      <w:pPr>
        <w:ind w:hanging="180"/>
        <w:divId w:val="612588564"/>
        <w:rPr>
          <w:rFonts w:eastAsia="Times New Roman"/>
        </w:rPr>
      </w:pPr>
      <w:r>
        <w:rPr>
          <w:rFonts w:eastAsia="Times New Roman"/>
          <w:color w:val="000000"/>
          <w:sz w:val="20"/>
          <w:szCs w:val="20"/>
        </w:rPr>
        <w:t>•Communication Systems, including tactical communications; broadband communications; integrated vi</w:t>
      </w:r>
      <w:r>
        <w:rPr>
          <w:rFonts w:eastAsia="Times New Roman"/>
          <w:color w:val="000000"/>
          <w:sz w:val="20"/>
          <w:szCs w:val="20"/>
        </w:rPr>
        <w:t>sion solutions; and public safety; and</w:t>
      </w:r>
    </w:p>
    <w:p w14:paraId="1852393E" w14:textId="77777777" w:rsidR="00000000" w:rsidRDefault="001A570A">
      <w:pPr>
        <w:ind w:hanging="180"/>
        <w:divId w:val="284313774"/>
        <w:rPr>
          <w:rFonts w:eastAsia="Times New Roman"/>
        </w:rPr>
      </w:pPr>
      <w:r>
        <w:rPr>
          <w:rFonts w:eastAsia="Times New Roman"/>
          <w:color w:val="000000"/>
          <w:sz w:val="20"/>
          <w:szCs w:val="20"/>
        </w:rPr>
        <w:t>•Aviation Systems, including defense aviation; commercial aviation products; commercial and military pilot training; and mission networks for air traffic management.</w:t>
      </w:r>
    </w:p>
    <w:p w14:paraId="256AC908" w14:textId="77777777" w:rsidR="00000000" w:rsidRDefault="001A570A">
      <w:pPr>
        <w:ind w:firstLine="450"/>
        <w:divId w:val="1381326301"/>
        <w:rPr>
          <w:rFonts w:eastAsia="Times New Roman"/>
        </w:rPr>
      </w:pPr>
      <w:r>
        <w:rPr>
          <w:rFonts w:eastAsia="Times New Roman"/>
          <w:color w:val="000000"/>
          <w:sz w:val="20"/>
          <w:szCs w:val="20"/>
        </w:rPr>
        <w:t>During the first quarter of fiscal 2020, we adjuste</w:t>
      </w:r>
      <w:r>
        <w:rPr>
          <w:rFonts w:eastAsia="Times New Roman"/>
          <w:color w:val="000000"/>
          <w:sz w:val="20"/>
          <w:szCs w:val="20"/>
        </w:rPr>
        <w:t xml:space="preserve">d our segment reporting to better align our businesses and transferred two businesses between our Integrated Mission Systems and Space and Airborne Systems segments. The historical results, discussion and presentation of our business segments as set forth </w:t>
      </w:r>
      <w:r>
        <w:rPr>
          <w:rFonts w:eastAsia="Times New Roman"/>
          <w:color w:val="000000"/>
          <w:sz w:val="20"/>
          <w:szCs w:val="20"/>
        </w:rPr>
        <w:t>in our Consolidated Financial Statements and these Notes reflect the impact of these adjustments to our segment reporting for all periods presented in order to present the segment information on a comparable basis. There is no impact on our previously repo</w:t>
      </w:r>
      <w:r>
        <w:rPr>
          <w:rFonts w:eastAsia="Times New Roman"/>
          <w:color w:val="000000"/>
          <w:sz w:val="20"/>
          <w:szCs w:val="20"/>
        </w:rPr>
        <w:t>rted consolidated statements of income, balance sheets, statements of cash flows or statements of equity resulting from these adjustments.</w:t>
      </w:r>
    </w:p>
    <w:p w14:paraId="0CAEF2A7" w14:textId="77777777" w:rsidR="00000000" w:rsidRDefault="001A570A">
      <w:pPr>
        <w:ind w:firstLine="450"/>
        <w:divId w:val="2117557372"/>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3: Business Divestitures and Asset Sales</w:t>
      </w:r>
      <w:r>
        <w:rPr>
          <w:rFonts w:eastAsia="Times New Roman"/>
          <w:color w:val="000000"/>
          <w:sz w:val="20"/>
          <w:szCs w:val="20"/>
        </w:rPr>
        <w:t xml:space="preserve"> and elsewhere in these Notes, during the</w:t>
      </w:r>
      <w:r>
        <w:rPr>
          <w:rFonts w:eastAsia="Times New Roman"/>
          <w:color w:val="000000"/>
          <w:sz w:val="20"/>
          <w:szCs w:val="20"/>
        </w:rPr>
        <w:t xml:space="preserve"> Fiscal Transition Period and fiscal 2020, we completed the following business divestitures: </w:t>
      </w:r>
    </w:p>
    <w:p w14:paraId="2E9FB3BB" w14:textId="77777777" w:rsidR="00000000" w:rsidRDefault="001A570A">
      <w:pPr>
        <w:ind w:hanging="180"/>
        <w:divId w:val="566721919"/>
        <w:rPr>
          <w:rFonts w:eastAsia="Times New Roman"/>
        </w:rPr>
      </w:pPr>
      <w:r>
        <w:rPr>
          <w:rFonts w:eastAsia="Times New Roman"/>
          <w:color w:val="000000"/>
          <w:sz w:val="20"/>
          <w:szCs w:val="20"/>
        </w:rPr>
        <w:t>•The divestiture of the Harris Night Vision business, completed on September 13, 2019, the results of which are included in “Other non-reportable business segment</w:t>
      </w:r>
      <w:r>
        <w:rPr>
          <w:rFonts w:eastAsia="Times New Roman"/>
          <w:color w:val="000000"/>
          <w:sz w:val="20"/>
          <w:szCs w:val="20"/>
        </w:rPr>
        <w:t xml:space="preserve">s” through the date of divestiture; </w:t>
      </w:r>
    </w:p>
    <w:p w14:paraId="3FBED637" w14:textId="77777777" w:rsidR="00000000" w:rsidRDefault="001A570A">
      <w:pPr>
        <w:ind w:hanging="180"/>
        <w:divId w:val="303582661"/>
        <w:rPr>
          <w:rFonts w:eastAsia="Times New Roman"/>
        </w:rPr>
      </w:pPr>
      <w:r>
        <w:rPr>
          <w:rFonts w:eastAsia="Times New Roman"/>
          <w:color w:val="000000"/>
          <w:sz w:val="20"/>
          <w:szCs w:val="20"/>
        </w:rPr>
        <w:t xml:space="preserve">•The divestiture of the airport security and automation business, completed on May 4, 2020, the results of which are reported as part of our Aviation Systems segment through the date of divestiture; </w:t>
      </w:r>
    </w:p>
    <w:p w14:paraId="172CC82F" w14:textId="77777777" w:rsidR="00000000" w:rsidRDefault="001A570A">
      <w:pPr>
        <w:ind w:hanging="180"/>
        <w:divId w:val="390151905"/>
        <w:rPr>
          <w:rFonts w:eastAsia="Times New Roman"/>
        </w:rPr>
      </w:pPr>
      <w:r>
        <w:rPr>
          <w:rFonts w:eastAsia="Times New Roman"/>
          <w:color w:val="000000"/>
          <w:sz w:val="20"/>
          <w:szCs w:val="20"/>
        </w:rPr>
        <w:t>•The divestiture of</w:t>
      </w:r>
      <w:r>
        <w:rPr>
          <w:rFonts w:eastAsia="Times New Roman"/>
          <w:color w:val="000000"/>
          <w:sz w:val="20"/>
          <w:szCs w:val="20"/>
        </w:rPr>
        <w:t xml:space="preserve"> the Applied Kilovolts and Analytical Instrumentation business, completed on May 15, 2020, the results of which are reported as part of our Space and Airborne Systems segment through the date of divestiture; and </w:t>
      </w:r>
    </w:p>
    <w:p w14:paraId="2C088280" w14:textId="77777777" w:rsidR="00000000" w:rsidRDefault="001A570A">
      <w:pPr>
        <w:ind w:hanging="180"/>
        <w:divId w:val="1625036328"/>
        <w:rPr>
          <w:rFonts w:eastAsia="Times New Roman"/>
        </w:rPr>
      </w:pPr>
      <w:r>
        <w:rPr>
          <w:rFonts w:eastAsia="Times New Roman"/>
          <w:color w:val="000000"/>
          <w:sz w:val="20"/>
          <w:szCs w:val="20"/>
        </w:rPr>
        <w:t>•The divestiture of the EOTech business, co</w:t>
      </w:r>
      <w:r>
        <w:rPr>
          <w:rFonts w:eastAsia="Times New Roman"/>
          <w:color w:val="000000"/>
          <w:sz w:val="20"/>
          <w:szCs w:val="20"/>
        </w:rPr>
        <w:t>mpleted on July 31, 2020, the results of which are reported as part of our Communication Systems segment through the date of divestiture.</w:t>
      </w:r>
    </w:p>
    <w:p w14:paraId="5D8330A8" w14:textId="77777777" w:rsidR="00000000" w:rsidRDefault="001A570A">
      <w:pPr>
        <w:ind w:firstLine="450"/>
        <w:divId w:val="233859142"/>
        <w:rPr>
          <w:rFonts w:eastAsia="Times New Roman"/>
        </w:rPr>
      </w:pPr>
    </w:p>
    <w:p w14:paraId="0CEE73CD" w14:textId="77777777" w:rsidR="00000000" w:rsidRDefault="001A570A">
      <w:pPr>
        <w:ind w:firstLine="450"/>
        <w:jc w:val="center"/>
        <w:divId w:val="1724137998"/>
        <w:rPr>
          <w:rFonts w:eastAsia="Times New Roman"/>
        </w:rPr>
      </w:pPr>
      <w:r>
        <w:rPr>
          <w:rFonts w:eastAsia="Times New Roman"/>
          <w:color w:val="000000"/>
          <w:sz w:val="20"/>
          <w:szCs w:val="20"/>
        </w:rPr>
        <w:t>124</w:t>
      </w:r>
    </w:p>
    <w:p w14:paraId="32DD3FFD" w14:textId="77777777" w:rsidR="00000000" w:rsidRDefault="001A570A">
      <w:pPr>
        <w:rPr>
          <w:rFonts w:eastAsia="Times New Roman"/>
        </w:rPr>
      </w:pPr>
      <w:r>
        <w:rPr>
          <w:rFonts w:eastAsia="Times New Roman"/>
        </w:rPr>
        <w:pict w14:anchorId="4343AC02">
          <v:rect id="_x0000_i1152" style="width:0;height:1.5pt" o:hralign="center" o:hrstd="t" o:hr="t" fillcolor="#a0a0a0" stroked="f"/>
        </w:pict>
      </w:r>
    </w:p>
    <w:p w14:paraId="6CEC8F72" w14:textId="77777777" w:rsidR="00000000" w:rsidRDefault="001A570A">
      <w:pPr>
        <w:ind w:firstLine="450"/>
        <w:divId w:val="2092966996"/>
        <w:rPr>
          <w:rFonts w:eastAsia="Times New Roman"/>
        </w:rPr>
      </w:pPr>
    </w:p>
    <w:p w14:paraId="4A47EDA4" w14:textId="77777777" w:rsidR="00000000" w:rsidRDefault="001A570A">
      <w:pPr>
        <w:ind w:firstLine="450"/>
        <w:divId w:val="1000932582"/>
        <w:rPr>
          <w:rFonts w:eastAsia="Times New Roman"/>
        </w:rPr>
      </w:pPr>
      <w:r>
        <w:rPr>
          <w:rFonts w:eastAsia="Times New Roman"/>
          <w:color w:val="000000"/>
          <w:sz w:val="20"/>
          <w:szCs w:val="20"/>
        </w:rPr>
        <w:t xml:space="preserve">Segment revenue, segment operating income and a reconciliation of segment </w:t>
      </w:r>
      <w:r>
        <w:rPr>
          <w:rFonts w:eastAsia="Times New Roman"/>
          <w:color w:val="000000"/>
          <w:sz w:val="20"/>
          <w:szCs w:val="20"/>
        </w:rPr>
        <w:t>operating income to total income from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3967"/>
        <w:gridCol w:w="40"/>
        <w:gridCol w:w="120"/>
        <w:gridCol w:w="861"/>
        <w:gridCol w:w="36"/>
        <w:gridCol w:w="36"/>
        <w:gridCol w:w="36"/>
        <w:gridCol w:w="36"/>
        <w:gridCol w:w="121"/>
        <w:gridCol w:w="816"/>
        <w:gridCol w:w="36"/>
        <w:gridCol w:w="36"/>
        <w:gridCol w:w="36"/>
        <w:gridCol w:w="36"/>
        <w:gridCol w:w="120"/>
        <w:gridCol w:w="816"/>
        <w:gridCol w:w="36"/>
        <w:gridCol w:w="36"/>
        <w:gridCol w:w="36"/>
        <w:gridCol w:w="36"/>
        <w:gridCol w:w="120"/>
        <w:gridCol w:w="816"/>
        <w:gridCol w:w="36"/>
      </w:tblGrid>
      <w:tr w:rsidR="00000000" w14:paraId="7EE664E9" w14:textId="77777777">
        <w:trPr>
          <w:divId w:val="944115306"/>
        </w:trPr>
        <w:tc>
          <w:tcPr>
            <w:tcW w:w="50" w:type="pct"/>
            <w:vAlign w:val="center"/>
            <w:hideMark/>
          </w:tcPr>
          <w:p w14:paraId="447495B4" w14:textId="77777777" w:rsidR="00000000" w:rsidRDefault="001A570A">
            <w:pPr>
              <w:ind w:firstLine="450"/>
              <w:rPr>
                <w:rFonts w:eastAsia="Times New Roman"/>
              </w:rPr>
            </w:pPr>
          </w:p>
        </w:tc>
        <w:tc>
          <w:tcPr>
            <w:tcW w:w="2423" w:type="pct"/>
            <w:vAlign w:val="center"/>
            <w:hideMark/>
          </w:tcPr>
          <w:p w14:paraId="479FEE29" w14:textId="77777777" w:rsidR="00000000" w:rsidRDefault="001A570A">
            <w:pPr>
              <w:rPr>
                <w:rFonts w:eastAsia="Times New Roman"/>
                <w:sz w:val="20"/>
                <w:szCs w:val="20"/>
              </w:rPr>
            </w:pPr>
          </w:p>
        </w:tc>
        <w:tc>
          <w:tcPr>
            <w:tcW w:w="5" w:type="pct"/>
            <w:vAlign w:val="center"/>
            <w:hideMark/>
          </w:tcPr>
          <w:p w14:paraId="5D807794" w14:textId="77777777" w:rsidR="00000000" w:rsidRDefault="001A570A">
            <w:pPr>
              <w:rPr>
                <w:rFonts w:eastAsia="Times New Roman"/>
                <w:sz w:val="20"/>
                <w:szCs w:val="20"/>
              </w:rPr>
            </w:pPr>
          </w:p>
        </w:tc>
        <w:tc>
          <w:tcPr>
            <w:tcW w:w="50" w:type="pct"/>
            <w:vAlign w:val="center"/>
            <w:hideMark/>
          </w:tcPr>
          <w:p w14:paraId="24785D0E" w14:textId="77777777" w:rsidR="00000000" w:rsidRDefault="001A570A">
            <w:pPr>
              <w:rPr>
                <w:rFonts w:eastAsia="Times New Roman"/>
                <w:sz w:val="20"/>
                <w:szCs w:val="20"/>
              </w:rPr>
            </w:pPr>
          </w:p>
        </w:tc>
        <w:tc>
          <w:tcPr>
            <w:tcW w:w="548" w:type="pct"/>
            <w:vAlign w:val="center"/>
            <w:hideMark/>
          </w:tcPr>
          <w:p w14:paraId="3896B854" w14:textId="77777777" w:rsidR="00000000" w:rsidRDefault="001A570A">
            <w:pPr>
              <w:rPr>
                <w:rFonts w:eastAsia="Times New Roman"/>
                <w:sz w:val="20"/>
                <w:szCs w:val="20"/>
              </w:rPr>
            </w:pPr>
          </w:p>
        </w:tc>
        <w:tc>
          <w:tcPr>
            <w:tcW w:w="5" w:type="pct"/>
            <w:vAlign w:val="center"/>
            <w:hideMark/>
          </w:tcPr>
          <w:p w14:paraId="092A4AFB" w14:textId="77777777" w:rsidR="00000000" w:rsidRDefault="001A570A">
            <w:pPr>
              <w:rPr>
                <w:rFonts w:eastAsia="Times New Roman"/>
                <w:sz w:val="20"/>
                <w:szCs w:val="20"/>
              </w:rPr>
            </w:pPr>
          </w:p>
        </w:tc>
        <w:tc>
          <w:tcPr>
            <w:tcW w:w="5" w:type="pct"/>
            <w:vAlign w:val="center"/>
            <w:hideMark/>
          </w:tcPr>
          <w:p w14:paraId="368B3834" w14:textId="77777777" w:rsidR="00000000" w:rsidRDefault="001A570A">
            <w:pPr>
              <w:rPr>
                <w:rFonts w:eastAsia="Times New Roman"/>
                <w:sz w:val="20"/>
                <w:szCs w:val="20"/>
              </w:rPr>
            </w:pPr>
          </w:p>
        </w:tc>
        <w:tc>
          <w:tcPr>
            <w:tcW w:w="25" w:type="pct"/>
            <w:vAlign w:val="center"/>
            <w:hideMark/>
          </w:tcPr>
          <w:p w14:paraId="15F80580" w14:textId="77777777" w:rsidR="00000000" w:rsidRDefault="001A570A">
            <w:pPr>
              <w:rPr>
                <w:rFonts w:eastAsia="Times New Roman"/>
                <w:sz w:val="20"/>
                <w:szCs w:val="20"/>
              </w:rPr>
            </w:pPr>
          </w:p>
        </w:tc>
        <w:tc>
          <w:tcPr>
            <w:tcW w:w="5" w:type="pct"/>
            <w:vAlign w:val="center"/>
            <w:hideMark/>
          </w:tcPr>
          <w:p w14:paraId="66F7B479" w14:textId="77777777" w:rsidR="00000000" w:rsidRDefault="001A570A">
            <w:pPr>
              <w:rPr>
                <w:rFonts w:eastAsia="Times New Roman"/>
                <w:sz w:val="20"/>
                <w:szCs w:val="20"/>
              </w:rPr>
            </w:pPr>
          </w:p>
        </w:tc>
        <w:tc>
          <w:tcPr>
            <w:tcW w:w="50" w:type="pct"/>
            <w:vAlign w:val="center"/>
            <w:hideMark/>
          </w:tcPr>
          <w:p w14:paraId="47D36FE8" w14:textId="77777777" w:rsidR="00000000" w:rsidRDefault="001A570A">
            <w:pPr>
              <w:rPr>
                <w:rFonts w:eastAsia="Times New Roman"/>
                <w:sz w:val="20"/>
                <w:szCs w:val="20"/>
              </w:rPr>
            </w:pPr>
          </w:p>
        </w:tc>
        <w:tc>
          <w:tcPr>
            <w:tcW w:w="548" w:type="pct"/>
            <w:vAlign w:val="center"/>
            <w:hideMark/>
          </w:tcPr>
          <w:p w14:paraId="1578EAFB" w14:textId="77777777" w:rsidR="00000000" w:rsidRDefault="001A570A">
            <w:pPr>
              <w:rPr>
                <w:rFonts w:eastAsia="Times New Roman"/>
                <w:sz w:val="20"/>
                <w:szCs w:val="20"/>
              </w:rPr>
            </w:pPr>
          </w:p>
        </w:tc>
        <w:tc>
          <w:tcPr>
            <w:tcW w:w="5" w:type="pct"/>
            <w:vAlign w:val="center"/>
            <w:hideMark/>
          </w:tcPr>
          <w:p w14:paraId="5ADB4E89" w14:textId="77777777" w:rsidR="00000000" w:rsidRDefault="001A570A">
            <w:pPr>
              <w:rPr>
                <w:rFonts w:eastAsia="Times New Roman"/>
                <w:sz w:val="20"/>
                <w:szCs w:val="20"/>
              </w:rPr>
            </w:pPr>
          </w:p>
        </w:tc>
        <w:tc>
          <w:tcPr>
            <w:tcW w:w="5" w:type="pct"/>
            <w:vAlign w:val="center"/>
            <w:hideMark/>
          </w:tcPr>
          <w:p w14:paraId="2A60D62E" w14:textId="77777777" w:rsidR="00000000" w:rsidRDefault="001A570A">
            <w:pPr>
              <w:rPr>
                <w:rFonts w:eastAsia="Times New Roman"/>
                <w:sz w:val="20"/>
                <w:szCs w:val="20"/>
              </w:rPr>
            </w:pPr>
          </w:p>
        </w:tc>
        <w:tc>
          <w:tcPr>
            <w:tcW w:w="25" w:type="pct"/>
            <w:vAlign w:val="center"/>
            <w:hideMark/>
          </w:tcPr>
          <w:p w14:paraId="60057894" w14:textId="77777777" w:rsidR="00000000" w:rsidRDefault="001A570A">
            <w:pPr>
              <w:rPr>
                <w:rFonts w:eastAsia="Times New Roman"/>
                <w:sz w:val="20"/>
                <w:szCs w:val="20"/>
              </w:rPr>
            </w:pPr>
          </w:p>
        </w:tc>
        <w:tc>
          <w:tcPr>
            <w:tcW w:w="5" w:type="pct"/>
            <w:vAlign w:val="center"/>
            <w:hideMark/>
          </w:tcPr>
          <w:p w14:paraId="4CEFA5C0" w14:textId="77777777" w:rsidR="00000000" w:rsidRDefault="001A570A">
            <w:pPr>
              <w:rPr>
                <w:rFonts w:eastAsia="Times New Roman"/>
                <w:sz w:val="20"/>
                <w:szCs w:val="20"/>
              </w:rPr>
            </w:pPr>
          </w:p>
        </w:tc>
        <w:tc>
          <w:tcPr>
            <w:tcW w:w="50" w:type="pct"/>
            <w:vAlign w:val="center"/>
            <w:hideMark/>
          </w:tcPr>
          <w:p w14:paraId="20B68461" w14:textId="77777777" w:rsidR="00000000" w:rsidRDefault="001A570A">
            <w:pPr>
              <w:rPr>
                <w:rFonts w:eastAsia="Times New Roman"/>
                <w:sz w:val="20"/>
                <w:szCs w:val="20"/>
              </w:rPr>
            </w:pPr>
          </w:p>
        </w:tc>
        <w:tc>
          <w:tcPr>
            <w:tcW w:w="548" w:type="pct"/>
            <w:vAlign w:val="center"/>
            <w:hideMark/>
          </w:tcPr>
          <w:p w14:paraId="1501379C" w14:textId="77777777" w:rsidR="00000000" w:rsidRDefault="001A570A">
            <w:pPr>
              <w:rPr>
                <w:rFonts w:eastAsia="Times New Roman"/>
                <w:sz w:val="20"/>
                <w:szCs w:val="20"/>
              </w:rPr>
            </w:pPr>
          </w:p>
        </w:tc>
        <w:tc>
          <w:tcPr>
            <w:tcW w:w="5" w:type="pct"/>
            <w:vAlign w:val="center"/>
            <w:hideMark/>
          </w:tcPr>
          <w:p w14:paraId="6ABF2241" w14:textId="77777777" w:rsidR="00000000" w:rsidRDefault="001A570A">
            <w:pPr>
              <w:rPr>
                <w:rFonts w:eastAsia="Times New Roman"/>
                <w:sz w:val="20"/>
                <w:szCs w:val="20"/>
              </w:rPr>
            </w:pPr>
          </w:p>
        </w:tc>
        <w:tc>
          <w:tcPr>
            <w:tcW w:w="5" w:type="pct"/>
            <w:vAlign w:val="center"/>
            <w:hideMark/>
          </w:tcPr>
          <w:p w14:paraId="4191F580" w14:textId="77777777" w:rsidR="00000000" w:rsidRDefault="001A570A">
            <w:pPr>
              <w:rPr>
                <w:rFonts w:eastAsia="Times New Roman"/>
                <w:sz w:val="20"/>
                <w:szCs w:val="20"/>
              </w:rPr>
            </w:pPr>
          </w:p>
        </w:tc>
        <w:tc>
          <w:tcPr>
            <w:tcW w:w="25" w:type="pct"/>
            <w:vAlign w:val="center"/>
            <w:hideMark/>
          </w:tcPr>
          <w:p w14:paraId="1783F9D5" w14:textId="77777777" w:rsidR="00000000" w:rsidRDefault="001A570A">
            <w:pPr>
              <w:rPr>
                <w:rFonts w:eastAsia="Times New Roman"/>
                <w:sz w:val="20"/>
                <w:szCs w:val="20"/>
              </w:rPr>
            </w:pPr>
          </w:p>
        </w:tc>
        <w:tc>
          <w:tcPr>
            <w:tcW w:w="5" w:type="pct"/>
            <w:vAlign w:val="center"/>
            <w:hideMark/>
          </w:tcPr>
          <w:p w14:paraId="3D141B0C" w14:textId="77777777" w:rsidR="00000000" w:rsidRDefault="001A570A">
            <w:pPr>
              <w:rPr>
                <w:rFonts w:eastAsia="Times New Roman"/>
                <w:sz w:val="20"/>
                <w:szCs w:val="20"/>
              </w:rPr>
            </w:pPr>
          </w:p>
        </w:tc>
        <w:tc>
          <w:tcPr>
            <w:tcW w:w="50" w:type="pct"/>
            <w:vAlign w:val="center"/>
            <w:hideMark/>
          </w:tcPr>
          <w:p w14:paraId="475E7DD1" w14:textId="77777777" w:rsidR="00000000" w:rsidRDefault="001A570A">
            <w:pPr>
              <w:rPr>
                <w:rFonts w:eastAsia="Times New Roman"/>
                <w:sz w:val="20"/>
                <w:szCs w:val="20"/>
              </w:rPr>
            </w:pPr>
          </w:p>
        </w:tc>
        <w:tc>
          <w:tcPr>
            <w:tcW w:w="548" w:type="pct"/>
            <w:vAlign w:val="center"/>
            <w:hideMark/>
          </w:tcPr>
          <w:p w14:paraId="0F0D8854" w14:textId="77777777" w:rsidR="00000000" w:rsidRDefault="001A570A">
            <w:pPr>
              <w:rPr>
                <w:rFonts w:eastAsia="Times New Roman"/>
                <w:sz w:val="20"/>
                <w:szCs w:val="20"/>
              </w:rPr>
            </w:pPr>
          </w:p>
        </w:tc>
        <w:tc>
          <w:tcPr>
            <w:tcW w:w="5" w:type="pct"/>
            <w:vAlign w:val="center"/>
            <w:hideMark/>
          </w:tcPr>
          <w:p w14:paraId="1533CA59" w14:textId="77777777" w:rsidR="00000000" w:rsidRDefault="001A570A">
            <w:pPr>
              <w:rPr>
                <w:rFonts w:eastAsia="Times New Roman"/>
                <w:sz w:val="20"/>
                <w:szCs w:val="20"/>
              </w:rPr>
            </w:pPr>
          </w:p>
        </w:tc>
      </w:tr>
      <w:tr w:rsidR="00000000" w14:paraId="0A5EE7AF" w14:textId="77777777">
        <w:trPr>
          <w:divId w:val="944115306"/>
        </w:trPr>
        <w:tc>
          <w:tcPr>
            <w:tcW w:w="0" w:type="auto"/>
            <w:gridSpan w:val="3"/>
            <w:tcMar>
              <w:top w:w="0" w:type="dxa"/>
              <w:left w:w="20" w:type="dxa"/>
              <w:bottom w:w="0" w:type="dxa"/>
              <w:right w:w="20" w:type="dxa"/>
            </w:tcMar>
            <w:vAlign w:val="center"/>
            <w:hideMark/>
          </w:tcPr>
          <w:p w14:paraId="67BA41C4"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F79F79C"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351CFBB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3F209AE"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676A1C65"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6CD033C4"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4EC8FA0D" w14:textId="77777777">
        <w:trPr>
          <w:divId w:val="944115306"/>
        </w:trPr>
        <w:tc>
          <w:tcPr>
            <w:tcW w:w="0" w:type="auto"/>
            <w:gridSpan w:val="3"/>
            <w:tcMar>
              <w:top w:w="30" w:type="dxa"/>
              <w:left w:w="20" w:type="dxa"/>
              <w:bottom w:w="30" w:type="dxa"/>
              <w:right w:w="20" w:type="dxa"/>
            </w:tcMar>
            <w:vAlign w:val="bottom"/>
            <w:hideMark/>
          </w:tcPr>
          <w:p w14:paraId="75EAD340"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CB744AC"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DD24F3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364E9E"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5672E87A"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4D6B83"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6222363D"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879E19" w14:textId="77777777" w:rsidR="00000000" w:rsidRDefault="001A570A">
            <w:pPr>
              <w:jc w:val="center"/>
              <w:rPr>
                <w:rFonts w:eastAsia="Times New Roman"/>
              </w:rPr>
            </w:pPr>
            <w:r>
              <w:rPr>
                <w:rFonts w:eastAsia="Times New Roman"/>
                <w:b/>
                <w:bCs/>
                <w:color w:val="000000"/>
                <w:sz w:val="16"/>
                <w:szCs w:val="16"/>
              </w:rPr>
              <w:t>June 29, 2018</w:t>
            </w:r>
          </w:p>
        </w:tc>
      </w:tr>
      <w:tr w:rsidR="00000000" w14:paraId="13F6E2E2" w14:textId="77777777">
        <w:trPr>
          <w:divId w:val="944115306"/>
          <w:trHeight w:val="60"/>
        </w:trPr>
        <w:tc>
          <w:tcPr>
            <w:tcW w:w="0" w:type="auto"/>
            <w:gridSpan w:val="3"/>
            <w:tcMar>
              <w:top w:w="0" w:type="dxa"/>
              <w:left w:w="20" w:type="dxa"/>
              <w:bottom w:w="0" w:type="dxa"/>
              <w:right w:w="20" w:type="dxa"/>
            </w:tcMar>
            <w:vAlign w:val="center"/>
            <w:hideMark/>
          </w:tcPr>
          <w:p w14:paraId="0F2D9DD1"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40C0D4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D66390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A6B26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716489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EAE34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A1D02C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FFDE11" w14:textId="77777777" w:rsidR="00000000" w:rsidRDefault="001A570A">
            <w:pPr>
              <w:rPr>
                <w:rFonts w:eastAsia="Times New Roman"/>
                <w:sz w:val="20"/>
                <w:szCs w:val="20"/>
              </w:rPr>
            </w:pPr>
          </w:p>
        </w:tc>
      </w:tr>
      <w:tr w:rsidR="00000000" w14:paraId="779A9420" w14:textId="77777777">
        <w:trPr>
          <w:divId w:val="944115306"/>
        </w:trPr>
        <w:tc>
          <w:tcPr>
            <w:tcW w:w="0" w:type="auto"/>
            <w:gridSpan w:val="3"/>
            <w:shd w:val="clear" w:color="auto" w:fill="CCEEFF"/>
            <w:tcMar>
              <w:top w:w="30" w:type="dxa"/>
              <w:left w:w="20" w:type="dxa"/>
              <w:bottom w:w="30" w:type="dxa"/>
              <w:right w:w="20" w:type="dxa"/>
            </w:tcMar>
            <w:hideMark/>
          </w:tcPr>
          <w:p w14:paraId="016AAE21" w14:textId="77777777" w:rsidR="00000000" w:rsidRDefault="001A570A">
            <w:pPr>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14:paraId="74A6DA0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7985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CE7F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D150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EC7CE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801E6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A4A20" w14:textId="77777777" w:rsidR="00000000" w:rsidRDefault="001A570A">
            <w:pPr>
              <w:rPr>
                <w:rFonts w:eastAsia="Times New Roman"/>
                <w:sz w:val="20"/>
                <w:szCs w:val="20"/>
              </w:rPr>
            </w:pPr>
          </w:p>
        </w:tc>
      </w:tr>
      <w:tr w:rsidR="00000000" w14:paraId="40ABD295" w14:textId="77777777">
        <w:trPr>
          <w:divId w:val="944115306"/>
        </w:trPr>
        <w:tc>
          <w:tcPr>
            <w:tcW w:w="0" w:type="auto"/>
            <w:gridSpan w:val="3"/>
            <w:shd w:val="clear" w:color="auto" w:fill="FFFFFF"/>
            <w:tcMar>
              <w:top w:w="30" w:type="dxa"/>
              <w:left w:w="20" w:type="dxa"/>
              <w:bottom w:w="30" w:type="dxa"/>
              <w:right w:w="20" w:type="dxa"/>
            </w:tcMar>
            <w:hideMark/>
          </w:tcPr>
          <w:p w14:paraId="00317C0D"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0570ABE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7FAB10" w14:textId="77777777" w:rsidR="00000000" w:rsidRDefault="001A570A">
            <w:pPr>
              <w:jc w:val="right"/>
              <w:rPr>
                <w:rFonts w:eastAsia="Times New Roman"/>
              </w:rPr>
            </w:pPr>
            <w:r>
              <w:rPr>
                <w:rFonts w:eastAsia="Times New Roman"/>
                <w:color w:val="000000"/>
                <w:sz w:val="20"/>
                <w:szCs w:val="20"/>
              </w:rPr>
              <w:t>5,538 </w:t>
            </w:r>
          </w:p>
        </w:tc>
        <w:tc>
          <w:tcPr>
            <w:tcW w:w="0" w:type="auto"/>
            <w:shd w:val="clear" w:color="auto" w:fill="FFFFFF"/>
            <w:tcMar>
              <w:top w:w="30" w:type="dxa"/>
              <w:left w:w="0" w:type="dxa"/>
              <w:bottom w:w="30" w:type="dxa"/>
              <w:right w:w="20" w:type="dxa"/>
            </w:tcMar>
            <w:vAlign w:val="bottom"/>
            <w:hideMark/>
          </w:tcPr>
          <w:p w14:paraId="12D26D7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E9AC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451D7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87144C" w14:textId="77777777" w:rsidR="00000000" w:rsidRDefault="001A570A">
            <w:pPr>
              <w:jc w:val="right"/>
              <w:rPr>
                <w:rFonts w:eastAsia="Times New Roman"/>
              </w:rPr>
            </w:pPr>
            <w:r>
              <w:rPr>
                <w:rFonts w:eastAsia="Times New Roman"/>
                <w:color w:val="000000"/>
                <w:sz w:val="20"/>
                <w:szCs w:val="20"/>
              </w:rPr>
              <w:t>2,758 </w:t>
            </w:r>
          </w:p>
        </w:tc>
        <w:tc>
          <w:tcPr>
            <w:tcW w:w="0" w:type="auto"/>
            <w:shd w:val="clear" w:color="auto" w:fill="FFFFFF"/>
            <w:tcMar>
              <w:top w:w="30" w:type="dxa"/>
              <w:left w:w="0" w:type="dxa"/>
              <w:bottom w:w="30" w:type="dxa"/>
              <w:right w:w="20" w:type="dxa"/>
            </w:tcMar>
            <w:vAlign w:val="bottom"/>
            <w:hideMark/>
          </w:tcPr>
          <w:p w14:paraId="5B2293C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D2AC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AE6E6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CD5C86" w14:textId="77777777" w:rsidR="00000000" w:rsidRDefault="001A570A">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71635FF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6488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FA026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3AA6DE" w14:textId="77777777" w:rsidR="00000000" w:rsidRDefault="001A570A">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09208C1C" w14:textId="77777777" w:rsidR="00000000" w:rsidRDefault="001A570A">
            <w:pPr>
              <w:jc w:val="right"/>
              <w:rPr>
                <w:rFonts w:eastAsia="Times New Roman"/>
              </w:rPr>
            </w:pPr>
          </w:p>
        </w:tc>
      </w:tr>
      <w:tr w:rsidR="00000000" w14:paraId="146E3C05" w14:textId="77777777">
        <w:trPr>
          <w:divId w:val="944115306"/>
        </w:trPr>
        <w:tc>
          <w:tcPr>
            <w:tcW w:w="0" w:type="auto"/>
            <w:gridSpan w:val="3"/>
            <w:shd w:val="clear" w:color="auto" w:fill="CCEEFF"/>
            <w:tcMar>
              <w:top w:w="30" w:type="dxa"/>
              <w:left w:w="20" w:type="dxa"/>
              <w:bottom w:w="30" w:type="dxa"/>
              <w:right w:w="20" w:type="dxa"/>
            </w:tcMar>
            <w:hideMark/>
          </w:tcPr>
          <w:p w14:paraId="1ABA71C0"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7DAAA17F" w14:textId="77777777" w:rsidR="00000000" w:rsidRDefault="001A570A">
            <w:pPr>
              <w:jc w:val="right"/>
              <w:rPr>
                <w:rFonts w:eastAsia="Times New Roman"/>
              </w:rPr>
            </w:pPr>
            <w:r>
              <w:rPr>
                <w:rFonts w:eastAsia="Times New Roman"/>
                <w:color w:val="000000"/>
                <w:sz w:val="20"/>
                <w:szCs w:val="20"/>
              </w:rPr>
              <w:t>4,946 </w:t>
            </w:r>
          </w:p>
        </w:tc>
        <w:tc>
          <w:tcPr>
            <w:tcW w:w="0" w:type="auto"/>
            <w:shd w:val="clear" w:color="auto" w:fill="CCEEFF"/>
            <w:tcMar>
              <w:top w:w="30" w:type="dxa"/>
              <w:left w:w="0" w:type="dxa"/>
              <w:bottom w:w="30" w:type="dxa"/>
              <w:right w:w="20" w:type="dxa"/>
            </w:tcMar>
            <w:vAlign w:val="bottom"/>
            <w:hideMark/>
          </w:tcPr>
          <w:p w14:paraId="160281A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552C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B4F449" w14:textId="77777777" w:rsidR="00000000" w:rsidRDefault="001A570A">
            <w:pPr>
              <w:jc w:val="right"/>
              <w:rPr>
                <w:rFonts w:eastAsia="Times New Roman"/>
              </w:rPr>
            </w:pPr>
            <w:r>
              <w:rPr>
                <w:rFonts w:eastAsia="Times New Roman"/>
                <w:color w:val="000000"/>
                <w:sz w:val="20"/>
                <w:szCs w:val="20"/>
              </w:rPr>
              <w:t>2,377 </w:t>
            </w:r>
          </w:p>
        </w:tc>
        <w:tc>
          <w:tcPr>
            <w:tcW w:w="0" w:type="auto"/>
            <w:shd w:val="clear" w:color="auto" w:fill="CCEEFF"/>
            <w:tcMar>
              <w:top w:w="30" w:type="dxa"/>
              <w:left w:w="0" w:type="dxa"/>
              <w:bottom w:w="30" w:type="dxa"/>
              <w:right w:w="20" w:type="dxa"/>
            </w:tcMar>
            <w:vAlign w:val="bottom"/>
            <w:hideMark/>
          </w:tcPr>
          <w:p w14:paraId="720C484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E52C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AFECD" w14:textId="77777777" w:rsidR="00000000" w:rsidRDefault="001A570A">
            <w:pPr>
              <w:jc w:val="right"/>
              <w:rPr>
                <w:rFonts w:eastAsia="Times New Roman"/>
              </w:rPr>
            </w:pPr>
            <w:r>
              <w:rPr>
                <w:rFonts w:eastAsia="Times New Roman"/>
                <w:color w:val="000000"/>
                <w:sz w:val="20"/>
                <w:szCs w:val="20"/>
              </w:rPr>
              <w:t>3,711 </w:t>
            </w:r>
          </w:p>
        </w:tc>
        <w:tc>
          <w:tcPr>
            <w:tcW w:w="0" w:type="auto"/>
            <w:shd w:val="clear" w:color="auto" w:fill="CCEEFF"/>
            <w:tcMar>
              <w:top w:w="30" w:type="dxa"/>
              <w:left w:w="0" w:type="dxa"/>
              <w:bottom w:w="30" w:type="dxa"/>
              <w:right w:w="20" w:type="dxa"/>
            </w:tcMar>
            <w:vAlign w:val="bottom"/>
            <w:hideMark/>
          </w:tcPr>
          <w:p w14:paraId="010DDC2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2E02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D8C1C" w14:textId="77777777" w:rsidR="00000000" w:rsidRDefault="001A570A">
            <w:pPr>
              <w:jc w:val="right"/>
              <w:rPr>
                <w:rFonts w:eastAsia="Times New Roman"/>
              </w:rPr>
            </w:pPr>
            <w:r>
              <w:rPr>
                <w:rFonts w:eastAsia="Times New Roman"/>
                <w:color w:val="000000"/>
                <w:sz w:val="20"/>
                <w:szCs w:val="20"/>
              </w:rPr>
              <w:t>3,294 </w:t>
            </w:r>
          </w:p>
        </w:tc>
        <w:tc>
          <w:tcPr>
            <w:tcW w:w="0" w:type="auto"/>
            <w:shd w:val="clear" w:color="auto" w:fill="CCEEFF"/>
            <w:tcMar>
              <w:top w:w="30" w:type="dxa"/>
              <w:left w:w="0" w:type="dxa"/>
              <w:bottom w:w="30" w:type="dxa"/>
              <w:right w:w="20" w:type="dxa"/>
            </w:tcMar>
            <w:vAlign w:val="bottom"/>
            <w:hideMark/>
          </w:tcPr>
          <w:p w14:paraId="5E94FB01" w14:textId="77777777" w:rsidR="00000000" w:rsidRDefault="001A570A">
            <w:pPr>
              <w:jc w:val="right"/>
              <w:rPr>
                <w:rFonts w:eastAsia="Times New Roman"/>
              </w:rPr>
            </w:pPr>
          </w:p>
        </w:tc>
      </w:tr>
      <w:tr w:rsidR="00000000" w14:paraId="4BD6F23E" w14:textId="77777777">
        <w:trPr>
          <w:divId w:val="944115306"/>
        </w:trPr>
        <w:tc>
          <w:tcPr>
            <w:tcW w:w="0" w:type="auto"/>
            <w:gridSpan w:val="3"/>
            <w:shd w:val="clear" w:color="auto" w:fill="FFFFFF"/>
            <w:tcMar>
              <w:top w:w="30" w:type="dxa"/>
              <w:left w:w="20" w:type="dxa"/>
              <w:bottom w:w="30" w:type="dxa"/>
              <w:right w:w="20" w:type="dxa"/>
            </w:tcMar>
            <w:hideMark/>
          </w:tcPr>
          <w:p w14:paraId="64013972"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1E05BC02" w14:textId="77777777" w:rsidR="00000000" w:rsidRDefault="001A570A">
            <w:pPr>
              <w:jc w:val="right"/>
              <w:rPr>
                <w:rFonts w:eastAsia="Times New Roman"/>
              </w:rPr>
            </w:pPr>
            <w:r>
              <w:rPr>
                <w:rFonts w:eastAsia="Times New Roman"/>
                <w:color w:val="000000"/>
                <w:sz w:val="20"/>
                <w:szCs w:val="20"/>
              </w:rPr>
              <w:t>4,443 </w:t>
            </w:r>
          </w:p>
        </w:tc>
        <w:tc>
          <w:tcPr>
            <w:tcW w:w="0" w:type="auto"/>
            <w:shd w:val="clear" w:color="auto" w:fill="FFFFFF"/>
            <w:tcMar>
              <w:top w:w="30" w:type="dxa"/>
              <w:left w:w="0" w:type="dxa"/>
              <w:bottom w:w="30" w:type="dxa"/>
              <w:right w:w="20" w:type="dxa"/>
            </w:tcMar>
            <w:vAlign w:val="bottom"/>
            <w:hideMark/>
          </w:tcPr>
          <w:p w14:paraId="5D0A5A4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6A03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E8925" w14:textId="77777777" w:rsidR="00000000" w:rsidRDefault="001A570A">
            <w:pPr>
              <w:jc w:val="right"/>
              <w:rPr>
                <w:rFonts w:eastAsia="Times New Roman"/>
              </w:rPr>
            </w:pPr>
            <w:r>
              <w:rPr>
                <w:rFonts w:eastAsia="Times New Roman"/>
                <w:color w:val="000000"/>
                <w:sz w:val="20"/>
                <w:szCs w:val="20"/>
              </w:rPr>
              <w:t>2,151 </w:t>
            </w:r>
          </w:p>
        </w:tc>
        <w:tc>
          <w:tcPr>
            <w:tcW w:w="0" w:type="auto"/>
            <w:shd w:val="clear" w:color="auto" w:fill="FFFFFF"/>
            <w:tcMar>
              <w:top w:w="30" w:type="dxa"/>
              <w:left w:w="0" w:type="dxa"/>
              <w:bottom w:w="30" w:type="dxa"/>
              <w:right w:w="20" w:type="dxa"/>
            </w:tcMar>
            <w:vAlign w:val="bottom"/>
            <w:hideMark/>
          </w:tcPr>
          <w:p w14:paraId="5DD03E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67A6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23D73" w14:textId="77777777" w:rsidR="00000000" w:rsidRDefault="001A570A">
            <w:pPr>
              <w:jc w:val="right"/>
              <w:rPr>
                <w:rFonts w:eastAsia="Times New Roman"/>
              </w:rPr>
            </w:pPr>
            <w:r>
              <w:rPr>
                <w:rFonts w:eastAsia="Times New Roman"/>
                <w:color w:val="000000"/>
                <w:sz w:val="20"/>
                <w:szCs w:val="20"/>
              </w:rPr>
              <w:t>2,208 </w:t>
            </w:r>
          </w:p>
        </w:tc>
        <w:tc>
          <w:tcPr>
            <w:tcW w:w="0" w:type="auto"/>
            <w:shd w:val="clear" w:color="auto" w:fill="FFFFFF"/>
            <w:tcMar>
              <w:top w:w="30" w:type="dxa"/>
              <w:left w:w="0" w:type="dxa"/>
              <w:bottom w:w="30" w:type="dxa"/>
              <w:right w:w="20" w:type="dxa"/>
            </w:tcMar>
            <w:vAlign w:val="bottom"/>
            <w:hideMark/>
          </w:tcPr>
          <w:p w14:paraId="0D4C269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04E9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839607" w14:textId="77777777" w:rsidR="00000000" w:rsidRDefault="001A570A">
            <w:pPr>
              <w:jc w:val="right"/>
              <w:rPr>
                <w:rFonts w:eastAsia="Times New Roman"/>
              </w:rPr>
            </w:pPr>
            <w:r>
              <w:rPr>
                <w:rFonts w:eastAsia="Times New Roman"/>
                <w:color w:val="000000"/>
                <w:sz w:val="20"/>
                <w:szCs w:val="20"/>
              </w:rPr>
              <w:t>2,015 </w:t>
            </w:r>
          </w:p>
        </w:tc>
        <w:tc>
          <w:tcPr>
            <w:tcW w:w="0" w:type="auto"/>
            <w:shd w:val="clear" w:color="auto" w:fill="FFFFFF"/>
            <w:tcMar>
              <w:top w:w="30" w:type="dxa"/>
              <w:left w:w="0" w:type="dxa"/>
              <w:bottom w:w="30" w:type="dxa"/>
              <w:right w:w="20" w:type="dxa"/>
            </w:tcMar>
            <w:vAlign w:val="bottom"/>
            <w:hideMark/>
          </w:tcPr>
          <w:p w14:paraId="0B1F539A" w14:textId="77777777" w:rsidR="00000000" w:rsidRDefault="001A570A">
            <w:pPr>
              <w:jc w:val="right"/>
              <w:rPr>
                <w:rFonts w:eastAsia="Times New Roman"/>
              </w:rPr>
            </w:pPr>
          </w:p>
        </w:tc>
      </w:tr>
      <w:tr w:rsidR="00000000" w14:paraId="0E7FA5A0" w14:textId="77777777">
        <w:trPr>
          <w:divId w:val="944115306"/>
        </w:trPr>
        <w:tc>
          <w:tcPr>
            <w:tcW w:w="0" w:type="auto"/>
            <w:gridSpan w:val="3"/>
            <w:shd w:val="clear" w:color="auto" w:fill="CCEEFF"/>
            <w:tcMar>
              <w:top w:w="30" w:type="dxa"/>
              <w:left w:w="20" w:type="dxa"/>
              <w:bottom w:w="30" w:type="dxa"/>
              <w:right w:w="20" w:type="dxa"/>
            </w:tcMar>
            <w:hideMark/>
          </w:tcPr>
          <w:p w14:paraId="10181050"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06369419" w14:textId="77777777" w:rsidR="00000000" w:rsidRDefault="001A570A">
            <w:pPr>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14:paraId="76DC3E0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550A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5535E" w14:textId="77777777" w:rsidR="00000000" w:rsidRDefault="001A570A">
            <w:pPr>
              <w:jc w:val="right"/>
              <w:rPr>
                <w:rFonts w:eastAsia="Times New Roman"/>
              </w:rPr>
            </w:pPr>
            <w:r>
              <w:rPr>
                <w:rFonts w:eastAsia="Times New Roman"/>
                <w:color w:val="000000"/>
                <w:sz w:val="20"/>
                <w:szCs w:val="20"/>
              </w:rPr>
              <w:t>2,038 </w:t>
            </w:r>
          </w:p>
        </w:tc>
        <w:tc>
          <w:tcPr>
            <w:tcW w:w="0" w:type="auto"/>
            <w:shd w:val="clear" w:color="auto" w:fill="CCEEFF"/>
            <w:tcMar>
              <w:top w:w="30" w:type="dxa"/>
              <w:left w:w="0" w:type="dxa"/>
              <w:bottom w:w="30" w:type="dxa"/>
              <w:right w:w="20" w:type="dxa"/>
            </w:tcMar>
            <w:vAlign w:val="bottom"/>
            <w:hideMark/>
          </w:tcPr>
          <w:p w14:paraId="28CC187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436F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EA855" w14:textId="77777777" w:rsidR="00000000" w:rsidRDefault="001A570A">
            <w:pPr>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14:paraId="249C9A9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3B1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22435C" w14:textId="77777777" w:rsidR="00000000" w:rsidRDefault="001A570A">
            <w:pPr>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14:paraId="257EDA0B" w14:textId="77777777" w:rsidR="00000000" w:rsidRDefault="001A570A">
            <w:pPr>
              <w:jc w:val="right"/>
              <w:rPr>
                <w:rFonts w:eastAsia="Times New Roman"/>
              </w:rPr>
            </w:pPr>
          </w:p>
        </w:tc>
      </w:tr>
      <w:tr w:rsidR="00000000" w14:paraId="73455CF1" w14:textId="77777777">
        <w:trPr>
          <w:divId w:val="944115306"/>
        </w:trPr>
        <w:tc>
          <w:tcPr>
            <w:tcW w:w="0" w:type="auto"/>
            <w:gridSpan w:val="3"/>
            <w:shd w:val="clear" w:color="auto" w:fill="FFFFFF"/>
            <w:tcMar>
              <w:top w:w="30" w:type="dxa"/>
              <w:left w:w="20" w:type="dxa"/>
              <w:bottom w:w="30" w:type="dxa"/>
              <w:right w:w="20" w:type="dxa"/>
            </w:tcMar>
            <w:hideMark/>
          </w:tcPr>
          <w:p w14:paraId="5201A57E" w14:textId="77777777" w:rsidR="00000000" w:rsidRDefault="001A570A">
            <w:pPr>
              <w:divId w:val="133448975"/>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436BFB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65D3B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8774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842660"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14:paraId="64C0ECF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FB37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5DAF8" w14:textId="77777777" w:rsidR="00000000" w:rsidRDefault="001A570A">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14:paraId="69CE08A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FB19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D8290" w14:textId="77777777" w:rsidR="00000000" w:rsidRDefault="001A570A">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14:paraId="6146C6CC" w14:textId="77777777" w:rsidR="00000000" w:rsidRDefault="001A570A">
            <w:pPr>
              <w:jc w:val="right"/>
              <w:rPr>
                <w:rFonts w:eastAsia="Times New Roman"/>
              </w:rPr>
            </w:pPr>
          </w:p>
        </w:tc>
      </w:tr>
      <w:tr w:rsidR="00000000" w14:paraId="42246D95" w14:textId="77777777">
        <w:trPr>
          <w:divId w:val="944115306"/>
        </w:trPr>
        <w:tc>
          <w:tcPr>
            <w:tcW w:w="0" w:type="auto"/>
            <w:gridSpan w:val="3"/>
            <w:shd w:val="clear" w:color="auto" w:fill="CCEEFF"/>
            <w:tcMar>
              <w:top w:w="30" w:type="dxa"/>
              <w:left w:w="20" w:type="dxa"/>
              <w:bottom w:w="30" w:type="dxa"/>
              <w:right w:w="20" w:type="dxa"/>
            </w:tcMar>
            <w:hideMark/>
          </w:tcPr>
          <w:p w14:paraId="470B8BC7" w14:textId="77777777" w:rsidR="00000000" w:rsidRDefault="001A570A">
            <w:pPr>
              <w:rPr>
                <w:rFonts w:eastAsia="Times New Roman"/>
              </w:rPr>
            </w:pPr>
            <w:r>
              <w:rPr>
                <w:rFonts w:eastAsia="Times New Roman"/>
                <w:color w:val="000000"/>
                <w:sz w:val="20"/>
                <w:szCs w:val="20"/>
              </w:rPr>
              <w:t>Corporate eliminations</w:t>
            </w:r>
          </w:p>
        </w:tc>
        <w:tc>
          <w:tcPr>
            <w:tcW w:w="0" w:type="auto"/>
            <w:gridSpan w:val="2"/>
            <w:shd w:val="clear" w:color="auto" w:fill="CCEEFF"/>
            <w:tcMar>
              <w:top w:w="30" w:type="dxa"/>
              <w:left w:w="20" w:type="dxa"/>
              <w:bottom w:w="30" w:type="dxa"/>
              <w:right w:w="0" w:type="dxa"/>
            </w:tcMar>
            <w:vAlign w:val="bottom"/>
            <w:hideMark/>
          </w:tcPr>
          <w:p w14:paraId="20FE1F72" w14:textId="77777777" w:rsidR="00000000" w:rsidRDefault="001A570A">
            <w:pPr>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14:paraId="50091D3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1FDA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BC3A2" w14:textId="77777777" w:rsidR="00000000" w:rsidRDefault="001A570A">
            <w:pPr>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14:paraId="6E6CF5E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2161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5C69E" w14:textId="77777777" w:rsidR="00000000" w:rsidRDefault="001A570A">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439194E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B602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39A85"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3BFBB390" w14:textId="77777777" w:rsidR="00000000" w:rsidRDefault="001A570A">
            <w:pPr>
              <w:jc w:val="right"/>
              <w:rPr>
                <w:rFonts w:eastAsia="Times New Roman"/>
              </w:rPr>
            </w:pPr>
          </w:p>
        </w:tc>
      </w:tr>
      <w:tr w:rsidR="00000000" w14:paraId="3368F37A" w14:textId="77777777">
        <w:trPr>
          <w:divId w:val="944115306"/>
        </w:trPr>
        <w:tc>
          <w:tcPr>
            <w:tcW w:w="0" w:type="auto"/>
            <w:gridSpan w:val="3"/>
            <w:shd w:val="clear" w:color="auto" w:fill="FFFFFF"/>
            <w:tcMar>
              <w:top w:w="0" w:type="dxa"/>
              <w:left w:w="20" w:type="dxa"/>
              <w:bottom w:w="0" w:type="dxa"/>
              <w:right w:w="20" w:type="dxa"/>
            </w:tcMar>
            <w:vAlign w:val="center"/>
            <w:hideMark/>
          </w:tcPr>
          <w:p w14:paraId="0A8CD7E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438C8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7358E2" w14:textId="77777777" w:rsidR="00000000" w:rsidRDefault="001A570A">
            <w:pPr>
              <w:jc w:val="right"/>
              <w:rPr>
                <w:rFonts w:eastAsia="Times New Roman"/>
              </w:rPr>
            </w:pPr>
            <w:r>
              <w:rPr>
                <w:rFonts w:eastAsia="Times New Roman"/>
                <w:color w:val="000000"/>
                <w:sz w:val="20"/>
                <w:szCs w:val="20"/>
              </w:rPr>
              <w:t>18,194 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25AC4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EA88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A5597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65995F" w14:textId="77777777" w:rsidR="00000000" w:rsidRDefault="001A570A">
            <w:pPr>
              <w:jc w:val="right"/>
              <w:rPr>
                <w:rFonts w:eastAsia="Times New Roman"/>
              </w:rPr>
            </w:pPr>
            <w:r>
              <w:rPr>
                <w:rFonts w:eastAsia="Times New Roman"/>
                <w:color w:val="000000"/>
                <w:sz w:val="20"/>
                <w:szCs w:val="20"/>
              </w:rPr>
              <w:t>9,263 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B9B06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B004B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B13F3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D2E1F1" w14:textId="77777777" w:rsidR="00000000" w:rsidRDefault="001A570A">
            <w:pPr>
              <w:jc w:val="right"/>
              <w:rPr>
                <w:rFonts w:eastAsia="Times New Roman"/>
              </w:rPr>
            </w:pPr>
            <w:r>
              <w:rPr>
                <w:rFonts w:eastAsia="Times New Roman"/>
                <w:color w:val="000000"/>
                <w:sz w:val="20"/>
                <w:szCs w:val="20"/>
              </w:rPr>
              <w:t>6,801 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32C6E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5320E"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5E2E6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2643A4" w14:textId="77777777" w:rsidR="00000000" w:rsidRDefault="001A570A">
            <w:pPr>
              <w:jc w:val="right"/>
              <w:rPr>
                <w:rFonts w:eastAsia="Times New Roman"/>
              </w:rPr>
            </w:pPr>
            <w:r>
              <w:rPr>
                <w:rFonts w:eastAsia="Times New Roman"/>
                <w:color w:val="000000"/>
                <w:sz w:val="20"/>
                <w:szCs w:val="20"/>
              </w:rPr>
              <w:t>6,168 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FD9C7C" w14:textId="77777777" w:rsidR="00000000" w:rsidRDefault="001A570A">
            <w:pPr>
              <w:jc w:val="right"/>
              <w:rPr>
                <w:rFonts w:eastAsia="Times New Roman"/>
              </w:rPr>
            </w:pPr>
          </w:p>
        </w:tc>
      </w:tr>
      <w:tr w:rsidR="00000000" w14:paraId="35E3AD9E" w14:textId="77777777">
        <w:trPr>
          <w:divId w:val="944115306"/>
        </w:trPr>
        <w:tc>
          <w:tcPr>
            <w:tcW w:w="0" w:type="auto"/>
            <w:gridSpan w:val="24"/>
            <w:shd w:val="clear" w:color="auto" w:fill="CCEEFF"/>
            <w:tcMar>
              <w:top w:w="30" w:type="dxa"/>
              <w:left w:w="20" w:type="dxa"/>
              <w:bottom w:w="30" w:type="dxa"/>
              <w:right w:w="20" w:type="dxa"/>
            </w:tcMar>
            <w:vAlign w:val="bottom"/>
            <w:hideMark/>
          </w:tcPr>
          <w:p w14:paraId="5C514C29" w14:textId="77777777" w:rsidR="00000000" w:rsidRDefault="001A570A">
            <w:pPr>
              <w:rPr>
                <w:rFonts w:eastAsia="Times New Roman"/>
              </w:rPr>
            </w:pPr>
            <w:r>
              <w:rPr>
                <w:rFonts w:eastAsia="Times New Roman"/>
                <w:b/>
                <w:bCs/>
                <w:color w:val="000000"/>
                <w:sz w:val="20"/>
                <w:szCs w:val="20"/>
              </w:rPr>
              <w:t>Income from Continuing Operations before Income Taxes</w:t>
            </w:r>
          </w:p>
        </w:tc>
      </w:tr>
      <w:tr w:rsidR="00000000" w14:paraId="7A5E56A4" w14:textId="77777777">
        <w:trPr>
          <w:divId w:val="944115306"/>
        </w:trPr>
        <w:tc>
          <w:tcPr>
            <w:tcW w:w="0" w:type="auto"/>
            <w:gridSpan w:val="3"/>
            <w:shd w:val="clear" w:color="auto" w:fill="FFFFFF"/>
            <w:tcMar>
              <w:top w:w="30" w:type="dxa"/>
              <w:left w:w="20" w:type="dxa"/>
              <w:bottom w:w="30" w:type="dxa"/>
              <w:right w:w="20" w:type="dxa"/>
            </w:tcMar>
            <w:hideMark/>
          </w:tcPr>
          <w:p w14:paraId="7A884F60" w14:textId="77777777" w:rsidR="00000000" w:rsidRDefault="001A570A">
            <w:pPr>
              <w:rPr>
                <w:rFonts w:eastAsia="Times New Roman"/>
              </w:rPr>
            </w:pPr>
            <w:r>
              <w:rPr>
                <w:rFonts w:eastAsia="Times New Roman"/>
                <w:i/>
                <w:iCs/>
                <w:color w:val="000000"/>
                <w:sz w:val="20"/>
                <w:szCs w:val="20"/>
              </w:rPr>
              <w:t>Segment Operating Income:</w:t>
            </w:r>
          </w:p>
        </w:tc>
        <w:tc>
          <w:tcPr>
            <w:tcW w:w="0" w:type="auto"/>
            <w:gridSpan w:val="3"/>
            <w:shd w:val="clear" w:color="auto" w:fill="FFFFFF"/>
            <w:tcMar>
              <w:top w:w="0" w:type="dxa"/>
              <w:left w:w="20" w:type="dxa"/>
              <w:bottom w:w="0" w:type="dxa"/>
              <w:right w:w="20" w:type="dxa"/>
            </w:tcMar>
            <w:vAlign w:val="center"/>
            <w:hideMark/>
          </w:tcPr>
          <w:p w14:paraId="5A5A12EE"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5147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3E270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C8B5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B5BB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6AF2D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F23815" w14:textId="77777777" w:rsidR="00000000" w:rsidRDefault="001A570A">
            <w:pPr>
              <w:rPr>
                <w:rFonts w:eastAsia="Times New Roman"/>
                <w:sz w:val="20"/>
                <w:szCs w:val="20"/>
              </w:rPr>
            </w:pPr>
          </w:p>
        </w:tc>
      </w:tr>
      <w:tr w:rsidR="00000000" w14:paraId="33F0520F" w14:textId="77777777">
        <w:trPr>
          <w:divId w:val="944115306"/>
        </w:trPr>
        <w:tc>
          <w:tcPr>
            <w:tcW w:w="0" w:type="auto"/>
            <w:gridSpan w:val="3"/>
            <w:shd w:val="clear" w:color="auto" w:fill="CCEEFF"/>
            <w:tcMar>
              <w:top w:w="30" w:type="dxa"/>
              <w:left w:w="155" w:type="dxa"/>
              <w:bottom w:w="30" w:type="dxa"/>
              <w:right w:w="20" w:type="dxa"/>
            </w:tcMar>
            <w:hideMark/>
          </w:tcPr>
          <w:p w14:paraId="102EC9B1"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14:paraId="6DFC455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FE1E97" w14:textId="77777777" w:rsidR="00000000" w:rsidRDefault="001A570A">
            <w:pPr>
              <w:jc w:val="right"/>
              <w:rPr>
                <w:rFonts w:eastAsia="Times New Roman"/>
              </w:rPr>
            </w:pPr>
            <w:r>
              <w:rPr>
                <w:rFonts w:eastAsia="Times New Roman"/>
                <w:color w:val="000000"/>
                <w:sz w:val="20"/>
                <w:szCs w:val="20"/>
              </w:rPr>
              <w:t>847 </w:t>
            </w:r>
          </w:p>
        </w:tc>
        <w:tc>
          <w:tcPr>
            <w:tcW w:w="0" w:type="auto"/>
            <w:shd w:val="clear" w:color="auto" w:fill="CCEEFF"/>
            <w:tcMar>
              <w:top w:w="30" w:type="dxa"/>
              <w:left w:w="0" w:type="dxa"/>
              <w:bottom w:w="30" w:type="dxa"/>
              <w:right w:w="20" w:type="dxa"/>
            </w:tcMar>
            <w:vAlign w:val="bottom"/>
            <w:hideMark/>
          </w:tcPr>
          <w:p w14:paraId="0CE828A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C3F13"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BC936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6FF3B2" w14:textId="77777777" w:rsidR="00000000" w:rsidRDefault="001A570A">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14:paraId="1AE4B15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3D02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059D45"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6F3AE1" w14:textId="77777777" w:rsidR="00000000" w:rsidRDefault="001A570A">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7032A94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4AC9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AEAFE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9F9CA4" w14:textId="77777777" w:rsidR="00000000" w:rsidRDefault="001A570A">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0A492A81" w14:textId="77777777" w:rsidR="00000000" w:rsidRDefault="001A570A">
            <w:pPr>
              <w:jc w:val="right"/>
              <w:rPr>
                <w:rFonts w:eastAsia="Times New Roman"/>
              </w:rPr>
            </w:pPr>
          </w:p>
        </w:tc>
      </w:tr>
      <w:tr w:rsidR="00000000" w14:paraId="05163D6B" w14:textId="77777777">
        <w:trPr>
          <w:divId w:val="944115306"/>
        </w:trPr>
        <w:tc>
          <w:tcPr>
            <w:tcW w:w="0" w:type="auto"/>
            <w:gridSpan w:val="3"/>
            <w:shd w:val="clear" w:color="auto" w:fill="FFFFFF"/>
            <w:tcMar>
              <w:top w:w="30" w:type="dxa"/>
              <w:left w:w="155" w:type="dxa"/>
              <w:bottom w:w="30" w:type="dxa"/>
              <w:right w:w="20" w:type="dxa"/>
            </w:tcMar>
            <w:hideMark/>
          </w:tcPr>
          <w:p w14:paraId="2588CFF5"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FFFFFF"/>
            <w:tcMar>
              <w:top w:w="30" w:type="dxa"/>
              <w:left w:w="20" w:type="dxa"/>
              <w:bottom w:w="30" w:type="dxa"/>
              <w:right w:w="0" w:type="dxa"/>
            </w:tcMar>
            <w:vAlign w:val="bottom"/>
            <w:hideMark/>
          </w:tcPr>
          <w:p w14:paraId="0C9EC0ED" w14:textId="77777777" w:rsidR="00000000" w:rsidRDefault="001A570A">
            <w:pPr>
              <w:jc w:val="right"/>
              <w:rPr>
                <w:rFonts w:eastAsia="Times New Roman"/>
              </w:rPr>
            </w:pPr>
            <w:r>
              <w:rPr>
                <w:rFonts w:eastAsia="Times New Roman"/>
                <w:color w:val="000000"/>
                <w:sz w:val="20"/>
                <w:szCs w:val="20"/>
              </w:rPr>
              <w:t>932 </w:t>
            </w:r>
          </w:p>
        </w:tc>
        <w:tc>
          <w:tcPr>
            <w:tcW w:w="0" w:type="auto"/>
            <w:shd w:val="clear" w:color="auto" w:fill="FFFFFF"/>
            <w:tcMar>
              <w:top w:w="30" w:type="dxa"/>
              <w:left w:w="0" w:type="dxa"/>
              <w:bottom w:w="30" w:type="dxa"/>
              <w:right w:w="20" w:type="dxa"/>
            </w:tcMar>
            <w:vAlign w:val="bottom"/>
            <w:hideMark/>
          </w:tcPr>
          <w:p w14:paraId="415BEC2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0A7B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F96EA" w14:textId="77777777" w:rsidR="00000000" w:rsidRDefault="001A570A">
            <w:pPr>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14:paraId="733D4A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8927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8CC34" w14:textId="77777777" w:rsidR="00000000" w:rsidRDefault="001A570A">
            <w:pPr>
              <w:jc w:val="right"/>
              <w:rPr>
                <w:rFonts w:eastAsia="Times New Roman"/>
              </w:rPr>
            </w:pPr>
            <w:r>
              <w:rPr>
                <w:rFonts w:eastAsia="Times New Roman"/>
                <w:color w:val="000000"/>
                <w:sz w:val="20"/>
                <w:szCs w:val="20"/>
              </w:rPr>
              <w:t>696 </w:t>
            </w:r>
          </w:p>
        </w:tc>
        <w:tc>
          <w:tcPr>
            <w:tcW w:w="0" w:type="auto"/>
            <w:shd w:val="clear" w:color="auto" w:fill="FFFFFF"/>
            <w:tcMar>
              <w:top w:w="30" w:type="dxa"/>
              <w:left w:w="0" w:type="dxa"/>
              <w:bottom w:w="30" w:type="dxa"/>
              <w:right w:w="20" w:type="dxa"/>
            </w:tcMar>
            <w:vAlign w:val="bottom"/>
            <w:hideMark/>
          </w:tcPr>
          <w:p w14:paraId="794EDE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404A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41153" w14:textId="77777777" w:rsidR="00000000" w:rsidRDefault="001A570A">
            <w:pPr>
              <w:jc w:val="right"/>
              <w:rPr>
                <w:rFonts w:eastAsia="Times New Roman"/>
              </w:rPr>
            </w:pPr>
            <w:r>
              <w:rPr>
                <w:rFonts w:eastAsia="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14:paraId="4CB98AFF" w14:textId="77777777" w:rsidR="00000000" w:rsidRDefault="001A570A">
            <w:pPr>
              <w:jc w:val="right"/>
              <w:rPr>
                <w:rFonts w:eastAsia="Times New Roman"/>
              </w:rPr>
            </w:pPr>
          </w:p>
        </w:tc>
      </w:tr>
      <w:tr w:rsidR="00000000" w14:paraId="1D88AE16" w14:textId="77777777">
        <w:trPr>
          <w:divId w:val="944115306"/>
        </w:trPr>
        <w:tc>
          <w:tcPr>
            <w:tcW w:w="0" w:type="auto"/>
            <w:gridSpan w:val="3"/>
            <w:shd w:val="clear" w:color="auto" w:fill="CCEEFF"/>
            <w:tcMar>
              <w:top w:w="30" w:type="dxa"/>
              <w:left w:w="155" w:type="dxa"/>
              <w:bottom w:w="30" w:type="dxa"/>
              <w:right w:w="20" w:type="dxa"/>
            </w:tcMar>
            <w:hideMark/>
          </w:tcPr>
          <w:p w14:paraId="413EF11C"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14:paraId="26B4A4B4" w14:textId="77777777" w:rsidR="00000000" w:rsidRDefault="001A570A">
            <w:pPr>
              <w:jc w:val="right"/>
              <w:rPr>
                <w:rFonts w:eastAsia="Times New Roman"/>
              </w:rPr>
            </w:pPr>
            <w:r>
              <w:rPr>
                <w:rFonts w:eastAsia="Times New Roman"/>
                <w:color w:val="000000"/>
                <w:sz w:val="20"/>
                <w:szCs w:val="20"/>
              </w:rPr>
              <w:t>1,084 </w:t>
            </w:r>
          </w:p>
        </w:tc>
        <w:tc>
          <w:tcPr>
            <w:tcW w:w="0" w:type="auto"/>
            <w:shd w:val="clear" w:color="auto" w:fill="CCEEFF"/>
            <w:tcMar>
              <w:top w:w="30" w:type="dxa"/>
              <w:left w:w="0" w:type="dxa"/>
              <w:bottom w:w="30" w:type="dxa"/>
              <w:right w:w="20" w:type="dxa"/>
            </w:tcMar>
            <w:vAlign w:val="bottom"/>
            <w:hideMark/>
          </w:tcPr>
          <w:p w14:paraId="7B1F45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D6E2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8705D" w14:textId="77777777" w:rsidR="00000000" w:rsidRDefault="001A570A">
            <w:pPr>
              <w:jc w:val="right"/>
              <w:rPr>
                <w:rFonts w:eastAsia="Times New Roman"/>
              </w:rPr>
            </w:pPr>
            <w:r>
              <w:rPr>
                <w:rFonts w:eastAsia="Times New Roman"/>
                <w:color w:val="000000"/>
                <w:sz w:val="20"/>
                <w:szCs w:val="20"/>
              </w:rPr>
              <w:t>493 </w:t>
            </w:r>
          </w:p>
        </w:tc>
        <w:tc>
          <w:tcPr>
            <w:tcW w:w="0" w:type="auto"/>
            <w:shd w:val="clear" w:color="auto" w:fill="CCEEFF"/>
            <w:tcMar>
              <w:top w:w="30" w:type="dxa"/>
              <w:left w:w="0" w:type="dxa"/>
              <w:bottom w:w="30" w:type="dxa"/>
              <w:right w:w="20" w:type="dxa"/>
            </w:tcMar>
            <w:vAlign w:val="bottom"/>
            <w:hideMark/>
          </w:tcPr>
          <w:p w14:paraId="573B8CA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FE00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21B9A" w14:textId="77777777" w:rsidR="00000000" w:rsidRDefault="001A570A">
            <w:pPr>
              <w:jc w:val="right"/>
              <w:rPr>
                <w:rFonts w:eastAsia="Times New Roman"/>
              </w:rPr>
            </w:pPr>
            <w:r>
              <w:rPr>
                <w:rFonts w:eastAsia="Times New Roman"/>
                <w:color w:val="000000"/>
                <w:sz w:val="20"/>
                <w:szCs w:val="20"/>
              </w:rPr>
              <w:t>637 </w:t>
            </w:r>
          </w:p>
        </w:tc>
        <w:tc>
          <w:tcPr>
            <w:tcW w:w="0" w:type="auto"/>
            <w:shd w:val="clear" w:color="auto" w:fill="CCEEFF"/>
            <w:tcMar>
              <w:top w:w="30" w:type="dxa"/>
              <w:left w:w="0" w:type="dxa"/>
              <w:bottom w:w="30" w:type="dxa"/>
              <w:right w:w="20" w:type="dxa"/>
            </w:tcMar>
            <w:vAlign w:val="bottom"/>
            <w:hideMark/>
          </w:tcPr>
          <w:p w14:paraId="743999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3FA4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447E2" w14:textId="77777777" w:rsidR="00000000" w:rsidRDefault="001A570A">
            <w:pPr>
              <w:jc w:val="right"/>
              <w:rPr>
                <w:rFonts w:eastAsia="Times New Roman"/>
              </w:rPr>
            </w:pPr>
            <w:r>
              <w:rPr>
                <w:rFonts w:eastAsia="Times New Roman"/>
                <w:color w:val="000000"/>
                <w:sz w:val="20"/>
                <w:szCs w:val="20"/>
              </w:rPr>
              <w:t>561 </w:t>
            </w:r>
          </w:p>
        </w:tc>
        <w:tc>
          <w:tcPr>
            <w:tcW w:w="0" w:type="auto"/>
            <w:shd w:val="clear" w:color="auto" w:fill="CCEEFF"/>
            <w:tcMar>
              <w:top w:w="30" w:type="dxa"/>
              <w:left w:w="0" w:type="dxa"/>
              <w:bottom w:w="30" w:type="dxa"/>
              <w:right w:w="20" w:type="dxa"/>
            </w:tcMar>
            <w:vAlign w:val="bottom"/>
            <w:hideMark/>
          </w:tcPr>
          <w:p w14:paraId="1A9692C1" w14:textId="77777777" w:rsidR="00000000" w:rsidRDefault="001A570A">
            <w:pPr>
              <w:jc w:val="right"/>
              <w:rPr>
                <w:rFonts w:eastAsia="Times New Roman"/>
              </w:rPr>
            </w:pPr>
          </w:p>
        </w:tc>
      </w:tr>
      <w:tr w:rsidR="00000000" w14:paraId="781D39FC" w14:textId="77777777">
        <w:trPr>
          <w:divId w:val="944115306"/>
        </w:trPr>
        <w:tc>
          <w:tcPr>
            <w:tcW w:w="0" w:type="auto"/>
            <w:gridSpan w:val="3"/>
            <w:shd w:val="clear" w:color="auto" w:fill="FFFFFF"/>
            <w:tcMar>
              <w:top w:w="30" w:type="dxa"/>
              <w:left w:w="155" w:type="dxa"/>
              <w:bottom w:w="30" w:type="dxa"/>
              <w:right w:w="20" w:type="dxa"/>
            </w:tcMar>
            <w:hideMark/>
          </w:tcPr>
          <w:p w14:paraId="1F8B4FC5"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FFFFFF"/>
            <w:tcMar>
              <w:top w:w="30" w:type="dxa"/>
              <w:left w:w="20" w:type="dxa"/>
              <w:bottom w:w="30" w:type="dxa"/>
              <w:right w:w="0" w:type="dxa"/>
            </w:tcMar>
            <w:vAlign w:val="bottom"/>
            <w:hideMark/>
          </w:tcPr>
          <w:p w14:paraId="3E8000DF" w14:textId="77777777" w:rsidR="00000000" w:rsidRDefault="001A570A">
            <w:pPr>
              <w:jc w:val="right"/>
              <w:rPr>
                <w:rFonts w:eastAsia="Times New Roman"/>
              </w:rPr>
            </w:pPr>
            <w:r>
              <w:rPr>
                <w:rFonts w:eastAsia="Times New Roman"/>
                <w:color w:val="000000"/>
                <w:sz w:val="20"/>
                <w:szCs w:val="20"/>
              </w:rPr>
              <w:t>(177)</w:t>
            </w:r>
          </w:p>
        </w:tc>
        <w:tc>
          <w:tcPr>
            <w:tcW w:w="0" w:type="auto"/>
            <w:shd w:val="clear" w:color="auto" w:fill="FFFFFF"/>
            <w:tcMar>
              <w:top w:w="30" w:type="dxa"/>
              <w:left w:w="0" w:type="dxa"/>
              <w:bottom w:w="30" w:type="dxa"/>
              <w:right w:w="20" w:type="dxa"/>
            </w:tcMar>
            <w:vAlign w:val="bottom"/>
            <w:hideMark/>
          </w:tcPr>
          <w:p w14:paraId="4FAE4FB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4FE1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058830" w14:textId="77777777" w:rsidR="00000000" w:rsidRDefault="001A570A">
            <w:pPr>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6046516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DF6E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6840B" w14:textId="77777777" w:rsidR="00000000" w:rsidRDefault="001A570A">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14:paraId="466458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DB9E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F0B006"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779DB45D" w14:textId="77777777" w:rsidR="00000000" w:rsidRDefault="001A570A">
            <w:pPr>
              <w:jc w:val="right"/>
              <w:rPr>
                <w:rFonts w:eastAsia="Times New Roman"/>
              </w:rPr>
            </w:pPr>
          </w:p>
        </w:tc>
      </w:tr>
      <w:tr w:rsidR="00000000" w14:paraId="063E4710" w14:textId="77777777">
        <w:trPr>
          <w:divId w:val="944115306"/>
        </w:trPr>
        <w:tc>
          <w:tcPr>
            <w:tcW w:w="0" w:type="auto"/>
            <w:gridSpan w:val="3"/>
            <w:shd w:val="clear" w:color="auto" w:fill="CCEEFF"/>
            <w:tcMar>
              <w:top w:w="30" w:type="dxa"/>
              <w:left w:w="20" w:type="dxa"/>
              <w:bottom w:w="30" w:type="dxa"/>
              <w:right w:w="20" w:type="dxa"/>
            </w:tcMar>
            <w:hideMark/>
          </w:tcPr>
          <w:p w14:paraId="14466F76" w14:textId="77777777" w:rsidR="00000000" w:rsidRDefault="001A570A">
            <w:pPr>
              <w:ind w:hanging="270"/>
              <w:divId w:val="1802265598"/>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D2EBF8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76B10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3284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BE1A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6C01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2A32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BA0196" w14:textId="77777777" w:rsidR="00000000" w:rsidRDefault="001A570A">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6DDB98F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8A59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51B39" w14:textId="77777777" w:rsidR="00000000" w:rsidRDefault="001A570A">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1332283C" w14:textId="77777777" w:rsidR="00000000" w:rsidRDefault="001A570A">
            <w:pPr>
              <w:jc w:val="right"/>
              <w:rPr>
                <w:rFonts w:eastAsia="Times New Roman"/>
              </w:rPr>
            </w:pPr>
          </w:p>
        </w:tc>
      </w:tr>
      <w:tr w:rsidR="00000000" w14:paraId="38FECE79" w14:textId="77777777">
        <w:trPr>
          <w:divId w:val="944115306"/>
        </w:trPr>
        <w:tc>
          <w:tcPr>
            <w:tcW w:w="0" w:type="auto"/>
            <w:gridSpan w:val="3"/>
            <w:shd w:val="clear" w:color="auto" w:fill="FFFFFF"/>
            <w:tcMar>
              <w:top w:w="30" w:type="dxa"/>
              <w:left w:w="20" w:type="dxa"/>
              <w:bottom w:w="30" w:type="dxa"/>
              <w:right w:w="20" w:type="dxa"/>
            </w:tcMar>
            <w:hideMark/>
          </w:tcPr>
          <w:p w14:paraId="1E38EC4F" w14:textId="77777777" w:rsidR="00000000" w:rsidRDefault="001A570A">
            <w:pPr>
              <w:ind w:hanging="270"/>
              <w:divId w:val="1052969184"/>
              <w:rPr>
                <w:rFonts w:eastAsia="Times New Roman"/>
              </w:rPr>
            </w:pPr>
            <w:r>
              <w:rPr>
                <w:rFonts w:eastAsia="Times New Roman"/>
                <w:color w:val="000000"/>
                <w:sz w:val="20"/>
                <w:szCs w:val="20"/>
              </w:rPr>
              <w:t>Unallocated corporate expenses and corporate elimination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08CE4EB8" w14:textId="77777777" w:rsidR="00000000" w:rsidRDefault="001A570A">
            <w:pPr>
              <w:jc w:val="right"/>
              <w:rPr>
                <w:rFonts w:eastAsia="Times New Roman"/>
              </w:rPr>
            </w:pPr>
            <w:r>
              <w:rPr>
                <w:rFonts w:eastAsia="Times New Roman"/>
                <w:color w:val="000000"/>
                <w:sz w:val="20"/>
                <w:szCs w:val="20"/>
              </w:rPr>
              <w:t>(109)</w:t>
            </w:r>
          </w:p>
        </w:tc>
        <w:tc>
          <w:tcPr>
            <w:tcW w:w="0" w:type="auto"/>
            <w:shd w:val="clear" w:color="auto" w:fill="FFFFFF"/>
            <w:tcMar>
              <w:top w:w="30" w:type="dxa"/>
              <w:left w:w="0" w:type="dxa"/>
              <w:bottom w:w="30" w:type="dxa"/>
              <w:right w:w="20" w:type="dxa"/>
            </w:tcMar>
            <w:vAlign w:val="bottom"/>
            <w:hideMark/>
          </w:tcPr>
          <w:p w14:paraId="6DAEAF4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706B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1A79AC" w14:textId="77777777" w:rsidR="00000000" w:rsidRDefault="001A570A">
            <w:pPr>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14:paraId="56BA7C5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22DE4"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E75473"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799FAAB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4769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61F27" w14:textId="77777777" w:rsidR="00000000" w:rsidRDefault="001A570A">
            <w:pPr>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14:paraId="5B85D9BB" w14:textId="77777777" w:rsidR="00000000" w:rsidRDefault="001A570A">
            <w:pPr>
              <w:jc w:val="right"/>
              <w:rPr>
                <w:rFonts w:eastAsia="Times New Roman"/>
              </w:rPr>
            </w:pPr>
          </w:p>
        </w:tc>
      </w:tr>
      <w:tr w:rsidR="00000000" w14:paraId="54AEA0F4" w14:textId="77777777">
        <w:trPr>
          <w:divId w:val="944115306"/>
        </w:trPr>
        <w:tc>
          <w:tcPr>
            <w:tcW w:w="0" w:type="auto"/>
            <w:gridSpan w:val="3"/>
            <w:shd w:val="clear" w:color="auto" w:fill="CCEEFF"/>
            <w:tcMar>
              <w:top w:w="30" w:type="dxa"/>
              <w:left w:w="290" w:type="dxa"/>
              <w:bottom w:w="30" w:type="dxa"/>
              <w:right w:w="20" w:type="dxa"/>
            </w:tcMar>
            <w:hideMark/>
          </w:tcPr>
          <w:p w14:paraId="2243D53F" w14:textId="77777777" w:rsidR="00000000" w:rsidRDefault="001A570A">
            <w:pPr>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CCEEFF"/>
            <w:tcMar>
              <w:top w:w="30" w:type="dxa"/>
              <w:left w:w="20" w:type="dxa"/>
              <w:bottom w:w="30" w:type="dxa"/>
              <w:right w:w="0" w:type="dxa"/>
            </w:tcMar>
            <w:vAlign w:val="bottom"/>
            <w:hideMark/>
          </w:tcPr>
          <w:p w14:paraId="1F588AD6" w14:textId="77777777" w:rsidR="00000000" w:rsidRDefault="001A570A">
            <w:pPr>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14:paraId="22D2E90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21DE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825D38" w14:textId="77777777" w:rsidR="00000000" w:rsidRDefault="001A570A">
            <w:pPr>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14:paraId="4B3F04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ECC4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F699B" w14:textId="77777777" w:rsidR="00000000" w:rsidRDefault="001A570A">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3853206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FA32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2F9C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65A66F" w14:textId="77777777" w:rsidR="00000000" w:rsidRDefault="001A570A">
            <w:pPr>
              <w:jc w:val="right"/>
              <w:rPr>
                <w:rFonts w:eastAsia="Times New Roman"/>
              </w:rPr>
            </w:pPr>
          </w:p>
        </w:tc>
      </w:tr>
      <w:tr w:rsidR="00000000" w14:paraId="7CB0585B" w14:textId="77777777">
        <w:trPr>
          <w:divId w:val="944115306"/>
        </w:trPr>
        <w:tc>
          <w:tcPr>
            <w:tcW w:w="0" w:type="auto"/>
            <w:gridSpan w:val="3"/>
            <w:shd w:val="clear" w:color="auto" w:fill="FFFFFF"/>
            <w:tcMar>
              <w:top w:w="30" w:type="dxa"/>
              <w:left w:w="20" w:type="dxa"/>
              <w:bottom w:w="30" w:type="dxa"/>
              <w:right w:w="20" w:type="dxa"/>
            </w:tcMar>
            <w:vAlign w:val="bottom"/>
            <w:hideMark/>
          </w:tcPr>
          <w:p w14:paraId="4A61860F" w14:textId="77777777" w:rsidR="00000000" w:rsidRDefault="001A570A">
            <w:pPr>
              <w:rPr>
                <w:rFonts w:eastAsia="Times New Roman"/>
              </w:rPr>
            </w:pPr>
            <w:r>
              <w:rPr>
                <w:rFonts w:eastAsia="Times New Roman"/>
                <w:color w:val="000000"/>
                <w:sz w:val="20"/>
                <w:szCs w:val="20"/>
              </w:rPr>
              <w:t>L3Harris Merger-related restructuring costs</w:t>
            </w:r>
          </w:p>
        </w:tc>
        <w:tc>
          <w:tcPr>
            <w:tcW w:w="0" w:type="auto"/>
            <w:gridSpan w:val="2"/>
            <w:shd w:val="clear" w:color="auto" w:fill="FFFFFF"/>
            <w:tcMar>
              <w:top w:w="30" w:type="dxa"/>
              <w:left w:w="20" w:type="dxa"/>
              <w:bottom w:w="30" w:type="dxa"/>
              <w:right w:w="0" w:type="dxa"/>
            </w:tcMar>
            <w:vAlign w:val="bottom"/>
            <w:hideMark/>
          </w:tcPr>
          <w:p w14:paraId="1A60C9FD" w14:textId="77777777" w:rsidR="00000000" w:rsidRDefault="001A570A">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0E31AEE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F8C0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C3759" w14:textId="77777777" w:rsidR="00000000" w:rsidRDefault="001A570A">
            <w:pPr>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14:paraId="0664116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C352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8FA40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94AD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8DAA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A550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ABAA48" w14:textId="77777777" w:rsidR="00000000" w:rsidRDefault="001A570A">
            <w:pPr>
              <w:jc w:val="right"/>
              <w:rPr>
                <w:rFonts w:eastAsia="Times New Roman"/>
              </w:rPr>
            </w:pPr>
          </w:p>
        </w:tc>
      </w:tr>
      <w:tr w:rsidR="00000000" w14:paraId="59CE6E2C" w14:textId="77777777">
        <w:trPr>
          <w:divId w:val="944115306"/>
        </w:trPr>
        <w:tc>
          <w:tcPr>
            <w:tcW w:w="0" w:type="auto"/>
            <w:gridSpan w:val="3"/>
            <w:shd w:val="clear" w:color="auto" w:fill="CCEEFF"/>
            <w:tcMar>
              <w:top w:w="30" w:type="dxa"/>
              <w:left w:w="20" w:type="dxa"/>
              <w:bottom w:w="30" w:type="dxa"/>
              <w:right w:w="20" w:type="dxa"/>
            </w:tcMar>
            <w:vAlign w:val="bottom"/>
            <w:hideMark/>
          </w:tcPr>
          <w:p w14:paraId="143A90D9" w14:textId="77777777" w:rsidR="00000000" w:rsidRDefault="001A570A">
            <w:pPr>
              <w:divId w:val="2009477665"/>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5D39CFD" w14:textId="77777777" w:rsidR="00000000" w:rsidRDefault="001A570A">
            <w:pPr>
              <w:jc w:val="right"/>
              <w:rPr>
                <w:rFonts w:eastAsia="Times New Roman"/>
              </w:rPr>
            </w:pPr>
            <w:r>
              <w:rPr>
                <w:rFonts w:eastAsia="Times New Roman"/>
                <w:color w:val="000000"/>
                <w:sz w:val="20"/>
                <w:szCs w:val="20"/>
              </w:rPr>
              <w:t>(709)</w:t>
            </w:r>
          </w:p>
        </w:tc>
        <w:tc>
          <w:tcPr>
            <w:tcW w:w="0" w:type="auto"/>
            <w:shd w:val="clear" w:color="auto" w:fill="CCEEFF"/>
            <w:tcMar>
              <w:top w:w="30" w:type="dxa"/>
              <w:left w:w="0" w:type="dxa"/>
              <w:bottom w:w="30" w:type="dxa"/>
              <w:right w:w="20" w:type="dxa"/>
            </w:tcMar>
            <w:vAlign w:val="bottom"/>
            <w:hideMark/>
          </w:tcPr>
          <w:p w14:paraId="423A6CA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80FB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30151B" w14:textId="77777777" w:rsidR="00000000" w:rsidRDefault="001A570A">
            <w:pPr>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5CA6920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D4C6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A89276" w14:textId="77777777" w:rsidR="00000000" w:rsidRDefault="001A570A">
            <w:pPr>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14:paraId="650795B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6F64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21E99C" w14:textId="77777777" w:rsidR="00000000" w:rsidRDefault="001A570A">
            <w:pPr>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14:paraId="250C0953" w14:textId="77777777" w:rsidR="00000000" w:rsidRDefault="001A570A">
            <w:pPr>
              <w:jc w:val="right"/>
              <w:rPr>
                <w:rFonts w:eastAsia="Times New Roman"/>
              </w:rPr>
            </w:pPr>
          </w:p>
        </w:tc>
      </w:tr>
      <w:tr w:rsidR="00000000" w14:paraId="55B3FBE7" w14:textId="77777777">
        <w:trPr>
          <w:divId w:val="944115306"/>
        </w:trPr>
        <w:tc>
          <w:tcPr>
            <w:tcW w:w="0" w:type="auto"/>
            <w:gridSpan w:val="3"/>
            <w:shd w:val="clear" w:color="auto" w:fill="FFFFFF"/>
            <w:tcMar>
              <w:top w:w="30" w:type="dxa"/>
              <w:left w:w="20" w:type="dxa"/>
              <w:bottom w:w="30" w:type="dxa"/>
              <w:right w:w="20" w:type="dxa"/>
            </w:tcMar>
            <w:hideMark/>
          </w:tcPr>
          <w:p w14:paraId="5F657097" w14:textId="77777777" w:rsidR="00000000" w:rsidRDefault="001A570A">
            <w:pPr>
              <w:rPr>
                <w:rFonts w:eastAsia="Times New Roman"/>
              </w:rPr>
            </w:pPr>
            <w:r>
              <w:rPr>
                <w:rFonts w:eastAsia="Times New Roman"/>
                <w:color w:val="000000"/>
                <w:sz w:val="20"/>
                <w:szCs w:val="20"/>
              </w:rPr>
              <w:t>Impairment of identifiable intangible assets</w:t>
            </w:r>
          </w:p>
        </w:tc>
        <w:tc>
          <w:tcPr>
            <w:tcW w:w="0" w:type="auto"/>
            <w:gridSpan w:val="2"/>
            <w:shd w:val="clear" w:color="auto" w:fill="FFFFFF"/>
            <w:tcMar>
              <w:top w:w="30" w:type="dxa"/>
              <w:left w:w="20" w:type="dxa"/>
              <w:bottom w:w="30" w:type="dxa"/>
              <w:right w:w="0" w:type="dxa"/>
            </w:tcMar>
            <w:vAlign w:val="bottom"/>
            <w:hideMark/>
          </w:tcPr>
          <w:p w14:paraId="519D2C31" w14:textId="77777777" w:rsidR="00000000" w:rsidRDefault="001A570A">
            <w:pPr>
              <w:jc w:val="right"/>
              <w:rPr>
                <w:rFonts w:eastAsia="Times New Roman"/>
              </w:rPr>
            </w:pPr>
            <w:r>
              <w:rPr>
                <w:rFonts w:eastAsia="Times New Roman"/>
                <w:color w:val="000000"/>
                <w:sz w:val="20"/>
                <w:szCs w:val="20"/>
              </w:rPr>
              <w:t>(113)</w:t>
            </w:r>
          </w:p>
        </w:tc>
        <w:tc>
          <w:tcPr>
            <w:tcW w:w="0" w:type="auto"/>
            <w:shd w:val="clear" w:color="auto" w:fill="FFFFFF"/>
            <w:tcMar>
              <w:top w:w="30" w:type="dxa"/>
              <w:left w:w="0" w:type="dxa"/>
              <w:bottom w:w="30" w:type="dxa"/>
              <w:right w:w="20" w:type="dxa"/>
            </w:tcMar>
            <w:vAlign w:val="bottom"/>
            <w:hideMark/>
          </w:tcPr>
          <w:p w14:paraId="15B53DC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EC27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6652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A29B6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06DE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5EDB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AD96C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DBED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EE53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7C6825" w14:textId="77777777" w:rsidR="00000000" w:rsidRDefault="001A570A">
            <w:pPr>
              <w:jc w:val="right"/>
              <w:rPr>
                <w:rFonts w:eastAsia="Times New Roman"/>
              </w:rPr>
            </w:pPr>
          </w:p>
        </w:tc>
      </w:tr>
      <w:tr w:rsidR="00000000" w14:paraId="5F221A50" w14:textId="77777777">
        <w:trPr>
          <w:divId w:val="944115306"/>
        </w:trPr>
        <w:tc>
          <w:tcPr>
            <w:tcW w:w="0" w:type="auto"/>
            <w:gridSpan w:val="3"/>
            <w:shd w:val="clear" w:color="auto" w:fill="CCEEFF"/>
            <w:tcMar>
              <w:top w:w="30" w:type="dxa"/>
              <w:left w:w="20" w:type="dxa"/>
              <w:bottom w:w="30" w:type="dxa"/>
              <w:right w:w="20" w:type="dxa"/>
            </w:tcMar>
            <w:hideMark/>
          </w:tcPr>
          <w:p w14:paraId="74D3AA0D"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CCEEFF"/>
            <w:tcMar>
              <w:top w:w="30" w:type="dxa"/>
              <w:left w:w="20" w:type="dxa"/>
              <w:bottom w:w="30" w:type="dxa"/>
              <w:right w:w="0" w:type="dxa"/>
            </w:tcMar>
            <w:vAlign w:val="bottom"/>
            <w:hideMark/>
          </w:tcPr>
          <w:p w14:paraId="772FAC74" w14:textId="77777777" w:rsidR="00000000" w:rsidRDefault="001A570A">
            <w:pPr>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7AF7E88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0962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C390C"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741538A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B60D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2E1F66"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774E1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ABCF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1157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108098" w14:textId="77777777" w:rsidR="00000000" w:rsidRDefault="001A570A">
            <w:pPr>
              <w:jc w:val="right"/>
              <w:rPr>
                <w:rFonts w:eastAsia="Times New Roman"/>
              </w:rPr>
            </w:pPr>
          </w:p>
        </w:tc>
      </w:tr>
      <w:tr w:rsidR="00000000" w14:paraId="5EC0F1BC" w14:textId="77777777">
        <w:trPr>
          <w:divId w:val="944115306"/>
        </w:trPr>
        <w:tc>
          <w:tcPr>
            <w:tcW w:w="0" w:type="auto"/>
            <w:gridSpan w:val="3"/>
            <w:shd w:val="clear" w:color="auto" w:fill="FFFFFF"/>
            <w:tcMar>
              <w:top w:w="30" w:type="dxa"/>
              <w:left w:w="20" w:type="dxa"/>
              <w:bottom w:w="30" w:type="dxa"/>
              <w:right w:w="20" w:type="dxa"/>
            </w:tcMar>
            <w:hideMark/>
          </w:tcPr>
          <w:p w14:paraId="3A5859C3" w14:textId="77777777" w:rsidR="00000000" w:rsidRDefault="001A570A">
            <w:pPr>
              <w:rPr>
                <w:rFonts w:eastAsia="Times New Roman"/>
              </w:rPr>
            </w:pPr>
            <w:r>
              <w:rPr>
                <w:rFonts w:eastAsia="Times New Roman"/>
                <w:color w:val="000000"/>
                <w:sz w:val="20"/>
                <w:szCs w:val="20"/>
              </w:rPr>
              <w:t>Pension adjustment</w:t>
            </w:r>
          </w:p>
        </w:tc>
        <w:tc>
          <w:tcPr>
            <w:tcW w:w="0" w:type="auto"/>
            <w:gridSpan w:val="2"/>
            <w:shd w:val="clear" w:color="auto" w:fill="FFFFFF"/>
            <w:tcMar>
              <w:top w:w="30" w:type="dxa"/>
              <w:left w:w="20" w:type="dxa"/>
              <w:bottom w:w="30" w:type="dxa"/>
              <w:right w:w="0" w:type="dxa"/>
            </w:tcMar>
            <w:vAlign w:val="bottom"/>
            <w:hideMark/>
          </w:tcPr>
          <w:p w14:paraId="6A785A7D" w14:textId="77777777" w:rsidR="00000000" w:rsidRDefault="001A570A">
            <w:pPr>
              <w:jc w:val="right"/>
              <w:rPr>
                <w:rFonts w:eastAsia="Times New Roman"/>
              </w:rPr>
            </w:pPr>
            <w:r>
              <w:rPr>
                <w:rFonts w:eastAsia="Times New Roman"/>
                <w:color w:val="000000"/>
                <w:sz w:val="20"/>
                <w:szCs w:val="20"/>
              </w:rPr>
              <w:t>(389)</w:t>
            </w:r>
          </w:p>
        </w:tc>
        <w:tc>
          <w:tcPr>
            <w:tcW w:w="0" w:type="auto"/>
            <w:shd w:val="clear" w:color="auto" w:fill="FFFFFF"/>
            <w:tcMar>
              <w:top w:w="30" w:type="dxa"/>
              <w:left w:w="0" w:type="dxa"/>
              <w:bottom w:w="30" w:type="dxa"/>
              <w:right w:w="20" w:type="dxa"/>
            </w:tcMar>
            <w:vAlign w:val="bottom"/>
            <w:hideMark/>
          </w:tcPr>
          <w:p w14:paraId="263466A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29DB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A0E50" w14:textId="77777777" w:rsidR="00000000" w:rsidRDefault="001A570A">
            <w:pPr>
              <w:jc w:val="right"/>
              <w:rPr>
                <w:rFonts w:eastAsia="Times New Roman"/>
              </w:rPr>
            </w:pPr>
            <w:r>
              <w:rPr>
                <w:rFonts w:eastAsia="Times New Roman"/>
                <w:color w:val="000000"/>
                <w:sz w:val="20"/>
                <w:szCs w:val="20"/>
              </w:rPr>
              <w:t>(172)</w:t>
            </w:r>
          </w:p>
        </w:tc>
        <w:tc>
          <w:tcPr>
            <w:tcW w:w="0" w:type="auto"/>
            <w:shd w:val="clear" w:color="auto" w:fill="FFFFFF"/>
            <w:tcMar>
              <w:top w:w="30" w:type="dxa"/>
              <w:left w:w="0" w:type="dxa"/>
              <w:bottom w:w="30" w:type="dxa"/>
              <w:right w:w="20" w:type="dxa"/>
            </w:tcMar>
            <w:vAlign w:val="bottom"/>
            <w:hideMark/>
          </w:tcPr>
          <w:p w14:paraId="0C83E4D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DB98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46D0E" w14:textId="77777777" w:rsidR="00000000" w:rsidRDefault="001A570A">
            <w:pPr>
              <w:jc w:val="right"/>
              <w:rPr>
                <w:rFonts w:eastAsia="Times New Roman"/>
              </w:rPr>
            </w:pPr>
            <w:r>
              <w:rPr>
                <w:rFonts w:eastAsia="Times New Roman"/>
                <w:color w:val="000000"/>
                <w:sz w:val="20"/>
                <w:szCs w:val="20"/>
              </w:rPr>
              <w:t>(186)</w:t>
            </w:r>
          </w:p>
        </w:tc>
        <w:tc>
          <w:tcPr>
            <w:tcW w:w="0" w:type="auto"/>
            <w:shd w:val="clear" w:color="auto" w:fill="FFFFFF"/>
            <w:tcMar>
              <w:top w:w="30" w:type="dxa"/>
              <w:left w:w="0" w:type="dxa"/>
              <w:bottom w:w="30" w:type="dxa"/>
              <w:right w:w="20" w:type="dxa"/>
            </w:tcMar>
            <w:vAlign w:val="bottom"/>
            <w:hideMark/>
          </w:tcPr>
          <w:p w14:paraId="58087E3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ECC6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5B0F6" w14:textId="77777777" w:rsidR="00000000" w:rsidRDefault="001A570A">
            <w:pPr>
              <w:jc w:val="right"/>
              <w:rPr>
                <w:rFonts w:eastAsia="Times New Roman"/>
              </w:rPr>
            </w:pPr>
            <w:r>
              <w:rPr>
                <w:rFonts w:eastAsia="Times New Roman"/>
                <w:color w:val="000000"/>
                <w:sz w:val="20"/>
                <w:szCs w:val="20"/>
              </w:rPr>
              <w:t>(184)</w:t>
            </w:r>
          </w:p>
        </w:tc>
        <w:tc>
          <w:tcPr>
            <w:tcW w:w="0" w:type="auto"/>
            <w:shd w:val="clear" w:color="auto" w:fill="FFFFFF"/>
            <w:tcMar>
              <w:top w:w="30" w:type="dxa"/>
              <w:left w:w="0" w:type="dxa"/>
              <w:bottom w:w="30" w:type="dxa"/>
              <w:right w:w="20" w:type="dxa"/>
            </w:tcMar>
            <w:vAlign w:val="bottom"/>
            <w:hideMark/>
          </w:tcPr>
          <w:p w14:paraId="5072CA1F" w14:textId="77777777" w:rsidR="00000000" w:rsidRDefault="001A570A">
            <w:pPr>
              <w:jc w:val="right"/>
              <w:rPr>
                <w:rFonts w:eastAsia="Times New Roman"/>
              </w:rPr>
            </w:pPr>
          </w:p>
        </w:tc>
      </w:tr>
      <w:tr w:rsidR="00000000" w14:paraId="6FA7EAE5" w14:textId="77777777">
        <w:trPr>
          <w:divId w:val="944115306"/>
        </w:trPr>
        <w:tc>
          <w:tcPr>
            <w:tcW w:w="0" w:type="auto"/>
            <w:gridSpan w:val="3"/>
            <w:shd w:val="clear" w:color="auto" w:fill="CCEEFF"/>
            <w:tcMar>
              <w:top w:w="30" w:type="dxa"/>
              <w:left w:w="20" w:type="dxa"/>
              <w:bottom w:w="30" w:type="dxa"/>
              <w:right w:w="20" w:type="dxa"/>
            </w:tcMar>
            <w:hideMark/>
          </w:tcPr>
          <w:p w14:paraId="2B069769" w14:textId="77777777" w:rsidR="00000000" w:rsidRDefault="001A570A">
            <w:pPr>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14:paraId="36EB5004" w14:textId="77777777" w:rsidR="00000000" w:rsidRDefault="001A570A">
            <w:pPr>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14:paraId="7C697E1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84ED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57762" w14:textId="77777777" w:rsidR="00000000" w:rsidRDefault="001A570A">
            <w:pPr>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14:paraId="0A11A60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AE93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7246FD" w14:textId="77777777" w:rsidR="00000000" w:rsidRDefault="001A570A">
            <w:pPr>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641A27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9962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1B19B" w14:textId="77777777" w:rsidR="00000000" w:rsidRDefault="001A570A">
            <w:pPr>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14:paraId="7EF74891" w14:textId="77777777" w:rsidR="00000000" w:rsidRDefault="001A570A">
            <w:pPr>
              <w:jc w:val="right"/>
              <w:rPr>
                <w:rFonts w:eastAsia="Times New Roman"/>
              </w:rPr>
            </w:pPr>
          </w:p>
        </w:tc>
      </w:tr>
      <w:tr w:rsidR="00000000" w14:paraId="21E150F7" w14:textId="77777777">
        <w:trPr>
          <w:divId w:val="944115306"/>
        </w:trPr>
        <w:tc>
          <w:tcPr>
            <w:tcW w:w="0" w:type="auto"/>
            <w:gridSpan w:val="3"/>
            <w:shd w:val="clear" w:color="auto" w:fill="FFFFFF"/>
            <w:tcMar>
              <w:top w:w="30" w:type="dxa"/>
              <w:left w:w="20" w:type="dxa"/>
              <w:bottom w:w="30" w:type="dxa"/>
              <w:right w:w="20" w:type="dxa"/>
            </w:tcMar>
            <w:vAlign w:val="bottom"/>
            <w:hideMark/>
          </w:tcPr>
          <w:p w14:paraId="17EB35BA" w14:textId="77777777" w:rsidR="00000000" w:rsidRDefault="001A570A">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14:paraId="3578CEA7" w14:textId="77777777" w:rsidR="00000000" w:rsidRDefault="001A570A">
            <w:pPr>
              <w:jc w:val="right"/>
              <w:rPr>
                <w:rFonts w:eastAsia="Times New Roman"/>
              </w:rPr>
            </w:pPr>
            <w:r>
              <w:rPr>
                <w:rFonts w:eastAsia="Times New Roman"/>
                <w:color w:val="000000"/>
                <w:sz w:val="20"/>
                <w:szCs w:val="20"/>
              </w:rPr>
              <w:t>(254)</w:t>
            </w:r>
          </w:p>
        </w:tc>
        <w:tc>
          <w:tcPr>
            <w:tcW w:w="0" w:type="auto"/>
            <w:shd w:val="clear" w:color="auto" w:fill="FFFFFF"/>
            <w:tcMar>
              <w:top w:w="30" w:type="dxa"/>
              <w:left w:w="0" w:type="dxa"/>
              <w:bottom w:w="30" w:type="dxa"/>
              <w:right w:w="20" w:type="dxa"/>
            </w:tcMar>
            <w:vAlign w:val="bottom"/>
            <w:hideMark/>
          </w:tcPr>
          <w:p w14:paraId="769CAB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61E2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03150" w14:textId="77777777" w:rsidR="00000000" w:rsidRDefault="001A570A">
            <w:pPr>
              <w:jc w:val="right"/>
              <w:rPr>
                <w:rFonts w:eastAsia="Times New Roman"/>
              </w:rPr>
            </w:pPr>
            <w:r>
              <w:rPr>
                <w:rFonts w:eastAsia="Times New Roman"/>
                <w:color w:val="000000"/>
                <w:sz w:val="20"/>
                <w:szCs w:val="20"/>
              </w:rPr>
              <w:t>(123)</w:t>
            </w:r>
          </w:p>
        </w:tc>
        <w:tc>
          <w:tcPr>
            <w:tcW w:w="0" w:type="auto"/>
            <w:shd w:val="clear" w:color="auto" w:fill="FFFFFF"/>
            <w:tcMar>
              <w:top w:w="30" w:type="dxa"/>
              <w:left w:w="0" w:type="dxa"/>
              <w:bottom w:w="30" w:type="dxa"/>
              <w:right w:w="20" w:type="dxa"/>
            </w:tcMar>
            <w:vAlign w:val="bottom"/>
            <w:hideMark/>
          </w:tcPr>
          <w:p w14:paraId="2F908DE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F8C9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22C64" w14:textId="77777777" w:rsidR="00000000" w:rsidRDefault="001A570A">
            <w:pPr>
              <w:jc w:val="right"/>
              <w:rPr>
                <w:rFonts w:eastAsia="Times New Roman"/>
              </w:rPr>
            </w:pPr>
            <w:r>
              <w:rPr>
                <w:rFonts w:eastAsia="Times New Roman"/>
                <w:color w:val="000000"/>
                <w:sz w:val="20"/>
                <w:szCs w:val="20"/>
              </w:rPr>
              <w:t>(167)</w:t>
            </w:r>
          </w:p>
        </w:tc>
        <w:tc>
          <w:tcPr>
            <w:tcW w:w="0" w:type="auto"/>
            <w:shd w:val="clear" w:color="auto" w:fill="FFFFFF"/>
            <w:tcMar>
              <w:top w:w="30" w:type="dxa"/>
              <w:left w:w="0" w:type="dxa"/>
              <w:bottom w:w="30" w:type="dxa"/>
              <w:right w:w="20" w:type="dxa"/>
            </w:tcMar>
            <w:vAlign w:val="bottom"/>
            <w:hideMark/>
          </w:tcPr>
          <w:p w14:paraId="65CDCB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4B8C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327F5F" w14:textId="77777777" w:rsidR="00000000" w:rsidRDefault="001A570A">
            <w:pPr>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14:paraId="374D0C65" w14:textId="77777777" w:rsidR="00000000" w:rsidRDefault="001A570A">
            <w:pPr>
              <w:jc w:val="right"/>
              <w:rPr>
                <w:rFonts w:eastAsia="Times New Roman"/>
              </w:rPr>
            </w:pPr>
          </w:p>
        </w:tc>
      </w:tr>
      <w:tr w:rsidR="00000000" w14:paraId="6B4DDDC1" w14:textId="77777777">
        <w:trPr>
          <w:divId w:val="944115306"/>
        </w:trPr>
        <w:tc>
          <w:tcPr>
            <w:tcW w:w="0" w:type="auto"/>
            <w:gridSpan w:val="3"/>
            <w:shd w:val="clear" w:color="auto" w:fill="CCEEFF"/>
            <w:tcMar>
              <w:top w:w="30" w:type="dxa"/>
              <w:left w:w="20" w:type="dxa"/>
              <w:bottom w:w="30" w:type="dxa"/>
              <w:right w:w="20" w:type="dxa"/>
            </w:tcMar>
            <w:hideMark/>
          </w:tcPr>
          <w:p w14:paraId="5BEBD823" w14:textId="77777777" w:rsidR="00000000" w:rsidRDefault="001A570A">
            <w:pPr>
              <w:rPr>
                <w:rFonts w:eastAsia="Times New Roman"/>
              </w:rPr>
            </w:pPr>
            <w:r>
              <w:rPr>
                <w:rFonts w:eastAsia="Times New Roman"/>
                <w:color w:val="000000"/>
                <w:sz w:val="20"/>
                <w:szCs w:val="20"/>
              </w:rPr>
              <w:t>Total income from continuing operations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CFB0B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BA91C8" w14:textId="77777777" w:rsidR="00000000" w:rsidRDefault="001A570A">
            <w:pPr>
              <w:jc w:val="right"/>
              <w:rPr>
                <w:rFonts w:eastAsia="Times New Roman"/>
              </w:rPr>
            </w:pPr>
            <w:r>
              <w:rPr>
                <w:rFonts w:eastAsia="Times New Roman"/>
                <w:color w:val="000000"/>
                <w:sz w:val="20"/>
                <w:szCs w:val="20"/>
              </w:rPr>
              <w:t>1,322 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77557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67C5D"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ADD63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002BC3"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9BB69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9E959"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39D14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1E5162" w14:textId="77777777" w:rsidR="00000000" w:rsidRDefault="001A570A">
            <w:pPr>
              <w:jc w:val="right"/>
              <w:rPr>
                <w:rFonts w:eastAsia="Times New Roman"/>
              </w:rPr>
            </w:pPr>
            <w:r>
              <w:rPr>
                <w:rFonts w:eastAsia="Times New Roman"/>
                <w:color w:val="000000"/>
                <w:sz w:val="20"/>
                <w:szCs w:val="20"/>
              </w:rPr>
              <w:t>1,113 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24E61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C7AEB"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244C6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95079B"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5191AA" w14:textId="77777777" w:rsidR="00000000" w:rsidRDefault="001A570A">
            <w:pPr>
              <w:jc w:val="right"/>
              <w:rPr>
                <w:rFonts w:eastAsia="Times New Roman"/>
              </w:rPr>
            </w:pPr>
          </w:p>
        </w:tc>
      </w:tr>
    </w:tbl>
    <w:p w14:paraId="25411B65" w14:textId="77777777" w:rsidR="00000000" w:rsidRDefault="001A570A">
      <w:pPr>
        <w:divId w:val="84352408"/>
        <w:rPr>
          <w:rFonts w:eastAsia="Times New Roman"/>
        </w:rPr>
      </w:pPr>
      <w:r>
        <w:rPr>
          <w:rFonts w:eastAsia="Times New Roman"/>
          <w:color w:val="000000"/>
          <w:sz w:val="16"/>
          <w:szCs w:val="16"/>
        </w:rPr>
        <w:t>_______________</w:t>
      </w:r>
    </w:p>
    <w:p w14:paraId="4DC4B9D9" w14:textId="77777777" w:rsidR="00000000" w:rsidRDefault="001A570A">
      <w:pPr>
        <w:ind w:hanging="360"/>
        <w:divId w:val="1333604160"/>
        <w:rPr>
          <w:rFonts w:eastAsia="Times New Roman"/>
        </w:rPr>
      </w:pPr>
      <w:r>
        <w:rPr>
          <w:rFonts w:eastAsia="Times New Roman"/>
          <w:color w:val="000000"/>
          <w:sz w:val="16"/>
          <w:szCs w:val="16"/>
        </w:rPr>
        <w:t xml:space="preserve">(1)Includes the operating results of the Harris Night Vision business prior to the date of divestiture </w:t>
      </w:r>
      <w:r>
        <w:rPr>
          <w:rFonts w:eastAsia="Times New Roman"/>
          <w:color w:val="000000"/>
          <w:sz w:val="16"/>
          <w:szCs w:val="16"/>
        </w:rPr>
        <w:t xml:space="preserve">on September 13, 2019.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more information. </w:t>
      </w:r>
    </w:p>
    <w:p w14:paraId="0F1A909A" w14:textId="77777777" w:rsidR="00000000" w:rsidRDefault="001A570A">
      <w:pPr>
        <w:ind w:hanging="360"/>
        <w:divId w:val="883635588"/>
        <w:rPr>
          <w:rFonts w:eastAsia="Times New Roman"/>
        </w:rPr>
      </w:pPr>
      <w:r>
        <w:rPr>
          <w:rFonts w:eastAsia="Times New Roman"/>
          <w:color w:val="000000"/>
          <w:sz w:val="16"/>
          <w:szCs w:val="16"/>
        </w:rPr>
        <w:t xml:space="preserve">(2)For fiscal 2020 includes: (i) $31 million of additional cost of sales related to the fair value step-up in inventory sold (see </w:t>
      </w:r>
      <w:r>
        <w:rPr>
          <w:rFonts w:eastAsia="Times New Roman"/>
          <w:i/>
          <w:iCs/>
          <w:color w:val="000000"/>
          <w:sz w:val="16"/>
          <w:szCs w:val="16"/>
        </w:rPr>
        <w:t>Note 5: Busines</w:t>
      </w:r>
      <w:r>
        <w:rPr>
          <w:rFonts w:eastAsia="Times New Roman"/>
          <w:i/>
          <w:iCs/>
          <w:color w:val="000000"/>
          <w:sz w:val="16"/>
          <w:szCs w:val="16"/>
        </w:rPr>
        <w:t>s Combination</w:t>
      </w:r>
      <w:r>
        <w:rPr>
          <w:rFonts w:eastAsia="Times New Roman"/>
          <w:color w:val="000000"/>
          <w:sz w:val="16"/>
          <w:szCs w:val="16"/>
        </w:rPr>
        <w:t xml:space="preserve"> in these Notes for more information); (ii) a $22 million gain on sale of property, plant and equipment; (iii) a $14 million non-cash goodwill impairment charge related to a potential divestiture, (iv) $13 million of divestiture-related expens</w:t>
      </w:r>
      <w:r>
        <w:rPr>
          <w:rFonts w:eastAsia="Times New Roman"/>
          <w:color w:val="000000"/>
          <w:sz w:val="16"/>
          <w:szCs w:val="16"/>
        </w:rPr>
        <w:t xml:space="preserve">es; (v) a $5 million non-cash goodwill impairment charge related to the divestiture of the Applied Kilovolts and Analytical Instrumentation business; and (vi) a $2 million non-cash cumulative adjustment to lease expense. For the two quarters ended January </w:t>
      </w:r>
      <w:r>
        <w:rPr>
          <w:rFonts w:eastAsia="Times New Roman"/>
          <w:color w:val="000000"/>
          <w:sz w:val="16"/>
          <w:szCs w:val="16"/>
        </w:rPr>
        <w:t>3, 2020 includes: (i) $142 million of additional cost of sales related to the fair value step-up in inventory sold; (ii) a $12 million gain on the sale of an asset group; and (iii) a $10 million non-cash cumulative adjustment to lease expense. For fiscal 2</w:t>
      </w:r>
      <w:r>
        <w:rPr>
          <w:rFonts w:eastAsia="Times New Roman"/>
          <w:color w:val="000000"/>
          <w:sz w:val="16"/>
          <w:szCs w:val="16"/>
        </w:rPr>
        <w:t>018 includes: (i) $47 million of charges related to our decision to transition and exit a commercial air-to-ground LTE radio communications line of business and other items; (ii) a $12 million non-cash adjustment for deferred compensation; and (iii) $5 mil</w:t>
      </w:r>
      <w:r>
        <w:rPr>
          <w:rFonts w:eastAsia="Times New Roman"/>
          <w:color w:val="000000"/>
          <w:sz w:val="16"/>
          <w:szCs w:val="16"/>
        </w:rPr>
        <w:t>lion of Exelis acquisition-related and other charges.</w:t>
      </w:r>
    </w:p>
    <w:p w14:paraId="092A2476" w14:textId="77777777" w:rsidR="00000000" w:rsidRDefault="001A570A">
      <w:pPr>
        <w:ind w:hanging="360"/>
        <w:divId w:val="617301581"/>
        <w:rPr>
          <w:rFonts w:eastAsia="Times New Roman"/>
        </w:rPr>
      </w:pPr>
      <w:r>
        <w:rPr>
          <w:rFonts w:eastAsia="Times New Roman"/>
          <w:color w:val="000000"/>
          <w:sz w:val="16"/>
          <w:szCs w:val="16"/>
        </w:rPr>
        <w:t>(3)Includes $609 million and $239 million of amortization of identifiable intangible assets acquired as a result of the L3Harris Merger for fiscal 2020 and the two quarters ended January 3, 2020, respec</w:t>
      </w:r>
      <w:r>
        <w:rPr>
          <w:rFonts w:eastAsia="Times New Roman"/>
          <w:color w:val="000000"/>
          <w:sz w:val="16"/>
          <w:szCs w:val="16"/>
        </w:rPr>
        <w:t>tively; and $100 million, $50 million, $101 million and $101 million of amortization of identifiable intangible assets acquired as a result of our acquisition of Exelis for fiscal 2020, the two quarters ended January 3, 2020, and fiscal 2019 and 2018, resp</w:t>
      </w:r>
      <w:r>
        <w:rPr>
          <w:rFonts w:eastAsia="Times New Roman"/>
          <w:color w:val="000000"/>
          <w:sz w:val="16"/>
          <w:szCs w:val="16"/>
        </w:rPr>
        <w:t>ectively. Because the L3Harris Merger and the acquisition of Exelis benefited the entire Company as opposed to any individual segment, the amortization of identifiable intangible assets acquired was not allocated to any segment.</w:t>
      </w:r>
    </w:p>
    <w:p w14:paraId="30C58568" w14:textId="77777777" w:rsidR="00000000" w:rsidRDefault="001A570A">
      <w:pPr>
        <w:divId w:val="241643580"/>
        <w:rPr>
          <w:rFonts w:eastAsia="Times New Roman"/>
        </w:rPr>
      </w:pPr>
      <w:r>
        <w:rPr>
          <w:rFonts w:eastAsia="Times New Roman"/>
          <w:b/>
          <w:bCs/>
          <w:color w:val="000000"/>
          <w:sz w:val="20"/>
          <w:szCs w:val="20"/>
        </w:rPr>
        <w:t>Disaggregation of Revenue</w:t>
      </w:r>
    </w:p>
    <w:p w14:paraId="249BA5A6" w14:textId="77777777" w:rsidR="00000000" w:rsidRDefault="001A570A">
      <w:pPr>
        <w:ind w:firstLine="450"/>
        <w:divId w:val="1897545703"/>
        <w:rPr>
          <w:rFonts w:eastAsia="Times New Roman"/>
        </w:rPr>
      </w:pPr>
      <w:r>
        <w:rPr>
          <w:rFonts w:eastAsia="Times New Roman"/>
          <w:color w:val="000000"/>
          <w:sz w:val="20"/>
          <w:szCs w:val="20"/>
        </w:rPr>
        <w:t>W</w:t>
      </w:r>
      <w:r>
        <w:rPr>
          <w:rFonts w:eastAsia="Times New Roman"/>
          <w:color w:val="000000"/>
          <w:sz w:val="20"/>
          <w:szCs w:val="20"/>
        </w:rPr>
        <w:t>e disaggregate revenue for all four business segments by customer relationship, contract type and geographical region. We believe these categories best depict how the nature, amount, timing and uncertainty of revenue and cash flows are affected by economic</w:t>
      </w:r>
      <w:r>
        <w:rPr>
          <w:rFonts w:eastAsia="Times New Roman"/>
          <w:color w:val="000000"/>
          <w:sz w:val="20"/>
          <w:szCs w:val="20"/>
        </w:rPr>
        <w:t xml:space="preserve"> factors:</w:t>
      </w:r>
    </w:p>
    <w:p w14:paraId="022E93FF" w14:textId="77777777" w:rsidR="00000000" w:rsidRDefault="001A570A">
      <w:pPr>
        <w:ind w:firstLine="450"/>
        <w:jc w:val="center"/>
        <w:divId w:val="498544352"/>
        <w:rPr>
          <w:rFonts w:eastAsia="Times New Roman"/>
        </w:rPr>
      </w:pPr>
      <w:r>
        <w:rPr>
          <w:rFonts w:eastAsia="Times New Roman"/>
          <w:color w:val="000000"/>
          <w:sz w:val="20"/>
          <w:szCs w:val="20"/>
        </w:rPr>
        <w:t>125</w:t>
      </w:r>
    </w:p>
    <w:p w14:paraId="4FF04413" w14:textId="77777777" w:rsidR="00000000" w:rsidRDefault="001A570A">
      <w:pPr>
        <w:rPr>
          <w:rFonts w:eastAsia="Times New Roman"/>
        </w:rPr>
      </w:pPr>
      <w:r>
        <w:rPr>
          <w:rFonts w:eastAsia="Times New Roman"/>
        </w:rPr>
        <w:pict w14:anchorId="162AAE7B">
          <v:rect id="_x0000_i1153" style="width:0;height:1.5pt" o:hralign="center" o:hrstd="t" o:hr="t" fillcolor="#a0a0a0" stroked="f"/>
        </w:pict>
      </w:r>
    </w:p>
    <w:p w14:paraId="4F706DB6" w14:textId="77777777" w:rsidR="00000000" w:rsidRDefault="001A570A">
      <w:pPr>
        <w:ind w:firstLine="450"/>
        <w:divId w:val="486821399"/>
        <w:rPr>
          <w:rFonts w:eastAsia="Times New Roman"/>
        </w:rPr>
      </w:pPr>
    </w:p>
    <w:p w14:paraId="272DC3AC" w14:textId="77777777" w:rsidR="00000000" w:rsidRDefault="001A570A">
      <w:pPr>
        <w:ind w:firstLine="450"/>
        <w:divId w:val="618415597"/>
        <w:rPr>
          <w:rFonts w:eastAsia="Times New Roman"/>
        </w:rPr>
      </w:pPr>
      <w:r>
        <w:rPr>
          <w:rFonts w:eastAsia="Times New Roman"/>
          <w:i/>
          <w:iCs/>
          <w:color w:val="000000"/>
          <w:sz w:val="20"/>
          <w:szCs w:val="20"/>
        </w:rPr>
        <w:t xml:space="preserve">Integrated Mission Systems: </w:t>
      </w:r>
      <w:r>
        <w:rPr>
          <w:rFonts w:eastAsia="Times New Roman"/>
          <w:color w:val="000000"/>
          <w:sz w:val="20"/>
          <w:szCs w:val="20"/>
        </w:rPr>
        <w:t>Integrated Mission Systems revenue is primarily derived from U.S. Government development and production contracts and is generally recognized over time using the POC cost-to-co</w:t>
      </w:r>
      <w:r>
        <w:rPr>
          <w:rFonts w:eastAsia="Times New Roman"/>
          <w:color w:val="000000"/>
          <w:sz w:val="20"/>
          <w:szCs w:val="20"/>
        </w:rPr>
        <w:t xml:space="preserve">st revenue recognition method. </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7"/>
        <w:gridCol w:w="120"/>
        <w:gridCol w:w="896"/>
        <w:gridCol w:w="36"/>
        <w:gridCol w:w="36"/>
        <w:gridCol w:w="36"/>
        <w:gridCol w:w="36"/>
        <w:gridCol w:w="121"/>
        <w:gridCol w:w="853"/>
        <w:gridCol w:w="36"/>
        <w:gridCol w:w="36"/>
        <w:gridCol w:w="36"/>
        <w:gridCol w:w="36"/>
        <w:gridCol w:w="120"/>
        <w:gridCol w:w="853"/>
        <w:gridCol w:w="36"/>
        <w:gridCol w:w="36"/>
        <w:gridCol w:w="36"/>
        <w:gridCol w:w="36"/>
        <w:gridCol w:w="120"/>
        <w:gridCol w:w="853"/>
        <w:gridCol w:w="36"/>
      </w:tblGrid>
      <w:tr w:rsidR="00000000" w14:paraId="43A45085" w14:textId="77777777">
        <w:trPr>
          <w:divId w:val="1819765686"/>
        </w:trPr>
        <w:tc>
          <w:tcPr>
            <w:tcW w:w="50" w:type="pct"/>
            <w:vAlign w:val="center"/>
            <w:hideMark/>
          </w:tcPr>
          <w:p w14:paraId="21B86E2F" w14:textId="77777777" w:rsidR="00000000" w:rsidRDefault="001A570A">
            <w:pPr>
              <w:ind w:firstLine="450"/>
              <w:rPr>
                <w:rFonts w:eastAsia="Times New Roman"/>
              </w:rPr>
            </w:pPr>
          </w:p>
        </w:tc>
        <w:tc>
          <w:tcPr>
            <w:tcW w:w="2337" w:type="pct"/>
            <w:vAlign w:val="center"/>
            <w:hideMark/>
          </w:tcPr>
          <w:p w14:paraId="3B67CC9A" w14:textId="77777777" w:rsidR="00000000" w:rsidRDefault="001A570A">
            <w:pPr>
              <w:rPr>
                <w:rFonts w:eastAsia="Times New Roman"/>
                <w:sz w:val="20"/>
                <w:szCs w:val="20"/>
              </w:rPr>
            </w:pPr>
          </w:p>
        </w:tc>
        <w:tc>
          <w:tcPr>
            <w:tcW w:w="5" w:type="pct"/>
            <w:vAlign w:val="center"/>
            <w:hideMark/>
          </w:tcPr>
          <w:p w14:paraId="18210D62" w14:textId="77777777" w:rsidR="00000000" w:rsidRDefault="001A570A">
            <w:pPr>
              <w:rPr>
                <w:rFonts w:eastAsia="Times New Roman"/>
                <w:sz w:val="20"/>
                <w:szCs w:val="20"/>
              </w:rPr>
            </w:pPr>
          </w:p>
        </w:tc>
        <w:tc>
          <w:tcPr>
            <w:tcW w:w="50" w:type="pct"/>
            <w:vAlign w:val="center"/>
            <w:hideMark/>
          </w:tcPr>
          <w:p w14:paraId="470B2F7C" w14:textId="77777777" w:rsidR="00000000" w:rsidRDefault="001A570A">
            <w:pPr>
              <w:rPr>
                <w:rFonts w:eastAsia="Times New Roman"/>
                <w:sz w:val="20"/>
                <w:szCs w:val="20"/>
              </w:rPr>
            </w:pPr>
          </w:p>
        </w:tc>
        <w:tc>
          <w:tcPr>
            <w:tcW w:w="570" w:type="pct"/>
            <w:vAlign w:val="center"/>
            <w:hideMark/>
          </w:tcPr>
          <w:p w14:paraId="13297B72" w14:textId="77777777" w:rsidR="00000000" w:rsidRDefault="001A570A">
            <w:pPr>
              <w:rPr>
                <w:rFonts w:eastAsia="Times New Roman"/>
                <w:sz w:val="20"/>
                <w:szCs w:val="20"/>
              </w:rPr>
            </w:pPr>
          </w:p>
        </w:tc>
        <w:tc>
          <w:tcPr>
            <w:tcW w:w="5" w:type="pct"/>
            <w:vAlign w:val="center"/>
            <w:hideMark/>
          </w:tcPr>
          <w:p w14:paraId="39717E42" w14:textId="77777777" w:rsidR="00000000" w:rsidRDefault="001A570A">
            <w:pPr>
              <w:rPr>
                <w:rFonts w:eastAsia="Times New Roman"/>
                <w:sz w:val="20"/>
                <w:szCs w:val="20"/>
              </w:rPr>
            </w:pPr>
          </w:p>
        </w:tc>
        <w:tc>
          <w:tcPr>
            <w:tcW w:w="5" w:type="pct"/>
            <w:vAlign w:val="center"/>
            <w:hideMark/>
          </w:tcPr>
          <w:p w14:paraId="52058C82" w14:textId="77777777" w:rsidR="00000000" w:rsidRDefault="001A570A">
            <w:pPr>
              <w:rPr>
                <w:rFonts w:eastAsia="Times New Roman"/>
                <w:sz w:val="20"/>
                <w:szCs w:val="20"/>
              </w:rPr>
            </w:pPr>
          </w:p>
        </w:tc>
        <w:tc>
          <w:tcPr>
            <w:tcW w:w="25" w:type="pct"/>
            <w:vAlign w:val="center"/>
            <w:hideMark/>
          </w:tcPr>
          <w:p w14:paraId="39EC2B99" w14:textId="77777777" w:rsidR="00000000" w:rsidRDefault="001A570A">
            <w:pPr>
              <w:rPr>
                <w:rFonts w:eastAsia="Times New Roman"/>
                <w:sz w:val="20"/>
                <w:szCs w:val="20"/>
              </w:rPr>
            </w:pPr>
          </w:p>
        </w:tc>
        <w:tc>
          <w:tcPr>
            <w:tcW w:w="5" w:type="pct"/>
            <w:vAlign w:val="center"/>
            <w:hideMark/>
          </w:tcPr>
          <w:p w14:paraId="3451544A" w14:textId="77777777" w:rsidR="00000000" w:rsidRDefault="001A570A">
            <w:pPr>
              <w:rPr>
                <w:rFonts w:eastAsia="Times New Roman"/>
                <w:sz w:val="20"/>
                <w:szCs w:val="20"/>
              </w:rPr>
            </w:pPr>
          </w:p>
        </w:tc>
        <w:tc>
          <w:tcPr>
            <w:tcW w:w="50" w:type="pct"/>
            <w:vAlign w:val="center"/>
            <w:hideMark/>
          </w:tcPr>
          <w:p w14:paraId="2F1B6E34" w14:textId="77777777" w:rsidR="00000000" w:rsidRDefault="001A570A">
            <w:pPr>
              <w:rPr>
                <w:rFonts w:eastAsia="Times New Roman"/>
                <w:sz w:val="20"/>
                <w:szCs w:val="20"/>
              </w:rPr>
            </w:pPr>
          </w:p>
        </w:tc>
        <w:tc>
          <w:tcPr>
            <w:tcW w:w="570" w:type="pct"/>
            <w:vAlign w:val="center"/>
            <w:hideMark/>
          </w:tcPr>
          <w:p w14:paraId="4A5F9A21" w14:textId="77777777" w:rsidR="00000000" w:rsidRDefault="001A570A">
            <w:pPr>
              <w:rPr>
                <w:rFonts w:eastAsia="Times New Roman"/>
                <w:sz w:val="20"/>
                <w:szCs w:val="20"/>
              </w:rPr>
            </w:pPr>
          </w:p>
        </w:tc>
        <w:tc>
          <w:tcPr>
            <w:tcW w:w="5" w:type="pct"/>
            <w:vAlign w:val="center"/>
            <w:hideMark/>
          </w:tcPr>
          <w:p w14:paraId="50A8CAA4" w14:textId="77777777" w:rsidR="00000000" w:rsidRDefault="001A570A">
            <w:pPr>
              <w:rPr>
                <w:rFonts w:eastAsia="Times New Roman"/>
                <w:sz w:val="20"/>
                <w:szCs w:val="20"/>
              </w:rPr>
            </w:pPr>
          </w:p>
        </w:tc>
        <w:tc>
          <w:tcPr>
            <w:tcW w:w="5" w:type="pct"/>
            <w:vAlign w:val="center"/>
            <w:hideMark/>
          </w:tcPr>
          <w:p w14:paraId="7672C992" w14:textId="77777777" w:rsidR="00000000" w:rsidRDefault="001A570A">
            <w:pPr>
              <w:rPr>
                <w:rFonts w:eastAsia="Times New Roman"/>
                <w:sz w:val="20"/>
                <w:szCs w:val="20"/>
              </w:rPr>
            </w:pPr>
          </w:p>
        </w:tc>
        <w:tc>
          <w:tcPr>
            <w:tcW w:w="25" w:type="pct"/>
            <w:vAlign w:val="center"/>
            <w:hideMark/>
          </w:tcPr>
          <w:p w14:paraId="2CABD7A2" w14:textId="77777777" w:rsidR="00000000" w:rsidRDefault="001A570A">
            <w:pPr>
              <w:rPr>
                <w:rFonts w:eastAsia="Times New Roman"/>
                <w:sz w:val="20"/>
                <w:szCs w:val="20"/>
              </w:rPr>
            </w:pPr>
          </w:p>
        </w:tc>
        <w:tc>
          <w:tcPr>
            <w:tcW w:w="5" w:type="pct"/>
            <w:vAlign w:val="center"/>
            <w:hideMark/>
          </w:tcPr>
          <w:p w14:paraId="577C236A" w14:textId="77777777" w:rsidR="00000000" w:rsidRDefault="001A570A">
            <w:pPr>
              <w:rPr>
                <w:rFonts w:eastAsia="Times New Roman"/>
                <w:sz w:val="20"/>
                <w:szCs w:val="20"/>
              </w:rPr>
            </w:pPr>
          </w:p>
        </w:tc>
        <w:tc>
          <w:tcPr>
            <w:tcW w:w="50" w:type="pct"/>
            <w:vAlign w:val="center"/>
            <w:hideMark/>
          </w:tcPr>
          <w:p w14:paraId="506770E0" w14:textId="77777777" w:rsidR="00000000" w:rsidRDefault="001A570A">
            <w:pPr>
              <w:rPr>
                <w:rFonts w:eastAsia="Times New Roman"/>
                <w:sz w:val="20"/>
                <w:szCs w:val="20"/>
              </w:rPr>
            </w:pPr>
          </w:p>
        </w:tc>
        <w:tc>
          <w:tcPr>
            <w:tcW w:w="570" w:type="pct"/>
            <w:vAlign w:val="center"/>
            <w:hideMark/>
          </w:tcPr>
          <w:p w14:paraId="2B621346" w14:textId="77777777" w:rsidR="00000000" w:rsidRDefault="001A570A">
            <w:pPr>
              <w:rPr>
                <w:rFonts w:eastAsia="Times New Roman"/>
                <w:sz w:val="20"/>
                <w:szCs w:val="20"/>
              </w:rPr>
            </w:pPr>
          </w:p>
        </w:tc>
        <w:tc>
          <w:tcPr>
            <w:tcW w:w="5" w:type="pct"/>
            <w:vAlign w:val="center"/>
            <w:hideMark/>
          </w:tcPr>
          <w:p w14:paraId="6C8A2C5C" w14:textId="77777777" w:rsidR="00000000" w:rsidRDefault="001A570A">
            <w:pPr>
              <w:rPr>
                <w:rFonts w:eastAsia="Times New Roman"/>
                <w:sz w:val="20"/>
                <w:szCs w:val="20"/>
              </w:rPr>
            </w:pPr>
          </w:p>
        </w:tc>
        <w:tc>
          <w:tcPr>
            <w:tcW w:w="5" w:type="pct"/>
            <w:vAlign w:val="center"/>
            <w:hideMark/>
          </w:tcPr>
          <w:p w14:paraId="0BD4ADA7" w14:textId="77777777" w:rsidR="00000000" w:rsidRDefault="001A570A">
            <w:pPr>
              <w:rPr>
                <w:rFonts w:eastAsia="Times New Roman"/>
                <w:sz w:val="20"/>
                <w:szCs w:val="20"/>
              </w:rPr>
            </w:pPr>
          </w:p>
        </w:tc>
        <w:tc>
          <w:tcPr>
            <w:tcW w:w="25" w:type="pct"/>
            <w:vAlign w:val="center"/>
            <w:hideMark/>
          </w:tcPr>
          <w:p w14:paraId="79168641" w14:textId="77777777" w:rsidR="00000000" w:rsidRDefault="001A570A">
            <w:pPr>
              <w:rPr>
                <w:rFonts w:eastAsia="Times New Roman"/>
                <w:sz w:val="20"/>
                <w:szCs w:val="20"/>
              </w:rPr>
            </w:pPr>
          </w:p>
        </w:tc>
        <w:tc>
          <w:tcPr>
            <w:tcW w:w="5" w:type="pct"/>
            <w:vAlign w:val="center"/>
            <w:hideMark/>
          </w:tcPr>
          <w:p w14:paraId="70295A5B" w14:textId="77777777" w:rsidR="00000000" w:rsidRDefault="001A570A">
            <w:pPr>
              <w:rPr>
                <w:rFonts w:eastAsia="Times New Roman"/>
                <w:sz w:val="20"/>
                <w:szCs w:val="20"/>
              </w:rPr>
            </w:pPr>
          </w:p>
        </w:tc>
        <w:tc>
          <w:tcPr>
            <w:tcW w:w="50" w:type="pct"/>
            <w:vAlign w:val="center"/>
            <w:hideMark/>
          </w:tcPr>
          <w:p w14:paraId="7D7C40E1" w14:textId="77777777" w:rsidR="00000000" w:rsidRDefault="001A570A">
            <w:pPr>
              <w:rPr>
                <w:rFonts w:eastAsia="Times New Roman"/>
                <w:sz w:val="20"/>
                <w:szCs w:val="20"/>
              </w:rPr>
            </w:pPr>
          </w:p>
        </w:tc>
        <w:tc>
          <w:tcPr>
            <w:tcW w:w="570" w:type="pct"/>
            <w:vAlign w:val="center"/>
            <w:hideMark/>
          </w:tcPr>
          <w:p w14:paraId="22D1E044" w14:textId="77777777" w:rsidR="00000000" w:rsidRDefault="001A570A">
            <w:pPr>
              <w:rPr>
                <w:rFonts w:eastAsia="Times New Roman"/>
                <w:sz w:val="20"/>
                <w:szCs w:val="20"/>
              </w:rPr>
            </w:pPr>
          </w:p>
        </w:tc>
        <w:tc>
          <w:tcPr>
            <w:tcW w:w="5" w:type="pct"/>
            <w:vAlign w:val="center"/>
            <w:hideMark/>
          </w:tcPr>
          <w:p w14:paraId="6895532A" w14:textId="77777777" w:rsidR="00000000" w:rsidRDefault="001A570A">
            <w:pPr>
              <w:rPr>
                <w:rFonts w:eastAsia="Times New Roman"/>
                <w:sz w:val="20"/>
                <w:szCs w:val="20"/>
              </w:rPr>
            </w:pPr>
          </w:p>
        </w:tc>
      </w:tr>
      <w:tr w:rsidR="00000000" w14:paraId="774F4D1F" w14:textId="77777777">
        <w:trPr>
          <w:divId w:val="1819765686"/>
        </w:trPr>
        <w:tc>
          <w:tcPr>
            <w:tcW w:w="0" w:type="auto"/>
            <w:gridSpan w:val="3"/>
            <w:tcMar>
              <w:top w:w="0" w:type="dxa"/>
              <w:left w:w="20" w:type="dxa"/>
              <w:bottom w:w="0" w:type="dxa"/>
              <w:right w:w="20" w:type="dxa"/>
            </w:tcMar>
            <w:vAlign w:val="center"/>
            <w:hideMark/>
          </w:tcPr>
          <w:p w14:paraId="11B1C520"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BE4290D"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2B07BC0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62C620F4"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65EB0F7F"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05BE79B2"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60257D4E" w14:textId="77777777">
        <w:trPr>
          <w:divId w:val="1819765686"/>
        </w:trPr>
        <w:tc>
          <w:tcPr>
            <w:tcW w:w="0" w:type="auto"/>
            <w:gridSpan w:val="3"/>
            <w:tcMar>
              <w:top w:w="30" w:type="dxa"/>
              <w:left w:w="20" w:type="dxa"/>
              <w:bottom w:w="30" w:type="dxa"/>
              <w:right w:w="20" w:type="dxa"/>
            </w:tcMar>
            <w:vAlign w:val="bottom"/>
            <w:hideMark/>
          </w:tcPr>
          <w:p w14:paraId="384E8597"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767B7EA"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1075F7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E6B27F"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575A908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681F9A"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5D91417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8A63DA" w14:textId="77777777" w:rsidR="00000000" w:rsidRDefault="001A570A">
            <w:pPr>
              <w:jc w:val="center"/>
              <w:rPr>
                <w:rFonts w:eastAsia="Times New Roman"/>
              </w:rPr>
            </w:pPr>
            <w:r>
              <w:rPr>
                <w:rFonts w:eastAsia="Times New Roman"/>
                <w:b/>
                <w:bCs/>
                <w:color w:val="000000"/>
                <w:sz w:val="16"/>
                <w:szCs w:val="16"/>
              </w:rPr>
              <w:t>June 29, 2018</w:t>
            </w:r>
          </w:p>
        </w:tc>
      </w:tr>
      <w:tr w:rsidR="00000000" w14:paraId="5E3DCD96" w14:textId="77777777">
        <w:trPr>
          <w:divId w:val="1819765686"/>
          <w:trHeight w:val="60"/>
        </w:trPr>
        <w:tc>
          <w:tcPr>
            <w:tcW w:w="0" w:type="auto"/>
            <w:gridSpan w:val="3"/>
            <w:tcMar>
              <w:top w:w="0" w:type="dxa"/>
              <w:left w:w="20" w:type="dxa"/>
              <w:bottom w:w="0" w:type="dxa"/>
              <w:right w:w="20" w:type="dxa"/>
            </w:tcMar>
            <w:vAlign w:val="center"/>
            <w:hideMark/>
          </w:tcPr>
          <w:p w14:paraId="194514BF"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A399D1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F4C033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247E5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D0ED6BF"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5137C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FD4B3D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0418F1" w14:textId="77777777" w:rsidR="00000000" w:rsidRDefault="001A570A">
            <w:pPr>
              <w:rPr>
                <w:rFonts w:eastAsia="Times New Roman"/>
                <w:sz w:val="20"/>
                <w:szCs w:val="20"/>
              </w:rPr>
            </w:pPr>
          </w:p>
        </w:tc>
      </w:tr>
      <w:tr w:rsidR="00000000" w14:paraId="1DAF3C3F" w14:textId="77777777">
        <w:trPr>
          <w:divId w:val="1819765686"/>
        </w:trPr>
        <w:tc>
          <w:tcPr>
            <w:tcW w:w="0" w:type="auto"/>
            <w:gridSpan w:val="3"/>
            <w:shd w:val="clear" w:color="auto" w:fill="CCEEFF"/>
            <w:tcMar>
              <w:top w:w="30" w:type="dxa"/>
              <w:left w:w="20" w:type="dxa"/>
              <w:bottom w:w="30" w:type="dxa"/>
              <w:right w:w="20" w:type="dxa"/>
            </w:tcMar>
            <w:vAlign w:val="bottom"/>
            <w:hideMark/>
          </w:tcPr>
          <w:p w14:paraId="0404CCE3" w14:textId="77777777" w:rsidR="00000000" w:rsidRDefault="001A570A">
            <w:pPr>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4734C854"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60A4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4C50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817E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8E74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CCA49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D432D7" w14:textId="77777777" w:rsidR="00000000" w:rsidRDefault="001A570A">
            <w:pPr>
              <w:rPr>
                <w:rFonts w:eastAsia="Times New Roman"/>
                <w:sz w:val="20"/>
                <w:szCs w:val="20"/>
              </w:rPr>
            </w:pPr>
          </w:p>
        </w:tc>
      </w:tr>
      <w:tr w:rsidR="00000000" w14:paraId="0FD98032" w14:textId="77777777">
        <w:trPr>
          <w:divId w:val="1819765686"/>
        </w:trPr>
        <w:tc>
          <w:tcPr>
            <w:tcW w:w="0" w:type="auto"/>
            <w:gridSpan w:val="3"/>
            <w:shd w:val="clear" w:color="auto" w:fill="FFFFFF"/>
            <w:tcMar>
              <w:top w:w="30" w:type="dxa"/>
              <w:left w:w="20" w:type="dxa"/>
              <w:bottom w:w="30" w:type="dxa"/>
              <w:right w:w="20" w:type="dxa"/>
            </w:tcMar>
            <w:vAlign w:val="bottom"/>
            <w:hideMark/>
          </w:tcPr>
          <w:p w14:paraId="66A70411" w14:textId="77777777" w:rsidR="00000000" w:rsidRDefault="001A570A">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3053EF7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15B824" w14:textId="77777777" w:rsidR="00000000" w:rsidRDefault="001A570A">
            <w:pPr>
              <w:jc w:val="right"/>
              <w:rPr>
                <w:rFonts w:eastAsia="Times New Roman"/>
              </w:rPr>
            </w:pPr>
            <w:r>
              <w:rPr>
                <w:rFonts w:eastAsia="Times New Roman"/>
                <w:color w:val="000000"/>
                <w:sz w:val="20"/>
                <w:szCs w:val="20"/>
              </w:rPr>
              <w:t>3,718 </w:t>
            </w:r>
          </w:p>
        </w:tc>
        <w:tc>
          <w:tcPr>
            <w:tcW w:w="0" w:type="auto"/>
            <w:shd w:val="clear" w:color="auto" w:fill="FFFFFF"/>
            <w:tcMar>
              <w:top w:w="30" w:type="dxa"/>
              <w:left w:w="0" w:type="dxa"/>
              <w:bottom w:w="30" w:type="dxa"/>
              <w:right w:w="20" w:type="dxa"/>
            </w:tcMar>
            <w:vAlign w:val="bottom"/>
            <w:hideMark/>
          </w:tcPr>
          <w:p w14:paraId="1F45FAB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137A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B1837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0E79F3" w14:textId="77777777" w:rsidR="00000000" w:rsidRDefault="001A570A">
            <w:pPr>
              <w:jc w:val="right"/>
              <w:rPr>
                <w:rFonts w:eastAsia="Times New Roman"/>
              </w:rPr>
            </w:pPr>
            <w:r>
              <w:rPr>
                <w:rFonts w:eastAsia="Times New Roman"/>
                <w:color w:val="000000"/>
                <w:sz w:val="20"/>
                <w:szCs w:val="20"/>
              </w:rPr>
              <w:t>1,892 </w:t>
            </w:r>
          </w:p>
        </w:tc>
        <w:tc>
          <w:tcPr>
            <w:tcW w:w="0" w:type="auto"/>
            <w:shd w:val="clear" w:color="auto" w:fill="FFFFFF"/>
            <w:tcMar>
              <w:top w:w="30" w:type="dxa"/>
              <w:left w:w="0" w:type="dxa"/>
              <w:bottom w:w="30" w:type="dxa"/>
              <w:right w:w="20" w:type="dxa"/>
            </w:tcMar>
            <w:vAlign w:val="bottom"/>
            <w:hideMark/>
          </w:tcPr>
          <w:p w14:paraId="7A693EC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B7BB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E6FB4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425856" w14:textId="77777777" w:rsidR="00000000" w:rsidRDefault="001A570A">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3D43C6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05B1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82B6A7"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A5FAEA" w14:textId="77777777" w:rsidR="00000000" w:rsidRDefault="001A570A">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6197991B" w14:textId="77777777" w:rsidR="00000000" w:rsidRDefault="001A570A">
            <w:pPr>
              <w:jc w:val="right"/>
              <w:rPr>
                <w:rFonts w:eastAsia="Times New Roman"/>
              </w:rPr>
            </w:pPr>
          </w:p>
        </w:tc>
      </w:tr>
      <w:tr w:rsidR="00000000" w14:paraId="47A7DFA1" w14:textId="77777777">
        <w:trPr>
          <w:divId w:val="1819765686"/>
        </w:trPr>
        <w:tc>
          <w:tcPr>
            <w:tcW w:w="0" w:type="auto"/>
            <w:gridSpan w:val="3"/>
            <w:shd w:val="clear" w:color="auto" w:fill="CCEEFF"/>
            <w:tcMar>
              <w:top w:w="30" w:type="dxa"/>
              <w:left w:w="20" w:type="dxa"/>
              <w:bottom w:w="30" w:type="dxa"/>
              <w:right w:w="20" w:type="dxa"/>
            </w:tcMar>
            <w:vAlign w:val="bottom"/>
            <w:hideMark/>
          </w:tcPr>
          <w:p w14:paraId="2617BA69" w14:textId="77777777" w:rsidR="00000000" w:rsidRDefault="001A570A">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7757031E" w14:textId="77777777" w:rsidR="00000000" w:rsidRDefault="001A570A">
            <w:pPr>
              <w:jc w:val="right"/>
              <w:rPr>
                <w:rFonts w:eastAsia="Times New Roman"/>
              </w:rPr>
            </w:pPr>
            <w:r>
              <w:rPr>
                <w:rFonts w:eastAsia="Times New Roman"/>
                <w:color w:val="000000"/>
                <w:sz w:val="20"/>
                <w:szCs w:val="20"/>
              </w:rPr>
              <w:t>1,820 </w:t>
            </w:r>
          </w:p>
        </w:tc>
        <w:tc>
          <w:tcPr>
            <w:tcW w:w="0" w:type="auto"/>
            <w:shd w:val="clear" w:color="auto" w:fill="CCEEFF"/>
            <w:tcMar>
              <w:top w:w="30" w:type="dxa"/>
              <w:left w:w="0" w:type="dxa"/>
              <w:bottom w:w="30" w:type="dxa"/>
              <w:right w:w="20" w:type="dxa"/>
            </w:tcMar>
            <w:vAlign w:val="bottom"/>
            <w:hideMark/>
          </w:tcPr>
          <w:p w14:paraId="601F7FD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87BA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D7F81" w14:textId="77777777" w:rsidR="00000000" w:rsidRDefault="001A570A">
            <w:pPr>
              <w:jc w:val="right"/>
              <w:rPr>
                <w:rFonts w:eastAsia="Times New Roman"/>
              </w:rPr>
            </w:pPr>
            <w:r>
              <w:rPr>
                <w:rFonts w:eastAsia="Times New Roman"/>
                <w:color w:val="000000"/>
                <w:sz w:val="20"/>
                <w:szCs w:val="20"/>
              </w:rPr>
              <w:t>866 </w:t>
            </w:r>
          </w:p>
        </w:tc>
        <w:tc>
          <w:tcPr>
            <w:tcW w:w="0" w:type="auto"/>
            <w:shd w:val="clear" w:color="auto" w:fill="CCEEFF"/>
            <w:tcMar>
              <w:top w:w="30" w:type="dxa"/>
              <w:left w:w="0" w:type="dxa"/>
              <w:bottom w:w="30" w:type="dxa"/>
              <w:right w:w="20" w:type="dxa"/>
            </w:tcMar>
            <w:vAlign w:val="bottom"/>
            <w:hideMark/>
          </w:tcPr>
          <w:p w14:paraId="5C8141A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113B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F129A"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321968B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365B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F0DAAB" w14:textId="77777777" w:rsidR="00000000" w:rsidRDefault="001A570A">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4601A1C5" w14:textId="77777777" w:rsidR="00000000" w:rsidRDefault="001A570A">
            <w:pPr>
              <w:jc w:val="right"/>
              <w:rPr>
                <w:rFonts w:eastAsia="Times New Roman"/>
              </w:rPr>
            </w:pPr>
          </w:p>
        </w:tc>
      </w:tr>
      <w:tr w:rsidR="00000000" w14:paraId="37EB4986" w14:textId="77777777">
        <w:trPr>
          <w:divId w:val="1819765686"/>
        </w:trPr>
        <w:tc>
          <w:tcPr>
            <w:tcW w:w="0" w:type="auto"/>
            <w:gridSpan w:val="3"/>
            <w:shd w:val="clear" w:color="auto" w:fill="FFFFFF"/>
            <w:tcMar>
              <w:top w:w="0" w:type="dxa"/>
              <w:left w:w="20" w:type="dxa"/>
              <w:bottom w:w="0" w:type="dxa"/>
              <w:right w:w="20" w:type="dxa"/>
            </w:tcMar>
            <w:vAlign w:val="center"/>
            <w:hideMark/>
          </w:tcPr>
          <w:p w14:paraId="0E3AEDE5"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C52BD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2F4259" w14:textId="77777777" w:rsidR="00000000" w:rsidRDefault="001A570A">
            <w:pPr>
              <w:jc w:val="right"/>
              <w:rPr>
                <w:rFonts w:eastAsia="Times New Roman"/>
              </w:rPr>
            </w:pPr>
            <w:r>
              <w:rPr>
                <w:rFonts w:eastAsia="Times New Roman"/>
                <w:color w:val="000000"/>
                <w:sz w:val="20"/>
                <w:szCs w:val="20"/>
              </w:rPr>
              <w:t>5,538 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1144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C9E69"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D614C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E83969" w14:textId="77777777" w:rsidR="00000000" w:rsidRDefault="001A570A">
            <w:pPr>
              <w:jc w:val="right"/>
              <w:rPr>
                <w:rFonts w:eastAsia="Times New Roman"/>
              </w:rPr>
            </w:pPr>
            <w:r>
              <w:rPr>
                <w:rFonts w:eastAsia="Times New Roman"/>
                <w:color w:val="000000"/>
                <w:sz w:val="20"/>
                <w:szCs w:val="20"/>
              </w:rPr>
              <w:t>2,758 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EF5B8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7BAA3"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DFE2A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06AF35" w14:textId="77777777" w:rsidR="00000000" w:rsidRDefault="001A570A">
            <w:pPr>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7C410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74292"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21A82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3C4365" w14:textId="77777777" w:rsidR="00000000" w:rsidRDefault="001A570A">
            <w:pPr>
              <w:jc w:val="right"/>
              <w:rPr>
                <w:rFonts w:eastAsia="Times New Roman"/>
              </w:rPr>
            </w:pPr>
            <w:r>
              <w:rPr>
                <w:rFonts w:eastAsia="Times New Roman"/>
                <w:color w:val="000000"/>
                <w:sz w:val="20"/>
                <w:szCs w:val="20"/>
              </w:rPr>
              <w:t>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F25D1F" w14:textId="77777777" w:rsidR="00000000" w:rsidRDefault="001A570A">
            <w:pPr>
              <w:jc w:val="right"/>
              <w:rPr>
                <w:rFonts w:eastAsia="Times New Roman"/>
              </w:rPr>
            </w:pPr>
          </w:p>
        </w:tc>
      </w:tr>
      <w:tr w:rsidR="00000000" w14:paraId="1DBD09B8" w14:textId="77777777">
        <w:trPr>
          <w:divId w:val="1819765686"/>
        </w:trPr>
        <w:tc>
          <w:tcPr>
            <w:tcW w:w="0" w:type="auto"/>
            <w:gridSpan w:val="3"/>
            <w:shd w:val="clear" w:color="auto" w:fill="CCEEFF"/>
            <w:tcMar>
              <w:top w:w="30" w:type="dxa"/>
              <w:left w:w="20" w:type="dxa"/>
              <w:bottom w:w="30" w:type="dxa"/>
              <w:right w:w="20" w:type="dxa"/>
            </w:tcMar>
            <w:vAlign w:val="bottom"/>
            <w:hideMark/>
          </w:tcPr>
          <w:p w14:paraId="58707CA9" w14:textId="77777777" w:rsidR="00000000" w:rsidRDefault="001A570A">
            <w:pPr>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6B3735"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1E7F6"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9C9E0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66A42A"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B4DFC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F90305"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F5C617" w14:textId="77777777" w:rsidR="00000000" w:rsidRDefault="001A570A">
            <w:pPr>
              <w:rPr>
                <w:rFonts w:eastAsia="Times New Roman"/>
                <w:sz w:val="20"/>
                <w:szCs w:val="20"/>
              </w:rPr>
            </w:pPr>
          </w:p>
        </w:tc>
      </w:tr>
      <w:tr w:rsidR="00000000" w14:paraId="3063E60E" w14:textId="77777777">
        <w:trPr>
          <w:divId w:val="1819765686"/>
        </w:trPr>
        <w:tc>
          <w:tcPr>
            <w:tcW w:w="0" w:type="auto"/>
            <w:gridSpan w:val="3"/>
            <w:shd w:val="clear" w:color="auto" w:fill="FFFFFF"/>
            <w:tcMar>
              <w:top w:w="30" w:type="dxa"/>
              <w:left w:w="20" w:type="dxa"/>
              <w:bottom w:w="30" w:type="dxa"/>
              <w:right w:w="20" w:type="dxa"/>
            </w:tcMar>
            <w:vAlign w:val="bottom"/>
            <w:hideMark/>
          </w:tcPr>
          <w:p w14:paraId="782A9582" w14:textId="77777777" w:rsidR="00000000" w:rsidRDefault="001A570A">
            <w:pPr>
              <w:divId w:val="541866019"/>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14B688E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9ADBB8A" w14:textId="77777777" w:rsidR="00000000" w:rsidRDefault="001A570A">
            <w:pPr>
              <w:jc w:val="right"/>
              <w:rPr>
                <w:rFonts w:eastAsia="Times New Roman"/>
              </w:rPr>
            </w:pPr>
            <w:r>
              <w:rPr>
                <w:rFonts w:eastAsia="Times New Roman"/>
                <w:color w:val="000000"/>
                <w:sz w:val="20"/>
                <w:szCs w:val="20"/>
              </w:rPr>
              <w:t>4,179 </w:t>
            </w:r>
          </w:p>
        </w:tc>
        <w:tc>
          <w:tcPr>
            <w:tcW w:w="0" w:type="auto"/>
            <w:shd w:val="clear" w:color="auto" w:fill="FFFFFF"/>
            <w:tcMar>
              <w:top w:w="30" w:type="dxa"/>
              <w:left w:w="0" w:type="dxa"/>
              <w:bottom w:w="30" w:type="dxa"/>
              <w:right w:w="20" w:type="dxa"/>
            </w:tcMar>
            <w:vAlign w:val="bottom"/>
            <w:hideMark/>
          </w:tcPr>
          <w:p w14:paraId="59005F8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D489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B7539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0F0700" w14:textId="77777777" w:rsidR="00000000" w:rsidRDefault="001A570A">
            <w:pPr>
              <w:jc w:val="right"/>
              <w:rPr>
                <w:rFonts w:eastAsia="Times New Roman"/>
              </w:rPr>
            </w:pPr>
            <w:r>
              <w:rPr>
                <w:rFonts w:eastAsia="Times New Roman"/>
                <w:color w:val="000000"/>
                <w:sz w:val="20"/>
                <w:szCs w:val="20"/>
              </w:rPr>
              <w:t>2,121 </w:t>
            </w:r>
          </w:p>
        </w:tc>
        <w:tc>
          <w:tcPr>
            <w:tcW w:w="0" w:type="auto"/>
            <w:shd w:val="clear" w:color="auto" w:fill="FFFFFF"/>
            <w:tcMar>
              <w:top w:w="30" w:type="dxa"/>
              <w:left w:w="0" w:type="dxa"/>
              <w:bottom w:w="30" w:type="dxa"/>
              <w:right w:w="20" w:type="dxa"/>
            </w:tcMar>
            <w:vAlign w:val="bottom"/>
            <w:hideMark/>
          </w:tcPr>
          <w:p w14:paraId="128C4C7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F27CF"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870637"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0659E6" w14:textId="77777777" w:rsidR="00000000" w:rsidRDefault="001A570A">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05B3B86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5235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1908E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78943D"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3DDBB2B7" w14:textId="77777777" w:rsidR="00000000" w:rsidRDefault="001A570A">
            <w:pPr>
              <w:jc w:val="right"/>
              <w:rPr>
                <w:rFonts w:eastAsia="Times New Roman"/>
              </w:rPr>
            </w:pPr>
          </w:p>
        </w:tc>
      </w:tr>
      <w:tr w:rsidR="00000000" w14:paraId="1B1E3B24" w14:textId="77777777">
        <w:trPr>
          <w:divId w:val="1819765686"/>
        </w:trPr>
        <w:tc>
          <w:tcPr>
            <w:tcW w:w="0" w:type="auto"/>
            <w:gridSpan w:val="3"/>
            <w:shd w:val="clear" w:color="auto" w:fill="CCEEFF"/>
            <w:tcMar>
              <w:top w:w="30" w:type="dxa"/>
              <w:left w:w="20" w:type="dxa"/>
              <w:bottom w:w="30" w:type="dxa"/>
              <w:right w:w="20" w:type="dxa"/>
            </w:tcMar>
            <w:vAlign w:val="bottom"/>
            <w:hideMark/>
          </w:tcPr>
          <w:p w14:paraId="037D7D2F" w14:textId="77777777" w:rsidR="00000000" w:rsidRDefault="001A570A">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14:paraId="00381C3D" w14:textId="77777777" w:rsidR="00000000" w:rsidRDefault="001A570A">
            <w:pPr>
              <w:jc w:val="right"/>
              <w:rPr>
                <w:rFonts w:eastAsia="Times New Roman"/>
              </w:rPr>
            </w:pPr>
            <w:r>
              <w:rPr>
                <w:rFonts w:eastAsia="Times New Roman"/>
                <w:color w:val="000000"/>
                <w:sz w:val="20"/>
                <w:szCs w:val="20"/>
              </w:rPr>
              <w:t>1,359 </w:t>
            </w:r>
          </w:p>
        </w:tc>
        <w:tc>
          <w:tcPr>
            <w:tcW w:w="0" w:type="auto"/>
            <w:shd w:val="clear" w:color="auto" w:fill="CCEEFF"/>
            <w:tcMar>
              <w:top w:w="30" w:type="dxa"/>
              <w:left w:w="0" w:type="dxa"/>
              <w:bottom w:w="30" w:type="dxa"/>
              <w:right w:w="20" w:type="dxa"/>
            </w:tcMar>
            <w:vAlign w:val="bottom"/>
            <w:hideMark/>
          </w:tcPr>
          <w:p w14:paraId="03A0116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93E1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5FE91B" w14:textId="77777777" w:rsidR="00000000" w:rsidRDefault="001A570A">
            <w:pPr>
              <w:jc w:val="right"/>
              <w:rPr>
                <w:rFonts w:eastAsia="Times New Roman"/>
              </w:rPr>
            </w:pPr>
            <w:r>
              <w:rPr>
                <w:rFonts w:eastAsia="Times New Roman"/>
                <w:color w:val="000000"/>
                <w:sz w:val="20"/>
                <w:szCs w:val="20"/>
              </w:rPr>
              <w:t>637 </w:t>
            </w:r>
          </w:p>
        </w:tc>
        <w:tc>
          <w:tcPr>
            <w:tcW w:w="0" w:type="auto"/>
            <w:shd w:val="clear" w:color="auto" w:fill="CCEEFF"/>
            <w:tcMar>
              <w:top w:w="30" w:type="dxa"/>
              <w:left w:w="0" w:type="dxa"/>
              <w:bottom w:w="30" w:type="dxa"/>
              <w:right w:w="20" w:type="dxa"/>
            </w:tcMar>
            <w:vAlign w:val="bottom"/>
            <w:hideMark/>
          </w:tcPr>
          <w:p w14:paraId="6F7EA8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AB0F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2DED9"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9C07B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1E6D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22983"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49DF6B25" w14:textId="77777777" w:rsidR="00000000" w:rsidRDefault="001A570A">
            <w:pPr>
              <w:jc w:val="right"/>
              <w:rPr>
                <w:rFonts w:eastAsia="Times New Roman"/>
              </w:rPr>
            </w:pPr>
          </w:p>
        </w:tc>
      </w:tr>
      <w:tr w:rsidR="00000000" w14:paraId="252D90B7" w14:textId="77777777">
        <w:trPr>
          <w:divId w:val="1819765686"/>
        </w:trPr>
        <w:tc>
          <w:tcPr>
            <w:tcW w:w="0" w:type="auto"/>
            <w:gridSpan w:val="3"/>
            <w:shd w:val="clear" w:color="auto" w:fill="FFFFFF"/>
            <w:tcMar>
              <w:top w:w="0" w:type="dxa"/>
              <w:left w:w="20" w:type="dxa"/>
              <w:bottom w:w="0" w:type="dxa"/>
              <w:right w:w="20" w:type="dxa"/>
            </w:tcMar>
            <w:vAlign w:val="center"/>
            <w:hideMark/>
          </w:tcPr>
          <w:p w14:paraId="71CF9F9A"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2ADAB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169859" w14:textId="77777777" w:rsidR="00000000" w:rsidRDefault="001A570A">
            <w:pPr>
              <w:jc w:val="right"/>
              <w:rPr>
                <w:rFonts w:eastAsia="Times New Roman"/>
              </w:rPr>
            </w:pPr>
            <w:r>
              <w:rPr>
                <w:rFonts w:eastAsia="Times New Roman"/>
                <w:color w:val="000000"/>
                <w:sz w:val="20"/>
                <w:szCs w:val="20"/>
              </w:rPr>
              <w:t>5,538 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DF425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092F7"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12F0A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A66E10" w14:textId="77777777" w:rsidR="00000000" w:rsidRDefault="001A570A">
            <w:pPr>
              <w:jc w:val="right"/>
              <w:rPr>
                <w:rFonts w:eastAsia="Times New Roman"/>
              </w:rPr>
            </w:pPr>
            <w:r>
              <w:rPr>
                <w:rFonts w:eastAsia="Times New Roman"/>
                <w:color w:val="000000"/>
                <w:sz w:val="20"/>
                <w:szCs w:val="20"/>
              </w:rPr>
              <w:t>2,758 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D9354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DB9FC"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34E68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7D2ED9" w14:textId="77777777" w:rsidR="00000000" w:rsidRDefault="001A570A">
            <w:pPr>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7B183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BF614"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FC34C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81BC7E" w14:textId="77777777" w:rsidR="00000000" w:rsidRDefault="001A570A">
            <w:pPr>
              <w:jc w:val="right"/>
              <w:rPr>
                <w:rFonts w:eastAsia="Times New Roman"/>
              </w:rPr>
            </w:pPr>
            <w:r>
              <w:rPr>
                <w:rFonts w:eastAsia="Times New Roman"/>
                <w:color w:val="000000"/>
                <w:sz w:val="20"/>
                <w:szCs w:val="20"/>
              </w:rPr>
              <w:t>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28ED8B" w14:textId="77777777" w:rsidR="00000000" w:rsidRDefault="001A570A">
            <w:pPr>
              <w:jc w:val="right"/>
              <w:rPr>
                <w:rFonts w:eastAsia="Times New Roman"/>
              </w:rPr>
            </w:pPr>
          </w:p>
        </w:tc>
      </w:tr>
      <w:tr w:rsidR="00000000" w14:paraId="1E1C7319" w14:textId="77777777">
        <w:trPr>
          <w:divId w:val="1819765686"/>
        </w:trPr>
        <w:tc>
          <w:tcPr>
            <w:tcW w:w="0" w:type="auto"/>
            <w:gridSpan w:val="3"/>
            <w:shd w:val="clear" w:color="auto" w:fill="CCEEFF"/>
            <w:tcMar>
              <w:top w:w="30" w:type="dxa"/>
              <w:left w:w="20" w:type="dxa"/>
              <w:bottom w:w="30" w:type="dxa"/>
              <w:right w:w="20" w:type="dxa"/>
            </w:tcMar>
            <w:vAlign w:val="bottom"/>
            <w:hideMark/>
          </w:tcPr>
          <w:p w14:paraId="60157E31" w14:textId="77777777" w:rsidR="00000000" w:rsidRDefault="001A570A">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97031B"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EEC77"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BA259E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6020D4"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D82F0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91A485"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6614EE5" w14:textId="77777777" w:rsidR="00000000" w:rsidRDefault="001A570A">
            <w:pPr>
              <w:rPr>
                <w:rFonts w:eastAsia="Times New Roman"/>
                <w:sz w:val="20"/>
                <w:szCs w:val="20"/>
              </w:rPr>
            </w:pPr>
          </w:p>
        </w:tc>
      </w:tr>
      <w:tr w:rsidR="00000000" w14:paraId="6C0F40BC" w14:textId="77777777">
        <w:trPr>
          <w:divId w:val="1819765686"/>
        </w:trPr>
        <w:tc>
          <w:tcPr>
            <w:tcW w:w="0" w:type="auto"/>
            <w:gridSpan w:val="3"/>
            <w:shd w:val="clear" w:color="auto" w:fill="FFFFFF"/>
            <w:tcMar>
              <w:top w:w="30" w:type="dxa"/>
              <w:left w:w="20" w:type="dxa"/>
              <w:bottom w:w="30" w:type="dxa"/>
              <w:right w:w="20" w:type="dxa"/>
            </w:tcMar>
            <w:vAlign w:val="bottom"/>
            <w:hideMark/>
          </w:tcPr>
          <w:p w14:paraId="447839A2" w14:textId="77777777" w:rsidR="00000000" w:rsidRDefault="001A570A">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5347D47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AFBB0C" w14:textId="77777777" w:rsidR="00000000" w:rsidRDefault="001A570A">
            <w:pPr>
              <w:jc w:val="right"/>
              <w:rPr>
                <w:rFonts w:eastAsia="Times New Roman"/>
              </w:rPr>
            </w:pPr>
            <w:r>
              <w:rPr>
                <w:rFonts w:eastAsia="Times New Roman"/>
                <w:color w:val="000000"/>
                <w:sz w:val="20"/>
                <w:szCs w:val="20"/>
              </w:rPr>
              <w:t>4,389 </w:t>
            </w:r>
          </w:p>
        </w:tc>
        <w:tc>
          <w:tcPr>
            <w:tcW w:w="0" w:type="auto"/>
            <w:shd w:val="clear" w:color="auto" w:fill="FFFFFF"/>
            <w:tcMar>
              <w:top w:w="30" w:type="dxa"/>
              <w:left w:w="0" w:type="dxa"/>
              <w:bottom w:w="30" w:type="dxa"/>
              <w:right w:w="20" w:type="dxa"/>
            </w:tcMar>
            <w:vAlign w:val="bottom"/>
            <w:hideMark/>
          </w:tcPr>
          <w:p w14:paraId="41A763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4ACD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86854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B4975D" w14:textId="77777777" w:rsidR="00000000" w:rsidRDefault="001A570A">
            <w:pPr>
              <w:jc w:val="right"/>
              <w:rPr>
                <w:rFonts w:eastAsia="Times New Roman"/>
              </w:rPr>
            </w:pPr>
            <w:r>
              <w:rPr>
                <w:rFonts w:eastAsia="Times New Roman"/>
                <w:color w:val="000000"/>
                <w:sz w:val="20"/>
                <w:szCs w:val="20"/>
              </w:rPr>
              <w:t>2,146 </w:t>
            </w:r>
          </w:p>
        </w:tc>
        <w:tc>
          <w:tcPr>
            <w:tcW w:w="0" w:type="auto"/>
            <w:shd w:val="clear" w:color="auto" w:fill="FFFFFF"/>
            <w:tcMar>
              <w:top w:w="30" w:type="dxa"/>
              <w:left w:w="0" w:type="dxa"/>
              <w:bottom w:w="30" w:type="dxa"/>
              <w:right w:w="20" w:type="dxa"/>
            </w:tcMar>
            <w:vAlign w:val="bottom"/>
            <w:hideMark/>
          </w:tcPr>
          <w:p w14:paraId="0B1FB41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B852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4023F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B0FC7F" w14:textId="77777777" w:rsidR="00000000" w:rsidRDefault="001A570A">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29D363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6B3D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7EBBB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F334B0" w14:textId="77777777" w:rsidR="00000000" w:rsidRDefault="001A570A">
            <w:pPr>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56393767" w14:textId="77777777" w:rsidR="00000000" w:rsidRDefault="001A570A">
            <w:pPr>
              <w:jc w:val="right"/>
              <w:rPr>
                <w:rFonts w:eastAsia="Times New Roman"/>
              </w:rPr>
            </w:pPr>
          </w:p>
        </w:tc>
      </w:tr>
      <w:tr w:rsidR="00000000" w14:paraId="20B1AFE3" w14:textId="77777777">
        <w:trPr>
          <w:divId w:val="1819765686"/>
        </w:trPr>
        <w:tc>
          <w:tcPr>
            <w:tcW w:w="0" w:type="auto"/>
            <w:gridSpan w:val="3"/>
            <w:shd w:val="clear" w:color="auto" w:fill="CCEEFF"/>
            <w:tcMar>
              <w:top w:w="30" w:type="dxa"/>
              <w:left w:w="20" w:type="dxa"/>
              <w:bottom w:w="30" w:type="dxa"/>
              <w:right w:w="20" w:type="dxa"/>
            </w:tcMar>
            <w:vAlign w:val="bottom"/>
            <w:hideMark/>
          </w:tcPr>
          <w:p w14:paraId="20334FBB" w14:textId="77777777" w:rsidR="00000000" w:rsidRDefault="001A570A">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6B866DE8" w14:textId="77777777" w:rsidR="00000000" w:rsidRDefault="001A570A">
            <w:pPr>
              <w:jc w:val="right"/>
              <w:rPr>
                <w:rFonts w:eastAsia="Times New Roman"/>
              </w:rPr>
            </w:pPr>
            <w:r>
              <w:rPr>
                <w:rFonts w:eastAsia="Times New Roman"/>
                <w:color w:val="000000"/>
                <w:sz w:val="20"/>
                <w:szCs w:val="20"/>
              </w:rPr>
              <w:t>1,149 </w:t>
            </w:r>
          </w:p>
        </w:tc>
        <w:tc>
          <w:tcPr>
            <w:tcW w:w="0" w:type="auto"/>
            <w:shd w:val="clear" w:color="auto" w:fill="CCEEFF"/>
            <w:tcMar>
              <w:top w:w="30" w:type="dxa"/>
              <w:left w:w="0" w:type="dxa"/>
              <w:bottom w:w="30" w:type="dxa"/>
              <w:right w:w="20" w:type="dxa"/>
            </w:tcMar>
            <w:vAlign w:val="bottom"/>
            <w:hideMark/>
          </w:tcPr>
          <w:p w14:paraId="1F33473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0764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66572" w14:textId="77777777" w:rsidR="00000000" w:rsidRDefault="001A570A">
            <w:pPr>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14:paraId="796EB69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F48D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798047" w14:textId="77777777" w:rsidR="00000000" w:rsidRDefault="001A570A">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093ACB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CB8D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9B16DF" w14:textId="77777777" w:rsidR="00000000" w:rsidRDefault="001A570A">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0CC946E6" w14:textId="77777777" w:rsidR="00000000" w:rsidRDefault="001A570A">
            <w:pPr>
              <w:jc w:val="right"/>
              <w:rPr>
                <w:rFonts w:eastAsia="Times New Roman"/>
              </w:rPr>
            </w:pPr>
          </w:p>
        </w:tc>
      </w:tr>
      <w:tr w:rsidR="00000000" w14:paraId="730EE1FB" w14:textId="77777777">
        <w:trPr>
          <w:divId w:val="1819765686"/>
        </w:trPr>
        <w:tc>
          <w:tcPr>
            <w:tcW w:w="0" w:type="auto"/>
            <w:gridSpan w:val="3"/>
            <w:shd w:val="clear" w:color="auto" w:fill="FFFFFF"/>
            <w:tcMar>
              <w:top w:w="0" w:type="dxa"/>
              <w:left w:w="20" w:type="dxa"/>
              <w:bottom w:w="0" w:type="dxa"/>
              <w:right w:w="20" w:type="dxa"/>
            </w:tcMar>
            <w:vAlign w:val="center"/>
            <w:hideMark/>
          </w:tcPr>
          <w:p w14:paraId="5BB5522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1CC4C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B7069A" w14:textId="77777777" w:rsidR="00000000" w:rsidRDefault="001A570A">
            <w:pPr>
              <w:jc w:val="right"/>
              <w:rPr>
                <w:rFonts w:eastAsia="Times New Roman"/>
              </w:rPr>
            </w:pPr>
            <w:r>
              <w:rPr>
                <w:rFonts w:eastAsia="Times New Roman"/>
                <w:color w:val="000000"/>
                <w:sz w:val="20"/>
                <w:szCs w:val="20"/>
              </w:rPr>
              <w:t>5,538 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850DC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E37E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62692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68389D" w14:textId="77777777" w:rsidR="00000000" w:rsidRDefault="001A570A">
            <w:pPr>
              <w:jc w:val="right"/>
              <w:rPr>
                <w:rFonts w:eastAsia="Times New Roman"/>
              </w:rPr>
            </w:pPr>
            <w:r>
              <w:rPr>
                <w:rFonts w:eastAsia="Times New Roman"/>
                <w:color w:val="000000"/>
                <w:sz w:val="20"/>
                <w:szCs w:val="20"/>
              </w:rPr>
              <w:t>2,758 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508A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96A94"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AAB1F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7B2B6D" w14:textId="77777777" w:rsidR="00000000" w:rsidRDefault="001A570A">
            <w:pPr>
              <w:jc w:val="right"/>
              <w:rPr>
                <w:rFonts w:eastAsia="Times New Roman"/>
              </w:rPr>
            </w:pPr>
            <w:r>
              <w:rPr>
                <w:rFonts w:eastAsia="Times New Roman"/>
                <w:color w:val="000000"/>
                <w:sz w:val="20"/>
                <w:szCs w:val="20"/>
              </w:rPr>
              <w:t>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3DB96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DB4B3"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0A178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35BAD0" w14:textId="77777777" w:rsidR="00000000" w:rsidRDefault="001A570A">
            <w:pPr>
              <w:jc w:val="right"/>
              <w:rPr>
                <w:rFonts w:eastAsia="Times New Roman"/>
              </w:rPr>
            </w:pPr>
            <w:r>
              <w:rPr>
                <w:rFonts w:eastAsia="Times New Roman"/>
                <w:color w:val="000000"/>
                <w:sz w:val="20"/>
                <w:szCs w:val="20"/>
              </w:rPr>
              <w:t>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4C8172" w14:textId="77777777" w:rsidR="00000000" w:rsidRDefault="001A570A">
            <w:pPr>
              <w:jc w:val="right"/>
              <w:rPr>
                <w:rFonts w:eastAsia="Times New Roman"/>
              </w:rPr>
            </w:pPr>
          </w:p>
        </w:tc>
      </w:tr>
    </w:tbl>
    <w:p w14:paraId="1D0045C8" w14:textId="77777777" w:rsidR="00000000" w:rsidRDefault="001A570A">
      <w:pPr>
        <w:divId w:val="1059210329"/>
        <w:rPr>
          <w:rFonts w:eastAsia="Times New Roman"/>
        </w:rPr>
      </w:pPr>
      <w:r>
        <w:rPr>
          <w:rFonts w:eastAsia="Times New Roman"/>
          <w:color w:val="000000"/>
          <w:sz w:val="16"/>
          <w:szCs w:val="16"/>
        </w:rPr>
        <w:t>_______________</w:t>
      </w:r>
    </w:p>
    <w:p w14:paraId="2E81DD34" w14:textId="77777777" w:rsidR="00000000" w:rsidRDefault="001A570A">
      <w:pPr>
        <w:ind w:hanging="360"/>
        <w:divId w:val="424376034"/>
        <w:rPr>
          <w:rFonts w:eastAsia="Times New Roman"/>
        </w:rPr>
      </w:pPr>
      <w:r>
        <w:rPr>
          <w:rFonts w:eastAsia="Times New Roman"/>
          <w:color w:val="000000"/>
          <w:sz w:val="16"/>
          <w:szCs w:val="16"/>
        </w:rPr>
        <w:t>(1)Includes revenue deri</w:t>
      </w:r>
      <w:r>
        <w:rPr>
          <w:rFonts w:eastAsia="Times New Roman"/>
          <w:color w:val="000000"/>
          <w:sz w:val="16"/>
          <w:szCs w:val="16"/>
        </w:rPr>
        <w:t>ved from time-and-materials contracts.</w:t>
      </w:r>
    </w:p>
    <w:p w14:paraId="470FDBAC" w14:textId="77777777" w:rsidR="00000000" w:rsidRDefault="001A570A">
      <w:pPr>
        <w:ind w:firstLine="450"/>
        <w:divId w:val="1469932398"/>
        <w:rPr>
          <w:rFonts w:eastAsia="Times New Roman"/>
        </w:rPr>
      </w:pPr>
      <w:r>
        <w:rPr>
          <w:rFonts w:eastAsia="Times New Roman"/>
          <w:i/>
          <w:iCs/>
          <w:color w:val="000000"/>
          <w:sz w:val="20"/>
          <w:szCs w:val="20"/>
        </w:rPr>
        <w:t>Space and Airborne Systems:</w:t>
      </w:r>
      <w:r>
        <w:rPr>
          <w:rFonts w:eastAsia="Times New Roman"/>
          <w:color w:val="000000"/>
          <w:sz w:val="20"/>
          <w:szCs w:val="20"/>
        </w:rPr>
        <w:t xml:space="preserve"> Space and Airborne Systems revenue is primarily derived from U.S. Government development and production contracts and is generally recognized over time using the POC cost-to-cost revenue re</w:t>
      </w:r>
      <w:r>
        <w:rPr>
          <w:rFonts w:eastAsia="Times New Roman"/>
          <w:color w:val="000000"/>
          <w:sz w:val="20"/>
          <w:szCs w:val="20"/>
        </w:rPr>
        <w:t xml:space="preserve">cognition method. </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7"/>
        <w:gridCol w:w="120"/>
        <w:gridCol w:w="896"/>
        <w:gridCol w:w="36"/>
        <w:gridCol w:w="36"/>
        <w:gridCol w:w="36"/>
        <w:gridCol w:w="36"/>
        <w:gridCol w:w="121"/>
        <w:gridCol w:w="853"/>
        <w:gridCol w:w="36"/>
        <w:gridCol w:w="36"/>
        <w:gridCol w:w="36"/>
        <w:gridCol w:w="36"/>
        <w:gridCol w:w="120"/>
        <w:gridCol w:w="853"/>
        <w:gridCol w:w="36"/>
        <w:gridCol w:w="36"/>
        <w:gridCol w:w="36"/>
        <w:gridCol w:w="36"/>
        <w:gridCol w:w="120"/>
        <w:gridCol w:w="853"/>
        <w:gridCol w:w="36"/>
      </w:tblGrid>
      <w:tr w:rsidR="00000000" w14:paraId="4BEC69E1" w14:textId="77777777">
        <w:trPr>
          <w:divId w:val="1952782571"/>
        </w:trPr>
        <w:tc>
          <w:tcPr>
            <w:tcW w:w="50" w:type="pct"/>
            <w:vAlign w:val="center"/>
            <w:hideMark/>
          </w:tcPr>
          <w:p w14:paraId="466B2FC6" w14:textId="77777777" w:rsidR="00000000" w:rsidRDefault="001A570A">
            <w:pPr>
              <w:ind w:firstLine="450"/>
              <w:rPr>
                <w:rFonts w:eastAsia="Times New Roman"/>
              </w:rPr>
            </w:pPr>
          </w:p>
        </w:tc>
        <w:tc>
          <w:tcPr>
            <w:tcW w:w="2337" w:type="pct"/>
            <w:vAlign w:val="center"/>
            <w:hideMark/>
          </w:tcPr>
          <w:p w14:paraId="1914940D" w14:textId="77777777" w:rsidR="00000000" w:rsidRDefault="001A570A">
            <w:pPr>
              <w:rPr>
                <w:rFonts w:eastAsia="Times New Roman"/>
                <w:sz w:val="20"/>
                <w:szCs w:val="20"/>
              </w:rPr>
            </w:pPr>
          </w:p>
        </w:tc>
        <w:tc>
          <w:tcPr>
            <w:tcW w:w="5" w:type="pct"/>
            <w:vAlign w:val="center"/>
            <w:hideMark/>
          </w:tcPr>
          <w:p w14:paraId="45807763" w14:textId="77777777" w:rsidR="00000000" w:rsidRDefault="001A570A">
            <w:pPr>
              <w:rPr>
                <w:rFonts w:eastAsia="Times New Roman"/>
                <w:sz w:val="20"/>
                <w:szCs w:val="20"/>
              </w:rPr>
            </w:pPr>
          </w:p>
        </w:tc>
        <w:tc>
          <w:tcPr>
            <w:tcW w:w="50" w:type="pct"/>
            <w:vAlign w:val="center"/>
            <w:hideMark/>
          </w:tcPr>
          <w:p w14:paraId="6C70E16F" w14:textId="77777777" w:rsidR="00000000" w:rsidRDefault="001A570A">
            <w:pPr>
              <w:rPr>
                <w:rFonts w:eastAsia="Times New Roman"/>
                <w:sz w:val="20"/>
                <w:szCs w:val="20"/>
              </w:rPr>
            </w:pPr>
          </w:p>
        </w:tc>
        <w:tc>
          <w:tcPr>
            <w:tcW w:w="570" w:type="pct"/>
            <w:vAlign w:val="center"/>
            <w:hideMark/>
          </w:tcPr>
          <w:p w14:paraId="418562AC" w14:textId="77777777" w:rsidR="00000000" w:rsidRDefault="001A570A">
            <w:pPr>
              <w:rPr>
                <w:rFonts w:eastAsia="Times New Roman"/>
                <w:sz w:val="20"/>
                <w:szCs w:val="20"/>
              </w:rPr>
            </w:pPr>
          </w:p>
        </w:tc>
        <w:tc>
          <w:tcPr>
            <w:tcW w:w="5" w:type="pct"/>
            <w:vAlign w:val="center"/>
            <w:hideMark/>
          </w:tcPr>
          <w:p w14:paraId="35274A5C" w14:textId="77777777" w:rsidR="00000000" w:rsidRDefault="001A570A">
            <w:pPr>
              <w:rPr>
                <w:rFonts w:eastAsia="Times New Roman"/>
                <w:sz w:val="20"/>
                <w:szCs w:val="20"/>
              </w:rPr>
            </w:pPr>
          </w:p>
        </w:tc>
        <w:tc>
          <w:tcPr>
            <w:tcW w:w="5" w:type="pct"/>
            <w:vAlign w:val="center"/>
            <w:hideMark/>
          </w:tcPr>
          <w:p w14:paraId="3F5C7826" w14:textId="77777777" w:rsidR="00000000" w:rsidRDefault="001A570A">
            <w:pPr>
              <w:rPr>
                <w:rFonts w:eastAsia="Times New Roman"/>
                <w:sz w:val="20"/>
                <w:szCs w:val="20"/>
              </w:rPr>
            </w:pPr>
          </w:p>
        </w:tc>
        <w:tc>
          <w:tcPr>
            <w:tcW w:w="25" w:type="pct"/>
            <w:vAlign w:val="center"/>
            <w:hideMark/>
          </w:tcPr>
          <w:p w14:paraId="597A23A4" w14:textId="77777777" w:rsidR="00000000" w:rsidRDefault="001A570A">
            <w:pPr>
              <w:rPr>
                <w:rFonts w:eastAsia="Times New Roman"/>
                <w:sz w:val="20"/>
                <w:szCs w:val="20"/>
              </w:rPr>
            </w:pPr>
          </w:p>
        </w:tc>
        <w:tc>
          <w:tcPr>
            <w:tcW w:w="5" w:type="pct"/>
            <w:vAlign w:val="center"/>
            <w:hideMark/>
          </w:tcPr>
          <w:p w14:paraId="3DB6429D" w14:textId="77777777" w:rsidR="00000000" w:rsidRDefault="001A570A">
            <w:pPr>
              <w:rPr>
                <w:rFonts w:eastAsia="Times New Roman"/>
                <w:sz w:val="20"/>
                <w:szCs w:val="20"/>
              </w:rPr>
            </w:pPr>
          </w:p>
        </w:tc>
        <w:tc>
          <w:tcPr>
            <w:tcW w:w="50" w:type="pct"/>
            <w:vAlign w:val="center"/>
            <w:hideMark/>
          </w:tcPr>
          <w:p w14:paraId="14265A6D" w14:textId="77777777" w:rsidR="00000000" w:rsidRDefault="001A570A">
            <w:pPr>
              <w:rPr>
                <w:rFonts w:eastAsia="Times New Roman"/>
                <w:sz w:val="20"/>
                <w:szCs w:val="20"/>
              </w:rPr>
            </w:pPr>
          </w:p>
        </w:tc>
        <w:tc>
          <w:tcPr>
            <w:tcW w:w="570" w:type="pct"/>
            <w:vAlign w:val="center"/>
            <w:hideMark/>
          </w:tcPr>
          <w:p w14:paraId="1E67D5D3" w14:textId="77777777" w:rsidR="00000000" w:rsidRDefault="001A570A">
            <w:pPr>
              <w:rPr>
                <w:rFonts w:eastAsia="Times New Roman"/>
                <w:sz w:val="20"/>
                <w:szCs w:val="20"/>
              </w:rPr>
            </w:pPr>
          </w:p>
        </w:tc>
        <w:tc>
          <w:tcPr>
            <w:tcW w:w="5" w:type="pct"/>
            <w:vAlign w:val="center"/>
            <w:hideMark/>
          </w:tcPr>
          <w:p w14:paraId="1082CB68" w14:textId="77777777" w:rsidR="00000000" w:rsidRDefault="001A570A">
            <w:pPr>
              <w:rPr>
                <w:rFonts w:eastAsia="Times New Roman"/>
                <w:sz w:val="20"/>
                <w:szCs w:val="20"/>
              </w:rPr>
            </w:pPr>
          </w:p>
        </w:tc>
        <w:tc>
          <w:tcPr>
            <w:tcW w:w="5" w:type="pct"/>
            <w:vAlign w:val="center"/>
            <w:hideMark/>
          </w:tcPr>
          <w:p w14:paraId="04C220C3" w14:textId="77777777" w:rsidR="00000000" w:rsidRDefault="001A570A">
            <w:pPr>
              <w:rPr>
                <w:rFonts w:eastAsia="Times New Roman"/>
                <w:sz w:val="20"/>
                <w:szCs w:val="20"/>
              </w:rPr>
            </w:pPr>
          </w:p>
        </w:tc>
        <w:tc>
          <w:tcPr>
            <w:tcW w:w="25" w:type="pct"/>
            <w:vAlign w:val="center"/>
            <w:hideMark/>
          </w:tcPr>
          <w:p w14:paraId="266F935C" w14:textId="77777777" w:rsidR="00000000" w:rsidRDefault="001A570A">
            <w:pPr>
              <w:rPr>
                <w:rFonts w:eastAsia="Times New Roman"/>
                <w:sz w:val="20"/>
                <w:szCs w:val="20"/>
              </w:rPr>
            </w:pPr>
          </w:p>
        </w:tc>
        <w:tc>
          <w:tcPr>
            <w:tcW w:w="5" w:type="pct"/>
            <w:vAlign w:val="center"/>
            <w:hideMark/>
          </w:tcPr>
          <w:p w14:paraId="217504F1" w14:textId="77777777" w:rsidR="00000000" w:rsidRDefault="001A570A">
            <w:pPr>
              <w:rPr>
                <w:rFonts w:eastAsia="Times New Roman"/>
                <w:sz w:val="20"/>
                <w:szCs w:val="20"/>
              </w:rPr>
            </w:pPr>
          </w:p>
        </w:tc>
        <w:tc>
          <w:tcPr>
            <w:tcW w:w="50" w:type="pct"/>
            <w:vAlign w:val="center"/>
            <w:hideMark/>
          </w:tcPr>
          <w:p w14:paraId="214B6732" w14:textId="77777777" w:rsidR="00000000" w:rsidRDefault="001A570A">
            <w:pPr>
              <w:rPr>
                <w:rFonts w:eastAsia="Times New Roman"/>
                <w:sz w:val="20"/>
                <w:szCs w:val="20"/>
              </w:rPr>
            </w:pPr>
          </w:p>
        </w:tc>
        <w:tc>
          <w:tcPr>
            <w:tcW w:w="570" w:type="pct"/>
            <w:vAlign w:val="center"/>
            <w:hideMark/>
          </w:tcPr>
          <w:p w14:paraId="64C2B43E" w14:textId="77777777" w:rsidR="00000000" w:rsidRDefault="001A570A">
            <w:pPr>
              <w:rPr>
                <w:rFonts w:eastAsia="Times New Roman"/>
                <w:sz w:val="20"/>
                <w:szCs w:val="20"/>
              </w:rPr>
            </w:pPr>
          </w:p>
        </w:tc>
        <w:tc>
          <w:tcPr>
            <w:tcW w:w="5" w:type="pct"/>
            <w:vAlign w:val="center"/>
            <w:hideMark/>
          </w:tcPr>
          <w:p w14:paraId="1C898884" w14:textId="77777777" w:rsidR="00000000" w:rsidRDefault="001A570A">
            <w:pPr>
              <w:rPr>
                <w:rFonts w:eastAsia="Times New Roman"/>
                <w:sz w:val="20"/>
                <w:szCs w:val="20"/>
              </w:rPr>
            </w:pPr>
          </w:p>
        </w:tc>
        <w:tc>
          <w:tcPr>
            <w:tcW w:w="5" w:type="pct"/>
            <w:vAlign w:val="center"/>
            <w:hideMark/>
          </w:tcPr>
          <w:p w14:paraId="6346E932" w14:textId="77777777" w:rsidR="00000000" w:rsidRDefault="001A570A">
            <w:pPr>
              <w:rPr>
                <w:rFonts w:eastAsia="Times New Roman"/>
                <w:sz w:val="20"/>
                <w:szCs w:val="20"/>
              </w:rPr>
            </w:pPr>
          </w:p>
        </w:tc>
        <w:tc>
          <w:tcPr>
            <w:tcW w:w="25" w:type="pct"/>
            <w:vAlign w:val="center"/>
            <w:hideMark/>
          </w:tcPr>
          <w:p w14:paraId="326D1AAD" w14:textId="77777777" w:rsidR="00000000" w:rsidRDefault="001A570A">
            <w:pPr>
              <w:rPr>
                <w:rFonts w:eastAsia="Times New Roman"/>
                <w:sz w:val="20"/>
                <w:szCs w:val="20"/>
              </w:rPr>
            </w:pPr>
          </w:p>
        </w:tc>
        <w:tc>
          <w:tcPr>
            <w:tcW w:w="5" w:type="pct"/>
            <w:vAlign w:val="center"/>
            <w:hideMark/>
          </w:tcPr>
          <w:p w14:paraId="1EA52DD3" w14:textId="77777777" w:rsidR="00000000" w:rsidRDefault="001A570A">
            <w:pPr>
              <w:rPr>
                <w:rFonts w:eastAsia="Times New Roman"/>
                <w:sz w:val="20"/>
                <w:szCs w:val="20"/>
              </w:rPr>
            </w:pPr>
          </w:p>
        </w:tc>
        <w:tc>
          <w:tcPr>
            <w:tcW w:w="50" w:type="pct"/>
            <w:vAlign w:val="center"/>
            <w:hideMark/>
          </w:tcPr>
          <w:p w14:paraId="41DBBC5D" w14:textId="77777777" w:rsidR="00000000" w:rsidRDefault="001A570A">
            <w:pPr>
              <w:rPr>
                <w:rFonts w:eastAsia="Times New Roman"/>
                <w:sz w:val="20"/>
                <w:szCs w:val="20"/>
              </w:rPr>
            </w:pPr>
          </w:p>
        </w:tc>
        <w:tc>
          <w:tcPr>
            <w:tcW w:w="570" w:type="pct"/>
            <w:vAlign w:val="center"/>
            <w:hideMark/>
          </w:tcPr>
          <w:p w14:paraId="25D604EB" w14:textId="77777777" w:rsidR="00000000" w:rsidRDefault="001A570A">
            <w:pPr>
              <w:rPr>
                <w:rFonts w:eastAsia="Times New Roman"/>
                <w:sz w:val="20"/>
                <w:szCs w:val="20"/>
              </w:rPr>
            </w:pPr>
          </w:p>
        </w:tc>
        <w:tc>
          <w:tcPr>
            <w:tcW w:w="5" w:type="pct"/>
            <w:vAlign w:val="center"/>
            <w:hideMark/>
          </w:tcPr>
          <w:p w14:paraId="1E8769A4" w14:textId="77777777" w:rsidR="00000000" w:rsidRDefault="001A570A">
            <w:pPr>
              <w:rPr>
                <w:rFonts w:eastAsia="Times New Roman"/>
                <w:sz w:val="20"/>
                <w:szCs w:val="20"/>
              </w:rPr>
            </w:pPr>
          </w:p>
        </w:tc>
      </w:tr>
      <w:tr w:rsidR="00000000" w14:paraId="4DE6C5C9" w14:textId="77777777">
        <w:trPr>
          <w:divId w:val="1952782571"/>
        </w:trPr>
        <w:tc>
          <w:tcPr>
            <w:tcW w:w="0" w:type="auto"/>
            <w:gridSpan w:val="3"/>
            <w:tcMar>
              <w:top w:w="0" w:type="dxa"/>
              <w:left w:w="20" w:type="dxa"/>
              <w:bottom w:w="0" w:type="dxa"/>
              <w:right w:w="20" w:type="dxa"/>
            </w:tcMar>
            <w:vAlign w:val="center"/>
            <w:hideMark/>
          </w:tcPr>
          <w:p w14:paraId="47A6CA82"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4B3BB09"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5E1B31FE"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5459C26D"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1284B1AF"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07A13123"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18567196" w14:textId="77777777">
        <w:trPr>
          <w:divId w:val="1952782571"/>
        </w:trPr>
        <w:tc>
          <w:tcPr>
            <w:tcW w:w="0" w:type="auto"/>
            <w:gridSpan w:val="3"/>
            <w:tcMar>
              <w:top w:w="30" w:type="dxa"/>
              <w:left w:w="20" w:type="dxa"/>
              <w:bottom w:w="30" w:type="dxa"/>
              <w:right w:w="20" w:type="dxa"/>
            </w:tcMar>
            <w:vAlign w:val="bottom"/>
            <w:hideMark/>
          </w:tcPr>
          <w:p w14:paraId="293E8118"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DEB3DB9"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4ABD16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8D252C"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37D7F12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4A91C5"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31C72C6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FF2C62" w14:textId="77777777" w:rsidR="00000000" w:rsidRDefault="001A570A">
            <w:pPr>
              <w:jc w:val="center"/>
              <w:rPr>
                <w:rFonts w:eastAsia="Times New Roman"/>
              </w:rPr>
            </w:pPr>
            <w:r>
              <w:rPr>
                <w:rFonts w:eastAsia="Times New Roman"/>
                <w:b/>
                <w:bCs/>
                <w:color w:val="000000"/>
                <w:sz w:val="16"/>
                <w:szCs w:val="16"/>
              </w:rPr>
              <w:t>June 29, 2018</w:t>
            </w:r>
          </w:p>
        </w:tc>
      </w:tr>
      <w:tr w:rsidR="00000000" w14:paraId="19ABCE2F" w14:textId="77777777">
        <w:trPr>
          <w:divId w:val="1952782571"/>
          <w:trHeight w:val="60"/>
        </w:trPr>
        <w:tc>
          <w:tcPr>
            <w:tcW w:w="0" w:type="auto"/>
            <w:gridSpan w:val="3"/>
            <w:tcMar>
              <w:top w:w="0" w:type="dxa"/>
              <w:left w:w="20" w:type="dxa"/>
              <w:bottom w:w="0" w:type="dxa"/>
              <w:right w:w="20" w:type="dxa"/>
            </w:tcMar>
            <w:vAlign w:val="center"/>
            <w:hideMark/>
          </w:tcPr>
          <w:p w14:paraId="475053FE"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FB32291"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642191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C8C63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16A1848"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32616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DCF0E00"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58D337" w14:textId="77777777" w:rsidR="00000000" w:rsidRDefault="001A570A">
            <w:pPr>
              <w:rPr>
                <w:rFonts w:eastAsia="Times New Roman"/>
                <w:sz w:val="20"/>
                <w:szCs w:val="20"/>
              </w:rPr>
            </w:pPr>
          </w:p>
        </w:tc>
      </w:tr>
      <w:tr w:rsidR="00000000" w14:paraId="7345BF2F" w14:textId="77777777">
        <w:trPr>
          <w:divId w:val="1952782571"/>
        </w:trPr>
        <w:tc>
          <w:tcPr>
            <w:tcW w:w="0" w:type="auto"/>
            <w:gridSpan w:val="3"/>
            <w:shd w:val="clear" w:color="auto" w:fill="CCEEFF"/>
            <w:tcMar>
              <w:top w:w="30" w:type="dxa"/>
              <w:left w:w="20" w:type="dxa"/>
              <w:bottom w:w="30" w:type="dxa"/>
              <w:right w:w="20" w:type="dxa"/>
            </w:tcMar>
            <w:hideMark/>
          </w:tcPr>
          <w:p w14:paraId="6F119572" w14:textId="77777777" w:rsidR="00000000" w:rsidRDefault="001A570A">
            <w:pPr>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109F3559"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E3F6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63CC8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AA3D0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3CAE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BAA7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7EAC1" w14:textId="77777777" w:rsidR="00000000" w:rsidRDefault="001A570A">
            <w:pPr>
              <w:rPr>
                <w:rFonts w:eastAsia="Times New Roman"/>
                <w:sz w:val="20"/>
                <w:szCs w:val="20"/>
              </w:rPr>
            </w:pPr>
          </w:p>
        </w:tc>
      </w:tr>
      <w:tr w:rsidR="00000000" w14:paraId="5CD43467" w14:textId="77777777">
        <w:trPr>
          <w:divId w:val="1952782571"/>
        </w:trPr>
        <w:tc>
          <w:tcPr>
            <w:tcW w:w="0" w:type="auto"/>
            <w:gridSpan w:val="3"/>
            <w:shd w:val="clear" w:color="auto" w:fill="FFFFFF"/>
            <w:tcMar>
              <w:top w:w="30" w:type="dxa"/>
              <w:left w:w="20" w:type="dxa"/>
              <w:bottom w:w="30" w:type="dxa"/>
              <w:right w:w="20" w:type="dxa"/>
            </w:tcMar>
            <w:hideMark/>
          </w:tcPr>
          <w:p w14:paraId="55C45C71" w14:textId="77777777" w:rsidR="00000000" w:rsidRDefault="001A570A">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691B4A5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FEFB83" w14:textId="77777777" w:rsidR="00000000" w:rsidRDefault="001A570A">
            <w:pPr>
              <w:jc w:val="right"/>
              <w:rPr>
                <w:rFonts w:eastAsia="Times New Roman"/>
              </w:rPr>
            </w:pPr>
            <w:r>
              <w:rPr>
                <w:rFonts w:eastAsia="Times New Roman"/>
                <w:color w:val="000000"/>
                <w:sz w:val="20"/>
                <w:szCs w:val="20"/>
              </w:rPr>
              <w:t>2,684 </w:t>
            </w:r>
          </w:p>
        </w:tc>
        <w:tc>
          <w:tcPr>
            <w:tcW w:w="0" w:type="auto"/>
            <w:shd w:val="clear" w:color="auto" w:fill="FFFFFF"/>
            <w:tcMar>
              <w:top w:w="30" w:type="dxa"/>
              <w:left w:w="0" w:type="dxa"/>
              <w:bottom w:w="30" w:type="dxa"/>
              <w:right w:w="20" w:type="dxa"/>
            </w:tcMar>
            <w:vAlign w:val="bottom"/>
            <w:hideMark/>
          </w:tcPr>
          <w:p w14:paraId="0F03B49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4FE0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02D45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9A1B53" w14:textId="77777777" w:rsidR="00000000" w:rsidRDefault="001A570A">
            <w:pPr>
              <w:jc w:val="right"/>
              <w:rPr>
                <w:rFonts w:eastAsia="Times New Roman"/>
              </w:rPr>
            </w:pPr>
            <w:r>
              <w:rPr>
                <w:rFonts w:eastAsia="Times New Roman"/>
                <w:color w:val="000000"/>
                <w:sz w:val="20"/>
                <w:szCs w:val="20"/>
              </w:rPr>
              <w:t>1,348 </w:t>
            </w:r>
          </w:p>
        </w:tc>
        <w:tc>
          <w:tcPr>
            <w:tcW w:w="0" w:type="auto"/>
            <w:shd w:val="clear" w:color="auto" w:fill="FFFFFF"/>
            <w:tcMar>
              <w:top w:w="30" w:type="dxa"/>
              <w:left w:w="0" w:type="dxa"/>
              <w:bottom w:w="30" w:type="dxa"/>
              <w:right w:w="20" w:type="dxa"/>
            </w:tcMar>
            <w:vAlign w:val="bottom"/>
            <w:hideMark/>
          </w:tcPr>
          <w:p w14:paraId="36171EB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1101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D421F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28F7F8" w14:textId="77777777" w:rsidR="00000000" w:rsidRDefault="001A570A">
            <w:pPr>
              <w:jc w:val="right"/>
              <w:rPr>
                <w:rFonts w:eastAsia="Times New Roman"/>
              </w:rPr>
            </w:pPr>
            <w:r>
              <w:rPr>
                <w:rFonts w:eastAsia="Times New Roman"/>
                <w:color w:val="000000"/>
                <w:sz w:val="20"/>
                <w:szCs w:val="20"/>
              </w:rPr>
              <w:t>2,244 </w:t>
            </w:r>
          </w:p>
        </w:tc>
        <w:tc>
          <w:tcPr>
            <w:tcW w:w="0" w:type="auto"/>
            <w:shd w:val="clear" w:color="auto" w:fill="FFFFFF"/>
            <w:tcMar>
              <w:top w:w="30" w:type="dxa"/>
              <w:left w:w="0" w:type="dxa"/>
              <w:bottom w:w="30" w:type="dxa"/>
              <w:right w:w="20" w:type="dxa"/>
            </w:tcMar>
            <w:vAlign w:val="bottom"/>
            <w:hideMark/>
          </w:tcPr>
          <w:p w14:paraId="7ABDD81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87D1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84C4B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7C3C29" w14:textId="77777777" w:rsidR="00000000" w:rsidRDefault="001A570A">
            <w:pPr>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14:paraId="0F1CBEE6" w14:textId="77777777" w:rsidR="00000000" w:rsidRDefault="001A570A">
            <w:pPr>
              <w:jc w:val="right"/>
              <w:rPr>
                <w:rFonts w:eastAsia="Times New Roman"/>
              </w:rPr>
            </w:pPr>
          </w:p>
        </w:tc>
      </w:tr>
      <w:tr w:rsidR="00000000" w14:paraId="658164F7" w14:textId="77777777">
        <w:trPr>
          <w:divId w:val="1952782571"/>
        </w:trPr>
        <w:tc>
          <w:tcPr>
            <w:tcW w:w="0" w:type="auto"/>
            <w:gridSpan w:val="3"/>
            <w:shd w:val="clear" w:color="auto" w:fill="CCEEFF"/>
            <w:tcMar>
              <w:top w:w="30" w:type="dxa"/>
              <w:left w:w="20" w:type="dxa"/>
              <w:bottom w:w="30" w:type="dxa"/>
              <w:right w:w="20" w:type="dxa"/>
            </w:tcMar>
            <w:hideMark/>
          </w:tcPr>
          <w:p w14:paraId="53EB2BC2" w14:textId="77777777" w:rsidR="00000000" w:rsidRDefault="001A570A">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7FFA913B" w14:textId="77777777" w:rsidR="00000000" w:rsidRDefault="001A570A">
            <w:pPr>
              <w:jc w:val="right"/>
              <w:rPr>
                <w:rFonts w:eastAsia="Times New Roman"/>
              </w:rPr>
            </w:pPr>
            <w:r>
              <w:rPr>
                <w:rFonts w:eastAsia="Times New Roman"/>
                <w:color w:val="000000"/>
                <w:sz w:val="20"/>
                <w:szCs w:val="20"/>
              </w:rPr>
              <w:t>2,262 </w:t>
            </w:r>
          </w:p>
        </w:tc>
        <w:tc>
          <w:tcPr>
            <w:tcW w:w="0" w:type="auto"/>
            <w:shd w:val="clear" w:color="auto" w:fill="CCEEFF"/>
            <w:tcMar>
              <w:top w:w="30" w:type="dxa"/>
              <w:left w:w="0" w:type="dxa"/>
              <w:bottom w:w="30" w:type="dxa"/>
              <w:right w:w="20" w:type="dxa"/>
            </w:tcMar>
            <w:vAlign w:val="bottom"/>
            <w:hideMark/>
          </w:tcPr>
          <w:p w14:paraId="4AA289E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069E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BDC12" w14:textId="77777777" w:rsidR="00000000" w:rsidRDefault="001A570A">
            <w:pPr>
              <w:jc w:val="right"/>
              <w:rPr>
                <w:rFonts w:eastAsia="Times New Roman"/>
              </w:rPr>
            </w:pPr>
            <w:r>
              <w:rPr>
                <w:rFonts w:eastAsia="Times New Roman"/>
                <w:color w:val="000000"/>
                <w:sz w:val="20"/>
                <w:szCs w:val="20"/>
              </w:rPr>
              <w:t>1,029 </w:t>
            </w:r>
          </w:p>
        </w:tc>
        <w:tc>
          <w:tcPr>
            <w:tcW w:w="0" w:type="auto"/>
            <w:shd w:val="clear" w:color="auto" w:fill="CCEEFF"/>
            <w:tcMar>
              <w:top w:w="30" w:type="dxa"/>
              <w:left w:w="0" w:type="dxa"/>
              <w:bottom w:w="30" w:type="dxa"/>
              <w:right w:w="20" w:type="dxa"/>
            </w:tcMar>
            <w:vAlign w:val="bottom"/>
            <w:hideMark/>
          </w:tcPr>
          <w:p w14:paraId="0E7682D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760C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9996BA" w14:textId="77777777" w:rsidR="00000000" w:rsidRDefault="001A570A">
            <w:pPr>
              <w:jc w:val="right"/>
              <w:rPr>
                <w:rFonts w:eastAsia="Times New Roman"/>
              </w:rPr>
            </w:pPr>
            <w:r>
              <w:rPr>
                <w:rFonts w:eastAsia="Times New Roman"/>
                <w:color w:val="000000"/>
                <w:sz w:val="20"/>
                <w:szCs w:val="20"/>
              </w:rPr>
              <w:t>1,467 </w:t>
            </w:r>
          </w:p>
        </w:tc>
        <w:tc>
          <w:tcPr>
            <w:tcW w:w="0" w:type="auto"/>
            <w:shd w:val="clear" w:color="auto" w:fill="CCEEFF"/>
            <w:tcMar>
              <w:top w:w="30" w:type="dxa"/>
              <w:left w:w="0" w:type="dxa"/>
              <w:bottom w:w="30" w:type="dxa"/>
              <w:right w:w="20" w:type="dxa"/>
            </w:tcMar>
            <w:vAlign w:val="bottom"/>
            <w:hideMark/>
          </w:tcPr>
          <w:p w14:paraId="3E3839F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4446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91A399" w14:textId="77777777" w:rsidR="00000000" w:rsidRDefault="001A570A">
            <w:pPr>
              <w:jc w:val="right"/>
              <w:rPr>
                <w:rFonts w:eastAsia="Times New Roman"/>
              </w:rPr>
            </w:pPr>
            <w:r>
              <w:rPr>
                <w:rFonts w:eastAsia="Times New Roman"/>
                <w:color w:val="000000"/>
                <w:sz w:val="20"/>
                <w:szCs w:val="20"/>
              </w:rPr>
              <w:t>1,142 </w:t>
            </w:r>
          </w:p>
        </w:tc>
        <w:tc>
          <w:tcPr>
            <w:tcW w:w="0" w:type="auto"/>
            <w:shd w:val="clear" w:color="auto" w:fill="CCEEFF"/>
            <w:tcMar>
              <w:top w:w="30" w:type="dxa"/>
              <w:left w:w="0" w:type="dxa"/>
              <w:bottom w:w="30" w:type="dxa"/>
              <w:right w:w="20" w:type="dxa"/>
            </w:tcMar>
            <w:vAlign w:val="bottom"/>
            <w:hideMark/>
          </w:tcPr>
          <w:p w14:paraId="003DFF8D" w14:textId="77777777" w:rsidR="00000000" w:rsidRDefault="001A570A">
            <w:pPr>
              <w:jc w:val="right"/>
              <w:rPr>
                <w:rFonts w:eastAsia="Times New Roman"/>
              </w:rPr>
            </w:pPr>
          </w:p>
        </w:tc>
      </w:tr>
      <w:tr w:rsidR="00000000" w14:paraId="7850EAE1" w14:textId="77777777">
        <w:trPr>
          <w:divId w:val="1952782571"/>
        </w:trPr>
        <w:tc>
          <w:tcPr>
            <w:tcW w:w="0" w:type="auto"/>
            <w:gridSpan w:val="3"/>
            <w:shd w:val="clear" w:color="auto" w:fill="FFFFFF"/>
            <w:tcMar>
              <w:top w:w="0" w:type="dxa"/>
              <w:left w:w="20" w:type="dxa"/>
              <w:bottom w:w="0" w:type="dxa"/>
              <w:right w:w="20" w:type="dxa"/>
            </w:tcMar>
            <w:vAlign w:val="center"/>
            <w:hideMark/>
          </w:tcPr>
          <w:p w14:paraId="300B4009"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A4552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62FE93" w14:textId="77777777" w:rsidR="00000000" w:rsidRDefault="001A570A">
            <w:pPr>
              <w:jc w:val="right"/>
              <w:rPr>
                <w:rFonts w:eastAsia="Times New Roman"/>
              </w:rPr>
            </w:pPr>
            <w:r>
              <w:rPr>
                <w:rFonts w:eastAsia="Times New Roman"/>
                <w:color w:val="000000"/>
                <w:sz w:val="20"/>
                <w:szCs w:val="20"/>
              </w:rPr>
              <w:t>4,946 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CD259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80A09"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1608F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628B6D" w14:textId="77777777" w:rsidR="00000000" w:rsidRDefault="001A570A">
            <w:pPr>
              <w:jc w:val="right"/>
              <w:rPr>
                <w:rFonts w:eastAsia="Times New Roman"/>
              </w:rPr>
            </w:pPr>
            <w:r>
              <w:rPr>
                <w:rFonts w:eastAsia="Times New Roman"/>
                <w:color w:val="000000"/>
                <w:sz w:val="20"/>
                <w:szCs w:val="20"/>
              </w:rPr>
              <w:t>2,377 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8BA81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B7B5B"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780A1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28828D" w14:textId="77777777" w:rsidR="00000000" w:rsidRDefault="001A570A">
            <w:pPr>
              <w:jc w:val="right"/>
              <w:rPr>
                <w:rFonts w:eastAsia="Times New Roman"/>
              </w:rPr>
            </w:pPr>
            <w:r>
              <w:rPr>
                <w:rFonts w:eastAsia="Times New Roman"/>
                <w:color w:val="000000"/>
                <w:sz w:val="20"/>
                <w:szCs w:val="20"/>
              </w:rPr>
              <w:t>3,711 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545D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55B96"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C78DD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985C60" w14:textId="77777777" w:rsidR="00000000" w:rsidRDefault="001A570A">
            <w:pPr>
              <w:jc w:val="right"/>
              <w:rPr>
                <w:rFonts w:eastAsia="Times New Roman"/>
              </w:rPr>
            </w:pPr>
            <w:r>
              <w:rPr>
                <w:rFonts w:eastAsia="Times New Roman"/>
                <w:color w:val="000000"/>
                <w:sz w:val="20"/>
                <w:szCs w:val="20"/>
              </w:rPr>
              <w:t>3,294 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1C9370" w14:textId="77777777" w:rsidR="00000000" w:rsidRDefault="001A570A">
            <w:pPr>
              <w:jc w:val="right"/>
              <w:rPr>
                <w:rFonts w:eastAsia="Times New Roman"/>
              </w:rPr>
            </w:pPr>
          </w:p>
        </w:tc>
      </w:tr>
      <w:tr w:rsidR="00000000" w14:paraId="294B2227" w14:textId="77777777">
        <w:trPr>
          <w:divId w:val="1952782571"/>
        </w:trPr>
        <w:tc>
          <w:tcPr>
            <w:tcW w:w="0" w:type="auto"/>
            <w:gridSpan w:val="3"/>
            <w:shd w:val="clear" w:color="auto" w:fill="CCEEFF"/>
            <w:tcMar>
              <w:top w:w="30" w:type="dxa"/>
              <w:left w:w="20" w:type="dxa"/>
              <w:bottom w:w="30" w:type="dxa"/>
              <w:right w:w="20" w:type="dxa"/>
            </w:tcMar>
            <w:hideMark/>
          </w:tcPr>
          <w:p w14:paraId="534FA69C" w14:textId="77777777" w:rsidR="00000000" w:rsidRDefault="001A570A">
            <w:pPr>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B785AA"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FA02D"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00BAE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E5674"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177EA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19BD6"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A4472C" w14:textId="77777777" w:rsidR="00000000" w:rsidRDefault="001A570A">
            <w:pPr>
              <w:rPr>
                <w:rFonts w:eastAsia="Times New Roman"/>
                <w:sz w:val="20"/>
                <w:szCs w:val="20"/>
              </w:rPr>
            </w:pPr>
          </w:p>
        </w:tc>
      </w:tr>
      <w:tr w:rsidR="00000000" w14:paraId="3872C2C7" w14:textId="77777777">
        <w:trPr>
          <w:divId w:val="1952782571"/>
        </w:trPr>
        <w:tc>
          <w:tcPr>
            <w:tcW w:w="0" w:type="auto"/>
            <w:gridSpan w:val="3"/>
            <w:shd w:val="clear" w:color="auto" w:fill="FFFFFF"/>
            <w:tcMar>
              <w:top w:w="30" w:type="dxa"/>
              <w:left w:w="20" w:type="dxa"/>
              <w:bottom w:w="30" w:type="dxa"/>
              <w:right w:w="20" w:type="dxa"/>
            </w:tcMar>
            <w:hideMark/>
          </w:tcPr>
          <w:p w14:paraId="4269EA5D" w14:textId="77777777" w:rsidR="00000000" w:rsidRDefault="001A570A">
            <w:pPr>
              <w:divId w:val="135882965"/>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7450D47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F3BB89" w14:textId="77777777" w:rsidR="00000000" w:rsidRDefault="001A570A">
            <w:pPr>
              <w:jc w:val="right"/>
              <w:rPr>
                <w:rFonts w:eastAsia="Times New Roman"/>
              </w:rPr>
            </w:pPr>
            <w:r>
              <w:rPr>
                <w:rFonts w:eastAsia="Times New Roman"/>
                <w:color w:val="000000"/>
                <w:sz w:val="20"/>
                <w:szCs w:val="20"/>
              </w:rPr>
              <w:t>2,838 </w:t>
            </w:r>
          </w:p>
        </w:tc>
        <w:tc>
          <w:tcPr>
            <w:tcW w:w="0" w:type="auto"/>
            <w:shd w:val="clear" w:color="auto" w:fill="FFFFFF"/>
            <w:tcMar>
              <w:top w:w="30" w:type="dxa"/>
              <w:left w:w="0" w:type="dxa"/>
              <w:bottom w:w="30" w:type="dxa"/>
              <w:right w:w="20" w:type="dxa"/>
            </w:tcMar>
            <w:vAlign w:val="bottom"/>
            <w:hideMark/>
          </w:tcPr>
          <w:p w14:paraId="306E5C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32DA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5B31D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94CF17" w14:textId="77777777" w:rsidR="00000000" w:rsidRDefault="001A570A">
            <w:pPr>
              <w:jc w:val="right"/>
              <w:rPr>
                <w:rFonts w:eastAsia="Times New Roman"/>
              </w:rPr>
            </w:pPr>
            <w:r>
              <w:rPr>
                <w:rFonts w:eastAsia="Times New Roman"/>
                <w:color w:val="000000"/>
                <w:sz w:val="20"/>
                <w:szCs w:val="20"/>
              </w:rPr>
              <w:t>1,384 </w:t>
            </w:r>
          </w:p>
        </w:tc>
        <w:tc>
          <w:tcPr>
            <w:tcW w:w="0" w:type="auto"/>
            <w:shd w:val="clear" w:color="auto" w:fill="FFFFFF"/>
            <w:tcMar>
              <w:top w:w="30" w:type="dxa"/>
              <w:left w:w="0" w:type="dxa"/>
              <w:bottom w:w="30" w:type="dxa"/>
              <w:right w:w="20" w:type="dxa"/>
            </w:tcMar>
            <w:vAlign w:val="bottom"/>
            <w:hideMark/>
          </w:tcPr>
          <w:p w14:paraId="32D97D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0F675"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1BC03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A901E7" w14:textId="77777777" w:rsidR="00000000" w:rsidRDefault="001A570A">
            <w:pPr>
              <w:jc w:val="right"/>
              <w:rPr>
                <w:rFonts w:eastAsia="Times New Roman"/>
              </w:rPr>
            </w:pPr>
            <w:r>
              <w:rPr>
                <w:rFonts w:eastAsia="Times New Roman"/>
                <w:color w:val="000000"/>
                <w:sz w:val="20"/>
                <w:szCs w:val="20"/>
              </w:rPr>
              <w:t>2,093 </w:t>
            </w:r>
          </w:p>
        </w:tc>
        <w:tc>
          <w:tcPr>
            <w:tcW w:w="0" w:type="auto"/>
            <w:shd w:val="clear" w:color="auto" w:fill="FFFFFF"/>
            <w:tcMar>
              <w:top w:w="30" w:type="dxa"/>
              <w:left w:w="0" w:type="dxa"/>
              <w:bottom w:w="30" w:type="dxa"/>
              <w:right w:w="20" w:type="dxa"/>
            </w:tcMar>
            <w:vAlign w:val="bottom"/>
            <w:hideMark/>
          </w:tcPr>
          <w:p w14:paraId="1BBAB63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C1CE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1E0FC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5120AA" w14:textId="77777777" w:rsidR="00000000" w:rsidRDefault="001A570A">
            <w:pPr>
              <w:jc w:val="right"/>
              <w:rPr>
                <w:rFonts w:eastAsia="Times New Roman"/>
              </w:rPr>
            </w:pPr>
            <w:r>
              <w:rPr>
                <w:rFonts w:eastAsia="Times New Roman"/>
                <w:color w:val="000000"/>
                <w:sz w:val="20"/>
                <w:szCs w:val="20"/>
              </w:rPr>
              <w:t>1,625 </w:t>
            </w:r>
          </w:p>
        </w:tc>
        <w:tc>
          <w:tcPr>
            <w:tcW w:w="0" w:type="auto"/>
            <w:shd w:val="clear" w:color="auto" w:fill="FFFFFF"/>
            <w:tcMar>
              <w:top w:w="30" w:type="dxa"/>
              <w:left w:w="0" w:type="dxa"/>
              <w:bottom w:w="30" w:type="dxa"/>
              <w:right w:w="20" w:type="dxa"/>
            </w:tcMar>
            <w:vAlign w:val="bottom"/>
            <w:hideMark/>
          </w:tcPr>
          <w:p w14:paraId="085ED089" w14:textId="77777777" w:rsidR="00000000" w:rsidRDefault="001A570A">
            <w:pPr>
              <w:jc w:val="right"/>
              <w:rPr>
                <w:rFonts w:eastAsia="Times New Roman"/>
              </w:rPr>
            </w:pPr>
          </w:p>
        </w:tc>
      </w:tr>
      <w:tr w:rsidR="00000000" w14:paraId="08CAEFC0" w14:textId="77777777">
        <w:trPr>
          <w:divId w:val="1952782571"/>
        </w:trPr>
        <w:tc>
          <w:tcPr>
            <w:tcW w:w="0" w:type="auto"/>
            <w:gridSpan w:val="3"/>
            <w:shd w:val="clear" w:color="auto" w:fill="CCEEFF"/>
            <w:tcMar>
              <w:top w:w="30" w:type="dxa"/>
              <w:left w:w="20" w:type="dxa"/>
              <w:bottom w:w="30" w:type="dxa"/>
              <w:right w:w="20" w:type="dxa"/>
            </w:tcMar>
            <w:hideMark/>
          </w:tcPr>
          <w:p w14:paraId="25A7302D" w14:textId="77777777" w:rsidR="00000000" w:rsidRDefault="001A570A">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14:paraId="19EFE6B2" w14:textId="77777777" w:rsidR="00000000" w:rsidRDefault="001A570A">
            <w:pPr>
              <w:jc w:val="right"/>
              <w:rPr>
                <w:rFonts w:eastAsia="Times New Roman"/>
              </w:rPr>
            </w:pPr>
            <w:r>
              <w:rPr>
                <w:rFonts w:eastAsia="Times New Roman"/>
                <w:color w:val="000000"/>
                <w:sz w:val="20"/>
                <w:szCs w:val="20"/>
              </w:rPr>
              <w:t>2,108 </w:t>
            </w:r>
          </w:p>
        </w:tc>
        <w:tc>
          <w:tcPr>
            <w:tcW w:w="0" w:type="auto"/>
            <w:shd w:val="clear" w:color="auto" w:fill="CCEEFF"/>
            <w:tcMar>
              <w:top w:w="30" w:type="dxa"/>
              <w:left w:w="0" w:type="dxa"/>
              <w:bottom w:w="30" w:type="dxa"/>
              <w:right w:w="20" w:type="dxa"/>
            </w:tcMar>
            <w:vAlign w:val="bottom"/>
            <w:hideMark/>
          </w:tcPr>
          <w:p w14:paraId="237204E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3856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92D9E7" w14:textId="77777777" w:rsidR="00000000" w:rsidRDefault="001A570A">
            <w:pPr>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14:paraId="6BBE3FF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7F64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9F4FF7" w14:textId="77777777" w:rsidR="00000000" w:rsidRDefault="001A570A">
            <w:pPr>
              <w:jc w:val="right"/>
              <w:rPr>
                <w:rFonts w:eastAsia="Times New Roman"/>
              </w:rPr>
            </w:pPr>
            <w:r>
              <w:rPr>
                <w:rFonts w:eastAsia="Times New Roman"/>
                <w:color w:val="000000"/>
                <w:sz w:val="20"/>
                <w:szCs w:val="20"/>
              </w:rPr>
              <w:t>1,618 </w:t>
            </w:r>
          </w:p>
        </w:tc>
        <w:tc>
          <w:tcPr>
            <w:tcW w:w="0" w:type="auto"/>
            <w:shd w:val="clear" w:color="auto" w:fill="CCEEFF"/>
            <w:tcMar>
              <w:top w:w="30" w:type="dxa"/>
              <w:left w:w="0" w:type="dxa"/>
              <w:bottom w:w="30" w:type="dxa"/>
              <w:right w:w="20" w:type="dxa"/>
            </w:tcMar>
            <w:vAlign w:val="bottom"/>
            <w:hideMark/>
          </w:tcPr>
          <w:p w14:paraId="44CB98A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C74B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785B2" w14:textId="77777777" w:rsidR="00000000" w:rsidRDefault="001A570A">
            <w:pPr>
              <w:jc w:val="right"/>
              <w:rPr>
                <w:rFonts w:eastAsia="Times New Roman"/>
              </w:rPr>
            </w:pPr>
            <w:r>
              <w:rPr>
                <w:rFonts w:eastAsia="Times New Roman"/>
                <w:color w:val="000000"/>
                <w:sz w:val="20"/>
                <w:szCs w:val="20"/>
              </w:rPr>
              <w:t>1,669 </w:t>
            </w:r>
          </w:p>
        </w:tc>
        <w:tc>
          <w:tcPr>
            <w:tcW w:w="0" w:type="auto"/>
            <w:shd w:val="clear" w:color="auto" w:fill="CCEEFF"/>
            <w:tcMar>
              <w:top w:w="30" w:type="dxa"/>
              <w:left w:w="0" w:type="dxa"/>
              <w:bottom w:w="30" w:type="dxa"/>
              <w:right w:w="20" w:type="dxa"/>
            </w:tcMar>
            <w:vAlign w:val="bottom"/>
            <w:hideMark/>
          </w:tcPr>
          <w:p w14:paraId="1BA0F45A" w14:textId="77777777" w:rsidR="00000000" w:rsidRDefault="001A570A">
            <w:pPr>
              <w:jc w:val="right"/>
              <w:rPr>
                <w:rFonts w:eastAsia="Times New Roman"/>
              </w:rPr>
            </w:pPr>
          </w:p>
        </w:tc>
      </w:tr>
      <w:tr w:rsidR="00000000" w14:paraId="0325F45A" w14:textId="77777777">
        <w:trPr>
          <w:divId w:val="1952782571"/>
        </w:trPr>
        <w:tc>
          <w:tcPr>
            <w:tcW w:w="0" w:type="auto"/>
            <w:gridSpan w:val="3"/>
            <w:shd w:val="clear" w:color="auto" w:fill="FFFFFF"/>
            <w:tcMar>
              <w:top w:w="0" w:type="dxa"/>
              <w:left w:w="20" w:type="dxa"/>
              <w:bottom w:w="0" w:type="dxa"/>
              <w:right w:w="20" w:type="dxa"/>
            </w:tcMar>
            <w:vAlign w:val="center"/>
            <w:hideMark/>
          </w:tcPr>
          <w:p w14:paraId="6C5C3E10"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C5D73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DD0B28" w14:textId="77777777" w:rsidR="00000000" w:rsidRDefault="001A570A">
            <w:pPr>
              <w:jc w:val="right"/>
              <w:rPr>
                <w:rFonts w:eastAsia="Times New Roman"/>
              </w:rPr>
            </w:pPr>
            <w:r>
              <w:rPr>
                <w:rFonts w:eastAsia="Times New Roman"/>
                <w:color w:val="000000"/>
                <w:sz w:val="20"/>
                <w:szCs w:val="20"/>
              </w:rPr>
              <w:t>4,946 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01B24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14933"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02099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369416" w14:textId="77777777" w:rsidR="00000000" w:rsidRDefault="001A570A">
            <w:pPr>
              <w:jc w:val="right"/>
              <w:rPr>
                <w:rFonts w:eastAsia="Times New Roman"/>
              </w:rPr>
            </w:pPr>
            <w:r>
              <w:rPr>
                <w:rFonts w:eastAsia="Times New Roman"/>
                <w:color w:val="000000"/>
                <w:sz w:val="20"/>
                <w:szCs w:val="20"/>
              </w:rPr>
              <w:t>2,377 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DBEC9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0BD43"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39B42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C0AC35" w14:textId="77777777" w:rsidR="00000000" w:rsidRDefault="001A570A">
            <w:pPr>
              <w:jc w:val="right"/>
              <w:rPr>
                <w:rFonts w:eastAsia="Times New Roman"/>
              </w:rPr>
            </w:pPr>
            <w:r>
              <w:rPr>
                <w:rFonts w:eastAsia="Times New Roman"/>
                <w:color w:val="000000"/>
                <w:sz w:val="20"/>
                <w:szCs w:val="20"/>
              </w:rPr>
              <w:t>3,711 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9B530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C40D4"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DFDB5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EE2F4F" w14:textId="77777777" w:rsidR="00000000" w:rsidRDefault="001A570A">
            <w:pPr>
              <w:jc w:val="right"/>
              <w:rPr>
                <w:rFonts w:eastAsia="Times New Roman"/>
              </w:rPr>
            </w:pPr>
            <w:r>
              <w:rPr>
                <w:rFonts w:eastAsia="Times New Roman"/>
                <w:color w:val="000000"/>
                <w:sz w:val="20"/>
                <w:szCs w:val="20"/>
              </w:rPr>
              <w:t>3,294 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99C4F7" w14:textId="77777777" w:rsidR="00000000" w:rsidRDefault="001A570A">
            <w:pPr>
              <w:jc w:val="right"/>
              <w:rPr>
                <w:rFonts w:eastAsia="Times New Roman"/>
              </w:rPr>
            </w:pPr>
          </w:p>
        </w:tc>
      </w:tr>
      <w:tr w:rsidR="00000000" w14:paraId="14DFE6A7" w14:textId="77777777">
        <w:trPr>
          <w:divId w:val="1952782571"/>
        </w:trPr>
        <w:tc>
          <w:tcPr>
            <w:tcW w:w="0" w:type="auto"/>
            <w:gridSpan w:val="3"/>
            <w:shd w:val="clear" w:color="auto" w:fill="CCEEFF"/>
            <w:tcMar>
              <w:top w:w="30" w:type="dxa"/>
              <w:left w:w="20" w:type="dxa"/>
              <w:bottom w:w="30" w:type="dxa"/>
              <w:right w:w="20" w:type="dxa"/>
            </w:tcMar>
            <w:hideMark/>
          </w:tcPr>
          <w:p w14:paraId="621BD226" w14:textId="77777777" w:rsidR="00000000" w:rsidRDefault="001A570A">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59DCA5"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2998E"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79C0D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E7D372"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A7800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653B3"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25A961" w14:textId="77777777" w:rsidR="00000000" w:rsidRDefault="001A570A">
            <w:pPr>
              <w:rPr>
                <w:rFonts w:eastAsia="Times New Roman"/>
                <w:sz w:val="20"/>
                <w:szCs w:val="20"/>
              </w:rPr>
            </w:pPr>
          </w:p>
        </w:tc>
      </w:tr>
      <w:tr w:rsidR="00000000" w14:paraId="7DD92EB5" w14:textId="77777777">
        <w:trPr>
          <w:divId w:val="1952782571"/>
        </w:trPr>
        <w:tc>
          <w:tcPr>
            <w:tcW w:w="0" w:type="auto"/>
            <w:gridSpan w:val="3"/>
            <w:shd w:val="clear" w:color="auto" w:fill="FFFFFF"/>
            <w:tcMar>
              <w:top w:w="30" w:type="dxa"/>
              <w:left w:w="20" w:type="dxa"/>
              <w:bottom w:w="30" w:type="dxa"/>
              <w:right w:w="20" w:type="dxa"/>
            </w:tcMar>
            <w:hideMark/>
          </w:tcPr>
          <w:p w14:paraId="6CA05B2C" w14:textId="77777777" w:rsidR="00000000" w:rsidRDefault="001A570A">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5ED6A44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689327" w14:textId="77777777" w:rsidR="00000000" w:rsidRDefault="001A570A">
            <w:pPr>
              <w:jc w:val="right"/>
              <w:rPr>
                <w:rFonts w:eastAsia="Times New Roman"/>
              </w:rPr>
            </w:pPr>
            <w:r>
              <w:rPr>
                <w:rFonts w:eastAsia="Times New Roman"/>
                <w:color w:val="000000"/>
                <w:sz w:val="20"/>
                <w:szCs w:val="20"/>
              </w:rPr>
              <w:t>4,195 </w:t>
            </w:r>
          </w:p>
        </w:tc>
        <w:tc>
          <w:tcPr>
            <w:tcW w:w="0" w:type="auto"/>
            <w:shd w:val="clear" w:color="auto" w:fill="FFFFFF"/>
            <w:tcMar>
              <w:top w:w="30" w:type="dxa"/>
              <w:left w:w="0" w:type="dxa"/>
              <w:bottom w:w="30" w:type="dxa"/>
              <w:right w:w="20" w:type="dxa"/>
            </w:tcMar>
            <w:vAlign w:val="bottom"/>
            <w:hideMark/>
          </w:tcPr>
          <w:p w14:paraId="25E21FD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BC7C7"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5C0D3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749F05" w14:textId="77777777" w:rsidR="00000000" w:rsidRDefault="001A570A">
            <w:pPr>
              <w:jc w:val="right"/>
              <w:rPr>
                <w:rFonts w:eastAsia="Times New Roman"/>
              </w:rPr>
            </w:pPr>
            <w:r>
              <w:rPr>
                <w:rFonts w:eastAsia="Times New Roman"/>
                <w:color w:val="000000"/>
                <w:sz w:val="20"/>
                <w:szCs w:val="20"/>
              </w:rPr>
              <w:t>2,043 </w:t>
            </w:r>
          </w:p>
        </w:tc>
        <w:tc>
          <w:tcPr>
            <w:tcW w:w="0" w:type="auto"/>
            <w:shd w:val="clear" w:color="auto" w:fill="FFFFFF"/>
            <w:tcMar>
              <w:top w:w="30" w:type="dxa"/>
              <w:left w:w="0" w:type="dxa"/>
              <w:bottom w:w="30" w:type="dxa"/>
              <w:right w:w="20" w:type="dxa"/>
            </w:tcMar>
            <w:vAlign w:val="bottom"/>
            <w:hideMark/>
          </w:tcPr>
          <w:p w14:paraId="3905760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EDF0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0E4D7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BE5367" w14:textId="77777777" w:rsidR="00000000" w:rsidRDefault="001A570A">
            <w:pPr>
              <w:jc w:val="right"/>
              <w:rPr>
                <w:rFonts w:eastAsia="Times New Roman"/>
              </w:rPr>
            </w:pPr>
            <w:r>
              <w:rPr>
                <w:rFonts w:eastAsia="Times New Roman"/>
                <w:color w:val="000000"/>
                <w:sz w:val="20"/>
                <w:szCs w:val="20"/>
              </w:rPr>
              <w:t>3,255 </w:t>
            </w:r>
          </w:p>
        </w:tc>
        <w:tc>
          <w:tcPr>
            <w:tcW w:w="0" w:type="auto"/>
            <w:shd w:val="clear" w:color="auto" w:fill="FFFFFF"/>
            <w:tcMar>
              <w:top w:w="30" w:type="dxa"/>
              <w:left w:w="0" w:type="dxa"/>
              <w:bottom w:w="30" w:type="dxa"/>
              <w:right w:w="20" w:type="dxa"/>
            </w:tcMar>
            <w:vAlign w:val="bottom"/>
            <w:hideMark/>
          </w:tcPr>
          <w:p w14:paraId="4C925E5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A701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E9CB0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1E0A94" w14:textId="77777777" w:rsidR="00000000" w:rsidRDefault="001A570A">
            <w:pPr>
              <w:jc w:val="right"/>
              <w:rPr>
                <w:rFonts w:eastAsia="Times New Roman"/>
              </w:rPr>
            </w:pPr>
            <w:r>
              <w:rPr>
                <w:rFonts w:eastAsia="Times New Roman"/>
                <w:color w:val="000000"/>
                <w:sz w:val="20"/>
                <w:szCs w:val="20"/>
              </w:rPr>
              <w:t>2,936 </w:t>
            </w:r>
          </w:p>
        </w:tc>
        <w:tc>
          <w:tcPr>
            <w:tcW w:w="0" w:type="auto"/>
            <w:shd w:val="clear" w:color="auto" w:fill="FFFFFF"/>
            <w:tcMar>
              <w:top w:w="30" w:type="dxa"/>
              <w:left w:w="0" w:type="dxa"/>
              <w:bottom w:w="30" w:type="dxa"/>
              <w:right w:w="20" w:type="dxa"/>
            </w:tcMar>
            <w:vAlign w:val="bottom"/>
            <w:hideMark/>
          </w:tcPr>
          <w:p w14:paraId="2988BD76" w14:textId="77777777" w:rsidR="00000000" w:rsidRDefault="001A570A">
            <w:pPr>
              <w:jc w:val="right"/>
              <w:rPr>
                <w:rFonts w:eastAsia="Times New Roman"/>
              </w:rPr>
            </w:pPr>
          </w:p>
        </w:tc>
      </w:tr>
      <w:tr w:rsidR="00000000" w14:paraId="7E39FFEA" w14:textId="77777777">
        <w:trPr>
          <w:divId w:val="1952782571"/>
        </w:trPr>
        <w:tc>
          <w:tcPr>
            <w:tcW w:w="0" w:type="auto"/>
            <w:gridSpan w:val="3"/>
            <w:shd w:val="clear" w:color="auto" w:fill="CCEEFF"/>
            <w:tcMar>
              <w:top w:w="30" w:type="dxa"/>
              <w:left w:w="20" w:type="dxa"/>
              <w:bottom w:w="30" w:type="dxa"/>
              <w:right w:w="20" w:type="dxa"/>
            </w:tcMar>
            <w:hideMark/>
          </w:tcPr>
          <w:p w14:paraId="0FE1C39A" w14:textId="77777777" w:rsidR="00000000" w:rsidRDefault="001A570A">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6319A982" w14:textId="77777777" w:rsidR="00000000" w:rsidRDefault="001A570A">
            <w:pPr>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14:paraId="6A88D3C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0E37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411B8" w14:textId="77777777" w:rsidR="00000000" w:rsidRDefault="001A570A">
            <w:pPr>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14:paraId="4F789B7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19D2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2657A7" w14:textId="77777777" w:rsidR="00000000" w:rsidRDefault="001A570A">
            <w:pPr>
              <w:jc w:val="right"/>
              <w:rPr>
                <w:rFonts w:eastAsia="Times New Roman"/>
              </w:rPr>
            </w:pPr>
            <w:r>
              <w:rPr>
                <w:rFonts w:eastAsia="Times New Roman"/>
                <w:color w:val="000000"/>
                <w:sz w:val="20"/>
                <w:szCs w:val="20"/>
              </w:rPr>
              <w:t>456 </w:t>
            </w:r>
          </w:p>
        </w:tc>
        <w:tc>
          <w:tcPr>
            <w:tcW w:w="0" w:type="auto"/>
            <w:shd w:val="clear" w:color="auto" w:fill="CCEEFF"/>
            <w:tcMar>
              <w:top w:w="30" w:type="dxa"/>
              <w:left w:w="0" w:type="dxa"/>
              <w:bottom w:w="30" w:type="dxa"/>
              <w:right w:w="20" w:type="dxa"/>
            </w:tcMar>
            <w:vAlign w:val="bottom"/>
            <w:hideMark/>
          </w:tcPr>
          <w:p w14:paraId="49FD78E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3606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6705C6" w14:textId="77777777" w:rsidR="00000000" w:rsidRDefault="001A570A">
            <w:pPr>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bottom"/>
            <w:hideMark/>
          </w:tcPr>
          <w:p w14:paraId="41553E0B" w14:textId="77777777" w:rsidR="00000000" w:rsidRDefault="001A570A">
            <w:pPr>
              <w:jc w:val="right"/>
              <w:rPr>
                <w:rFonts w:eastAsia="Times New Roman"/>
              </w:rPr>
            </w:pPr>
          </w:p>
        </w:tc>
      </w:tr>
      <w:tr w:rsidR="00000000" w14:paraId="169AE4F8" w14:textId="77777777">
        <w:trPr>
          <w:divId w:val="1952782571"/>
        </w:trPr>
        <w:tc>
          <w:tcPr>
            <w:tcW w:w="0" w:type="auto"/>
            <w:gridSpan w:val="3"/>
            <w:shd w:val="clear" w:color="auto" w:fill="FFFFFF"/>
            <w:tcMar>
              <w:top w:w="0" w:type="dxa"/>
              <w:left w:w="20" w:type="dxa"/>
              <w:bottom w:w="0" w:type="dxa"/>
              <w:right w:w="20" w:type="dxa"/>
            </w:tcMar>
            <w:vAlign w:val="center"/>
            <w:hideMark/>
          </w:tcPr>
          <w:p w14:paraId="121B9EA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A1729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B6A8A1" w14:textId="77777777" w:rsidR="00000000" w:rsidRDefault="001A570A">
            <w:pPr>
              <w:jc w:val="right"/>
              <w:rPr>
                <w:rFonts w:eastAsia="Times New Roman"/>
              </w:rPr>
            </w:pPr>
            <w:r>
              <w:rPr>
                <w:rFonts w:eastAsia="Times New Roman"/>
                <w:color w:val="000000"/>
                <w:sz w:val="20"/>
                <w:szCs w:val="20"/>
              </w:rPr>
              <w:t>4,946 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70202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E2ECA"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A5E52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5601D5" w14:textId="77777777" w:rsidR="00000000" w:rsidRDefault="001A570A">
            <w:pPr>
              <w:jc w:val="right"/>
              <w:rPr>
                <w:rFonts w:eastAsia="Times New Roman"/>
              </w:rPr>
            </w:pPr>
            <w:r>
              <w:rPr>
                <w:rFonts w:eastAsia="Times New Roman"/>
                <w:color w:val="000000"/>
                <w:sz w:val="20"/>
                <w:szCs w:val="20"/>
              </w:rPr>
              <w:t>2,377 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91265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8A8E7"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F482D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4BE1D9" w14:textId="77777777" w:rsidR="00000000" w:rsidRDefault="001A570A">
            <w:pPr>
              <w:jc w:val="right"/>
              <w:rPr>
                <w:rFonts w:eastAsia="Times New Roman"/>
              </w:rPr>
            </w:pPr>
            <w:r>
              <w:rPr>
                <w:rFonts w:eastAsia="Times New Roman"/>
                <w:color w:val="000000"/>
                <w:sz w:val="20"/>
                <w:szCs w:val="20"/>
              </w:rPr>
              <w:t>3,711 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240BC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50292"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A0921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11BB0C" w14:textId="77777777" w:rsidR="00000000" w:rsidRDefault="001A570A">
            <w:pPr>
              <w:jc w:val="right"/>
              <w:rPr>
                <w:rFonts w:eastAsia="Times New Roman"/>
              </w:rPr>
            </w:pPr>
            <w:r>
              <w:rPr>
                <w:rFonts w:eastAsia="Times New Roman"/>
                <w:color w:val="000000"/>
                <w:sz w:val="20"/>
                <w:szCs w:val="20"/>
              </w:rPr>
              <w:t>3,294 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419FC3" w14:textId="77777777" w:rsidR="00000000" w:rsidRDefault="001A570A">
            <w:pPr>
              <w:jc w:val="right"/>
              <w:rPr>
                <w:rFonts w:eastAsia="Times New Roman"/>
              </w:rPr>
            </w:pPr>
          </w:p>
        </w:tc>
      </w:tr>
    </w:tbl>
    <w:p w14:paraId="4F4EAB80" w14:textId="77777777" w:rsidR="00000000" w:rsidRDefault="001A570A">
      <w:pPr>
        <w:divId w:val="98524212"/>
        <w:rPr>
          <w:rFonts w:eastAsia="Times New Roman"/>
        </w:rPr>
      </w:pPr>
      <w:r>
        <w:rPr>
          <w:rFonts w:eastAsia="Times New Roman"/>
          <w:color w:val="000000"/>
          <w:sz w:val="16"/>
          <w:szCs w:val="16"/>
        </w:rPr>
        <w:t>_______________</w:t>
      </w:r>
    </w:p>
    <w:p w14:paraId="18162A30" w14:textId="77777777" w:rsidR="00000000" w:rsidRDefault="001A570A">
      <w:pPr>
        <w:ind w:hanging="360"/>
        <w:divId w:val="1803379372"/>
        <w:rPr>
          <w:rFonts w:eastAsia="Times New Roman"/>
        </w:rPr>
      </w:pPr>
      <w:r>
        <w:rPr>
          <w:rFonts w:eastAsia="Times New Roman"/>
          <w:color w:val="000000"/>
          <w:sz w:val="16"/>
          <w:szCs w:val="16"/>
        </w:rPr>
        <w:t>(1)Includes revenue deri</w:t>
      </w:r>
      <w:r>
        <w:rPr>
          <w:rFonts w:eastAsia="Times New Roman"/>
          <w:color w:val="000000"/>
          <w:sz w:val="16"/>
          <w:szCs w:val="16"/>
        </w:rPr>
        <w:t>ved from time-and-materials contracts.</w:t>
      </w:r>
    </w:p>
    <w:p w14:paraId="255D415D" w14:textId="77777777" w:rsidR="00000000" w:rsidRDefault="001A570A">
      <w:pPr>
        <w:ind w:firstLine="450"/>
        <w:jc w:val="center"/>
        <w:divId w:val="1956324531"/>
        <w:rPr>
          <w:rFonts w:eastAsia="Times New Roman"/>
        </w:rPr>
      </w:pPr>
      <w:r>
        <w:rPr>
          <w:rFonts w:eastAsia="Times New Roman"/>
          <w:color w:val="000000"/>
          <w:sz w:val="20"/>
          <w:szCs w:val="20"/>
        </w:rPr>
        <w:t>126</w:t>
      </w:r>
    </w:p>
    <w:p w14:paraId="05A16308" w14:textId="77777777" w:rsidR="00000000" w:rsidRDefault="001A570A">
      <w:pPr>
        <w:rPr>
          <w:rFonts w:eastAsia="Times New Roman"/>
        </w:rPr>
      </w:pPr>
      <w:r>
        <w:rPr>
          <w:rFonts w:eastAsia="Times New Roman"/>
        </w:rPr>
        <w:pict w14:anchorId="7E7471C8">
          <v:rect id="_x0000_i1154" style="width:0;height:1.5pt" o:hralign="center" o:hrstd="t" o:hr="t" fillcolor="#a0a0a0" stroked="f"/>
        </w:pict>
      </w:r>
    </w:p>
    <w:p w14:paraId="1B60E002" w14:textId="77777777" w:rsidR="00000000" w:rsidRDefault="001A570A">
      <w:pPr>
        <w:ind w:firstLine="450"/>
        <w:divId w:val="656081038"/>
        <w:rPr>
          <w:rFonts w:eastAsia="Times New Roman"/>
        </w:rPr>
      </w:pPr>
    </w:p>
    <w:p w14:paraId="6E7E65BF" w14:textId="77777777" w:rsidR="00000000" w:rsidRDefault="001A570A">
      <w:pPr>
        <w:ind w:firstLine="450"/>
        <w:divId w:val="1478645173"/>
        <w:rPr>
          <w:rFonts w:eastAsia="Times New Roman"/>
        </w:rPr>
      </w:pPr>
      <w:r>
        <w:rPr>
          <w:rFonts w:eastAsia="Times New Roman"/>
          <w:i/>
          <w:iCs/>
          <w:color w:val="000000"/>
          <w:sz w:val="20"/>
          <w:szCs w:val="20"/>
        </w:rPr>
        <w:t xml:space="preserve">Communication Systems: </w:t>
      </w:r>
      <w:r>
        <w:rPr>
          <w:rFonts w:eastAsia="Times New Roman"/>
          <w:color w:val="000000"/>
          <w:sz w:val="20"/>
          <w:szCs w:val="20"/>
        </w:rPr>
        <w:t>Communication Systems revenue is primarily derived from fixed-price contracts and is generally recognized at the point in time when products are receiv</w:t>
      </w:r>
      <w:r>
        <w:rPr>
          <w:rFonts w:eastAsia="Times New Roman"/>
          <w:color w:val="000000"/>
          <w:sz w:val="20"/>
          <w:szCs w:val="20"/>
        </w:rPr>
        <w:t xml:space="preserve">ed and accepted by the customer for standard products offered to multiple customers and over time for customer-specific products, systems and services.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27"/>
        <w:gridCol w:w="36"/>
        <w:gridCol w:w="120"/>
        <w:gridCol w:w="897"/>
        <w:gridCol w:w="36"/>
        <w:gridCol w:w="36"/>
        <w:gridCol w:w="36"/>
        <w:gridCol w:w="36"/>
        <w:gridCol w:w="121"/>
        <w:gridCol w:w="853"/>
        <w:gridCol w:w="36"/>
        <w:gridCol w:w="36"/>
        <w:gridCol w:w="36"/>
        <w:gridCol w:w="36"/>
        <w:gridCol w:w="120"/>
        <w:gridCol w:w="853"/>
        <w:gridCol w:w="36"/>
        <w:gridCol w:w="36"/>
        <w:gridCol w:w="36"/>
        <w:gridCol w:w="36"/>
        <w:gridCol w:w="120"/>
        <w:gridCol w:w="853"/>
        <w:gridCol w:w="36"/>
      </w:tblGrid>
      <w:tr w:rsidR="00000000" w14:paraId="16689D28" w14:textId="77777777">
        <w:trPr>
          <w:divId w:val="1231041917"/>
        </w:trPr>
        <w:tc>
          <w:tcPr>
            <w:tcW w:w="50" w:type="pct"/>
            <w:vAlign w:val="center"/>
            <w:hideMark/>
          </w:tcPr>
          <w:p w14:paraId="021232FF" w14:textId="77777777" w:rsidR="00000000" w:rsidRDefault="001A570A">
            <w:pPr>
              <w:ind w:firstLine="450"/>
              <w:rPr>
                <w:rFonts w:eastAsia="Times New Roman"/>
              </w:rPr>
            </w:pPr>
          </w:p>
        </w:tc>
        <w:tc>
          <w:tcPr>
            <w:tcW w:w="2337" w:type="pct"/>
            <w:vAlign w:val="center"/>
            <w:hideMark/>
          </w:tcPr>
          <w:p w14:paraId="0F3B159D" w14:textId="77777777" w:rsidR="00000000" w:rsidRDefault="001A570A">
            <w:pPr>
              <w:rPr>
                <w:rFonts w:eastAsia="Times New Roman"/>
                <w:sz w:val="20"/>
                <w:szCs w:val="20"/>
              </w:rPr>
            </w:pPr>
          </w:p>
        </w:tc>
        <w:tc>
          <w:tcPr>
            <w:tcW w:w="5" w:type="pct"/>
            <w:vAlign w:val="center"/>
            <w:hideMark/>
          </w:tcPr>
          <w:p w14:paraId="68B8EB9F" w14:textId="77777777" w:rsidR="00000000" w:rsidRDefault="001A570A">
            <w:pPr>
              <w:rPr>
                <w:rFonts w:eastAsia="Times New Roman"/>
                <w:sz w:val="20"/>
                <w:szCs w:val="20"/>
              </w:rPr>
            </w:pPr>
          </w:p>
        </w:tc>
        <w:tc>
          <w:tcPr>
            <w:tcW w:w="50" w:type="pct"/>
            <w:vAlign w:val="center"/>
            <w:hideMark/>
          </w:tcPr>
          <w:p w14:paraId="19341D76" w14:textId="77777777" w:rsidR="00000000" w:rsidRDefault="001A570A">
            <w:pPr>
              <w:rPr>
                <w:rFonts w:eastAsia="Times New Roman"/>
                <w:sz w:val="20"/>
                <w:szCs w:val="20"/>
              </w:rPr>
            </w:pPr>
          </w:p>
        </w:tc>
        <w:tc>
          <w:tcPr>
            <w:tcW w:w="570" w:type="pct"/>
            <w:vAlign w:val="center"/>
            <w:hideMark/>
          </w:tcPr>
          <w:p w14:paraId="7F5B0484" w14:textId="77777777" w:rsidR="00000000" w:rsidRDefault="001A570A">
            <w:pPr>
              <w:rPr>
                <w:rFonts w:eastAsia="Times New Roman"/>
                <w:sz w:val="20"/>
                <w:szCs w:val="20"/>
              </w:rPr>
            </w:pPr>
          </w:p>
        </w:tc>
        <w:tc>
          <w:tcPr>
            <w:tcW w:w="5" w:type="pct"/>
            <w:vAlign w:val="center"/>
            <w:hideMark/>
          </w:tcPr>
          <w:p w14:paraId="61C9352F" w14:textId="77777777" w:rsidR="00000000" w:rsidRDefault="001A570A">
            <w:pPr>
              <w:rPr>
                <w:rFonts w:eastAsia="Times New Roman"/>
                <w:sz w:val="20"/>
                <w:szCs w:val="20"/>
              </w:rPr>
            </w:pPr>
          </w:p>
        </w:tc>
        <w:tc>
          <w:tcPr>
            <w:tcW w:w="5" w:type="pct"/>
            <w:vAlign w:val="center"/>
            <w:hideMark/>
          </w:tcPr>
          <w:p w14:paraId="7F0A4860" w14:textId="77777777" w:rsidR="00000000" w:rsidRDefault="001A570A">
            <w:pPr>
              <w:rPr>
                <w:rFonts w:eastAsia="Times New Roman"/>
                <w:sz w:val="20"/>
                <w:szCs w:val="20"/>
              </w:rPr>
            </w:pPr>
          </w:p>
        </w:tc>
        <w:tc>
          <w:tcPr>
            <w:tcW w:w="25" w:type="pct"/>
            <w:vAlign w:val="center"/>
            <w:hideMark/>
          </w:tcPr>
          <w:p w14:paraId="48879831" w14:textId="77777777" w:rsidR="00000000" w:rsidRDefault="001A570A">
            <w:pPr>
              <w:rPr>
                <w:rFonts w:eastAsia="Times New Roman"/>
                <w:sz w:val="20"/>
                <w:szCs w:val="20"/>
              </w:rPr>
            </w:pPr>
          </w:p>
        </w:tc>
        <w:tc>
          <w:tcPr>
            <w:tcW w:w="5" w:type="pct"/>
            <w:vAlign w:val="center"/>
            <w:hideMark/>
          </w:tcPr>
          <w:p w14:paraId="14E65975" w14:textId="77777777" w:rsidR="00000000" w:rsidRDefault="001A570A">
            <w:pPr>
              <w:rPr>
                <w:rFonts w:eastAsia="Times New Roman"/>
                <w:sz w:val="20"/>
                <w:szCs w:val="20"/>
              </w:rPr>
            </w:pPr>
          </w:p>
        </w:tc>
        <w:tc>
          <w:tcPr>
            <w:tcW w:w="50" w:type="pct"/>
            <w:vAlign w:val="center"/>
            <w:hideMark/>
          </w:tcPr>
          <w:p w14:paraId="6402A62F" w14:textId="77777777" w:rsidR="00000000" w:rsidRDefault="001A570A">
            <w:pPr>
              <w:rPr>
                <w:rFonts w:eastAsia="Times New Roman"/>
                <w:sz w:val="20"/>
                <w:szCs w:val="20"/>
              </w:rPr>
            </w:pPr>
          </w:p>
        </w:tc>
        <w:tc>
          <w:tcPr>
            <w:tcW w:w="570" w:type="pct"/>
            <w:vAlign w:val="center"/>
            <w:hideMark/>
          </w:tcPr>
          <w:p w14:paraId="54AE3A41" w14:textId="77777777" w:rsidR="00000000" w:rsidRDefault="001A570A">
            <w:pPr>
              <w:rPr>
                <w:rFonts w:eastAsia="Times New Roman"/>
                <w:sz w:val="20"/>
                <w:szCs w:val="20"/>
              </w:rPr>
            </w:pPr>
          </w:p>
        </w:tc>
        <w:tc>
          <w:tcPr>
            <w:tcW w:w="5" w:type="pct"/>
            <w:vAlign w:val="center"/>
            <w:hideMark/>
          </w:tcPr>
          <w:p w14:paraId="3AFDC002" w14:textId="77777777" w:rsidR="00000000" w:rsidRDefault="001A570A">
            <w:pPr>
              <w:rPr>
                <w:rFonts w:eastAsia="Times New Roman"/>
                <w:sz w:val="20"/>
                <w:szCs w:val="20"/>
              </w:rPr>
            </w:pPr>
          </w:p>
        </w:tc>
        <w:tc>
          <w:tcPr>
            <w:tcW w:w="5" w:type="pct"/>
            <w:vAlign w:val="center"/>
            <w:hideMark/>
          </w:tcPr>
          <w:p w14:paraId="33BBD1E3" w14:textId="77777777" w:rsidR="00000000" w:rsidRDefault="001A570A">
            <w:pPr>
              <w:rPr>
                <w:rFonts w:eastAsia="Times New Roman"/>
                <w:sz w:val="20"/>
                <w:szCs w:val="20"/>
              </w:rPr>
            </w:pPr>
          </w:p>
        </w:tc>
        <w:tc>
          <w:tcPr>
            <w:tcW w:w="25" w:type="pct"/>
            <w:vAlign w:val="center"/>
            <w:hideMark/>
          </w:tcPr>
          <w:p w14:paraId="476FBE0B" w14:textId="77777777" w:rsidR="00000000" w:rsidRDefault="001A570A">
            <w:pPr>
              <w:rPr>
                <w:rFonts w:eastAsia="Times New Roman"/>
                <w:sz w:val="20"/>
                <w:szCs w:val="20"/>
              </w:rPr>
            </w:pPr>
          </w:p>
        </w:tc>
        <w:tc>
          <w:tcPr>
            <w:tcW w:w="5" w:type="pct"/>
            <w:vAlign w:val="center"/>
            <w:hideMark/>
          </w:tcPr>
          <w:p w14:paraId="24DA77E7" w14:textId="77777777" w:rsidR="00000000" w:rsidRDefault="001A570A">
            <w:pPr>
              <w:rPr>
                <w:rFonts w:eastAsia="Times New Roman"/>
                <w:sz w:val="20"/>
                <w:szCs w:val="20"/>
              </w:rPr>
            </w:pPr>
          </w:p>
        </w:tc>
        <w:tc>
          <w:tcPr>
            <w:tcW w:w="50" w:type="pct"/>
            <w:vAlign w:val="center"/>
            <w:hideMark/>
          </w:tcPr>
          <w:p w14:paraId="6C368C77" w14:textId="77777777" w:rsidR="00000000" w:rsidRDefault="001A570A">
            <w:pPr>
              <w:rPr>
                <w:rFonts w:eastAsia="Times New Roman"/>
                <w:sz w:val="20"/>
                <w:szCs w:val="20"/>
              </w:rPr>
            </w:pPr>
          </w:p>
        </w:tc>
        <w:tc>
          <w:tcPr>
            <w:tcW w:w="570" w:type="pct"/>
            <w:vAlign w:val="center"/>
            <w:hideMark/>
          </w:tcPr>
          <w:p w14:paraId="03B7B03D" w14:textId="77777777" w:rsidR="00000000" w:rsidRDefault="001A570A">
            <w:pPr>
              <w:rPr>
                <w:rFonts w:eastAsia="Times New Roman"/>
                <w:sz w:val="20"/>
                <w:szCs w:val="20"/>
              </w:rPr>
            </w:pPr>
          </w:p>
        </w:tc>
        <w:tc>
          <w:tcPr>
            <w:tcW w:w="5" w:type="pct"/>
            <w:vAlign w:val="center"/>
            <w:hideMark/>
          </w:tcPr>
          <w:p w14:paraId="38F0C324" w14:textId="77777777" w:rsidR="00000000" w:rsidRDefault="001A570A">
            <w:pPr>
              <w:rPr>
                <w:rFonts w:eastAsia="Times New Roman"/>
                <w:sz w:val="20"/>
                <w:szCs w:val="20"/>
              </w:rPr>
            </w:pPr>
          </w:p>
        </w:tc>
        <w:tc>
          <w:tcPr>
            <w:tcW w:w="5" w:type="pct"/>
            <w:vAlign w:val="center"/>
            <w:hideMark/>
          </w:tcPr>
          <w:p w14:paraId="077B11A6" w14:textId="77777777" w:rsidR="00000000" w:rsidRDefault="001A570A">
            <w:pPr>
              <w:rPr>
                <w:rFonts w:eastAsia="Times New Roman"/>
                <w:sz w:val="20"/>
                <w:szCs w:val="20"/>
              </w:rPr>
            </w:pPr>
          </w:p>
        </w:tc>
        <w:tc>
          <w:tcPr>
            <w:tcW w:w="25" w:type="pct"/>
            <w:vAlign w:val="center"/>
            <w:hideMark/>
          </w:tcPr>
          <w:p w14:paraId="1760D16B" w14:textId="77777777" w:rsidR="00000000" w:rsidRDefault="001A570A">
            <w:pPr>
              <w:rPr>
                <w:rFonts w:eastAsia="Times New Roman"/>
                <w:sz w:val="20"/>
                <w:szCs w:val="20"/>
              </w:rPr>
            </w:pPr>
          </w:p>
        </w:tc>
        <w:tc>
          <w:tcPr>
            <w:tcW w:w="5" w:type="pct"/>
            <w:vAlign w:val="center"/>
            <w:hideMark/>
          </w:tcPr>
          <w:p w14:paraId="784EAD9D" w14:textId="77777777" w:rsidR="00000000" w:rsidRDefault="001A570A">
            <w:pPr>
              <w:rPr>
                <w:rFonts w:eastAsia="Times New Roman"/>
                <w:sz w:val="20"/>
                <w:szCs w:val="20"/>
              </w:rPr>
            </w:pPr>
          </w:p>
        </w:tc>
        <w:tc>
          <w:tcPr>
            <w:tcW w:w="50" w:type="pct"/>
            <w:vAlign w:val="center"/>
            <w:hideMark/>
          </w:tcPr>
          <w:p w14:paraId="7D6765A1" w14:textId="77777777" w:rsidR="00000000" w:rsidRDefault="001A570A">
            <w:pPr>
              <w:rPr>
                <w:rFonts w:eastAsia="Times New Roman"/>
                <w:sz w:val="20"/>
                <w:szCs w:val="20"/>
              </w:rPr>
            </w:pPr>
          </w:p>
        </w:tc>
        <w:tc>
          <w:tcPr>
            <w:tcW w:w="570" w:type="pct"/>
            <w:vAlign w:val="center"/>
            <w:hideMark/>
          </w:tcPr>
          <w:p w14:paraId="02B2CC99" w14:textId="77777777" w:rsidR="00000000" w:rsidRDefault="001A570A">
            <w:pPr>
              <w:rPr>
                <w:rFonts w:eastAsia="Times New Roman"/>
                <w:sz w:val="20"/>
                <w:szCs w:val="20"/>
              </w:rPr>
            </w:pPr>
          </w:p>
        </w:tc>
        <w:tc>
          <w:tcPr>
            <w:tcW w:w="5" w:type="pct"/>
            <w:vAlign w:val="center"/>
            <w:hideMark/>
          </w:tcPr>
          <w:p w14:paraId="205FCDD8" w14:textId="77777777" w:rsidR="00000000" w:rsidRDefault="001A570A">
            <w:pPr>
              <w:rPr>
                <w:rFonts w:eastAsia="Times New Roman"/>
                <w:sz w:val="20"/>
                <w:szCs w:val="20"/>
              </w:rPr>
            </w:pPr>
          </w:p>
        </w:tc>
      </w:tr>
      <w:tr w:rsidR="00000000" w14:paraId="0827D512" w14:textId="77777777">
        <w:trPr>
          <w:divId w:val="1231041917"/>
        </w:trPr>
        <w:tc>
          <w:tcPr>
            <w:tcW w:w="0" w:type="auto"/>
            <w:gridSpan w:val="3"/>
            <w:tcMar>
              <w:top w:w="0" w:type="dxa"/>
              <w:left w:w="20" w:type="dxa"/>
              <w:bottom w:w="0" w:type="dxa"/>
              <w:right w:w="20" w:type="dxa"/>
            </w:tcMar>
            <w:vAlign w:val="center"/>
            <w:hideMark/>
          </w:tcPr>
          <w:p w14:paraId="4661CF2A"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31554A9C"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301C2009"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4205B92F"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709E1796"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7BFBDBAF"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23EB0432" w14:textId="77777777">
        <w:trPr>
          <w:divId w:val="1231041917"/>
        </w:trPr>
        <w:tc>
          <w:tcPr>
            <w:tcW w:w="0" w:type="auto"/>
            <w:gridSpan w:val="3"/>
            <w:tcMar>
              <w:top w:w="30" w:type="dxa"/>
              <w:left w:w="20" w:type="dxa"/>
              <w:bottom w:w="30" w:type="dxa"/>
              <w:right w:w="20" w:type="dxa"/>
            </w:tcMar>
            <w:vAlign w:val="bottom"/>
            <w:hideMark/>
          </w:tcPr>
          <w:p w14:paraId="7B25B6D4"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0E3D20F"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6EFE6AC7"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5352B3"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649860FC"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CD9A15"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1E9CFF1B"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F382BB" w14:textId="77777777" w:rsidR="00000000" w:rsidRDefault="001A570A">
            <w:pPr>
              <w:jc w:val="center"/>
              <w:rPr>
                <w:rFonts w:eastAsia="Times New Roman"/>
              </w:rPr>
            </w:pPr>
            <w:r>
              <w:rPr>
                <w:rFonts w:eastAsia="Times New Roman"/>
                <w:b/>
                <w:bCs/>
                <w:color w:val="000000"/>
                <w:sz w:val="16"/>
                <w:szCs w:val="16"/>
              </w:rPr>
              <w:t>June 29, 2018</w:t>
            </w:r>
          </w:p>
        </w:tc>
      </w:tr>
      <w:tr w:rsidR="00000000" w14:paraId="7DF3716F" w14:textId="77777777">
        <w:trPr>
          <w:divId w:val="1231041917"/>
          <w:trHeight w:val="60"/>
        </w:trPr>
        <w:tc>
          <w:tcPr>
            <w:tcW w:w="0" w:type="auto"/>
            <w:gridSpan w:val="3"/>
            <w:tcMar>
              <w:top w:w="0" w:type="dxa"/>
              <w:left w:w="20" w:type="dxa"/>
              <w:bottom w:w="0" w:type="dxa"/>
              <w:right w:w="20" w:type="dxa"/>
            </w:tcMar>
            <w:vAlign w:val="center"/>
            <w:hideMark/>
          </w:tcPr>
          <w:p w14:paraId="0A0CB7DA"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4F5D6D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63F321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70B91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C78F44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3F401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08ADACC"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F8842C" w14:textId="77777777" w:rsidR="00000000" w:rsidRDefault="001A570A">
            <w:pPr>
              <w:rPr>
                <w:rFonts w:eastAsia="Times New Roman"/>
                <w:sz w:val="20"/>
                <w:szCs w:val="20"/>
              </w:rPr>
            </w:pPr>
          </w:p>
        </w:tc>
      </w:tr>
      <w:tr w:rsidR="00000000" w14:paraId="428B9376" w14:textId="77777777">
        <w:trPr>
          <w:divId w:val="1231041917"/>
        </w:trPr>
        <w:tc>
          <w:tcPr>
            <w:tcW w:w="0" w:type="auto"/>
            <w:gridSpan w:val="3"/>
            <w:shd w:val="clear" w:color="auto" w:fill="CCEEFF"/>
            <w:tcMar>
              <w:top w:w="30" w:type="dxa"/>
              <w:left w:w="20" w:type="dxa"/>
              <w:bottom w:w="30" w:type="dxa"/>
              <w:right w:w="20" w:type="dxa"/>
            </w:tcMar>
            <w:hideMark/>
          </w:tcPr>
          <w:p w14:paraId="7F53B8BD" w14:textId="77777777" w:rsidR="00000000" w:rsidRDefault="001A570A">
            <w:pPr>
              <w:divId w:val="432358893"/>
              <w:rPr>
                <w:rFonts w:eastAsia="Times New Roman"/>
              </w:rPr>
            </w:pPr>
            <w:r>
              <w:rPr>
                <w:rFonts w:eastAsia="Times New Roman"/>
                <w:b/>
                <w:bCs/>
                <w:color w:val="000000"/>
                <w:sz w:val="20"/>
                <w:szCs w:val="20"/>
              </w:rPr>
              <w:t>Revenue By Customer Relationshi</w:t>
            </w:r>
            <w:r>
              <w:rPr>
                <w:rFonts w:eastAsia="Times New Roman"/>
                <w:b/>
                <w:bCs/>
                <w:color w:val="000000"/>
                <w:sz w:val="20"/>
                <w:szCs w:val="20"/>
              </w:rPr>
              <w:t>p</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9E32FF5"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3A93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705DD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CC719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EBD6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58C9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90153D" w14:textId="77777777" w:rsidR="00000000" w:rsidRDefault="001A570A">
            <w:pPr>
              <w:rPr>
                <w:rFonts w:eastAsia="Times New Roman"/>
                <w:sz w:val="20"/>
                <w:szCs w:val="20"/>
              </w:rPr>
            </w:pPr>
          </w:p>
        </w:tc>
      </w:tr>
      <w:tr w:rsidR="00000000" w14:paraId="4AD5B692" w14:textId="77777777">
        <w:trPr>
          <w:divId w:val="1231041917"/>
        </w:trPr>
        <w:tc>
          <w:tcPr>
            <w:tcW w:w="0" w:type="auto"/>
            <w:gridSpan w:val="3"/>
            <w:shd w:val="clear" w:color="auto" w:fill="FFFFFF"/>
            <w:tcMar>
              <w:top w:w="30" w:type="dxa"/>
              <w:left w:w="20" w:type="dxa"/>
              <w:bottom w:w="30" w:type="dxa"/>
              <w:right w:w="20" w:type="dxa"/>
            </w:tcMar>
            <w:hideMark/>
          </w:tcPr>
          <w:p w14:paraId="7FA4E896" w14:textId="77777777" w:rsidR="00000000" w:rsidRDefault="001A570A">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747BB0B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371773" w14:textId="77777777" w:rsidR="00000000" w:rsidRDefault="001A570A">
            <w:pPr>
              <w:jc w:val="right"/>
              <w:rPr>
                <w:rFonts w:eastAsia="Times New Roman"/>
              </w:rPr>
            </w:pPr>
            <w:r>
              <w:rPr>
                <w:rFonts w:eastAsia="Times New Roman"/>
                <w:color w:val="000000"/>
                <w:sz w:val="20"/>
                <w:szCs w:val="20"/>
              </w:rPr>
              <w:t>3,102 </w:t>
            </w:r>
          </w:p>
        </w:tc>
        <w:tc>
          <w:tcPr>
            <w:tcW w:w="0" w:type="auto"/>
            <w:shd w:val="clear" w:color="auto" w:fill="FFFFFF"/>
            <w:tcMar>
              <w:top w:w="30" w:type="dxa"/>
              <w:left w:w="0" w:type="dxa"/>
              <w:bottom w:w="30" w:type="dxa"/>
              <w:right w:w="20" w:type="dxa"/>
            </w:tcMar>
            <w:vAlign w:val="bottom"/>
            <w:hideMark/>
          </w:tcPr>
          <w:p w14:paraId="048B6E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7322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BCB18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F459E5" w14:textId="77777777" w:rsidR="00000000" w:rsidRDefault="001A570A">
            <w:pPr>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14:paraId="042980B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B636A"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61B42C"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49CD9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609F8D" w14:textId="77777777" w:rsidR="00000000" w:rsidRDefault="001A570A">
            <w:pPr>
              <w:rPr>
                <w:rFonts w:eastAsia="Times New Roman"/>
                <w:sz w:val="20"/>
                <w:szCs w:val="20"/>
              </w:rPr>
            </w:pPr>
          </w:p>
        </w:tc>
      </w:tr>
      <w:tr w:rsidR="00000000" w14:paraId="22F93DD4" w14:textId="77777777">
        <w:trPr>
          <w:divId w:val="1231041917"/>
        </w:trPr>
        <w:tc>
          <w:tcPr>
            <w:tcW w:w="0" w:type="auto"/>
            <w:gridSpan w:val="3"/>
            <w:shd w:val="clear" w:color="auto" w:fill="CCEEFF"/>
            <w:tcMar>
              <w:top w:w="30" w:type="dxa"/>
              <w:left w:w="20" w:type="dxa"/>
              <w:bottom w:w="30" w:type="dxa"/>
              <w:right w:w="20" w:type="dxa"/>
            </w:tcMar>
            <w:hideMark/>
          </w:tcPr>
          <w:p w14:paraId="03C9CA6C" w14:textId="77777777" w:rsidR="00000000" w:rsidRDefault="001A570A">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6F673A5E" w14:textId="77777777" w:rsidR="00000000" w:rsidRDefault="001A570A">
            <w:pPr>
              <w:jc w:val="right"/>
              <w:rPr>
                <w:rFonts w:eastAsia="Times New Roman"/>
              </w:rPr>
            </w:pPr>
            <w:r>
              <w:rPr>
                <w:rFonts w:eastAsia="Times New Roman"/>
                <w:color w:val="000000"/>
                <w:sz w:val="20"/>
                <w:szCs w:val="20"/>
              </w:rPr>
              <w:t>1,341 </w:t>
            </w:r>
          </w:p>
        </w:tc>
        <w:tc>
          <w:tcPr>
            <w:tcW w:w="0" w:type="auto"/>
            <w:shd w:val="clear" w:color="auto" w:fill="CCEEFF"/>
            <w:tcMar>
              <w:top w:w="30" w:type="dxa"/>
              <w:left w:w="0" w:type="dxa"/>
              <w:bottom w:w="30" w:type="dxa"/>
              <w:right w:w="20" w:type="dxa"/>
            </w:tcMar>
            <w:vAlign w:val="bottom"/>
            <w:hideMark/>
          </w:tcPr>
          <w:p w14:paraId="66371DA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8C8D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E872D" w14:textId="77777777" w:rsidR="00000000" w:rsidRDefault="001A570A">
            <w:pPr>
              <w:jc w:val="right"/>
              <w:rPr>
                <w:rFonts w:eastAsia="Times New Roman"/>
              </w:rPr>
            </w:pPr>
            <w:r>
              <w:rPr>
                <w:rFonts w:eastAsia="Times New Roman"/>
                <w:color w:val="000000"/>
                <w:sz w:val="20"/>
                <w:szCs w:val="20"/>
              </w:rPr>
              <w:t>745 </w:t>
            </w:r>
          </w:p>
        </w:tc>
        <w:tc>
          <w:tcPr>
            <w:tcW w:w="0" w:type="auto"/>
            <w:shd w:val="clear" w:color="auto" w:fill="CCEEFF"/>
            <w:tcMar>
              <w:top w:w="30" w:type="dxa"/>
              <w:left w:w="0" w:type="dxa"/>
              <w:bottom w:w="30" w:type="dxa"/>
              <w:right w:w="20" w:type="dxa"/>
            </w:tcMar>
            <w:vAlign w:val="bottom"/>
            <w:hideMark/>
          </w:tcPr>
          <w:p w14:paraId="0F54888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5E826"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A7DC7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2635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A5985" w14:textId="77777777" w:rsidR="00000000" w:rsidRDefault="001A570A">
            <w:pPr>
              <w:rPr>
                <w:rFonts w:eastAsia="Times New Roman"/>
                <w:sz w:val="20"/>
                <w:szCs w:val="20"/>
              </w:rPr>
            </w:pPr>
          </w:p>
        </w:tc>
      </w:tr>
      <w:tr w:rsidR="00000000" w14:paraId="3645F589" w14:textId="77777777">
        <w:trPr>
          <w:divId w:val="1231041917"/>
        </w:trPr>
        <w:tc>
          <w:tcPr>
            <w:tcW w:w="0" w:type="auto"/>
            <w:gridSpan w:val="3"/>
            <w:shd w:val="clear" w:color="auto" w:fill="FFFFFF"/>
            <w:tcMar>
              <w:top w:w="0" w:type="dxa"/>
              <w:left w:w="20" w:type="dxa"/>
              <w:bottom w:w="0" w:type="dxa"/>
              <w:right w:w="20" w:type="dxa"/>
            </w:tcMar>
            <w:vAlign w:val="center"/>
            <w:hideMark/>
          </w:tcPr>
          <w:p w14:paraId="4EC5A0E4"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BA317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090FAE" w14:textId="77777777" w:rsidR="00000000" w:rsidRDefault="001A570A">
            <w:pPr>
              <w:jc w:val="right"/>
              <w:rPr>
                <w:rFonts w:eastAsia="Times New Roman"/>
              </w:rPr>
            </w:pPr>
            <w:r>
              <w:rPr>
                <w:rFonts w:eastAsia="Times New Roman"/>
                <w:color w:val="000000"/>
                <w:sz w:val="20"/>
                <w:szCs w:val="20"/>
              </w:rPr>
              <w:t>4,443 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AB517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01D9C"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5CE76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262C76" w14:textId="77777777" w:rsidR="00000000" w:rsidRDefault="001A570A">
            <w:pPr>
              <w:jc w:val="right"/>
              <w:rPr>
                <w:rFonts w:eastAsia="Times New Roman"/>
              </w:rPr>
            </w:pPr>
            <w:r>
              <w:rPr>
                <w:rFonts w:eastAsia="Times New Roman"/>
                <w:color w:val="000000"/>
                <w:sz w:val="20"/>
                <w:szCs w:val="20"/>
              </w:rPr>
              <w:t>2,151 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84A72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E29F0"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6BA5B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0586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0C7734" w14:textId="77777777" w:rsidR="00000000" w:rsidRDefault="001A570A">
            <w:pPr>
              <w:rPr>
                <w:rFonts w:eastAsia="Times New Roman"/>
                <w:sz w:val="20"/>
                <w:szCs w:val="20"/>
              </w:rPr>
            </w:pPr>
          </w:p>
        </w:tc>
      </w:tr>
      <w:tr w:rsidR="00000000" w14:paraId="4934ECA4" w14:textId="77777777">
        <w:trPr>
          <w:divId w:val="1231041917"/>
        </w:trPr>
        <w:tc>
          <w:tcPr>
            <w:tcW w:w="0" w:type="auto"/>
            <w:gridSpan w:val="3"/>
            <w:shd w:val="clear" w:color="auto" w:fill="CCEEFF"/>
            <w:tcMar>
              <w:top w:w="30" w:type="dxa"/>
              <w:left w:w="20" w:type="dxa"/>
              <w:bottom w:w="30" w:type="dxa"/>
              <w:right w:w="20" w:type="dxa"/>
            </w:tcMar>
            <w:hideMark/>
          </w:tcPr>
          <w:p w14:paraId="34E954F9" w14:textId="77777777" w:rsidR="00000000" w:rsidRDefault="001A570A">
            <w:pPr>
              <w:divId w:val="806314239"/>
              <w:rPr>
                <w:rFonts w:eastAsia="Times New Roman"/>
              </w:rPr>
            </w:pPr>
            <w:r>
              <w:rPr>
                <w:rFonts w:eastAsia="Times New Roman"/>
                <w:b/>
                <w:bCs/>
                <w:color w:val="000000"/>
                <w:sz w:val="20"/>
                <w:szCs w:val="20"/>
              </w:rPr>
              <w:t>Revenue By Contract Typ</w:t>
            </w:r>
            <w:r>
              <w:rPr>
                <w:rFonts w:eastAsia="Times New Roman"/>
                <w:b/>
                <w:bCs/>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6DA3E1"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4DD41"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1903D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B456C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71A87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9DD51"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8C235A" w14:textId="77777777" w:rsidR="00000000" w:rsidRDefault="001A570A">
            <w:pPr>
              <w:rPr>
                <w:rFonts w:eastAsia="Times New Roman"/>
                <w:sz w:val="20"/>
                <w:szCs w:val="20"/>
              </w:rPr>
            </w:pPr>
          </w:p>
        </w:tc>
      </w:tr>
      <w:tr w:rsidR="00000000" w14:paraId="6AA5C8F4" w14:textId="77777777">
        <w:trPr>
          <w:divId w:val="1231041917"/>
        </w:trPr>
        <w:tc>
          <w:tcPr>
            <w:tcW w:w="0" w:type="auto"/>
            <w:gridSpan w:val="3"/>
            <w:shd w:val="clear" w:color="auto" w:fill="FFFFFF"/>
            <w:tcMar>
              <w:top w:w="30" w:type="dxa"/>
              <w:left w:w="20" w:type="dxa"/>
              <w:bottom w:w="30" w:type="dxa"/>
              <w:right w:w="20" w:type="dxa"/>
            </w:tcMar>
            <w:hideMark/>
          </w:tcPr>
          <w:p w14:paraId="0E672B38" w14:textId="77777777" w:rsidR="00000000" w:rsidRDefault="001A570A">
            <w:pPr>
              <w:divId w:val="784496187"/>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26F1BC7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D6FE43" w14:textId="77777777" w:rsidR="00000000" w:rsidRDefault="001A570A">
            <w:pPr>
              <w:jc w:val="right"/>
              <w:rPr>
                <w:rFonts w:eastAsia="Times New Roman"/>
              </w:rPr>
            </w:pPr>
            <w:r>
              <w:rPr>
                <w:rFonts w:eastAsia="Times New Roman"/>
                <w:color w:val="000000"/>
                <w:sz w:val="20"/>
                <w:szCs w:val="20"/>
              </w:rPr>
              <w:t>3,805 </w:t>
            </w:r>
          </w:p>
        </w:tc>
        <w:tc>
          <w:tcPr>
            <w:tcW w:w="0" w:type="auto"/>
            <w:shd w:val="clear" w:color="auto" w:fill="FFFFFF"/>
            <w:tcMar>
              <w:top w:w="30" w:type="dxa"/>
              <w:left w:w="0" w:type="dxa"/>
              <w:bottom w:w="30" w:type="dxa"/>
              <w:right w:w="20" w:type="dxa"/>
            </w:tcMar>
            <w:vAlign w:val="bottom"/>
            <w:hideMark/>
          </w:tcPr>
          <w:p w14:paraId="2CE5278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B5CE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9826D2"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16078D" w14:textId="77777777" w:rsidR="00000000" w:rsidRDefault="001A570A">
            <w:pPr>
              <w:jc w:val="right"/>
              <w:rPr>
                <w:rFonts w:eastAsia="Times New Roman"/>
              </w:rPr>
            </w:pPr>
            <w:r>
              <w:rPr>
                <w:rFonts w:eastAsia="Times New Roman"/>
                <w:color w:val="000000"/>
                <w:sz w:val="20"/>
                <w:szCs w:val="20"/>
              </w:rPr>
              <w:t>1,849 </w:t>
            </w:r>
          </w:p>
        </w:tc>
        <w:tc>
          <w:tcPr>
            <w:tcW w:w="0" w:type="auto"/>
            <w:shd w:val="clear" w:color="auto" w:fill="FFFFFF"/>
            <w:tcMar>
              <w:top w:w="30" w:type="dxa"/>
              <w:left w:w="0" w:type="dxa"/>
              <w:bottom w:w="30" w:type="dxa"/>
              <w:right w:w="20" w:type="dxa"/>
            </w:tcMar>
            <w:vAlign w:val="bottom"/>
            <w:hideMark/>
          </w:tcPr>
          <w:p w14:paraId="402C8E1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377A6"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21E1BE"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DDF9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D8363D" w14:textId="77777777" w:rsidR="00000000" w:rsidRDefault="001A570A">
            <w:pPr>
              <w:rPr>
                <w:rFonts w:eastAsia="Times New Roman"/>
                <w:sz w:val="20"/>
                <w:szCs w:val="20"/>
              </w:rPr>
            </w:pPr>
          </w:p>
        </w:tc>
      </w:tr>
      <w:tr w:rsidR="00000000" w14:paraId="54CA2A42" w14:textId="77777777">
        <w:trPr>
          <w:divId w:val="1231041917"/>
        </w:trPr>
        <w:tc>
          <w:tcPr>
            <w:tcW w:w="0" w:type="auto"/>
            <w:gridSpan w:val="3"/>
            <w:shd w:val="clear" w:color="auto" w:fill="CCEEFF"/>
            <w:tcMar>
              <w:top w:w="30" w:type="dxa"/>
              <w:left w:w="20" w:type="dxa"/>
              <w:bottom w:w="30" w:type="dxa"/>
              <w:right w:w="20" w:type="dxa"/>
            </w:tcMar>
            <w:hideMark/>
          </w:tcPr>
          <w:p w14:paraId="751B3026" w14:textId="77777777" w:rsidR="00000000" w:rsidRDefault="001A570A">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14:paraId="2F131725" w14:textId="77777777" w:rsidR="00000000" w:rsidRDefault="001A570A">
            <w:pPr>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14:paraId="0A6BAB4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7800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17DC05" w14:textId="77777777" w:rsidR="00000000" w:rsidRDefault="001A570A">
            <w:pPr>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14:paraId="7860843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BDB229" w14:textId="77777777" w:rsidR="00000000" w:rsidRDefault="001A570A">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68A9E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4C03E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E72E1" w14:textId="77777777" w:rsidR="00000000" w:rsidRDefault="001A570A">
            <w:pPr>
              <w:rPr>
                <w:rFonts w:eastAsia="Times New Roman"/>
                <w:sz w:val="20"/>
                <w:szCs w:val="20"/>
              </w:rPr>
            </w:pPr>
          </w:p>
        </w:tc>
      </w:tr>
      <w:tr w:rsidR="00000000" w14:paraId="0091BB3A" w14:textId="77777777">
        <w:trPr>
          <w:divId w:val="1231041917"/>
        </w:trPr>
        <w:tc>
          <w:tcPr>
            <w:tcW w:w="0" w:type="auto"/>
            <w:gridSpan w:val="3"/>
            <w:shd w:val="clear" w:color="auto" w:fill="FFFFFF"/>
            <w:tcMar>
              <w:top w:w="0" w:type="dxa"/>
              <w:left w:w="20" w:type="dxa"/>
              <w:bottom w:w="0" w:type="dxa"/>
              <w:right w:w="20" w:type="dxa"/>
            </w:tcMar>
            <w:vAlign w:val="center"/>
            <w:hideMark/>
          </w:tcPr>
          <w:p w14:paraId="6AC3FE04"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F4C9B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EAC798" w14:textId="77777777" w:rsidR="00000000" w:rsidRDefault="001A570A">
            <w:pPr>
              <w:jc w:val="right"/>
              <w:rPr>
                <w:rFonts w:eastAsia="Times New Roman"/>
              </w:rPr>
            </w:pPr>
            <w:r>
              <w:rPr>
                <w:rFonts w:eastAsia="Times New Roman"/>
                <w:color w:val="000000"/>
                <w:sz w:val="20"/>
                <w:szCs w:val="20"/>
              </w:rPr>
              <w:t>4,443 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F7FDE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3EE6C"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6E498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068A0C" w14:textId="77777777" w:rsidR="00000000" w:rsidRDefault="001A570A">
            <w:pPr>
              <w:jc w:val="right"/>
              <w:rPr>
                <w:rFonts w:eastAsia="Times New Roman"/>
              </w:rPr>
            </w:pPr>
            <w:r>
              <w:rPr>
                <w:rFonts w:eastAsia="Times New Roman"/>
                <w:color w:val="000000"/>
                <w:sz w:val="20"/>
                <w:szCs w:val="20"/>
              </w:rPr>
              <w:t>2,151 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EAB0F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4064A" w14:textId="77777777" w:rsidR="00000000" w:rsidRDefault="001A570A">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C229D0"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CADDBE"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978F3" w14:textId="77777777" w:rsidR="00000000" w:rsidRDefault="001A570A">
            <w:pPr>
              <w:rPr>
                <w:rFonts w:eastAsia="Times New Roman"/>
                <w:sz w:val="20"/>
                <w:szCs w:val="20"/>
              </w:rPr>
            </w:pPr>
          </w:p>
        </w:tc>
      </w:tr>
      <w:tr w:rsidR="00000000" w14:paraId="39CB89DE" w14:textId="77777777">
        <w:trPr>
          <w:divId w:val="1231041917"/>
        </w:trPr>
        <w:tc>
          <w:tcPr>
            <w:tcW w:w="0" w:type="auto"/>
            <w:gridSpan w:val="3"/>
            <w:shd w:val="clear" w:color="auto" w:fill="CCEEFF"/>
            <w:tcMar>
              <w:top w:w="30" w:type="dxa"/>
              <w:left w:w="20" w:type="dxa"/>
              <w:bottom w:w="30" w:type="dxa"/>
              <w:right w:w="20" w:type="dxa"/>
            </w:tcMar>
            <w:hideMark/>
          </w:tcPr>
          <w:p w14:paraId="71C85558" w14:textId="77777777" w:rsidR="00000000" w:rsidRDefault="001A570A">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7EFBEE"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3946D"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7B217E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4CC28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F904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DFE35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0723E" w14:textId="77777777" w:rsidR="00000000" w:rsidRDefault="001A570A">
            <w:pPr>
              <w:rPr>
                <w:rFonts w:eastAsia="Times New Roman"/>
                <w:sz w:val="20"/>
                <w:szCs w:val="20"/>
              </w:rPr>
            </w:pPr>
          </w:p>
        </w:tc>
      </w:tr>
      <w:tr w:rsidR="00000000" w14:paraId="32608FF6" w14:textId="77777777">
        <w:trPr>
          <w:divId w:val="1231041917"/>
        </w:trPr>
        <w:tc>
          <w:tcPr>
            <w:tcW w:w="0" w:type="auto"/>
            <w:gridSpan w:val="3"/>
            <w:shd w:val="clear" w:color="auto" w:fill="FFFFFF"/>
            <w:tcMar>
              <w:top w:w="30" w:type="dxa"/>
              <w:left w:w="20" w:type="dxa"/>
              <w:bottom w:w="30" w:type="dxa"/>
              <w:right w:w="20" w:type="dxa"/>
            </w:tcMar>
            <w:hideMark/>
          </w:tcPr>
          <w:p w14:paraId="5074DF37" w14:textId="77777777" w:rsidR="00000000" w:rsidRDefault="001A570A">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2EA42B7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23DF40" w14:textId="77777777" w:rsidR="00000000" w:rsidRDefault="001A570A">
            <w:pPr>
              <w:jc w:val="right"/>
              <w:rPr>
                <w:rFonts w:eastAsia="Times New Roman"/>
              </w:rPr>
            </w:pPr>
            <w:r>
              <w:rPr>
                <w:rFonts w:eastAsia="Times New Roman"/>
                <w:color w:val="000000"/>
                <w:sz w:val="20"/>
                <w:szCs w:val="20"/>
              </w:rPr>
              <w:t>3,204 </w:t>
            </w:r>
          </w:p>
        </w:tc>
        <w:tc>
          <w:tcPr>
            <w:tcW w:w="0" w:type="auto"/>
            <w:shd w:val="clear" w:color="auto" w:fill="FFFFFF"/>
            <w:tcMar>
              <w:top w:w="30" w:type="dxa"/>
              <w:left w:w="0" w:type="dxa"/>
              <w:bottom w:w="30" w:type="dxa"/>
              <w:right w:w="20" w:type="dxa"/>
            </w:tcMar>
            <w:vAlign w:val="bottom"/>
            <w:hideMark/>
          </w:tcPr>
          <w:p w14:paraId="5A38797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95ECA"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D655E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AB708A" w14:textId="77777777" w:rsidR="00000000" w:rsidRDefault="001A570A">
            <w:pPr>
              <w:jc w:val="right"/>
              <w:rPr>
                <w:rFonts w:eastAsia="Times New Roman"/>
              </w:rPr>
            </w:pPr>
            <w:r>
              <w:rPr>
                <w:rFonts w:eastAsia="Times New Roman"/>
                <w:color w:val="000000"/>
                <w:sz w:val="20"/>
                <w:szCs w:val="20"/>
              </w:rPr>
              <w:t>1,518 </w:t>
            </w:r>
          </w:p>
        </w:tc>
        <w:tc>
          <w:tcPr>
            <w:tcW w:w="0" w:type="auto"/>
            <w:shd w:val="clear" w:color="auto" w:fill="FFFFFF"/>
            <w:tcMar>
              <w:top w:w="30" w:type="dxa"/>
              <w:left w:w="0" w:type="dxa"/>
              <w:bottom w:w="30" w:type="dxa"/>
              <w:right w:w="20" w:type="dxa"/>
            </w:tcMar>
            <w:vAlign w:val="bottom"/>
            <w:hideMark/>
          </w:tcPr>
          <w:p w14:paraId="1609395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8DAC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1EC66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AE7F31" w14:textId="77777777" w:rsidR="00000000" w:rsidRDefault="001A570A">
            <w:pPr>
              <w:jc w:val="right"/>
              <w:rPr>
                <w:rFonts w:eastAsia="Times New Roman"/>
              </w:rPr>
            </w:pPr>
            <w:r>
              <w:rPr>
                <w:rFonts w:eastAsia="Times New Roman"/>
                <w:color w:val="000000"/>
                <w:sz w:val="20"/>
                <w:szCs w:val="20"/>
              </w:rPr>
              <w:t>1,281 </w:t>
            </w:r>
          </w:p>
        </w:tc>
        <w:tc>
          <w:tcPr>
            <w:tcW w:w="0" w:type="auto"/>
            <w:shd w:val="clear" w:color="auto" w:fill="FFFFFF"/>
            <w:tcMar>
              <w:top w:w="30" w:type="dxa"/>
              <w:left w:w="0" w:type="dxa"/>
              <w:bottom w:w="30" w:type="dxa"/>
              <w:right w:w="20" w:type="dxa"/>
            </w:tcMar>
            <w:vAlign w:val="bottom"/>
            <w:hideMark/>
          </w:tcPr>
          <w:p w14:paraId="1E5234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4C0B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52B98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A5141D" w14:textId="77777777" w:rsidR="00000000" w:rsidRDefault="001A570A">
            <w:pPr>
              <w:jc w:val="right"/>
              <w:rPr>
                <w:rFonts w:eastAsia="Times New Roman"/>
              </w:rPr>
            </w:pPr>
            <w:r>
              <w:rPr>
                <w:rFonts w:eastAsia="Times New Roman"/>
                <w:color w:val="000000"/>
                <w:sz w:val="20"/>
                <w:szCs w:val="20"/>
              </w:rPr>
              <w:t>1,031 </w:t>
            </w:r>
          </w:p>
        </w:tc>
        <w:tc>
          <w:tcPr>
            <w:tcW w:w="0" w:type="auto"/>
            <w:shd w:val="clear" w:color="auto" w:fill="FFFFFF"/>
            <w:tcMar>
              <w:top w:w="30" w:type="dxa"/>
              <w:left w:w="0" w:type="dxa"/>
              <w:bottom w:w="30" w:type="dxa"/>
              <w:right w:w="20" w:type="dxa"/>
            </w:tcMar>
            <w:vAlign w:val="bottom"/>
            <w:hideMark/>
          </w:tcPr>
          <w:p w14:paraId="6B0177DF" w14:textId="77777777" w:rsidR="00000000" w:rsidRDefault="001A570A">
            <w:pPr>
              <w:jc w:val="right"/>
              <w:rPr>
                <w:rFonts w:eastAsia="Times New Roman"/>
              </w:rPr>
            </w:pPr>
          </w:p>
        </w:tc>
      </w:tr>
      <w:tr w:rsidR="00000000" w14:paraId="5BA6A955" w14:textId="77777777">
        <w:trPr>
          <w:divId w:val="1231041917"/>
        </w:trPr>
        <w:tc>
          <w:tcPr>
            <w:tcW w:w="0" w:type="auto"/>
            <w:gridSpan w:val="3"/>
            <w:shd w:val="clear" w:color="auto" w:fill="CCEEFF"/>
            <w:tcMar>
              <w:top w:w="30" w:type="dxa"/>
              <w:left w:w="20" w:type="dxa"/>
              <w:bottom w:w="30" w:type="dxa"/>
              <w:right w:w="20" w:type="dxa"/>
            </w:tcMar>
            <w:hideMark/>
          </w:tcPr>
          <w:p w14:paraId="3D7FA436" w14:textId="77777777" w:rsidR="00000000" w:rsidRDefault="001A570A">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64CB8F45" w14:textId="77777777" w:rsidR="00000000" w:rsidRDefault="001A570A">
            <w:pPr>
              <w:jc w:val="right"/>
              <w:rPr>
                <w:rFonts w:eastAsia="Times New Roman"/>
              </w:rPr>
            </w:pPr>
            <w:r>
              <w:rPr>
                <w:rFonts w:eastAsia="Times New Roman"/>
                <w:color w:val="000000"/>
                <w:sz w:val="20"/>
                <w:szCs w:val="20"/>
              </w:rPr>
              <w:t>1,239 </w:t>
            </w:r>
          </w:p>
        </w:tc>
        <w:tc>
          <w:tcPr>
            <w:tcW w:w="0" w:type="auto"/>
            <w:shd w:val="clear" w:color="auto" w:fill="CCEEFF"/>
            <w:tcMar>
              <w:top w:w="30" w:type="dxa"/>
              <w:left w:w="0" w:type="dxa"/>
              <w:bottom w:w="30" w:type="dxa"/>
              <w:right w:w="20" w:type="dxa"/>
            </w:tcMar>
            <w:vAlign w:val="bottom"/>
            <w:hideMark/>
          </w:tcPr>
          <w:p w14:paraId="70443A3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AE66B"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64972" w14:textId="77777777" w:rsidR="00000000" w:rsidRDefault="001A570A">
            <w:pPr>
              <w:jc w:val="right"/>
              <w:rPr>
                <w:rFonts w:eastAsia="Times New Roman"/>
              </w:rPr>
            </w:pPr>
            <w:r>
              <w:rPr>
                <w:rFonts w:eastAsia="Times New Roman"/>
                <w:color w:val="000000"/>
                <w:sz w:val="20"/>
                <w:szCs w:val="20"/>
              </w:rPr>
              <w:t>633 </w:t>
            </w:r>
          </w:p>
        </w:tc>
        <w:tc>
          <w:tcPr>
            <w:tcW w:w="0" w:type="auto"/>
            <w:shd w:val="clear" w:color="auto" w:fill="CCEEFF"/>
            <w:tcMar>
              <w:top w:w="30" w:type="dxa"/>
              <w:left w:w="0" w:type="dxa"/>
              <w:bottom w:w="30" w:type="dxa"/>
              <w:right w:w="20" w:type="dxa"/>
            </w:tcMar>
            <w:vAlign w:val="bottom"/>
            <w:hideMark/>
          </w:tcPr>
          <w:p w14:paraId="129C8B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2AB3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F34A5" w14:textId="77777777" w:rsidR="00000000" w:rsidRDefault="001A570A">
            <w:pPr>
              <w:jc w:val="right"/>
              <w:rPr>
                <w:rFonts w:eastAsia="Times New Roman"/>
              </w:rPr>
            </w:pPr>
            <w:r>
              <w:rPr>
                <w:rFonts w:eastAsia="Times New Roman"/>
                <w:color w:val="000000"/>
                <w:sz w:val="20"/>
                <w:szCs w:val="20"/>
              </w:rPr>
              <w:t>927 </w:t>
            </w:r>
          </w:p>
        </w:tc>
        <w:tc>
          <w:tcPr>
            <w:tcW w:w="0" w:type="auto"/>
            <w:shd w:val="clear" w:color="auto" w:fill="CCEEFF"/>
            <w:tcMar>
              <w:top w:w="30" w:type="dxa"/>
              <w:left w:w="0" w:type="dxa"/>
              <w:bottom w:w="30" w:type="dxa"/>
              <w:right w:w="20" w:type="dxa"/>
            </w:tcMar>
            <w:vAlign w:val="bottom"/>
            <w:hideMark/>
          </w:tcPr>
          <w:p w14:paraId="29E38BB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3A30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127B2" w14:textId="77777777" w:rsidR="00000000" w:rsidRDefault="001A570A">
            <w:pPr>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14:paraId="529C9255" w14:textId="77777777" w:rsidR="00000000" w:rsidRDefault="001A570A">
            <w:pPr>
              <w:jc w:val="right"/>
              <w:rPr>
                <w:rFonts w:eastAsia="Times New Roman"/>
              </w:rPr>
            </w:pPr>
          </w:p>
        </w:tc>
      </w:tr>
      <w:tr w:rsidR="00000000" w14:paraId="415E6E3E" w14:textId="77777777">
        <w:trPr>
          <w:divId w:val="1231041917"/>
        </w:trPr>
        <w:tc>
          <w:tcPr>
            <w:tcW w:w="0" w:type="auto"/>
            <w:gridSpan w:val="3"/>
            <w:shd w:val="clear" w:color="auto" w:fill="FFFFFF"/>
            <w:tcMar>
              <w:top w:w="0" w:type="dxa"/>
              <w:left w:w="20" w:type="dxa"/>
              <w:bottom w:w="0" w:type="dxa"/>
              <w:right w:w="20" w:type="dxa"/>
            </w:tcMar>
            <w:vAlign w:val="center"/>
            <w:hideMark/>
          </w:tcPr>
          <w:p w14:paraId="23BB15A5"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3A26C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EE2683" w14:textId="77777777" w:rsidR="00000000" w:rsidRDefault="001A570A">
            <w:pPr>
              <w:jc w:val="right"/>
              <w:rPr>
                <w:rFonts w:eastAsia="Times New Roman"/>
              </w:rPr>
            </w:pPr>
            <w:r>
              <w:rPr>
                <w:rFonts w:eastAsia="Times New Roman"/>
                <w:color w:val="000000"/>
                <w:sz w:val="20"/>
                <w:szCs w:val="20"/>
              </w:rPr>
              <w:t>4,443 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484C5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5ED98"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988BF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3ED2A8" w14:textId="77777777" w:rsidR="00000000" w:rsidRDefault="001A570A">
            <w:pPr>
              <w:jc w:val="right"/>
              <w:rPr>
                <w:rFonts w:eastAsia="Times New Roman"/>
              </w:rPr>
            </w:pPr>
            <w:r>
              <w:rPr>
                <w:rFonts w:eastAsia="Times New Roman"/>
                <w:color w:val="000000"/>
                <w:sz w:val="20"/>
                <w:szCs w:val="20"/>
              </w:rPr>
              <w:t>2,151 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2452F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FC91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2143E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36CDA1" w14:textId="77777777" w:rsidR="00000000" w:rsidRDefault="001A570A">
            <w:pPr>
              <w:jc w:val="right"/>
              <w:rPr>
                <w:rFonts w:eastAsia="Times New Roman"/>
              </w:rPr>
            </w:pPr>
            <w:r>
              <w:rPr>
                <w:rFonts w:eastAsia="Times New Roman"/>
                <w:color w:val="000000"/>
                <w:sz w:val="20"/>
                <w:szCs w:val="20"/>
              </w:rPr>
              <w:t>2,208 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7B9C1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FE8E9"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37023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5CF46F" w14:textId="77777777" w:rsidR="00000000" w:rsidRDefault="001A570A">
            <w:pPr>
              <w:jc w:val="right"/>
              <w:rPr>
                <w:rFonts w:eastAsia="Times New Roman"/>
              </w:rPr>
            </w:pPr>
            <w:r>
              <w:rPr>
                <w:rFonts w:eastAsia="Times New Roman"/>
                <w:color w:val="000000"/>
                <w:sz w:val="20"/>
                <w:szCs w:val="20"/>
              </w:rPr>
              <w:t>2,015 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1A3B37" w14:textId="77777777" w:rsidR="00000000" w:rsidRDefault="001A570A">
            <w:pPr>
              <w:jc w:val="right"/>
              <w:rPr>
                <w:rFonts w:eastAsia="Times New Roman"/>
              </w:rPr>
            </w:pPr>
          </w:p>
        </w:tc>
      </w:tr>
    </w:tbl>
    <w:p w14:paraId="5EB82261" w14:textId="77777777" w:rsidR="00000000" w:rsidRDefault="001A570A">
      <w:pPr>
        <w:divId w:val="142047745"/>
        <w:rPr>
          <w:rFonts w:eastAsia="Times New Roman"/>
        </w:rPr>
      </w:pPr>
      <w:r>
        <w:rPr>
          <w:rFonts w:eastAsia="Times New Roman"/>
          <w:color w:val="000000"/>
          <w:sz w:val="16"/>
          <w:szCs w:val="16"/>
        </w:rPr>
        <w:t>_______________</w:t>
      </w:r>
    </w:p>
    <w:p w14:paraId="590BC59E" w14:textId="77777777" w:rsidR="00000000" w:rsidRDefault="001A570A">
      <w:pPr>
        <w:ind w:hanging="360"/>
        <w:divId w:val="449084210"/>
        <w:rPr>
          <w:rFonts w:eastAsia="Times New Roman"/>
        </w:rPr>
      </w:pPr>
      <w:r>
        <w:rPr>
          <w:rFonts w:eastAsia="Times New Roman"/>
          <w:color w:val="000000"/>
          <w:sz w:val="16"/>
          <w:szCs w:val="16"/>
        </w:rPr>
        <w:t>(1)Prior to the L3Harris Merger, Communication Systems did not recognize significant revenue for customer-specific products and systems, and currently, such customer a</w:t>
      </w:r>
      <w:r>
        <w:rPr>
          <w:rFonts w:eastAsia="Times New Roman"/>
          <w:color w:val="000000"/>
          <w:sz w:val="16"/>
          <w:szCs w:val="16"/>
        </w:rPr>
        <w:t>rrangements primarily exist at operating businesses acquired in connection with the L3Harris Merger. The “Revenue by Customer Relationship” and “Revenue by Contract Type” disaggregation categories were added beginning in the Fiscal Transition Period to bes</w:t>
      </w:r>
      <w:r>
        <w:rPr>
          <w:rFonts w:eastAsia="Times New Roman"/>
          <w:color w:val="000000"/>
          <w:sz w:val="16"/>
          <w:szCs w:val="16"/>
        </w:rPr>
        <w:t xml:space="preserve">t depict how the nature, amount, timing and uncertainty of revenue and cash flows from these types of customer arrangements are affected by economic factors. </w:t>
      </w:r>
    </w:p>
    <w:p w14:paraId="33A92B32" w14:textId="77777777" w:rsidR="00000000" w:rsidRDefault="001A570A">
      <w:pPr>
        <w:ind w:hanging="360"/>
        <w:divId w:val="1448160820"/>
        <w:rPr>
          <w:rFonts w:eastAsia="Times New Roman"/>
        </w:rPr>
      </w:pPr>
      <w:r>
        <w:rPr>
          <w:rFonts w:eastAsia="Times New Roman"/>
          <w:color w:val="000000"/>
          <w:sz w:val="16"/>
          <w:szCs w:val="16"/>
        </w:rPr>
        <w:t>(2)Includes revenue derived from time-and-materials contracts.</w:t>
      </w:r>
    </w:p>
    <w:p w14:paraId="7BEAED1C" w14:textId="77777777" w:rsidR="00000000" w:rsidRDefault="001A570A">
      <w:pPr>
        <w:ind w:firstLine="450"/>
        <w:divId w:val="87508341"/>
        <w:rPr>
          <w:rFonts w:eastAsia="Times New Roman"/>
        </w:rPr>
      </w:pPr>
      <w:r>
        <w:rPr>
          <w:rFonts w:eastAsia="Times New Roman"/>
          <w:i/>
          <w:iCs/>
          <w:color w:val="000000"/>
          <w:sz w:val="20"/>
          <w:szCs w:val="20"/>
        </w:rPr>
        <w:t xml:space="preserve">Aviation Systems: </w:t>
      </w:r>
      <w:r>
        <w:rPr>
          <w:rFonts w:eastAsia="Times New Roman"/>
          <w:color w:val="000000"/>
          <w:sz w:val="20"/>
          <w:szCs w:val="20"/>
        </w:rPr>
        <w:t>Aviation Systems</w:t>
      </w:r>
      <w:r>
        <w:rPr>
          <w:rFonts w:eastAsia="Times New Roman"/>
          <w:color w:val="000000"/>
          <w:sz w:val="20"/>
          <w:szCs w:val="20"/>
        </w:rPr>
        <w:t xml:space="preserve"> revenue is primarily derived from fixed-price contracts and is generally recognized at the point in time when products are received and accepted by the customer for standard products offered to multiple customers and over time for customer-specific produc</w:t>
      </w:r>
      <w:r>
        <w:rPr>
          <w:rFonts w:eastAsia="Times New Roman"/>
          <w:color w:val="000000"/>
          <w:sz w:val="20"/>
          <w:szCs w:val="20"/>
        </w:rPr>
        <w:t xml:space="preserve">ts, systems and services. </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7"/>
        <w:gridCol w:w="120"/>
        <w:gridCol w:w="896"/>
        <w:gridCol w:w="36"/>
        <w:gridCol w:w="36"/>
        <w:gridCol w:w="36"/>
        <w:gridCol w:w="36"/>
        <w:gridCol w:w="121"/>
        <w:gridCol w:w="853"/>
        <w:gridCol w:w="36"/>
        <w:gridCol w:w="36"/>
        <w:gridCol w:w="36"/>
        <w:gridCol w:w="36"/>
        <w:gridCol w:w="120"/>
        <w:gridCol w:w="853"/>
        <w:gridCol w:w="36"/>
        <w:gridCol w:w="36"/>
        <w:gridCol w:w="36"/>
        <w:gridCol w:w="36"/>
        <w:gridCol w:w="120"/>
        <w:gridCol w:w="853"/>
        <w:gridCol w:w="36"/>
      </w:tblGrid>
      <w:tr w:rsidR="00000000" w14:paraId="4C26F885" w14:textId="77777777">
        <w:trPr>
          <w:divId w:val="71894951"/>
        </w:trPr>
        <w:tc>
          <w:tcPr>
            <w:tcW w:w="50" w:type="pct"/>
            <w:vAlign w:val="center"/>
            <w:hideMark/>
          </w:tcPr>
          <w:p w14:paraId="7E97441A" w14:textId="77777777" w:rsidR="00000000" w:rsidRDefault="001A570A">
            <w:pPr>
              <w:ind w:firstLine="450"/>
              <w:rPr>
                <w:rFonts w:eastAsia="Times New Roman"/>
              </w:rPr>
            </w:pPr>
          </w:p>
        </w:tc>
        <w:tc>
          <w:tcPr>
            <w:tcW w:w="2337" w:type="pct"/>
            <w:vAlign w:val="center"/>
            <w:hideMark/>
          </w:tcPr>
          <w:p w14:paraId="0C1CA03F" w14:textId="77777777" w:rsidR="00000000" w:rsidRDefault="001A570A">
            <w:pPr>
              <w:rPr>
                <w:rFonts w:eastAsia="Times New Roman"/>
                <w:sz w:val="20"/>
                <w:szCs w:val="20"/>
              </w:rPr>
            </w:pPr>
          </w:p>
        </w:tc>
        <w:tc>
          <w:tcPr>
            <w:tcW w:w="5" w:type="pct"/>
            <w:vAlign w:val="center"/>
            <w:hideMark/>
          </w:tcPr>
          <w:p w14:paraId="413C3BAC" w14:textId="77777777" w:rsidR="00000000" w:rsidRDefault="001A570A">
            <w:pPr>
              <w:rPr>
                <w:rFonts w:eastAsia="Times New Roman"/>
                <w:sz w:val="20"/>
                <w:szCs w:val="20"/>
              </w:rPr>
            </w:pPr>
          </w:p>
        </w:tc>
        <w:tc>
          <w:tcPr>
            <w:tcW w:w="50" w:type="pct"/>
            <w:vAlign w:val="center"/>
            <w:hideMark/>
          </w:tcPr>
          <w:p w14:paraId="3ECA0476" w14:textId="77777777" w:rsidR="00000000" w:rsidRDefault="001A570A">
            <w:pPr>
              <w:rPr>
                <w:rFonts w:eastAsia="Times New Roman"/>
                <w:sz w:val="20"/>
                <w:szCs w:val="20"/>
              </w:rPr>
            </w:pPr>
          </w:p>
        </w:tc>
        <w:tc>
          <w:tcPr>
            <w:tcW w:w="570" w:type="pct"/>
            <w:vAlign w:val="center"/>
            <w:hideMark/>
          </w:tcPr>
          <w:p w14:paraId="6719E793" w14:textId="77777777" w:rsidR="00000000" w:rsidRDefault="001A570A">
            <w:pPr>
              <w:rPr>
                <w:rFonts w:eastAsia="Times New Roman"/>
                <w:sz w:val="20"/>
                <w:szCs w:val="20"/>
              </w:rPr>
            </w:pPr>
          </w:p>
        </w:tc>
        <w:tc>
          <w:tcPr>
            <w:tcW w:w="5" w:type="pct"/>
            <w:vAlign w:val="center"/>
            <w:hideMark/>
          </w:tcPr>
          <w:p w14:paraId="67D5E1E5" w14:textId="77777777" w:rsidR="00000000" w:rsidRDefault="001A570A">
            <w:pPr>
              <w:rPr>
                <w:rFonts w:eastAsia="Times New Roman"/>
                <w:sz w:val="20"/>
                <w:szCs w:val="20"/>
              </w:rPr>
            </w:pPr>
          </w:p>
        </w:tc>
        <w:tc>
          <w:tcPr>
            <w:tcW w:w="5" w:type="pct"/>
            <w:vAlign w:val="center"/>
            <w:hideMark/>
          </w:tcPr>
          <w:p w14:paraId="1347F2D3" w14:textId="77777777" w:rsidR="00000000" w:rsidRDefault="001A570A">
            <w:pPr>
              <w:rPr>
                <w:rFonts w:eastAsia="Times New Roman"/>
                <w:sz w:val="20"/>
                <w:szCs w:val="20"/>
              </w:rPr>
            </w:pPr>
          </w:p>
        </w:tc>
        <w:tc>
          <w:tcPr>
            <w:tcW w:w="25" w:type="pct"/>
            <w:vAlign w:val="center"/>
            <w:hideMark/>
          </w:tcPr>
          <w:p w14:paraId="4A3B39F4" w14:textId="77777777" w:rsidR="00000000" w:rsidRDefault="001A570A">
            <w:pPr>
              <w:rPr>
                <w:rFonts w:eastAsia="Times New Roman"/>
                <w:sz w:val="20"/>
                <w:szCs w:val="20"/>
              </w:rPr>
            </w:pPr>
          </w:p>
        </w:tc>
        <w:tc>
          <w:tcPr>
            <w:tcW w:w="5" w:type="pct"/>
            <w:vAlign w:val="center"/>
            <w:hideMark/>
          </w:tcPr>
          <w:p w14:paraId="5D2B3369" w14:textId="77777777" w:rsidR="00000000" w:rsidRDefault="001A570A">
            <w:pPr>
              <w:rPr>
                <w:rFonts w:eastAsia="Times New Roman"/>
                <w:sz w:val="20"/>
                <w:szCs w:val="20"/>
              </w:rPr>
            </w:pPr>
          </w:p>
        </w:tc>
        <w:tc>
          <w:tcPr>
            <w:tcW w:w="50" w:type="pct"/>
            <w:vAlign w:val="center"/>
            <w:hideMark/>
          </w:tcPr>
          <w:p w14:paraId="5D6020F4" w14:textId="77777777" w:rsidR="00000000" w:rsidRDefault="001A570A">
            <w:pPr>
              <w:rPr>
                <w:rFonts w:eastAsia="Times New Roman"/>
                <w:sz w:val="20"/>
                <w:szCs w:val="20"/>
              </w:rPr>
            </w:pPr>
          </w:p>
        </w:tc>
        <w:tc>
          <w:tcPr>
            <w:tcW w:w="570" w:type="pct"/>
            <w:vAlign w:val="center"/>
            <w:hideMark/>
          </w:tcPr>
          <w:p w14:paraId="4BDD1A5D" w14:textId="77777777" w:rsidR="00000000" w:rsidRDefault="001A570A">
            <w:pPr>
              <w:rPr>
                <w:rFonts w:eastAsia="Times New Roman"/>
                <w:sz w:val="20"/>
                <w:szCs w:val="20"/>
              </w:rPr>
            </w:pPr>
          </w:p>
        </w:tc>
        <w:tc>
          <w:tcPr>
            <w:tcW w:w="5" w:type="pct"/>
            <w:vAlign w:val="center"/>
            <w:hideMark/>
          </w:tcPr>
          <w:p w14:paraId="7C4946EF" w14:textId="77777777" w:rsidR="00000000" w:rsidRDefault="001A570A">
            <w:pPr>
              <w:rPr>
                <w:rFonts w:eastAsia="Times New Roman"/>
                <w:sz w:val="20"/>
                <w:szCs w:val="20"/>
              </w:rPr>
            </w:pPr>
          </w:p>
        </w:tc>
        <w:tc>
          <w:tcPr>
            <w:tcW w:w="5" w:type="pct"/>
            <w:vAlign w:val="center"/>
            <w:hideMark/>
          </w:tcPr>
          <w:p w14:paraId="22334745" w14:textId="77777777" w:rsidR="00000000" w:rsidRDefault="001A570A">
            <w:pPr>
              <w:rPr>
                <w:rFonts w:eastAsia="Times New Roman"/>
                <w:sz w:val="20"/>
                <w:szCs w:val="20"/>
              </w:rPr>
            </w:pPr>
          </w:p>
        </w:tc>
        <w:tc>
          <w:tcPr>
            <w:tcW w:w="25" w:type="pct"/>
            <w:vAlign w:val="center"/>
            <w:hideMark/>
          </w:tcPr>
          <w:p w14:paraId="2441F311" w14:textId="77777777" w:rsidR="00000000" w:rsidRDefault="001A570A">
            <w:pPr>
              <w:rPr>
                <w:rFonts w:eastAsia="Times New Roman"/>
                <w:sz w:val="20"/>
                <w:szCs w:val="20"/>
              </w:rPr>
            </w:pPr>
          </w:p>
        </w:tc>
        <w:tc>
          <w:tcPr>
            <w:tcW w:w="5" w:type="pct"/>
            <w:vAlign w:val="center"/>
            <w:hideMark/>
          </w:tcPr>
          <w:p w14:paraId="11169437" w14:textId="77777777" w:rsidR="00000000" w:rsidRDefault="001A570A">
            <w:pPr>
              <w:rPr>
                <w:rFonts w:eastAsia="Times New Roman"/>
                <w:sz w:val="20"/>
                <w:szCs w:val="20"/>
              </w:rPr>
            </w:pPr>
          </w:p>
        </w:tc>
        <w:tc>
          <w:tcPr>
            <w:tcW w:w="50" w:type="pct"/>
            <w:vAlign w:val="center"/>
            <w:hideMark/>
          </w:tcPr>
          <w:p w14:paraId="2A40CEEF" w14:textId="77777777" w:rsidR="00000000" w:rsidRDefault="001A570A">
            <w:pPr>
              <w:rPr>
                <w:rFonts w:eastAsia="Times New Roman"/>
                <w:sz w:val="20"/>
                <w:szCs w:val="20"/>
              </w:rPr>
            </w:pPr>
          </w:p>
        </w:tc>
        <w:tc>
          <w:tcPr>
            <w:tcW w:w="570" w:type="pct"/>
            <w:vAlign w:val="center"/>
            <w:hideMark/>
          </w:tcPr>
          <w:p w14:paraId="134F6F35" w14:textId="77777777" w:rsidR="00000000" w:rsidRDefault="001A570A">
            <w:pPr>
              <w:rPr>
                <w:rFonts w:eastAsia="Times New Roman"/>
                <w:sz w:val="20"/>
                <w:szCs w:val="20"/>
              </w:rPr>
            </w:pPr>
          </w:p>
        </w:tc>
        <w:tc>
          <w:tcPr>
            <w:tcW w:w="5" w:type="pct"/>
            <w:vAlign w:val="center"/>
            <w:hideMark/>
          </w:tcPr>
          <w:p w14:paraId="696A098F" w14:textId="77777777" w:rsidR="00000000" w:rsidRDefault="001A570A">
            <w:pPr>
              <w:rPr>
                <w:rFonts w:eastAsia="Times New Roman"/>
                <w:sz w:val="20"/>
                <w:szCs w:val="20"/>
              </w:rPr>
            </w:pPr>
          </w:p>
        </w:tc>
        <w:tc>
          <w:tcPr>
            <w:tcW w:w="5" w:type="pct"/>
            <w:vAlign w:val="center"/>
            <w:hideMark/>
          </w:tcPr>
          <w:p w14:paraId="23FDB3D4" w14:textId="77777777" w:rsidR="00000000" w:rsidRDefault="001A570A">
            <w:pPr>
              <w:rPr>
                <w:rFonts w:eastAsia="Times New Roman"/>
                <w:sz w:val="20"/>
                <w:szCs w:val="20"/>
              </w:rPr>
            </w:pPr>
          </w:p>
        </w:tc>
        <w:tc>
          <w:tcPr>
            <w:tcW w:w="25" w:type="pct"/>
            <w:vAlign w:val="center"/>
            <w:hideMark/>
          </w:tcPr>
          <w:p w14:paraId="56E88FAD" w14:textId="77777777" w:rsidR="00000000" w:rsidRDefault="001A570A">
            <w:pPr>
              <w:rPr>
                <w:rFonts w:eastAsia="Times New Roman"/>
                <w:sz w:val="20"/>
                <w:szCs w:val="20"/>
              </w:rPr>
            </w:pPr>
          </w:p>
        </w:tc>
        <w:tc>
          <w:tcPr>
            <w:tcW w:w="5" w:type="pct"/>
            <w:vAlign w:val="center"/>
            <w:hideMark/>
          </w:tcPr>
          <w:p w14:paraId="32DCBA83" w14:textId="77777777" w:rsidR="00000000" w:rsidRDefault="001A570A">
            <w:pPr>
              <w:rPr>
                <w:rFonts w:eastAsia="Times New Roman"/>
                <w:sz w:val="20"/>
                <w:szCs w:val="20"/>
              </w:rPr>
            </w:pPr>
          </w:p>
        </w:tc>
        <w:tc>
          <w:tcPr>
            <w:tcW w:w="50" w:type="pct"/>
            <w:vAlign w:val="center"/>
            <w:hideMark/>
          </w:tcPr>
          <w:p w14:paraId="58EC0530" w14:textId="77777777" w:rsidR="00000000" w:rsidRDefault="001A570A">
            <w:pPr>
              <w:rPr>
                <w:rFonts w:eastAsia="Times New Roman"/>
                <w:sz w:val="20"/>
                <w:szCs w:val="20"/>
              </w:rPr>
            </w:pPr>
          </w:p>
        </w:tc>
        <w:tc>
          <w:tcPr>
            <w:tcW w:w="570" w:type="pct"/>
            <w:vAlign w:val="center"/>
            <w:hideMark/>
          </w:tcPr>
          <w:p w14:paraId="718FD4DB" w14:textId="77777777" w:rsidR="00000000" w:rsidRDefault="001A570A">
            <w:pPr>
              <w:rPr>
                <w:rFonts w:eastAsia="Times New Roman"/>
                <w:sz w:val="20"/>
                <w:szCs w:val="20"/>
              </w:rPr>
            </w:pPr>
          </w:p>
        </w:tc>
        <w:tc>
          <w:tcPr>
            <w:tcW w:w="5" w:type="pct"/>
            <w:vAlign w:val="center"/>
            <w:hideMark/>
          </w:tcPr>
          <w:p w14:paraId="35E5CE45" w14:textId="77777777" w:rsidR="00000000" w:rsidRDefault="001A570A">
            <w:pPr>
              <w:rPr>
                <w:rFonts w:eastAsia="Times New Roman"/>
                <w:sz w:val="20"/>
                <w:szCs w:val="20"/>
              </w:rPr>
            </w:pPr>
          </w:p>
        </w:tc>
      </w:tr>
      <w:tr w:rsidR="00000000" w14:paraId="7483A533" w14:textId="77777777">
        <w:trPr>
          <w:divId w:val="71894951"/>
        </w:trPr>
        <w:tc>
          <w:tcPr>
            <w:tcW w:w="0" w:type="auto"/>
            <w:gridSpan w:val="3"/>
            <w:tcMar>
              <w:top w:w="0" w:type="dxa"/>
              <w:left w:w="20" w:type="dxa"/>
              <w:bottom w:w="0" w:type="dxa"/>
              <w:right w:w="20" w:type="dxa"/>
            </w:tcMar>
            <w:vAlign w:val="center"/>
            <w:hideMark/>
          </w:tcPr>
          <w:p w14:paraId="0E18DCC9"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ADAD605"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68517733"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1856C342"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538D8BC0"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7837173E"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FB8E210" w14:textId="77777777">
        <w:trPr>
          <w:divId w:val="71894951"/>
        </w:trPr>
        <w:tc>
          <w:tcPr>
            <w:tcW w:w="0" w:type="auto"/>
            <w:gridSpan w:val="3"/>
            <w:tcMar>
              <w:top w:w="30" w:type="dxa"/>
              <w:left w:w="20" w:type="dxa"/>
              <w:bottom w:w="30" w:type="dxa"/>
              <w:right w:w="20" w:type="dxa"/>
            </w:tcMar>
            <w:vAlign w:val="bottom"/>
            <w:hideMark/>
          </w:tcPr>
          <w:p w14:paraId="79658325"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66518C1"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F7376C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9FD7B9"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3E23DFF3"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533DFB"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717D6B58"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8C12C4" w14:textId="77777777" w:rsidR="00000000" w:rsidRDefault="001A570A">
            <w:pPr>
              <w:jc w:val="center"/>
              <w:rPr>
                <w:rFonts w:eastAsia="Times New Roman"/>
              </w:rPr>
            </w:pPr>
            <w:r>
              <w:rPr>
                <w:rFonts w:eastAsia="Times New Roman"/>
                <w:b/>
                <w:bCs/>
                <w:color w:val="000000"/>
                <w:sz w:val="16"/>
                <w:szCs w:val="16"/>
              </w:rPr>
              <w:t>June 29, 2018</w:t>
            </w:r>
          </w:p>
        </w:tc>
      </w:tr>
      <w:tr w:rsidR="00000000" w14:paraId="1A14EE93" w14:textId="77777777">
        <w:trPr>
          <w:divId w:val="71894951"/>
          <w:trHeight w:val="60"/>
        </w:trPr>
        <w:tc>
          <w:tcPr>
            <w:tcW w:w="0" w:type="auto"/>
            <w:gridSpan w:val="3"/>
            <w:tcMar>
              <w:top w:w="0" w:type="dxa"/>
              <w:left w:w="20" w:type="dxa"/>
              <w:bottom w:w="0" w:type="dxa"/>
              <w:right w:w="20" w:type="dxa"/>
            </w:tcMar>
            <w:vAlign w:val="center"/>
            <w:hideMark/>
          </w:tcPr>
          <w:p w14:paraId="52C55933"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7FBEE1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6EAC0A7"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ED92B8"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32284B2"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49710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28348D4"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8DDAEF" w14:textId="77777777" w:rsidR="00000000" w:rsidRDefault="001A570A">
            <w:pPr>
              <w:rPr>
                <w:rFonts w:eastAsia="Times New Roman"/>
                <w:sz w:val="20"/>
                <w:szCs w:val="20"/>
              </w:rPr>
            </w:pPr>
          </w:p>
        </w:tc>
      </w:tr>
      <w:tr w:rsidR="00000000" w14:paraId="1C54E94F" w14:textId="77777777">
        <w:trPr>
          <w:divId w:val="71894951"/>
        </w:trPr>
        <w:tc>
          <w:tcPr>
            <w:tcW w:w="0" w:type="auto"/>
            <w:gridSpan w:val="3"/>
            <w:shd w:val="clear" w:color="auto" w:fill="CCEEFF"/>
            <w:tcMar>
              <w:top w:w="30" w:type="dxa"/>
              <w:left w:w="20" w:type="dxa"/>
              <w:bottom w:w="30" w:type="dxa"/>
              <w:right w:w="20" w:type="dxa"/>
            </w:tcMar>
            <w:vAlign w:val="bottom"/>
            <w:hideMark/>
          </w:tcPr>
          <w:p w14:paraId="30113886" w14:textId="77777777" w:rsidR="00000000" w:rsidRDefault="001A570A">
            <w:pPr>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14:paraId="1FB22C39"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73B6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8DECA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BD8D0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D819C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612DFA"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D8504" w14:textId="77777777" w:rsidR="00000000" w:rsidRDefault="001A570A">
            <w:pPr>
              <w:rPr>
                <w:rFonts w:eastAsia="Times New Roman"/>
                <w:sz w:val="20"/>
                <w:szCs w:val="20"/>
              </w:rPr>
            </w:pPr>
          </w:p>
        </w:tc>
      </w:tr>
      <w:tr w:rsidR="00000000" w14:paraId="1C17FA55" w14:textId="77777777">
        <w:trPr>
          <w:divId w:val="71894951"/>
        </w:trPr>
        <w:tc>
          <w:tcPr>
            <w:tcW w:w="0" w:type="auto"/>
            <w:gridSpan w:val="3"/>
            <w:shd w:val="clear" w:color="auto" w:fill="FFFFFF"/>
            <w:tcMar>
              <w:top w:w="30" w:type="dxa"/>
              <w:left w:w="20" w:type="dxa"/>
              <w:bottom w:w="30" w:type="dxa"/>
              <w:right w:w="20" w:type="dxa"/>
            </w:tcMar>
            <w:vAlign w:val="bottom"/>
            <w:hideMark/>
          </w:tcPr>
          <w:p w14:paraId="0087431C" w14:textId="77777777" w:rsidR="00000000" w:rsidRDefault="001A570A">
            <w:pPr>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14:paraId="6026409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89D720" w14:textId="77777777" w:rsidR="00000000" w:rsidRDefault="001A570A">
            <w:pPr>
              <w:jc w:val="right"/>
              <w:rPr>
                <w:rFonts w:eastAsia="Times New Roman"/>
              </w:rPr>
            </w:pPr>
            <w:r>
              <w:rPr>
                <w:rFonts w:eastAsia="Times New Roman"/>
                <w:color w:val="000000"/>
                <w:sz w:val="20"/>
                <w:szCs w:val="20"/>
              </w:rPr>
              <w:t>2,258 </w:t>
            </w:r>
          </w:p>
        </w:tc>
        <w:tc>
          <w:tcPr>
            <w:tcW w:w="0" w:type="auto"/>
            <w:shd w:val="clear" w:color="auto" w:fill="FFFFFF"/>
            <w:tcMar>
              <w:top w:w="30" w:type="dxa"/>
              <w:left w:w="0" w:type="dxa"/>
              <w:bottom w:w="30" w:type="dxa"/>
              <w:right w:w="20" w:type="dxa"/>
            </w:tcMar>
            <w:vAlign w:val="bottom"/>
            <w:hideMark/>
          </w:tcPr>
          <w:p w14:paraId="610EB0E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481C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147C0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E7CBC0" w14:textId="77777777" w:rsidR="00000000" w:rsidRDefault="001A570A">
            <w:pPr>
              <w:jc w:val="right"/>
              <w:rPr>
                <w:rFonts w:eastAsia="Times New Roman"/>
              </w:rPr>
            </w:pPr>
            <w:r>
              <w:rPr>
                <w:rFonts w:eastAsia="Times New Roman"/>
                <w:color w:val="000000"/>
                <w:sz w:val="20"/>
                <w:szCs w:val="20"/>
              </w:rPr>
              <w:t>1,246 </w:t>
            </w:r>
          </w:p>
        </w:tc>
        <w:tc>
          <w:tcPr>
            <w:tcW w:w="0" w:type="auto"/>
            <w:shd w:val="clear" w:color="auto" w:fill="FFFFFF"/>
            <w:tcMar>
              <w:top w:w="30" w:type="dxa"/>
              <w:left w:w="0" w:type="dxa"/>
              <w:bottom w:w="30" w:type="dxa"/>
              <w:right w:w="20" w:type="dxa"/>
            </w:tcMar>
            <w:vAlign w:val="bottom"/>
            <w:hideMark/>
          </w:tcPr>
          <w:p w14:paraId="5C8054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72AA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9B63B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4E302A" w14:textId="77777777" w:rsidR="00000000" w:rsidRDefault="001A570A">
            <w:pPr>
              <w:jc w:val="right"/>
              <w:rPr>
                <w:rFonts w:eastAsia="Times New Roman"/>
              </w:rPr>
            </w:pPr>
            <w:r>
              <w:rPr>
                <w:rFonts w:eastAsia="Times New Roman"/>
                <w:color w:val="000000"/>
                <w:sz w:val="20"/>
                <w:szCs w:val="20"/>
              </w:rPr>
              <w:t>654 </w:t>
            </w:r>
          </w:p>
        </w:tc>
        <w:tc>
          <w:tcPr>
            <w:tcW w:w="0" w:type="auto"/>
            <w:shd w:val="clear" w:color="auto" w:fill="FFFFFF"/>
            <w:tcMar>
              <w:top w:w="30" w:type="dxa"/>
              <w:left w:w="0" w:type="dxa"/>
              <w:bottom w:w="30" w:type="dxa"/>
              <w:right w:w="20" w:type="dxa"/>
            </w:tcMar>
            <w:vAlign w:val="bottom"/>
            <w:hideMark/>
          </w:tcPr>
          <w:p w14:paraId="719A815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FD3E5"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50DF8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9BB74C" w14:textId="77777777" w:rsidR="00000000" w:rsidRDefault="001A570A">
            <w:pPr>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14:paraId="1FD3D17A" w14:textId="77777777" w:rsidR="00000000" w:rsidRDefault="001A570A">
            <w:pPr>
              <w:jc w:val="right"/>
              <w:rPr>
                <w:rFonts w:eastAsia="Times New Roman"/>
              </w:rPr>
            </w:pPr>
          </w:p>
        </w:tc>
      </w:tr>
      <w:tr w:rsidR="00000000" w14:paraId="5E35D1C2" w14:textId="77777777">
        <w:trPr>
          <w:divId w:val="71894951"/>
        </w:trPr>
        <w:tc>
          <w:tcPr>
            <w:tcW w:w="0" w:type="auto"/>
            <w:gridSpan w:val="3"/>
            <w:shd w:val="clear" w:color="auto" w:fill="CCEEFF"/>
            <w:tcMar>
              <w:top w:w="30" w:type="dxa"/>
              <w:left w:w="20" w:type="dxa"/>
              <w:bottom w:w="30" w:type="dxa"/>
              <w:right w:w="20" w:type="dxa"/>
            </w:tcMar>
            <w:vAlign w:val="bottom"/>
            <w:hideMark/>
          </w:tcPr>
          <w:p w14:paraId="5EEB4D84" w14:textId="77777777" w:rsidR="00000000" w:rsidRDefault="001A570A">
            <w:pPr>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14:paraId="0409BB77" w14:textId="77777777" w:rsidR="00000000" w:rsidRDefault="001A570A">
            <w:pPr>
              <w:jc w:val="right"/>
              <w:rPr>
                <w:rFonts w:eastAsia="Times New Roman"/>
              </w:rPr>
            </w:pPr>
            <w:r>
              <w:rPr>
                <w:rFonts w:eastAsia="Times New Roman"/>
                <w:color w:val="000000"/>
                <w:sz w:val="20"/>
                <w:szCs w:val="20"/>
              </w:rPr>
              <w:t>1,190 </w:t>
            </w:r>
          </w:p>
        </w:tc>
        <w:tc>
          <w:tcPr>
            <w:tcW w:w="0" w:type="auto"/>
            <w:shd w:val="clear" w:color="auto" w:fill="CCEEFF"/>
            <w:tcMar>
              <w:top w:w="30" w:type="dxa"/>
              <w:left w:w="0" w:type="dxa"/>
              <w:bottom w:w="30" w:type="dxa"/>
              <w:right w:w="20" w:type="dxa"/>
            </w:tcMar>
            <w:vAlign w:val="bottom"/>
            <w:hideMark/>
          </w:tcPr>
          <w:p w14:paraId="0469770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84D9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9571F9" w14:textId="77777777" w:rsidR="00000000" w:rsidRDefault="001A570A">
            <w:pPr>
              <w:jc w:val="right"/>
              <w:rPr>
                <w:rFonts w:eastAsia="Times New Roman"/>
              </w:rPr>
            </w:pPr>
            <w:r>
              <w:rPr>
                <w:rFonts w:eastAsia="Times New Roman"/>
                <w:color w:val="000000"/>
                <w:sz w:val="20"/>
                <w:szCs w:val="20"/>
              </w:rPr>
              <w:t>792 </w:t>
            </w:r>
          </w:p>
        </w:tc>
        <w:tc>
          <w:tcPr>
            <w:tcW w:w="0" w:type="auto"/>
            <w:shd w:val="clear" w:color="auto" w:fill="CCEEFF"/>
            <w:tcMar>
              <w:top w:w="30" w:type="dxa"/>
              <w:left w:w="0" w:type="dxa"/>
              <w:bottom w:w="30" w:type="dxa"/>
              <w:right w:w="20" w:type="dxa"/>
            </w:tcMar>
            <w:vAlign w:val="bottom"/>
            <w:hideMark/>
          </w:tcPr>
          <w:p w14:paraId="5A42284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14A2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6596A" w14:textId="77777777" w:rsidR="00000000" w:rsidRDefault="001A570A">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64B1078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AC5F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08B113"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6B7E0FEC" w14:textId="77777777" w:rsidR="00000000" w:rsidRDefault="001A570A">
            <w:pPr>
              <w:jc w:val="right"/>
              <w:rPr>
                <w:rFonts w:eastAsia="Times New Roman"/>
              </w:rPr>
            </w:pPr>
          </w:p>
        </w:tc>
      </w:tr>
      <w:tr w:rsidR="00000000" w14:paraId="360D7252" w14:textId="77777777">
        <w:trPr>
          <w:divId w:val="71894951"/>
        </w:trPr>
        <w:tc>
          <w:tcPr>
            <w:tcW w:w="0" w:type="auto"/>
            <w:gridSpan w:val="3"/>
            <w:shd w:val="clear" w:color="auto" w:fill="FFFFFF"/>
            <w:tcMar>
              <w:top w:w="0" w:type="dxa"/>
              <w:left w:w="20" w:type="dxa"/>
              <w:bottom w:w="0" w:type="dxa"/>
              <w:right w:w="20" w:type="dxa"/>
            </w:tcMar>
            <w:vAlign w:val="center"/>
            <w:hideMark/>
          </w:tcPr>
          <w:p w14:paraId="51BCF796"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7315D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1A164D" w14:textId="77777777" w:rsidR="00000000" w:rsidRDefault="001A570A">
            <w:pPr>
              <w:jc w:val="right"/>
              <w:rPr>
                <w:rFonts w:eastAsia="Times New Roman"/>
              </w:rPr>
            </w:pPr>
            <w:r>
              <w:rPr>
                <w:rFonts w:eastAsia="Times New Roman"/>
                <w:color w:val="000000"/>
                <w:sz w:val="20"/>
                <w:szCs w:val="20"/>
              </w:rPr>
              <w:t>3,448 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D6541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531E7"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38373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AA4F8E" w14:textId="77777777" w:rsidR="00000000" w:rsidRDefault="001A570A">
            <w:pPr>
              <w:jc w:val="right"/>
              <w:rPr>
                <w:rFonts w:eastAsia="Times New Roman"/>
              </w:rPr>
            </w:pPr>
            <w:r>
              <w:rPr>
                <w:rFonts w:eastAsia="Times New Roman"/>
                <w:color w:val="000000"/>
                <w:sz w:val="20"/>
                <w:szCs w:val="20"/>
              </w:rPr>
              <w:t>2,038 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BAE4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F6EAF"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76395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83A67C" w14:textId="77777777" w:rsidR="00000000" w:rsidRDefault="001A570A">
            <w:pPr>
              <w:jc w:val="right"/>
              <w:rPr>
                <w:rFonts w:eastAsia="Times New Roman"/>
              </w:rPr>
            </w:pPr>
            <w:r>
              <w:rPr>
                <w:rFonts w:eastAsia="Times New Roman"/>
                <w:color w:val="000000"/>
                <w:sz w:val="20"/>
                <w:szCs w:val="20"/>
              </w:rPr>
              <w:t>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96CCF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3267B"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282058"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6D7368" w14:textId="77777777" w:rsidR="00000000" w:rsidRDefault="001A570A">
            <w:pPr>
              <w:jc w:val="right"/>
              <w:rPr>
                <w:rFonts w:eastAsia="Times New Roman"/>
              </w:rPr>
            </w:pPr>
            <w:r>
              <w:rPr>
                <w:rFonts w:eastAsia="Times New Roman"/>
                <w:color w:val="000000"/>
                <w:sz w:val="20"/>
                <w:szCs w:val="20"/>
              </w:rPr>
              <w:t>668 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F159C4" w14:textId="77777777" w:rsidR="00000000" w:rsidRDefault="001A570A">
            <w:pPr>
              <w:jc w:val="right"/>
              <w:rPr>
                <w:rFonts w:eastAsia="Times New Roman"/>
              </w:rPr>
            </w:pPr>
          </w:p>
        </w:tc>
      </w:tr>
      <w:tr w:rsidR="00000000" w14:paraId="611EB025" w14:textId="77777777">
        <w:trPr>
          <w:divId w:val="71894951"/>
        </w:trPr>
        <w:tc>
          <w:tcPr>
            <w:tcW w:w="0" w:type="auto"/>
            <w:gridSpan w:val="3"/>
            <w:shd w:val="clear" w:color="auto" w:fill="CCEEFF"/>
            <w:tcMar>
              <w:top w:w="30" w:type="dxa"/>
              <w:left w:w="20" w:type="dxa"/>
              <w:bottom w:w="30" w:type="dxa"/>
              <w:right w:w="20" w:type="dxa"/>
            </w:tcMar>
            <w:vAlign w:val="bottom"/>
            <w:hideMark/>
          </w:tcPr>
          <w:p w14:paraId="3CE77D85" w14:textId="77777777" w:rsidR="00000000" w:rsidRDefault="001A570A">
            <w:pPr>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C726F8"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EAECA"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F46C2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5D5CF"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481E2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BA4BC3"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F94025" w14:textId="77777777" w:rsidR="00000000" w:rsidRDefault="001A570A">
            <w:pPr>
              <w:rPr>
                <w:rFonts w:eastAsia="Times New Roman"/>
                <w:sz w:val="20"/>
                <w:szCs w:val="20"/>
              </w:rPr>
            </w:pPr>
          </w:p>
        </w:tc>
      </w:tr>
      <w:tr w:rsidR="00000000" w14:paraId="5D75474D" w14:textId="77777777">
        <w:trPr>
          <w:divId w:val="71894951"/>
        </w:trPr>
        <w:tc>
          <w:tcPr>
            <w:tcW w:w="0" w:type="auto"/>
            <w:gridSpan w:val="3"/>
            <w:shd w:val="clear" w:color="auto" w:fill="FFFFFF"/>
            <w:tcMar>
              <w:top w:w="30" w:type="dxa"/>
              <w:left w:w="20" w:type="dxa"/>
              <w:bottom w:w="30" w:type="dxa"/>
              <w:right w:w="20" w:type="dxa"/>
            </w:tcMar>
            <w:vAlign w:val="bottom"/>
            <w:hideMark/>
          </w:tcPr>
          <w:p w14:paraId="71585A13" w14:textId="77777777" w:rsidR="00000000" w:rsidRDefault="001A570A">
            <w:pPr>
              <w:divId w:val="781799080"/>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6584748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78238F" w14:textId="77777777" w:rsidR="00000000" w:rsidRDefault="001A570A">
            <w:pPr>
              <w:jc w:val="right"/>
              <w:rPr>
                <w:rFonts w:eastAsia="Times New Roman"/>
              </w:rPr>
            </w:pPr>
            <w:r>
              <w:rPr>
                <w:rFonts w:eastAsia="Times New Roman"/>
                <w:color w:val="000000"/>
                <w:sz w:val="20"/>
                <w:szCs w:val="20"/>
              </w:rPr>
              <w:t>2,809 </w:t>
            </w:r>
          </w:p>
        </w:tc>
        <w:tc>
          <w:tcPr>
            <w:tcW w:w="0" w:type="auto"/>
            <w:shd w:val="clear" w:color="auto" w:fill="FFFFFF"/>
            <w:tcMar>
              <w:top w:w="30" w:type="dxa"/>
              <w:left w:w="0" w:type="dxa"/>
              <w:bottom w:w="30" w:type="dxa"/>
              <w:right w:w="20" w:type="dxa"/>
            </w:tcMar>
            <w:vAlign w:val="bottom"/>
            <w:hideMark/>
          </w:tcPr>
          <w:p w14:paraId="0CF8F2BA"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491E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DD2315"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9794E7" w14:textId="77777777" w:rsidR="00000000" w:rsidRDefault="001A570A">
            <w:pPr>
              <w:jc w:val="right"/>
              <w:rPr>
                <w:rFonts w:eastAsia="Times New Roman"/>
              </w:rPr>
            </w:pPr>
            <w:r>
              <w:rPr>
                <w:rFonts w:eastAsia="Times New Roman"/>
                <w:color w:val="000000"/>
                <w:sz w:val="20"/>
                <w:szCs w:val="20"/>
              </w:rPr>
              <w:t>1,688 </w:t>
            </w:r>
          </w:p>
        </w:tc>
        <w:tc>
          <w:tcPr>
            <w:tcW w:w="0" w:type="auto"/>
            <w:shd w:val="clear" w:color="auto" w:fill="FFFFFF"/>
            <w:tcMar>
              <w:top w:w="30" w:type="dxa"/>
              <w:left w:w="0" w:type="dxa"/>
              <w:bottom w:w="30" w:type="dxa"/>
              <w:right w:w="20" w:type="dxa"/>
            </w:tcMar>
            <w:vAlign w:val="bottom"/>
            <w:hideMark/>
          </w:tcPr>
          <w:p w14:paraId="6938253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81A1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0D311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21A95B" w14:textId="77777777" w:rsidR="00000000" w:rsidRDefault="001A570A">
            <w:pPr>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14:paraId="656AEC0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D14C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428FB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8FA078" w14:textId="77777777" w:rsidR="00000000" w:rsidRDefault="001A570A">
            <w:pPr>
              <w:jc w:val="right"/>
              <w:rPr>
                <w:rFonts w:eastAsia="Times New Roman"/>
              </w:rPr>
            </w:pPr>
            <w:r>
              <w:rPr>
                <w:rFonts w:eastAsia="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14:paraId="2C0BD84A" w14:textId="77777777" w:rsidR="00000000" w:rsidRDefault="001A570A">
            <w:pPr>
              <w:jc w:val="right"/>
              <w:rPr>
                <w:rFonts w:eastAsia="Times New Roman"/>
              </w:rPr>
            </w:pPr>
          </w:p>
        </w:tc>
      </w:tr>
      <w:tr w:rsidR="00000000" w14:paraId="17A0F0FF" w14:textId="77777777">
        <w:trPr>
          <w:divId w:val="71894951"/>
        </w:trPr>
        <w:tc>
          <w:tcPr>
            <w:tcW w:w="0" w:type="auto"/>
            <w:gridSpan w:val="3"/>
            <w:shd w:val="clear" w:color="auto" w:fill="CCEEFF"/>
            <w:tcMar>
              <w:top w:w="30" w:type="dxa"/>
              <w:left w:w="20" w:type="dxa"/>
              <w:bottom w:w="30" w:type="dxa"/>
              <w:right w:w="20" w:type="dxa"/>
            </w:tcMar>
            <w:vAlign w:val="bottom"/>
            <w:hideMark/>
          </w:tcPr>
          <w:p w14:paraId="773D4C8E" w14:textId="77777777" w:rsidR="00000000" w:rsidRDefault="001A570A">
            <w:pPr>
              <w:rPr>
                <w:rFonts w:eastAsia="Times New Roman"/>
              </w:rPr>
            </w:pPr>
            <w:r>
              <w:rPr>
                <w:rFonts w:eastAsia="Times New Roman"/>
                <w:color w:val="000000"/>
                <w:sz w:val="20"/>
                <w:szCs w:val="20"/>
              </w:rPr>
              <w:t>Cost-reimbursable</w:t>
            </w:r>
          </w:p>
        </w:tc>
        <w:tc>
          <w:tcPr>
            <w:tcW w:w="0" w:type="auto"/>
            <w:gridSpan w:val="2"/>
            <w:shd w:val="clear" w:color="auto" w:fill="CCEEFF"/>
            <w:tcMar>
              <w:top w:w="30" w:type="dxa"/>
              <w:left w:w="20" w:type="dxa"/>
              <w:bottom w:w="30" w:type="dxa"/>
              <w:right w:w="0" w:type="dxa"/>
            </w:tcMar>
            <w:vAlign w:val="bottom"/>
            <w:hideMark/>
          </w:tcPr>
          <w:p w14:paraId="05AEDFE5" w14:textId="77777777" w:rsidR="00000000" w:rsidRDefault="001A570A">
            <w:pPr>
              <w:jc w:val="right"/>
              <w:rPr>
                <w:rFonts w:eastAsia="Times New Roman"/>
              </w:rPr>
            </w:pPr>
            <w:r>
              <w:rPr>
                <w:rFonts w:eastAsia="Times New Roman"/>
                <w:color w:val="000000"/>
                <w:sz w:val="20"/>
                <w:szCs w:val="20"/>
              </w:rPr>
              <w:t>639 </w:t>
            </w:r>
          </w:p>
        </w:tc>
        <w:tc>
          <w:tcPr>
            <w:tcW w:w="0" w:type="auto"/>
            <w:shd w:val="clear" w:color="auto" w:fill="CCEEFF"/>
            <w:tcMar>
              <w:top w:w="30" w:type="dxa"/>
              <w:left w:w="0" w:type="dxa"/>
              <w:bottom w:w="30" w:type="dxa"/>
              <w:right w:w="20" w:type="dxa"/>
            </w:tcMar>
            <w:vAlign w:val="bottom"/>
            <w:hideMark/>
          </w:tcPr>
          <w:p w14:paraId="20D014D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CE60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19DE5" w14:textId="77777777" w:rsidR="00000000" w:rsidRDefault="001A570A">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1AA31DA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46F3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1CA1D8" w14:textId="77777777" w:rsidR="00000000" w:rsidRDefault="001A570A">
            <w:pPr>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4479D3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AB35B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88F0A" w14:textId="77777777" w:rsidR="00000000" w:rsidRDefault="001A570A">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14:paraId="7BD43923" w14:textId="77777777" w:rsidR="00000000" w:rsidRDefault="001A570A">
            <w:pPr>
              <w:jc w:val="right"/>
              <w:rPr>
                <w:rFonts w:eastAsia="Times New Roman"/>
              </w:rPr>
            </w:pPr>
          </w:p>
        </w:tc>
      </w:tr>
      <w:tr w:rsidR="00000000" w14:paraId="462BA675" w14:textId="77777777">
        <w:trPr>
          <w:divId w:val="71894951"/>
        </w:trPr>
        <w:tc>
          <w:tcPr>
            <w:tcW w:w="0" w:type="auto"/>
            <w:gridSpan w:val="3"/>
            <w:shd w:val="clear" w:color="auto" w:fill="FFFFFF"/>
            <w:tcMar>
              <w:top w:w="0" w:type="dxa"/>
              <w:left w:w="20" w:type="dxa"/>
              <w:bottom w:w="0" w:type="dxa"/>
              <w:right w:w="20" w:type="dxa"/>
            </w:tcMar>
            <w:vAlign w:val="center"/>
            <w:hideMark/>
          </w:tcPr>
          <w:p w14:paraId="144A3517"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E36DA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F25F49" w14:textId="77777777" w:rsidR="00000000" w:rsidRDefault="001A570A">
            <w:pPr>
              <w:jc w:val="right"/>
              <w:rPr>
                <w:rFonts w:eastAsia="Times New Roman"/>
              </w:rPr>
            </w:pPr>
            <w:r>
              <w:rPr>
                <w:rFonts w:eastAsia="Times New Roman"/>
                <w:color w:val="000000"/>
                <w:sz w:val="20"/>
                <w:szCs w:val="20"/>
              </w:rPr>
              <w:t>3,448 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3E2F3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70815"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EDEE0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D2ACE3" w14:textId="77777777" w:rsidR="00000000" w:rsidRDefault="001A570A">
            <w:pPr>
              <w:jc w:val="right"/>
              <w:rPr>
                <w:rFonts w:eastAsia="Times New Roman"/>
              </w:rPr>
            </w:pPr>
            <w:r>
              <w:rPr>
                <w:rFonts w:eastAsia="Times New Roman"/>
                <w:color w:val="000000"/>
                <w:sz w:val="20"/>
                <w:szCs w:val="20"/>
              </w:rPr>
              <w:t>2,038 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3F489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1D287"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866BE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E6FF46" w14:textId="77777777" w:rsidR="00000000" w:rsidRDefault="001A570A">
            <w:pPr>
              <w:jc w:val="right"/>
              <w:rPr>
                <w:rFonts w:eastAsia="Times New Roman"/>
              </w:rPr>
            </w:pPr>
            <w:r>
              <w:rPr>
                <w:rFonts w:eastAsia="Times New Roman"/>
                <w:color w:val="000000"/>
                <w:sz w:val="20"/>
                <w:szCs w:val="20"/>
              </w:rPr>
              <w:t>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DBDF4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2294B"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C7156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8D3E07" w14:textId="77777777" w:rsidR="00000000" w:rsidRDefault="001A570A">
            <w:pPr>
              <w:jc w:val="right"/>
              <w:rPr>
                <w:rFonts w:eastAsia="Times New Roman"/>
              </w:rPr>
            </w:pPr>
            <w:r>
              <w:rPr>
                <w:rFonts w:eastAsia="Times New Roman"/>
                <w:color w:val="000000"/>
                <w:sz w:val="20"/>
                <w:szCs w:val="20"/>
              </w:rPr>
              <w:t>668 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916710" w14:textId="77777777" w:rsidR="00000000" w:rsidRDefault="001A570A">
            <w:pPr>
              <w:jc w:val="right"/>
              <w:rPr>
                <w:rFonts w:eastAsia="Times New Roman"/>
              </w:rPr>
            </w:pPr>
          </w:p>
        </w:tc>
      </w:tr>
      <w:tr w:rsidR="00000000" w14:paraId="76627F7C" w14:textId="77777777">
        <w:trPr>
          <w:divId w:val="71894951"/>
        </w:trPr>
        <w:tc>
          <w:tcPr>
            <w:tcW w:w="0" w:type="auto"/>
            <w:gridSpan w:val="3"/>
            <w:shd w:val="clear" w:color="auto" w:fill="CCEEFF"/>
            <w:tcMar>
              <w:top w:w="30" w:type="dxa"/>
              <w:left w:w="20" w:type="dxa"/>
              <w:bottom w:w="30" w:type="dxa"/>
              <w:right w:w="20" w:type="dxa"/>
            </w:tcMar>
            <w:vAlign w:val="bottom"/>
            <w:hideMark/>
          </w:tcPr>
          <w:p w14:paraId="139DA196" w14:textId="77777777" w:rsidR="00000000" w:rsidRDefault="001A570A">
            <w:pPr>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4CAB1F"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D7D83"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D4B55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3EF2D9"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F759E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40E27D"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3D9AA5" w14:textId="77777777" w:rsidR="00000000" w:rsidRDefault="001A570A">
            <w:pPr>
              <w:rPr>
                <w:rFonts w:eastAsia="Times New Roman"/>
                <w:sz w:val="20"/>
                <w:szCs w:val="20"/>
              </w:rPr>
            </w:pPr>
          </w:p>
        </w:tc>
      </w:tr>
      <w:tr w:rsidR="00000000" w14:paraId="368D6532" w14:textId="77777777">
        <w:trPr>
          <w:divId w:val="71894951"/>
        </w:trPr>
        <w:tc>
          <w:tcPr>
            <w:tcW w:w="0" w:type="auto"/>
            <w:gridSpan w:val="3"/>
            <w:shd w:val="clear" w:color="auto" w:fill="FFFFFF"/>
            <w:tcMar>
              <w:top w:w="30" w:type="dxa"/>
              <w:left w:w="20" w:type="dxa"/>
              <w:bottom w:w="30" w:type="dxa"/>
              <w:right w:w="20" w:type="dxa"/>
            </w:tcMar>
            <w:vAlign w:val="bottom"/>
            <w:hideMark/>
          </w:tcPr>
          <w:p w14:paraId="3BC1A631" w14:textId="77777777" w:rsidR="00000000" w:rsidRDefault="001A570A">
            <w:pPr>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0F11803E"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718738" w14:textId="77777777" w:rsidR="00000000" w:rsidRDefault="001A570A">
            <w:pPr>
              <w:jc w:val="right"/>
              <w:rPr>
                <w:rFonts w:eastAsia="Times New Roman"/>
              </w:rPr>
            </w:pPr>
            <w:r>
              <w:rPr>
                <w:rFonts w:eastAsia="Times New Roman"/>
                <w:color w:val="000000"/>
                <w:sz w:val="20"/>
                <w:szCs w:val="20"/>
              </w:rPr>
              <w:t>2,843 </w:t>
            </w:r>
          </w:p>
        </w:tc>
        <w:tc>
          <w:tcPr>
            <w:tcW w:w="0" w:type="auto"/>
            <w:shd w:val="clear" w:color="auto" w:fill="FFFFFF"/>
            <w:tcMar>
              <w:top w:w="30" w:type="dxa"/>
              <w:left w:w="0" w:type="dxa"/>
              <w:bottom w:w="30" w:type="dxa"/>
              <w:right w:w="20" w:type="dxa"/>
            </w:tcMar>
            <w:vAlign w:val="bottom"/>
            <w:hideMark/>
          </w:tcPr>
          <w:p w14:paraId="775D27C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B5B6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7F3A8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F5A715" w14:textId="77777777" w:rsidR="00000000" w:rsidRDefault="001A570A">
            <w:pPr>
              <w:jc w:val="right"/>
              <w:rPr>
                <w:rFonts w:eastAsia="Times New Roman"/>
              </w:rPr>
            </w:pPr>
            <w:r>
              <w:rPr>
                <w:rFonts w:eastAsia="Times New Roman"/>
                <w:color w:val="000000"/>
                <w:sz w:val="20"/>
                <w:szCs w:val="20"/>
              </w:rPr>
              <w:t>1,514 </w:t>
            </w:r>
          </w:p>
        </w:tc>
        <w:tc>
          <w:tcPr>
            <w:tcW w:w="0" w:type="auto"/>
            <w:shd w:val="clear" w:color="auto" w:fill="FFFFFF"/>
            <w:tcMar>
              <w:top w:w="30" w:type="dxa"/>
              <w:left w:w="0" w:type="dxa"/>
              <w:bottom w:w="30" w:type="dxa"/>
              <w:right w:w="20" w:type="dxa"/>
            </w:tcMar>
            <w:vAlign w:val="bottom"/>
            <w:hideMark/>
          </w:tcPr>
          <w:p w14:paraId="3517C07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0A93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A998F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5D6BA2" w14:textId="77777777" w:rsidR="00000000" w:rsidRDefault="001A570A">
            <w:pPr>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14:paraId="65F6F90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C267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1D2B9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1DA003" w14:textId="77777777" w:rsidR="00000000" w:rsidRDefault="001A570A">
            <w:pPr>
              <w:jc w:val="right"/>
              <w:rPr>
                <w:rFonts w:eastAsia="Times New Roman"/>
              </w:rPr>
            </w:pPr>
            <w:r>
              <w:rPr>
                <w:rFonts w:eastAsia="Times New Roman"/>
                <w:color w:val="000000"/>
                <w:sz w:val="20"/>
                <w:szCs w:val="20"/>
              </w:rPr>
              <w:t>627 </w:t>
            </w:r>
          </w:p>
        </w:tc>
        <w:tc>
          <w:tcPr>
            <w:tcW w:w="0" w:type="auto"/>
            <w:shd w:val="clear" w:color="auto" w:fill="FFFFFF"/>
            <w:tcMar>
              <w:top w:w="30" w:type="dxa"/>
              <w:left w:w="0" w:type="dxa"/>
              <w:bottom w:w="30" w:type="dxa"/>
              <w:right w:w="20" w:type="dxa"/>
            </w:tcMar>
            <w:vAlign w:val="bottom"/>
            <w:hideMark/>
          </w:tcPr>
          <w:p w14:paraId="5890655C" w14:textId="77777777" w:rsidR="00000000" w:rsidRDefault="001A570A">
            <w:pPr>
              <w:jc w:val="right"/>
              <w:rPr>
                <w:rFonts w:eastAsia="Times New Roman"/>
              </w:rPr>
            </w:pPr>
          </w:p>
        </w:tc>
      </w:tr>
      <w:tr w:rsidR="00000000" w14:paraId="1E35FDF0" w14:textId="77777777">
        <w:trPr>
          <w:divId w:val="71894951"/>
        </w:trPr>
        <w:tc>
          <w:tcPr>
            <w:tcW w:w="0" w:type="auto"/>
            <w:gridSpan w:val="3"/>
            <w:shd w:val="clear" w:color="auto" w:fill="CCEEFF"/>
            <w:tcMar>
              <w:top w:w="30" w:type="dxa"/>
              <w:left w:w="20" w:type="dxa"/>
              <w:bottom w:w="30" w:type="dxa"/>
              <w:right w:w="20" w:type="dxa"/>
            </w:tcMar>
            <w:vAlign w:val="bottom"/>
            <w:hideMark/>
          </w:tcPr>
          <w:p w14:paraId="697002C8" w14:textId="77777777" w:rsidR="00000000" w:rsidRDefault="001A570A">
            <w:pPr>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14:paraId="0927A7C6" w14:textId="77777777" w:rsidR="00000000" w:rsidRDefault="001A570A">
            <w:pPr>
              <w:jc w:val="right"/>
              <w:rPr>
                <w:rFonts w:eastAsia="Times New Roman"/>
              </w:rPr>
            </w:pPr>
            <w:r>
              <w:rPr>
                <w:rFonts w:eastAsia="Times New Roman"/>
                <w:color w:val="000000"/>
                <w:sz w:val="20"/>
                <w:szCs w:val="20"/>
              </w:rPr>
              <w:t>605 </w:t>
            </w:r>
          </w:p>
        </w:tc>
        <w:tc>
          <w:tcPr>
            <w:tcW w:w="0" w:type="auto"/>
            <w:shd w:val="clear" w:color="auto" w:fill="CCEEFF"/>
            <w:tcMar>
              <w:top w:w="30" w:type="dxa"/>
              <w:left w:w="0" w:type="dxa"/>
              <w:bottom w:w="30" w:type="dxa"/>
              <w:right w:w="20" w:type="dxa"/>
            </w:tcMar>
            <w:vAlign w:val="bottom"/>
            <w:hideMark/>
          </w:tcPr>
          <w:p w14:paraId="515C06BC"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B2FC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53BE3" w14:textId="77777777" w:rsidR="00000000" w:rsidRDefault="001A570A">
            <w:pPr>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14:paraId="273755B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F6C8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5328DE" w14:textId="77777777" w:rsidR="00000000" w:rsidRDefault="001A570A">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1F53C4D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306B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513BD" w14:textId="77777777" w:rsidR="00000000" w:rsidRDefault="001A570A">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19A30651" w14:textId="77777777" w:rsidR="00000000" w:rsidRDefault="001A570A">
            <w:pPr>
              <w:jc w:val="right"/>
              <w:rPr>
                <w:rFonts w:eastAsia="Times New Roman"/>
              </w:rPr>
            </w:pPr>
          </w:p>
        </w:tc>
      </w:tr>
      <w:tr w:rsidR="00000000" w14:paraId="0C9753D0" w14:textId="77777777">
        <w:trPr>
          <w:divId w:val="71894951"/>
        </w:trPr>
        <w:tc>
          <w:tcPr>
            <w:tcW w:w="0" w:type="auto"/>
            <w:gridSpan w:val="3"/>
            <w:shd w:val="clear" w:color="auto" w:fill="FFFFFF"/>
            <w:tcMar>
              <w:top w:w="0" w:type="dxa"/>
              <w:left w:w="20" w:type="dxa"/>
              <w:bottom w:w="0" w:type="dxa"/>
              <w:right w:w="20" w:type="dxa"/>
            </w:tcMar>
            <w:vAlign w:val="center"/>
            <w:hideMark/>
          </w:tcPr>
          <w:p w14:paraId="185B8F9F"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A1796B"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BBA941" w14:textId="77777777" w:rsidR="00000000" w:rsidRDefault="001A570A">
            <w:pPr>
              <w:jc w:val="right"/>
              <w:rPr>
                <w:rFonts w:eastAsia="Times New Roman"/>
              </w:rPr>
            </w:pPr>
            <w:r>
              <w:rPr>
                <w:rFonts w:eastAsia="Times New Roman"/>
                <w:color w:val="000000"/>
                <w:sz w:val="20"/>
                <w:szCs w:val="20"/>
              </w:rPr>
              <w:t>3,448 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5902F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3D49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8E647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B00B82" w14:textId="77777777" w:rsidR="00000000" w:rsidRDefault="001A570A">
            <w:pPr>
              <w:jc w:val="right"/>
              <w:rPr>
                <w:rFonts w:eastAsia="Times New Roman"/>
              </w:rPr>
            </w:pPr>
            <w:r>
              <w:rPr>
                <w:rFonts w:eastAsia="Times New Roman"/>
                <w:color w:val="000000"/>
                <w:sz w:val="20"/>
                <w:szCs w:val="20"/>
              </w:rPr>
              <w:t>2,038 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B6469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E792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39A6E7"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C4C36F" w14:textId="77777777" w:rsidR="00000000" w:rsidRDefault="001A570A">
            <w:pPr>
              <w:jc w:val="right"/>
              <w:rPr>
                <w:rFonts w:eastAsia="Times New Roman"/>
              </w:rPr>
            </w:pPr>
            <w:r>
              <w:rPr>
                <w:rFonts w:eastAsia="Times New Roman"/>
                <w:color w:val="000000"/>
                <w:sz w:val="20"/>
                <w:szCs w:val="20"/>
              </w:rPr>
              <w:t>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8A592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B3996"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2CF24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567B63" w14:textId="77777777" w:rsidR="00000000" w:rsidRDefault="001A570A">
            <w:pPr>
              <w:jc w:val="right"/>
              <w:rPr>
                <w:rFonts w:eastAsia="Times New Roman"/>
              </w:rPr>
            </w:pPr>
            <w:r>
              <w:rPr>
                <w:rFonts w:eastAsia="Times New Roman"/>
                <w:color w:val="000000"/>
                <w:sz w:val="20"/>
                <w:szCs w:val="20"/>
              </w:rPr>
              <w:t>668 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C83B4A" w14:textId="77777777" w:rsidR="00000000" w:rsidRDefault="001A570A">
            <w:pPr>
              <w:jc w:val="right"/>
              <w:rPr>
                <w:rFonts w:eastAsia="Times New Roman"/>
              </w:rPr>
            </w:pPr>
          </w:p>
        </w:tc>
      </w:tr>
    </w:tbl>
    <w:p w14:paraId="24770272" w14:textId="77777777" w:rsidR="00000000" w:rsidRDefault="001A570A">
      <w:pPr>
        <w:divId w:val="766120866"/>
        <w:rPr>
          <w:rFonts w:eastAsia="Times New Roman"/>
        </w:rPr>
      </w:pPr>
      <w:r>
        <w:rPr>
          <w:rFonts w:eastAsia="Times New Roman"/>
          <w:color w:val="000000"/>
          <w:sz w:val="16"/>
          <w:szCs w:val="16"/>
        </w:rPr>
        <w:t>______________</w:t>
      </w:r>
    </w:p>
    <w:p w14:paraId="04A58584" w14:textId="77777777" w:rsidR="00000000" w:rsidRDefault="001A570A">
      <w:pPr>
        <w:ind w:hanging="360"/>
        <w:divId w:val="801733207"/>
        <w:rPr>
          <w:rFonts w:eastAsia="Times New Roman"/>
        </w:rPr>
      </w:pPr>
      <w:r>
        <w:rPr>
          <w:rFonts w:eastAsia="Times New Roman"/>
          <w:color w:val="000000"/>
          <w:sz w:val="16"/>
          <w:szCs w:val="16"/>
        </w:rPr>
        <w:t>(1)Includes revenue deriv</w:t>
      </w:r>
      <w:r>
        <w:rPr>
          <w:rFonts w:eastAsia="Times New Roman"/>
          <w:color w:val="000000"/>
          <w:sz w:val="16"/>
          <w:szCs w:val="16"/>
        </w:rPr>
        <w:t>ed from time-and-materials contracts.</w:t>
      </w:r>
    </w:p>
    <w:p w14:paraId="5CFFD1F9" w14:textId="77777777" w:rsidR="00000000" w:rsidRDefault="001A570A">
      <w:pPr>
        <w:ind w:firstLine="450"/>
        <w:jc w:val="center"/>
        <w:divId w:val="229972680"/>
        <w:rPr>
          <w:rFonts w:eastAsia="Times New Roman"/>
        </w:rPr>
      </w:pPr>
      <w:r>
        <w:rPr>
          <w:rFonts w:eastAsia="Times New Roman"/>
          <w:color w:val="000000"/>
          <w:sz w:val="20"/>
          <w:szCs w:val="20"/>
        </w:rPr>
        <w:t>127</w:t>
      </w:r>
    </w:p>
    <w:p w14:paraId="5D272010" w14:textId="77777777" w:rsidR="00000000" w:rsidRDefault="001A570A">
      <w:pPr>
        <w:rPr>
          <w:rFonts w:eastAsia="Times New Roman"/>
        </w:rPr>
      </w:pPr>
      <w:r>
        <w:rPr>
          <w:rFonts w:eastAsia="Times New Roman"/>
        </w:rPr>
        <w:pict w14:anchorId="543E0256">
          <v:rect id="_x0000_i1155" style="width:0;height:1.5pt" o:hralign="center" o:hrstd="t" o:hr="t" fillcolor="#a0a0a0" stroked="f"/>
        </w:pict>
      </w:r>
    </w:p>
    <w:p w14:paraId="4105E126" w14:textId="77777777" w:rsidR="00000000" w:rsidRDefault="001A570A">
      <w:pPr>
        <w:ind w:firstLine="450"/>
        <w:divId w:val="1254240750"/>
        <w:rPr>
          <w:rFonts w:eastAsia="Times New Roman"/>
        </w:rPr>
      </w:pPr>
    </w:p>
    <w:p w14:paraId="199B58C2" w14:textId="77777777" w:rsidR="00000000" w:rsidRDefault="001A570A">
      <w:pPr>
        <w:ind w:firstLine="450"/>
        <w:divId w:val="599139293"/>
        <w:rPr>
          <w:rFonts w:eastAsia="Times New Roman"/>
        </w:rPr>
      </w:pPr>
      <w:r>
        <w:rPr>
          <w:rFonts w:eastAsia="Times New Roman"/>
          <w:color w:val="000000"/>
          <w:sz w:val="20"/>
          <w:szCs w:val="20"/>
        </w:rPr>
        <w:t>Total assets by business segment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983"/>
        <w:gridCol w:w="38"/>
        <w:gridCol w:w="120"/>
        <w:gridCol w:w="895"/>
        <w:gridCol w:w="36"/>
        <w:gridCol w:w="36"/>
        <w:gridCol w:w="36"/>
        <w:gridCol w:w="36"/>
        <w:gridCol w:w="120"/>
        <w:gridCol w:w="859"/>
        <w:gridCol w:w="36"/>
        <w:gridCol w:w="36"/>
        <w:gridCol w:w="36"/>
      </w:tblGrid>
      <w:tr w:rsidR="00000000" w14:paraId="1F9FBA51" w14:textId="77777777">
        <w:trPr>
          <w:divId w:val="30962641"/>
        </w:trPr>
        <w:tc>
          <w:tcPr>
            <w:tcW w:w="50" w:type="pct"/>
            <w:vAlign w:val="center"/>
            <w:hideMark/>
          </w:tcPr>
          <w:p w14:paraId="77A8B7CE" w14:textId="77777777" w:rsidR="00000000" w:rsidRDefault="001A570A">
            <w:pPr>
              <w:ind w:firstLine="450"/>
              <w:rPr>
                <w:rFonts w:eastAsia="Times New Roman"/>
              </w:rPr>
            </w:pPr>
          </w:p>
        </w:tc>
        <w:tc>
          <w:tcPr>
            <w:tcW w:w="3659" w:type="pct"/>
            <w:vAlign w:val="center"/>
            <w:hideMark/>
          </w:tcPr>
          <w:p w14:paraId="1EA055EB" w14:textId="77777777" w:rsidR="00000000" w:rsidRDefault="001A570A">
            <w:pPr>
              <w:rPr>
                <w:rFonts w:eastAsia="Times New Roman"/>
                <w:sz w:val="20"/>
                <w:szCs w:val="20"/>
              </w:rPr>
            </w:pPr>
          </w:p>
        </w:tc>
        <w:tc>
          <w:tcPr>
            <w:tcW w:w="5" w:type="pct"/>
            <w:vAlign w:val="center"/>
            <w:hideMark/>
          </w:tcPr>
          <w:p w14:paraId="080CEA6C" w14:textId="77777777" w:rsidR="00000000" w:rsidRDefault="001A570A">
            <w:pPr>
              <w:rPr>
                <w:rFonts w:eastAsia="Times New Roman"/>
                <w:sz w:val="20"/>
                <w:szCs w:val="20"/>
              </w:rPr>
            </w:pPr>
          </w:p>
        </w:tc>
        <w:tc>
          <w:tcPr>
            <w:tcW w:w="50" w:type="pct"/>
            <w:vAlign w:val="center"/>
            <w:hideMark/>
          </w:tcPr>
          <w:p w14:paraId="7289E0BC" w14:textId="77777777" w:rsidR="00000000" w:rsidRDefault="001A570A">
            <w:pPr>
              <w:rPr>
                <w:rFonts w:eastAsia="Times New Roman"/>
                <w:sz w:val="20"/>
                <w:szCs w:val="20"/>
              </w:rPr>
            </w:pPr>
          </w:p>
        </w:tc>
        <w:tc>
          <w:tcPr>
            <w:tcW w:w="570" w:type="pct"/>
            <w:vAlign w:val="center"/>
            <w:hideMark/>
          </w:tcPr>
          <w:p w14:paraId="2E7F92A5" w14:textId="77777777" w:rsidR="00000000" w:rsidRDefault="001A570A">
            <w:pPr>
              <w:rPr>
                <w:rFonts w:eastAsia="Times New Roman"/>
                <w:sz w:val="20"/>
                <w:szCs w:val="20"/>
              </w:rPr>
            </w:pPr>
          </w:p>
        </w:tc>
        <w:tc>
          <w:tcPr>
            <w:tcW w:w="5" w:type="pct"/>
            <w:vAlign w:val="center"/>
            <w:hideMark/>
          </w:tcPr>
          <w:p w14:paraId="6F2991A4" w14:textId="77777777" w:rsidR="00000000" w:rsidRDefault="001A570A">
            <w:pPr>
              <w:rPr>
                <w:rFonts w:eastAsia="Times New Roman"/>
                <w:sz w:val="20"/>
                <w:szCs w:val="20"/>
              </w:rPr>
            </w:pPr>
          </w:p>
        </w:tc>
        <w:tc>
          <w:tcPr>
            <w:tcW w:w="5" w:type="pct"/>
            <w:vAlign w:val="center"/>
            <w:hideMark/>
          </w:tcPr>
          <w:p w14:paraId="28C52848" w14:textId="77777777" w:rsidR="00000000" w:rsidRDefault="001A570A">
            <w:pPr>
              <w:rPr>
                <w:rFonts w:eastAsia="Times New Roman"/>
                <w:sz w:val="20"/>
                <w:szCs w:val="20"/>
              </w:rPr>
            </w:pPr>
          </w:p>
        </w:tc>
        <w:tc>
          <w:tcPr>
            <w:tcW w:w="25" w:type="pct"/>
            <w:vAlign w:val="center"/>
            <w:hideMark/>
          </w:tcPr>
          <w:p w14:paraId="2EA7149E" w14:textId="77777777" w:rsidR="00000000" w:rsidRDefault="001A570A">
            <w:pPr>
              <w:rPr>
                <w:rFonts w:eastAsia="Times New Roman"/>
                <w:sz w:val="20"/>
                <w:szCs w:val="20"/>
              </w:rPr>
            </w:pPr>
          </w:p>
        </w:tc>
        <w:tc>
          <w:tcPr>
            <w:tcW w:w="5" w:type="pct"/>
            <w:vAlign w:val="center"/>
            <w:hideMark/>
          </w:tcPr>
          <w:p w14:paraId="5ACECFA8" w14:textId="77777777" w:rsidR="00000000" w:rsidRDefault="001A570A">
            <w:pPr>
              <w:rPr>
                <w:rFonts w:eastAsia="Times New Roman"/>
                <w:sz w:val="20"/>
                <w:szCs w:val="20"/>
              </w:rPr>
            </w:pPr>
          </w:p>
        </w:tc>
        <w:tc>
          <w:tcPr>
            <w:tcW w:w="50" w:type="pct"/>
            <w:vAlign w:val="center"/>
            <w:hideMark/>
          </w:tcPr>
          <w:p w14:paraId="4B014D34" w14:textId="77777777" w:rsidR="00000000" w:rsidRDefault="001A570A">
            <w:pPr>
              <w:rPr>
                <w:rFonts w:eastAsia="Times New Roman"/>
                <w:sz w:val="20"/>
                <w:szCs w:val="20"/>
              </w:rPr>
            </w:pPr>
          </w:p>
        </w:tc>
        <w:tc>
          <w:tcPr>
            <w:tcW w:w="570" w:type="pct"/>
            <w:vAlign w:val="center"/>
            <w:hideMark/>
          </w:tcPr>
          <w:p w14:paraId="0BFB9052" w14:textId="77777777" w:rsidR="00000000" w:rsidRDefault="001A570A">
            <w:pPr>
              <w:rPr>
                <w:rFonts w:eastAsia="Times New Roman"/>
                <w:sz w:val="20"/>
                <w:szCs w:val="20"/>
              </w:rPr>
            </w:pPr>
          </w:p>
        </w:tc>
        <w:tc>
          <w:tcPr>
            <w:tcW w:w="5" w:type="pct"/>
            <w:vAlign w:val="center"/>
            <w:hideMark/>
          </w:tcPr>
          <w:p w14:paraId="4CDC57C1" w14:textId="77777777" w:rsidR="00000000" w:rsidRDefault="001A570A">
            <w:pPr>
              <w:rPr>
                <w:rFonts w:eastAsia="Times New Roman"/>
                <w:sz w:val="20"/>
                <w:szCs w:val="20"/>
              </w:rPr>
            </w:pPr>
          </w:p>
        </w:tc>
        <w:tc>
          <w:tcPr>
            <w:tcW w:w="0" w:type="auto"/>
            <w:vAlign w:val="center"/>
            <w:hideMark/>
          </w:tcPr>
          <w:p w14:paraId="3C1F6945" w14:textId="77777777" w:rsidR="00000000" w:rsidRDefault="001A570A">
            <w:pPr>
              <w:rPr>
                <w:rFonts w:eastAsia="Times New Roman"/>
                <w:sz w:val="20"/>
                <w:szCs w:val="20"/>
              </w:rPr>
            </w:pPr>
          </w:p>
        </w:tc>
        <w:tc>
          <w:tcPr>
            <w:tcW w:w="0" w:type="auto"/>
            <w:vAlign w:val="center"/>
            <w:hideMark/>
          </w:tcPr>
          <w:p w14:paraId="1C1653F6" w14:textId="77777777" w:rsidR="00000000" w:rsidRDefault="001A570A">
            <w:pPr>
              <w:rPr>
                <w:rFonts w:eastAsia="Times New Roman"/>
                <w:sz w:val="20"/>
                <w:szCs w:val="20"/>
              </w:rPr>
            </w:pPr>
          </w:p>
        </w:tc>
      </w:tr>
      <w:tr w:rsidR="00000000" w14:paraId="6CCB3496" w14:textId="77777777">
        <w:trPr>
          <w:divId w:val="30962641"/>
        </w:trPr>
        <w:tc>
          <w:tcPr>
            <w:tcW w:w="0" w:type="auto"/>
            <w:gridSpan w:val="3"/>
            <w:tcMar>
              <w:top w:w="30" w:type="dxa"/>
              <w:left w:w="20" w:type="dxa"/>
              <w:bottom w:w="30" w:type="dxa"/>
              <w:right w:w="20" w:type="dxa"/>
            </w:tcMar>
            <w:vAlign w:val="bottom"/>
            <w:hideMark/>
          </w:tcPr>
          <w:p w14:paraId="4DBB86DF" w14:textId="77777777" w:rsidR="00000000" w:rsidRDefault="001A570A">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14:paraId="2E3203DC"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4FCAE98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366D1138" w14:textId="77777777" w:rsidR="00000000" w:rsidRDefault="001A570A">
            <w:pPr>
              <w:jc w:val="center"/>
              <w:rPr>
                <w:rFonts w:eastAsia="Times New Roman"/>
              </w:rPr>
            </w:pPr>
            <w:r>
              <w:rPr>
                <w:rFonts w:eastAsia="Times New Roman"/>
                <w:b/>
                <w:bCs/>
                <w:color w:val="000000"/>
                <w:sz w:val="16"/>
                <w:szCs w:val="16"/>
              </w:rPr>
              <w:t>January 3, 2020</w:t>
            </w:r>
          </w:p>
        </w:tc>
        <w:tc>
          <w:tcPr>
            <w:tcW w:w="0" w:type="auto"/>
            <w:vAlign w:val="center"/>
            <w:hideMark/>
          </w:tcPr>
          <w:p w14:paraId="113A67E4" w14:textId="77777777" w:rsidR="00000000" w:rsidRDefault="001A570A">
            <w:pPr>
              <w:jc w:val="center"/>
              <w:rPr>
                <w:rFonts w:eastAsia="Times New Roman"/>
              </w:rPr>
            </w:pPr>
          </w:p>
        </w:tc>
        <w:tc>
          <w:tcPr>
            <w:tcW w:w="0" w:type="auto"/>
            <w:vAlign w:val="center"/>
            <w:hideMark/>
          </w:tcPr>
          <w:p w14:paraId="08B04171" w14:textId="77777777" w:rsidR="00000000" w:rsidRDefault="001A570A">
            <w:pPr>
              <w:rPr>
                <w:rFonts w:eastAsia="Times New Roman"/>
                <w:sz w:val="20"/>
                <w:szCs w:val="20"/>
              </w:rPr>
            </w:pPr>
          </w:p>
        </w:tc>
      </w:tr>
      <w:tr w:rsidR="00000000" w14:paraId="195F0E1E" w14:textId="77777777">
        <w:trPr>
          <w:divId w:val="30962641"/>
          <w:trHeight w:val="60"/>
        </w:trPr>
        <w:tc>
          <w:tcPr>
            <w:tcW w:w="0" w:type="auto"/>
            <w:gridSpan w:val="3"/>
            <w:tcMar>
              <w:top w:w="0" w:type="dxa"/>
              <w:left w:w="20" w:type="dxa"/>
              <w:bottom w:w="0" w:type="dxa"/>
              <w:right w:w="20" w:type="dxa"/>
            </w:tcMar>
            <w:vAlign w:val="center"/>
            <w:hideMark/>
          </w:tcPr>
          <w:p w14:paraId="4AAD429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E0B4D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E8633A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77A930" w14:textId="77777777" w:rsidR="00000000" w:rsidRDefault="001A570A">
            <w:pPr>
              <w:rPr>
                <w:rFonts w:eastAsia="Times New Roman"/>
                <w:sz w:val="20"/>
                <w:szCs w:val="20"/>
              </w:rPr>
            </w:pPr>
          </w:p>
        </w:tc>
        <w:tc>
          <w:tcPr>
            <w:tcW w:w="0" w:type="auto"/>
            <w:vAlign w:val="center"/>
            <w:hideMark/>
          </w:tcPr>
          <w:p w14:paraId="02A28064" w14:textId="77777777" w:rsidR="00000000" w:rsidRDefault="001A570A">
            <w:pPr>
              <w:rPr>
                <w:rFonts w:eastAsia="Times New Roman"/>
                <w:sz w:val="20"/>
                <w:szCs w:val="20"/>
              </w:rPr>
            </w:pPr>
          </w:p>
        </w:tc>
        <w:tc>
          <w:tcPr>
            <w:tcW w:w="0" w:type="auto"/>
            <w:vAlign w:val="center"/>
            <w:hideMark/>
          </w:tcPr>
          <w:p w14:paraId="2F2429A9" w14:textId="77777777" w:rsidR="00000000" w:rsidRDefault="001A570A">
            <w:pPr>
              <w:rPr>
                <w:rFonts w:eastAsia="Times New Roman"/>
                <w:sz w:val="20"/>
                <w:szCs w:val="20"/>
              </w:rPr>
            </w:pPr>
          </w:p>
        </w:tc>
      </w:tr>
      <w:tr w:rsidR="00000000" w14:paraId="7F825057" w14:textId="77777777">
        <w:trPr>
          <w:divId w:val="30962641"/>
        </w:trPr>
        <w:tc>
          <w:tcPr>
            <w:tcW w:w="0" w:type="auto"/>
            <w:gridSpan w:val="3"/>
            <w:shd w:val="clear" w:color="auto" w:fill="CCEEFF"/>
            <w:tcMar>
              <w:top w:w="30" w:type="dxa"/>
              <w:left w:w="20" w:type="dxa"/>
              <w:bottom w:w="30" w:type="dxa"/>
              <w:right w:w="20" w:type="dxa"/>
            </w:tcMar>
            <w:hideMark/>
          </w:tcPr>
          <w:p w14:paraId="6EAD5795" w14:textId="77777777" w:rsidR="00000000" w:rsidRDefault="001A570A">
            <w:pPr>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14:paraId="0B05E24C"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73820"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11E82" w14:textId="77777777" w:rsidR="00000000" w:rsidRDefault="001A570A">
            <w:pPr>
              <w:rPr>
                <w:rFonts w:eastAsia="Times New Roman"/>
                <w:sz w:val="20"/>
                <w:szCs w:val="20"/>
              </w:rPr>
            </w:pPr>
          </w:p>
        </w:tc>
        <w:tc>
          <w:tcPr>
            <w:tcW w:w="0" w:type="auto"/>
            <w:vAlign w:val="center"/>
            <w:hideMark/>
          </w:tcPr>
          <w:p w14:paraId="1FBC36DF" w14:textId="77777777" w:rsidR="00000000" w:rsidRDefault="001A570A">
            <w:pPr>
              <w:rPr>
                <w:rFonts w:eastAsia="Times New Roman"/>
                <w:sz w:val="20"/>
                <w:szCs w:val="20"/>
              </w:rPr>
            </w:pPr>
          </w:p>
        </w:tc>
        <w:tc>
          <w:tcPr>
            <w:tcW w:w="0" w:type="auto"/>
            <w:vAlign w:val="center"/>
            <w:hideMark/>
          </w:tcPr>
          <w:p w14:paraId="1291D418" w14:textId="77777777" w:rsidR="00000000" w:rsidRDefault="001A570A">
            <w:pPr>
              <w:rPr>
                <w:rFonts w:eastAsia="Times New Roman"/>
                <w:sz w:val="20"/>
                <w:szCs w:val="20"/>
              </w:rPr>
            </w:pPr>
          </w:p>
        </w:tc>
      </w:tr>
      <w:tr w:rsidR="00000000" w14:paraId="6358C39E" w14:textId="77777777">
        <w:trPr>
          <w:divId w:val="30962641"/>
        </w:trPr>
        <w:tc>
          <w:tcPr>
            <w:tcW w:w="0" w:type="auto"/>
            <w:gridSpan w:val="3"/>
            <w:shd w:val="clear" w:color="auto" w:fill="FFFFFF"/>
            <w:tcMar>
              <w:top w:w="30" w:type="dxa"/>
              <w:left w:w="20" w:type="dxa"/>
              <w:bottom w:w="30" w:type="dxa"/>
              <w:right w:w="20" w:type="dxa"/>
            </w:tcMar>
            <w:vAlign w:val="bottom"/>
            <w:hideMark/>
          </w:tcPr>
          <w:p w14:paraId="45511F94"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543541E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2E7CFC" w14:textId="77777777" w:rsidR="00000000" w:rsidRDefault="001A570A">
            <w:pPr>
              <w:jc w:val="right"/>
              <w:rPr>
                <w:rFonts w:eastAsia="Times New Roman"/>
              </w:rPr>
            </w:pPr>
            <w:r>
              <w:rPr>
                <w:rFonts w:eastAsia="Times New Roman"/>
                <w:color w:val="000000"/>
                <w:sz w:val="20"/>
                <w:szCs w:val="20"/>
              </w:rPr>
              <w:t>8,906 </w:t>
            </w:r>
          </w:p>
        </w:tc>
        <w:tc>
          <w:tcPr>
            <w:tcW w:w="0" w:type="auto"/>
            <w:shd w:val="clear" w:color="auto" w:fill="FFFFFF"/>
            <w:tcMar>
              <w:top w:w="30" w:type="dxa"/>
              <w:left w:w="0" w:type="dxa"/>
              <w:bottom w:w="30" w:type="dxa"/>
              <w:right w:w="20" w:type="dxa"/>
            </w:tcMar>
            <w:vAlign w:val="bottom"/>
            <w:hideMark/>
          </w:tcPr>
          <w:p w14:paraId="047D944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D711B"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D8FD6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77F895B" w14:textId="77777777" w:rsidR="00000000" w:rsidRDefault="001A570A">
            <w:pPr>
              <w:jc w:val="right"/>
              <w:rPr>
                <w:rFonts w:eastAsia="Times New Roman"/>
              </w:rPr>
            </w:pPr>
            <w:r>
              <w:rPr>
                <w:rFonts w:eastAsia="Times New Roman"/>
                <w:color w:val="000000"/>
                <w:sz w:val="20"/>
                <w:szCs w:val="20"/>
              </w:rPr>
              <w:t>7,888 </w:t>
            </w:r>
          </w:p>
        </w:tc>
        <w:tc>
          <w:tcPr>
            <w:tcW w:w="0" w:type="auto"/>
            <w:shd w:val="clear" w:color="auto" w:fill="FFFFFF"/>
            <w:tcMar>
              <w:top w:w="30" w:type="dxa"/>
              <w:left w:w="0" w:type="dxa"/>
              <w:bottom w:w="30" w:type="dxa"/>
              <w:right w:w="20" w:type="dxa"/>
            </w:tcMar>
            <w:vAlign w:val="bottom"/>
            <w:hideMark/>
          </w:tcPr>
          <w:p w14:paraId="32C52F9E" w14:textId="77777777" w:rsidR="00000000" w:rsidRDefault="001A570A">
            <w:pPr>
              <w:jc w:val="right"/>
              <w:rPr>
                <w:rFonts w:eastAsia="Times New Roman"/>
              </w:rPr>
            </w:pPr>
          </w:p>
        </w:tc>
        <w:tc>
          <w:tcPr>
            <w:tcW w:w="0" w:type="auto"/>
            <w:vAlign w:val="center"/>
            <w:hideMark/>
          </w:tcPr>
          <w:p w14:paraId="51C085C8" w14:textId="77777777" w:rsidR="00000000" w:rsidRDefault="001A570A">
            <w:pPr>
              <w:jc w:val="right"/>
              <w:rPr>
                <w:rFonts w:eastAsia="Times New Roman"/>
                <w:sz w:val="20"/>
                <w:szCs w:val="20"/>
              </w:rPr>
            </w:pPr>
          </w:p>
        </w:tc>
        <w:tc>
          <w:tcPr>
            <w:tcW w:w="0" w:type="auto"/>
            <w:vAlign w:val="center"/>
            <w:hideMark/>
          </w:tcPr>
          <w:p w14:paraId="61D92B23" w14:textId="77777777" w:rsidR="00000000" w:rsidRDefault="001A570A">
            <w:pPr>
              <w:rPr>
                <w:rFonts w:eastAsia="Times New Roman"/>
                <w:sz w:val="20"/>
                <w:szCs w:val="20"/>
              </w:rPr>
            </w:pPr>
          </w:p>
        </w:tc>
      </w:tr>
      <w:tr w:rsidR="00000000" w14:paraId="1641DD8E" w14:textId="77777777">
        <w:trPr>
          <w:divId w:val="30962641"/>
        </w:trPr>
        <w:tc>
          <w:tcPr>
            <w:tcW w:w="0" w:type="auto"/>
            <w:gridSpan w:val="3"/>
            <w:shd w:val="clear" w:color="auto" w:fill="CCEEFF"/>
            <w:tcMar>
              <w:top w:w="30" w:type="dxa"/>
              <w:left w:w="20" w:type="dxa"/>
              <w:bottom w:w="30" w:type="dxa"/>
              <w:right w:w="20" w:type="dxa"/>
            </w:tcMar>
            <w:vAlign w:val="bottom"/>
            <w:hideMark/>
          </w:tcPr>
          <w:p w14:paraId="5F555F6F"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693B19C3" w14:textId="77777777" w:rsidR="00000000" w:rsidRDefault="001A570A">
            <w:pPr>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14:paraId="1B58320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3BE0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E3F67" w14:textId="77777777" w:rsidR="00000000" w:rsidRDefault="001A570A">
            <w:pPr>
              <w:jc w:val="right"/>
              <w:rPr>
                <w:rFonts w:eastAsia="Times New Roman"/>
              </w:rPr>
            </w:pPr>
            <w:r>
              <w:rPr>
                <w:rFonts w:eastAsia="Times New Roman"/>
                <w:color w:val="000000"/>
                <w:sz w:val="20"/>
                <w:szCs w:val="20"/>
              </w:rPr>
              <w:t>6,837 </w:t>
            </w:r>
          </w:p>
        </w:tc>
        <w:tc>
          <w:tcPr>
            <w:tcW w:w="0" w:type="auto"/>
            <w:shd w:val="clear" w:color="auto" w:fill="CCEEFF"/>
            <w:tcMar>
              <w:top w:w="30" w:type="dxa"/>
              <w:left w:w="0" w:type="dxa"/>
              <w:bottom w:w="30" w:type="dxa"/>
              <w:right w:w="20" w:type="dxa"/>
            </w:tcMar>
            <w:vAlign w:val="bottom"/>
            <w:hideMark/>
          </w:tcPr>
          <w:p w14:paraId="61732DFB" w14:textId="77777777" w:rsidR="00000000" w:rsidRDefault="001A570A">
            <w:pPr>
              <w:jc w:val="right"/>
              <w:rPr>
                <w:rFonts w:eastAsia="Times New Roman"/>
              </w:rPr>
            </w:pPr>
          </w:p>
        </w:tc>
        <w:tc>
          <w:tcPr>
            <w:tcW w:w="0" w:type="auto"/>
            <w:vAlign w:val="center"/>
            <w:hideMark/>
          </w:tcPr>
          <w:p w14:paraId="1AB7CEAD" w14:textId="77777777" w:rsidR="00000000" w:rsidRDefault="001A570A">
            <w:pPr>
              <w:jc w:val="right"/>
              <w:rPr>
                <w:rFonts w:eastAsia="Times New Roman"/>
                <w:sz w:val="20"/>
                <w:szCs w:val="20"/>
              </w:rPr>
            </w:pPr>
          </w:p>
        </w:tc>
        <w:tc>
          <w:tcPr>
            <w:tcW w:w="0" w:type="auto"/>
            <w:vAlign w:val="center"/>
            <w:hideMark/>
          </w:tcPr>
          <w:p w14:paraId="18808A2F" w14:textId="77777777" w:rsidR="00000000" w:rsidRDefault="001A570A">
            <w:pPr>
              <w:rPr>
                <w:rFonts w:eastAsia="Times New Roman"/>
                <w:sz w:val="20"/>
                <w:szCs w:val="20"/>
              </w:rPr>
            </w:pPr>
          </w:p>
        </w:tc>
      </w:tr>
      <w:tr w:rsidR="00000000" w14:paraId="7549361D" w14:textId="77777777">
        <w:trPr>
          <w:divId w:val="30962641"/>
        </w:trPr>
        <w:tc>
          <w:tcPr>
            <w:tcW w:w="0" w:type="auto"/>
            <w:gridSpan w:val="3"/>
            <w:shd w:val="clear" w:color="auto" w:fill="FFFFFF"/>
            <w:tcMar>
              <w:top w:w="30" w:type="dxa"/>
              <w:left w:w="20" w:type="dxa"/>
              <w:bottom w:w="30" w:type="dxa"/>
              <w:right w:w="20" w:type="dxa"/>
            </w:tcMar>
            <w:vAlign w:val="bottom"/>
            <w:hideMark/>
          </w:tcPr>
          <w:p w14:paraId="77DD5810"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018868F5" w14:textId="77777777" w:rsidR="00000000" w:rsidRDefault="001A570A">
            <w:pPr>
              <w:jc w:val="right"/>
              <w:rPr>
                <w:rFonts w:eastAsia="Times New Roman"/>
              </w:rPr>
            </w:pPr>
            <w:r>
              <w:rPr>
                <w:rFonts w:eastAsia="Times New Roman"/>
                <w:color w:val="000000"/>
                <w:sz w:val="20"/>
                <w:szCs w:val="20"/>
              </w:rPr>
              <w:t>5,746 </w:t>
            </w:r>
          </w:p>
        </w:tc>
        <w:tc>
          <w:tcPr>
            <w:tcW w:w="0" w:type="auto"/>
            <w:shd w:val="clear" w:color="auto" w:fill="FFFFFF"/>
            <w:tcMar>
              <w:top w:w="30" w:type="dxa"/>
              <w:left w:w="0" w:type="dxa"/>
              <w:bottom w:w="30" w:type="dxa"/>
              <w:right w:w="20" w:type="dxa"/>
            </w:tcMar>
            <w:vAlign w:val="bottom"/>
            <w:hideMark/>
          </w:tcPr>
          <w:p w14:paraId="692F3E5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695E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6264A3" w14:textId="77777777" w:rsidR="00000000" w:rsidRDefault="001A570A">
            <w:pPr>
              <w:jc w:val="right"/>
              <w:rPr>
                <w:rFonts w:eastAsia="Times New Roman"/>
              </w:rPr>
            </w:pPr>
            <w:r>
              <w:rPr>
                <w:rFonts w:eastAsia="Times New Roman"/>
                <w:color w:val="000000"/>
                <w:sz w:val="20"/>
                <w:szCs w:val="20"/>
              </w:rPr>
              <w:t>5,930 </w:t>
            </w:r>
          </w:p>
        </w:tc>
        <w:tc>
          <w:tcPr>
            <w:tcW w:w="0" w:type="auto"/>
            <w:shd w:val="clear" w:color="auto" w:fill="FFFFFF"/>
            <w:tcMar>
              <w:top w:w="30" w:type="dxa"/>
              <w:left w:w="0" w:type="dxa"/>
              <w:bottom w:w="30" w:type="dxa"/>
              <w:right w:w="20" w:type="dxa"/>
            </w:tcMar>
            <w:vAlign w:val="bottom"/>
            <w:hideMark/>
          </w:tcPr>
          <w:p w14:paraId="2DBB9C41" w14:textId="77777777" w:rsidR="00000000" w:rsidRDefault="001A570A">
            <w:pPr>
              <w:jc w:val="right"/>
              <w:rPr>
                <w:rFonts w:eastAsia="Times New Roman"/>
              </w:rPr>
            </w:pPr>
          </w:p>
        </w:tc>
        <w:tc>
          <w:tcPr>
            <w:tcW w:w="0" w:type="auto"/>
            <w:vAlign w:val="center"/>
            <w:hideMark/>
          </w:tcPr>
          <w:p w14:paraId="116637B1" w14:textId="77777777" w:rsidR="00000000" w:rsidRDefault="001A570A">
            <w:pPr>
              <w:jc w:val="right"/>
              <w:rPr>
                <w:rFonts w:eastAsia="Times New Roman"/>
                <w:sz w:val="20"/>
                <w:szCs w:val="20"/>
              </w:rPr>
            </w:pPr>
          </w:p>
        </w:tc>
        <w:tc>
          <w:tcPr>
            <w:tcW w:w="0" w:type="auto"/>
            <w:vAlign w:val="center"/>
            <w:hideMark/>
          </w:tcPr>
          <w:p w14:paraId="19733F1F" w14:textId="77777777" w:rsidR="00000000" w:rsidRDefault="001A570A">
            <w:pPr>
              <w:rPr>
                <w:rFonts w:eastAsia="Times New Roman"/>
                <w:sz w:val="20"/>
                <w:szCs w:val="20"/>
              </w:rPr>
            </w:pPr>
          </w:p>
        </w:tc>
      </w:tr>
      <w:tr w:rsidR="00000000" w14:paraId="434FDA69" w14:textId="77777777">
        <w:trPr>
          <w:divId w:val="30962641"/>
        </w:trPr>
        <w:tc>
          <w:tcPr>
            <w:tcW w:w="0" w:type="auto"/>
            <w:gridSpan w:val="3"/>
            <w:shd w:val="clear" w:color="auto" w:fill="CCEEFF"/>
            <w:tcMar>
              <w:top w:w="30" w:type="dxa"/>
              <w:left w:w="20" w:type="dxa"/>
              <w:bottom w:w="30" w:type="dxa"/>
              <w:right w:w="20" w:type="dxa"/>
            </w:tcMar>
            <w:hideMark/>
          </w:tcPr>
          <w:p w14:paraId="14ADFD09"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71D0F78A" w14:textId="77777777" w:rsidR="00000000" w:rsidRDefault="001A570A">
            <w:pPr>
              <w:jc w:val="right"/>
              <w:rPr>
                <w:rFonts w:eastAsia="Times New Roman"/>
              </w:rPr>
            </w:pPr>
            <w:r>
              <w:rPr>
                <w:rFonts w:eastAsia="Times New Roman"/>
                <w:color w:val="000000"/>
                <w:sz w:val="20"/>
                <w:szCs w:val="20"/>
              </w:rPr>
              <w:t>5,026 </w:t>
            </w:r>
          </w:p>
        </w:tc>
        <w:tc>
          <w:tcPr>
            <w:tcW w:w="0" w:type="auto"/>
            <w:shd w:val="clear" w:color="auto" w:fill="CCEEFF"/>
            <w:tcMar>
              <w:top w:w="30" w:type="dxa"/>
              <w:left w:w="0" w:type="dxa"/>
              <w:bottom w:w="30" w:type="dxa"/>
              <w:right w:w="20" w:type="dxa"/>
            </w:tcMar>
            <w:vAlign w:val="bottom"/>
            <w:hideMark/>
          </w:tcPr>
          <w:p w14:paraId="78B56EF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E705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D98504" w14:textId="77777777" w:rsidR="00000000" w:rsidRDefault="001A570A">
            <w:pPr>
              <w:jc w:val="right"/>
              <w:rPr>
                <w:rFonts w:eastAsia="Times New Roman"/>
              </w:rPr>
            </w:pPr>
            <w:r>
              <w:rPr>
                <w:rFonts w:eastAsia="Times New Roman"/>
                <w:color w:val="000000"/>
                <w:sz w:val="20"/>
                <w:szCs w:val="20"/>
              </w:rPr>
              <w:t>7,569 </w:t>
            </w:r>
          </w:p>
        </w:tc>
        <w:tc>
          <w:tcPr>
            <w:tcW w:w="0" w:type="auto"/>
            <w:shd w:val="clear" w:color="auto" w:fill="CCEEFF"/>
            <w:tcMar>
              <w:top w:w="30" w:type="dxa"/>
              <w:left w:w="0" w:type="dxa"/>
              <w:bottom w:w="30" w:type="dxa"/>
              <w:right w:w="20" w:type="dxa"/>
            </w:tcMar>
            <w:vAlign w:val="bottom"/>
            <w:hideMark/>
          </w:tcPr>
          <w:p w14:paraId="19D0AD24" w14:textId="77777777" w:rsidR="00000000" w:rsidRDefault="001A570A">
            <w:pPr>
              <w:jc w:val="right"/>
              <w:rPr>
                <w:rFonts w:eastAsia="Times New Roman"/>
              </w:rPr>
            </w:pPr>
          </w:p>
        </w:tc>
        <w:tc>
          <w:tcPr>
            <w:tcW w:w="0" w:type="auto"/>
            <w:vAlign w:val="center"/>
            <w:hideMark/>
          </w:tcPr>
          <w:p w14:paraId="758F0AE0" w14:textId="77777777" w:rsidR="00000000" w:rsidRDefault="001A570A">
            <w:pPr>
              <w:jc w:val="right"/>
              <w:rPr>
                <w:rFonts w:eastAsia="Times New Roman"/>
                <w:sz w:val="20"/>
                <w:szCs w:val="20"/>
              </w:rPr>
            </w:pPr>
          </w:p>
        </w:tc>
        <w:tc>
          <w:tcPr>
            <w:tcW w:w="0" w:type="auto"/>
            <w:vAlign w:val="center"/>
            <w:hideMark/>
          </w:tcPr>
          <w:p w14:paraId="0BA13A8D" w14:textId="77777777" w:rsidR="00000000" w:rsidRDefault="001A570A">
            <w:pPr>
              <w:rPr>
                <w:rFonts w:eastAsia="Times New Roman"/>
                <w:sz w:val="20"/>
                <w:szCs w:val="20"/>
              </w:rPr>
            </w:pPr>
          </w:p>
        </w:tc>
      </w:tr>
      <w:tr w:rsidR="00000000" w14:paraId="592B6BAE" w14:textId="77777777">
        <w:trPr>
          <w:divId w:val="30962641"/>
        </w:trPr>
        <w:tc>
          <w:tcPr>
            <w:tcW w:w="0" w:type="auto"/>
            <w:gridSpan w:val="3"/>
            <w:shd w:val="clear" w:color="auto" w:fill="FFFFFF"/>
            <w:tcMar>
              <w:top w:w="30" w:type="dxa"/>
              <w:left w:w="20" w:type="dxa"/>
              <w:bottom w:w="30" w:type="dxa"/>
              <w:right w:w="20" w:type="dxa"/>
            </w:tcMar>
            <w:vAlign w:val="bottom"/>
            <w:hideMark/>
          </w:tcPr>
          <w:p w14:paraId="697AC7E8" w14:textId="77777777" w:rsidR="00000000" w:rsidRDefault="001A570A">
            <w:pPr>
              <w:divId w:val="1618100699"/>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654005A" w14:textId="77777777" w:rsidR="00000000" w:rsidRDefault="001A570A">
            <w:pPr>
              <w:jc w:val="right"/>
              <w:rPr>
                <w:rFonts w:eastAsia="Times New Roman"/>
              </w:rPr>
            </w:pPr>
            <w:r>
              <w:rPr>
                <w:rFonts w:eastAsia="Times New Roman"/>
                <w:color w:val="000000"/>
                <w:sz w:val="20"/>
                <w:szCs w:val="20"/>
              </w:rPr>
              <w:t>10,339 </w:t>
            </w:r>
          </w:p>
        </w:tc>
        <w:tc>
          <w:tcPr>
            <w:tcW w:w="0" w:type="auto"/>
            <w:shd w:val="clear" w:color="auto" w:fill="FFFFFF"/>
            <w:tcMar>
              <w:top w:w="30" w:type="dxa"/>
              <w:left w:w="0" w:type="dxa"/>
              <w:bottom w:w="30" w:type="dxa"/>
              <w:right w:w="20" w:type="dxa"/>
            </w:tcMar>
            <w:vAlign w:val="bottom"/>
            <w:hideMark/>
          </w:tcPr>
          <w:p w14:paraId="7F9E33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7B35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72024" w14:textId="77777777" w:rsidR="00000000" w:rsidRDefault="001A570A">
            <w:pPr>
              <w:jc w:val="right"/>
              <w:rPr>
                <w:rFonts w:eastAsia="Times New Roman"/>
              </w:rPr>
            </w:pPr>
            <w:r>
              <w:rPr>
                <w:rFonts w:eastAsia="Times New Roman"/>
                <w:color w:val="000000"/>
                <w:sz w:val="20"/>
                <w:szCs w:val="20"/>
              </w:rPr>
              <w:t>10,112 </w:t>
            </w:r>
          </w:p>
        </w:tc>
        <w:tc>
          <w:tcPr>
            <w:tcW w:w="0" w:type="auto"/>
            <w:shd w:val="clear" w:color="auto" w:fill="FFFFFF"/>
            <w:tcMar>
              <w:top w:w="30" w:type="dxa"/>
              <w:left w:w="0" w:type="dxa"/>
              <w:bottom w:w="30" w:type="dxa"/>
              <w:right w:w="20" w:type="dxa"/>
            </w:tcMar>
            <w:vAlign w:val="bottom"/>
            <w:hideMark/>
          </w:tcPr>
          <w:p w14:paraId="4FC8C657" w14:textId="77777777" w:rsidR="00000000" w:rsidRDefault="001A570A">
            <w:pPr>
              <w:jc w:val="right"/>
              <w:rPr>
                <w:rFonts w:eastAsia="Times New Roman"/>
              </w:rPr>
            </w:pPr>
          </w:p>
        </w:tc>
        <w:tc>
          <w:tcPr>
            <w:tcW w:w="0" w:type="auto"/>
            <w:vAlign w:val="center"/>
            <w:hideMark/>
          </w:tcPr>
          <w:p w14:paraId="646DD976" w14:textId="77777777" w:rsidR="00000000" w:rsidRDefault="001A570A">
            <w:pPr>
              <w:jc w:val="right"/>
              <w:rPr>
                <w:rFonts w:eastAsia="Times New Roman"/>
                <w:sz w:val="20"/>
                <w:szCs w:val="20"/>
              </w:rPr>
            </w:pPr>
          </w:p>
        </w:tc>
        <w:tc>
          <w:tcPr>
            <w:tcW w:w="0" w:type="auto"/>
            <w:vAlign w:val="center"/>
            <w:hideMark/>
          </w:tcPr>
          <w:p w14:paraId="653C663F" w14:textId="77777777" w:rsidR="00000000" w:rsidRDefault="001A570A">
            <w:pPr>
              <w:rPr>
                <w:rFonts w:eastAsia="Times New Roman"/>
                <w:sz w:val="20"/>
                <w:szCs w:val="20"/>
              </w:rPr>
            </w:pPr>
          </w:p>
        </w:tc>
      </w:tr>
      <w:tr w:rsidR="00000000" w14:paraId="065C10E2" w14:textId="77777777">
        <w:trPr>
          <w:divId w:val="30962641"/>
        </w:trPr>
        <w:tc>
          <w:tcPr>
            <w:tcW w:w="0" w:type="auto"/>
            <w:gridSpan w:val="3"/>
            <w:shd w:val="clear" w:color="auto" w:fill="CCEEFF"/>
            <w:tcMar>
              <w:top w:w="0" w:type="dxa"/>
              <w:left w:w="20" w:type="dxa"/>
              <w:bottom w:w="0" w:type="dxa"/>
              <w:right w:w="20" w:type="dxa"/>
            </w:tcMar>
            <w:vAlign w:val="center"/>
            <w:hideMark/>
          </w:tcPr>
          <w:p w14:paraId="71CEE885" w14:textId="77777777" w:rsidR="00000000" w:rsidRDefault="001A570A">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BB2F4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108AB0" w14:textId="77777777" w:rsidR="00000000" w:rsidRDefault="001A570A">
            <w:pPr>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A52CA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EA450" w14:textId="77777777" w:rsidR="00000000" w:rsidRDefault="001A570A">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E259E5"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9F6EF2" w14:textId="77777777" w:rsidR="00000000" w:rsidRDefault="001A570A">
            <w:pPr>
              <w:jc w:val="right"/>
              <w:rPr>
                <w:rFonts w:eastAsia="Times New Roman"/>
              </w:rPr>
            </w:pPr>
            <w:r>
              <w:rPr>
                <w:rFonts w:eastAsia="Times New Roman"/>
                <w:color w:val="000000"/>
                <w:sz w:val="20"/>
                <w:szCs w:val="20"/>
              </w:rPr>
              <w:t>38,336 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702211" w14:textId="77777777" w:rsidR="00000000" w:rsidRDefault="001A570A">
            <w:pPr>
              <w:jc w:val="right"/>
              <w:rPr>
                <w:rFonts w:eastAsia="Times New Roman"/>
              </w:rPr>
            </w:pPr>
          </w:p>
        </w:tc>
        <w:tc>
          <w:tcPr>
            <w:tcW w:w="0" w:type="auto"/>
            <w:vAlign w:val="center"/>
            <w:hideMark/>
          </w:tcPr>
          <w:p w14:paraId="20D7AC3C" w14:textId="77777777" w:rsidR="00000000" w:rsidRDefault="001A570A">
            <w:pPr>
              <w:jc w:val="right"/>
              <w:rPr>
                <w:rFonts w:eastAsia="Times New Roman"/>
                <w:sz w:val="20"/>
                <w:szCs w:val="20"/>
              </w:rPr>
            </w:pPr>
          </w:p>
        </w:tc>
        <w:tc>
          <w:tcPr>
            <w:tcW w:w="0" w:type="auto"/>
            <w:vAlign w:val="center"/>
            <w:hideMark/>
          </w:tcPr>
          <w:p w14:paraId="0CF74D45" w14:textId="77777777" w:rsidR="00000000" w:rsidRDefault="001A570A">
            <w:pPr>
              <w:rPr>
                <w:rFonts w:eastAsia="Times New Roman"/>
                <w:sz w:val="20"/>
                <w:szCs w:val="20"/>
              </w:rPr>
            </w:pPr>
          </w:p>
        </w:tc>
      </w:tr>
    </w:tbl>
    <w:p w14:paraId="15006627" w14:textId="77777777" w:rsidR="00000000" w:rsidRDefault="001A570A">
      <w:pPr>
        <w:divId w:val="1448619645"/>
        <w:rPr>
          <w:rFonts w:eastAsia="Times New Roman"/>
        </w:rPr>
      </w:pPr>
      <w:r>
        <w:rPr>
          <w:rFonts w:eastAsia="Times New Roman"/>
          <w:color w:val="000000"/>
          <w:sz w:val="16"/>
          <w:szCs w:val="16"/>
        </w:rPr>
        <w:t>_______________</w:t>
      </w:r>
    </w:p>
    <w:p w14:paraId="4B5B948C" w14:textId="77777777" w:rsidR="00000000" w:rsidRDefault="001A570A">
      <w:pPr>
        <w:ind w:hanging="360"/>
        <w:divId w:val="22560678"/>
        <w:rPr>
          <w:rFonts w:eastAsia="Times New Roman"/>
        </w:rPr>
      </w:pPr>
      <w:r>
        <w:rPr>
          <w:rFonts w:eastAsia="Times New Roman"/>
          <w:color w:val="000000"/>
          <w:sz w:val="16"/>
          <w:szCs w:val="16"/>
        </w:rPr>
        <w:t>(1)</w:t>
      </w:r>
      <w:r>
        <w:rPr>
          <w:rFonts w:eastAsia="Times New Roman"/>
          <w:color w:val="000000"/>
          <w:sz w:val="16"/>
          <w:szCs w:val="16"/>
        </w:rPr>
        <w:t xml:space="preserve">Identifiable intangible assets acquired in connection with the L3Harris Merger in the two quarters ended January 3, 2020 and our acquisition of Exelis in fiscal 2015 were recorded as Corporate assets because they benefited the entire Company as opposed to </w:t>
      </w:r>
      <w:r>
        <w:rPr>
          <w:rFonts w:eastAsia="Times New Roman"/>
          <w:color w:val="000000"/>
          <w:sz w:val="16"/>
          <w:szCs w:val="16"/>
        </w:rPr>
        <w:t xml:space="preserve">any individual segment. Identifiable intangible asset balances recorded as Corporate assets were $7.9 billion and $8.5 billion at January 1, 2021 and January 3, 2020, respectively. Corporate assets also consisted of cash, income taxes receivable, deferred </w:t>
      </w:r>
      <w:r>
        <w:rPr>
          <w:rFonts w:eastAsia="Times New Roman"/>
          <w:color w:val="000000"/>
          <w:sz w:val="16"/>
          <w:szCs w:val="16"/>
        </w:rPr>
        <w:t xml:space="preserve">income taxes, deferred compensation plan investments, buildings and equipment, as well as any assets of discontinued operations and divestitures. See </w:t>
      </w:r>
      <w:r>
        <w:rPr>
          <w:rFonts w:eastAsia="Times New Roman"/>
          <w:i/>
          <w:iCs/>
          <w:color w:val="000000"/>
          <w:sz w:val="16"/>
          <w:szCs w:val="16"/>
        </w:rPr>
        <w:t>Note 3: Business Divestitures and Asset Sales</w:t>
      </w:r>
      <w:r>
        <w:rPr>
          <w:rFonts w:eastAsia="Times New Roman"/>
          <w:color w:val="000000"/>
          <w:sz w:val="16"/>
          <w:szCs w:val="16"/>
        </w:rPr>
        <w:t xml:space="preserve"> in these Notes for additional information. </w:t>
      </w:r>
    </w:p>
    <w:p w14:paraId="135EA969" w14:textId="77777777" w:rsidR="00000000" w:rsidRDefault="001A570A">
      <w:pPr>
        <w:ind w:firstLine="450"/>
        <w:divId w:val="1330400826"/>
        <w:rPr>
          <w:rFonts w:eastAsia="Times New Roman"/>
        </w:rPr>
      </w:pPr>
      <w:r>
        <w:rPr>
          <w:rFonts w:eastAsia="Times New Roman"/>
          <w:color w:val="000000"/>
          <w:sz w:val="20"/>
          <w:szCs w:val="20"/>
        </w:rPr>
        <w:t>Other selected f</w:t>
      </w:r>
      <w:r>
        <w:rPr>
          <w:rFonts w:eastAsia="Times New Roman"/>
          <w:color w:val="000000"/>
          <w:sz w:val="20"/>
          <w:szCs w:val="20"/>
        </w:rPr>
        <w:t>inancial information by business segment and geographical area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826"/>
        <w:gridCol w:w="37"/>
        <w:gridCol w:w="120"/>
        <w:gridCol w:w="896"/>
        <w:gridCol w:w="36"/>
        <w:gridCol w:w="36"/>
        <w:gridCol w:w="36"/>
        <w:gridCol w:w="36"/>
        <w:gridCol w:w="121"/>
        <w:gridCol w:w="853"/>
        <w:gridCol w:w="36"/>
        <w:gridCol w:w="36"/>
        <w:gridCol w:w="36"/>
        <w:gridCol w:w="36"/>
        <w:gridCol w:w="120"/>
        <w:gridCol w:w="853"/>
        <w:gridCol w:w="36"/>
        <w:gridCol w:w="36"/>
        <w:gridCol w:w="36"/>
        <w:gridCol w:w="36"/>
        <w:gridCol w:w="120"/>
        <w:gridCol w:w="853"/>
        <w:gridCol w:w="36"/>
      </w:tblGrid>
      <w:tr w:rsidR="00000000" w14:paraId="21D329F5" w14:textId="77777777">
        <w:trPr>
          <w:divId w:val="327246056"/>
        </w:trPr>
        <w:tc>
          <w:tcPr>
            <w:tcW w:w="50" w:type="pct"/>
            <w:vAlign w:val="center"/>
            <w:hideMark/>
          </w:tcPr>
          <w:p w14:paraId="3195DFDC" w14:textId="77777777" w:rsidR="00000000" w:rsidRDefault="001A570A">
            <w:pPr>
              <w:ind w:firstLine="450"/>
              <w:rPr>
                <w:rFonts w:eastAsia="Times New Roman"/>
              </w:rPr>
            </w:pPr>
          </w:p>
        </w:tc>
        <w:tc>
          <w:tcPr>
            <w:tcW w:w="2337" w:type="pct"/>
            <w:vAlign w:val="center"/>
            <w:hideMark/>
          </w:tcPr>
          <w:p w14:paraId="5DB9D608" w14:textId="77777777" w:rsidR="00000000" w:rsidRDefault="001A570A">
            <w:pPr>
              <w:rPr>
                <w:rFonts w:eastAsia="Times New Roman"/>
                <w:sz w:val="20"/>
                <w:szCs w:val="20"/>
              </w:rPr>
            </w:pPr>
          </w:p>
        </w:tc>
        <w:tc>
          <w:tcPr>
            <w:tcW w:w="5" w:type="pct"/>
            <w:vAlign w:val="center"/>
            <w:hideMark/>
          </w:tcPr>
          <w:p w14:paraId="3D54EC50" w14:textId="77777777" w:rsidR="00000000" w:rsidRDefault="001A570A">
            <w:pPr>
              <w:rPr>
                <w:rFonts w:eastAsia="Times New Roman"/>
                <w:sz w:val="20"/>
                <w:szCs w:val="20"/>
              </w:rPr>
            </w:pPr>
          </w:p>
        </w:tc>
        <w:tc>
          <w:tcPr>
            <w:tcW w:w="50" w:type="pct"/>
            <w:vAlign w:val="center"/>
            <w:hideMark/>
          </w:tcPr>
          <w:p w14:paraId="7DFA991E" w14:textId="77777777" w:rsidR="00000000" w:rsidRDefault="001A570A">
            <w:pPr>
              <w:rPr>
                <w:rFonts w:eastAsia="Times New Roman"/>
                <w:sz w:val="20"/>
                <w:szCs w:val="20"/>
              </w:rPr>
            </w:pPr>
          </w:p>
        </w:tc>
        <w:tc>
          <w:tcPr>
            <w:tcW w:w="570" w:type="pct"/>
            <w:vAlign w:val="center"/>
            <w:hideMark/>
          </w:tcPr>
          <w:p w14:paraId="11D10EDC" w14:textId="77777777" w:rsidR="00000000" w:rsidRDefault="001A570A">
            <w:pPr>
              <w:rPr>
                <w:rFonts w:eastAsia="Times New Roman"/>
                <w:sz w:val="20"/>
                <w:szCs w:val="20"/>
              </w:rPr>
            </w:pPr>
          </w:p>
        </w:tc>
        <w:tc>
          <w:tcPr>
            <w:tcW w:w="5" w:type="pct"/>
            <w:vAlign w:val="center"/>
            <w:hideMark/>
          </w:tcPr>
          <w:p w14:paraId="1C33C43F" w14:textId="77777777" w:rsidR="00000000" w:rsidRDefault="001A570A">
            <w:pPr>
              <w:rPr>
                <w:rFonts w:eastAsia="Times New Roman"/>
                <w:sz w:val="20"/>
                <w:szCs w:val="20"/>
              </w:rPr>
            </w:pPr>
          </w:p>
        </w:tc>
        <w:tc>
          <w:tcPr>
            <w:tcW w:w="5" w:type="pct"/>
            <w:vAlign w:val="center"/>
            <w:hideMark/>
          </w:tcPr>
          <w:p w14:paraId="08FC72D1" w14:textId="77777777" w:rsidR="00000000" w:rsidRDefault="001A570A">
            <w:pPr>
              <w:rPr>
                <w:rFonts w:eastAsia="Times New Roman"/>
                <w:sz w:val="20"/>
                <w:szCs w:val="20"/>
              </w:rPr>
            </w:pPr>
          </w:p>
        </w:tc>
        <w:tc>
          <w:tcPr>
            <w:tcW w:w="25" w:type="pct"/>
            <w:vAlign w:val="center"/>
            <w:hideMark/>
          </w:tcPr>
          <w:p w14:paraId="57CD6BCE" w14:textId="77777777" w:rsidR="00000000" w:rsidRDefault="001A570A">
            <w:pPr>
              <w:rPr>
                <w:rFonts w:eastAsia="Times New Roman"/>
                <w:sz w:val="20"/>
                <w:szCs w:val="20"/>
              </w:rPr>
            </w:pPr>
          </w:p>
        </w:tc>
        <w:tc>
          <w:tcPr>
            <w:tcW w:w="5" w:type="pct"/>
            <w:vAlign w:val="center"/>
            <w:hideMark/>
          </w:tcPr>
          <w:p w14:paraId="7EAD9A4B" w14:textId="77777777" w:rsidR="00000000" w:rsidRDefault="001A570A">
            <w:pPr>
              <w:rPr>
                <w:rFonts w:eastAsia="Times New Roman"/>
                <w:sz w:val="20"/>
                <w:szCs w:val="20"/>
              </w:rPr>
            </w:pPr>
          </w:p>
        </w:tc>
        <w:tc>
          <w:tcPr>
            <w:tcW w:w="50" w:type="pct"/>
            <w:vAlign w:val="center"/>
            <w:hideMark/>
          </w:tcPr>
          <w:p w14:paraId="650534FE" w14:textId="77777777" w:rsidR="00000000" w:rsidRDefault="001A570A">
            <w:pPr>
              <w:rPr>
                <w:rFonts w:eastAsia="Times New Roman"/>
                <w:sz w:val="20"/>
                <w:szCs w:val="20"/>
              </w:rPr>
            </w:pPr>
          </w:p>
        </w:tc>
        <w:tc>
          <w:tcPr>
            <w:tcW w:w="570" w:type="pct"/>
            <w:vAlign w:val="center"/>
            <w:hideMark/>
          </w:tcPr>
          <w:p w14:paraId="13CED6F5" w14:textId="77777777" w:rsidR="00000000" w:rsidRDefault="001A570A">
            <w:pPr>
              <w:rPr>
                <w:rFonts w:eastAsia="Times New Roman"/>
                <w:sz w:val="20"/>
                <w:szCs w:val="20"/>
              </w:rPr>
            </w:pPr>
          </w:p>
        </w:tc>
        <w:tc>
          <w:tcPr>
            <w:tcW w:w="5" w:type="pct"/>
            <w:vAlign w:val="center"/>
            <w:hideMark/>
          </w:tcPr>
          <w:p w14:paraId="011930F3" w14:textId="77777777" w:rsidR="00000000" w:rsidRDefault="001A570A">
            <w:pPr>
              <w:rPr>
                <w:rFonts w:eastAsia="Times New Roman"/>
                <w:sz w:val="20"/>
                <w:szCs w:val="20"/>
              </w:rPr>
            </w:pPr>
          </w:p>
        </w:tc>
        <w:tc>
          <w:tcPr>
            <w:tcW w:w="5" w:type="pct"/>
            <w:vAlign w:val="center"/>
            <w:hideMark/>
          </w:tcPr>
          <w:p w14:paraId="3E7799BE" w14:textId="77777777" w:rsidR="00000000" w:rsidRDefault="001A570A">
            <w:pPr>
              <w:rPr>
                <w:rFonts w:eastAsia="Times New Roman"/>
                <w:sz w:val="20"/>
                <w:szCs w:val="20"/>
              </w:rPr>
            </w:pPr>
          </w:p>
        </w:tc>
        <w:tc>
          <w:tcPr>
            <w:tcW w:w="25" w:type="pct"/>
            <w:vAlign w:val="center"/>
            <w:hideMark/>
          </w:tcPr>
          <w:p w14:paraId="0D51E219" w14:textId="77777777" w:rsidR="00000000" w:rsidRDefault="001A570A">
            <w:pPr>
              <w:rPr>
                <w:rFonts w:eastAsia="Times New Roman"/>
                <w:sz w:val="20"/>
                <w:szCs w:val="20"/>
              </w:rPr>
            </w:pPr>
          </w:p>
        </w:tc>
        <w:tc>
          <w:tcPr>
            <w:tcW w:w="5" w:type="pct"/>
            <w:vAlign w:val="center"/>
            <w:hideMark/>
          </w:tcPr>
          <w:p w14:paraId="195B9062" w14:textId="77777777" w:rsidR="00000000" w:rsidRDefault="001A570A">
            <w:pPr>
              <w:rPr>
                <w:rFonts w:eastAsia="Times New Roman"/>
                <w:sz w:val="20"/>
                <w:szCs w:val="20"/>
              </w:rPr>
            </w:pPr>
          </w:p>
        </w:tc>
        <w:tc>
          <w:tcPr>
            <w:tcW w:w="50" w:type="pct"/>
            <w:vAlign w:val="center"/>
            <w:hideMark/>
          </w:tcPr>
          <w:p w14:paraId="68BEB506" w14:textId="77777777" w:rsidR="00000000" w:rsidRDefault="001A570A">
            <w:pPr>
              <w:rPr>
                <w:rFonts w:eastAsia="Times New Roman"/>
                <w:sz w:val="20"/>
                <w:szCs w:val="20"/>
              </w:rPr>
            </w:pPr>
          </w:p>
        </w:tc>
        <w:tc>
          <w:tcPr>
            <w:tcW w:w="570" w:type="pct"/>
            <w:vAlign w:val="center"/>
            <w:hideMark/>
          </w:tcPr>
          <w:p w14:paraId="77339492" w14:textId="77777777" w:rsidR="00000000" w:rsidRDefault="001A570A">
            <w:pPr>
              <w:rPr>
                <w:rFonts w:eastAsia="Times New Roman"/>
                <w:sz w:val="20"/>
                <w:szCs w:val="20"/>
              </w:rPr>
            </w:pPr>
          </w:p>
        </w:tc>
        <w:tc>
          <w:tcPr>
            <w:tcW w:w="5" w:type="pct"/>
            <w:vAlign w:val="center"/>
            <w:hideMark/>
          </w:tcPr>
          <w:p w14:paraId="10D7ACBD" w14:textId="77777777" w:rsidR="00000000" w:rsidRDefault="001A570A">
            <w:pPr>
              <w:rPr>
                <w:rFonts w:eastAsia="Times New Roman"/>
                <w:sz w:val="20"/>
                <w:szCs w:val="20"/>
              </w:rPr>
            </w:pPr>
          </w:p>
        </w:tc>
        <w:tc>
          <w:tcPr>
            <w:tcW w:w="5" w:type="pct"/>
            <w:vAlign w:val="center"/>
            <w:hideMark/>
          </w:tcPr>
          <w:p w14:paraId="3D0A8057" w14:textId="77777777" w:rsidR="00000000" w:rsidRDefault="001A570A">
            <w:pPr>
              <w:rPr>
                <w:rFonts w:eastAsia="Times New Roman"/>
                <w:sz w:val="20"/>
                <w:szCs w:val="20"/>
              </w:rPr>
            </w:pPr>
          </w:p>
        </w:tc>
        <w:tc>
          <w:tcPr>
            <w:tcW w:w="25" w:type="pct"/>
            <w:vAlign w:val="center"/>
            <w:hideMark/>
          </w:tcPr>
          <w:p w14:paraId="56EA4D7D" w14:textId="77777777" w:rsidR="00000000" w:rsidRDefault="001A570A">
            <w:pPr>
              <w:rPr>
                <w:rFonts w:eastAsia="Times New Roman"/>
                <w:sz w:val="20"/>
                <w:szCs w:val="20"/>
              </w:rPr>
            </w:pPr>
          </w:p>
        </w:tc>
        <w:tc>
          <w:tcPr>
            <w:tcW w:w="5" w:type="pct"/>
            <w:vAlign w:val="center"/>
            <w:hideMark/>
          </w:tcPr>
          <w:p w14:paraId="75ABA3FA" w14:textId="77777777" w:rsidR="00000000" w:rsidRDefault="001A570A">
            <w:pPr>
              <w:rPr>
                <w:rFonts w:eastAsia="Times New Roman"/>
                <w:sz w:val="20"/>
                <w:szCs w:val="20"/>
              </w:rPr>
            </w:pPr>
          </w:p>
        </w:tc>
        <w:tc>
          <w:tcPr>
            <w:tcW w:w="50" w:type="pct"/>
            <w:vAlign w:val="center"/>
            <w:hideMark/>
          </w:tcPr>
          <w:p w14:paraId="54BE996B" w14:textId="77777777" w:rsidR="00000000" w:rsidRDefault="001A570A">
            <w:pPr>
              <w:rPr>
                <w:rFonts w:eastAsia="Times New Roman"/>
                <w:sz w:val="20"/>
                <w:szCs w:val="20"/>
              </w:rPr>
            </w:pPr>
          </w:p>
        </w:tc>
        <w:tc>
          <w:tcPr>
            <w:tcW w:w="570" w:type="pct"/>
            <w:vAlign w:val="center"/>
            <w:hideMark/>
          </w:tcPr>
          <w:p w14:paraId="2F10716B" w14:textId="77777777" w:rsidR="00000000" w:rsidRDefault="001A570A">
            <w:pPr>
              <w:rPr>
                <w:rFonts w:eastAsia="Times New Roman"/>
                <w:sz w:val="20"/>
                <w:szCs w:val="20"/>
              </w:rPr>
            </w:pPr>
          </w:p>
        </w:tc>
        <w:tc>
          <w:tcPr>
            <w:tcW w:w="5" w:type="pct"/>
            <w:vAlign w:val="center"/>
            <w:hideMark/>
          </w:tcPr>
          <w:p w14:paraId="24DBDDA8" w14:textId="77777777" w:rsidR="00000000" w:rsidRDefault="001A570A">
            <w:pPr>
              <w:rPr>
                <w:rFonts w:eastAsia="Times New Roman"/>
                <w:sz w:val="20"/>
                <w:szCs w:val="20"/>
              </w:rPr>
            </w:pPr>
          </w:p>
        </w:tc>
      </w:tr>
      <w:tr w:rsidR="00000000" w14:paraId="1F6FC09C" w14:textId="77777777">
        <w:trPr>
          <w:divId w:val="327246056"/>
        </w:trPr>
        <w:tc>
          <w:tcPr>
            <w:tcW w:w="0" w:type="auto"/>
            <w:gridSpan w:val="3"/>
            <w:tcMar>
              <w:top w:w="0" w:type="dxa"/>
              <w:left w:w="20" w:type="dxa"/>
              <w:bottom w:w="0" w:type="dxa"/>
              <w:right w:w="20" w:type="dxa"/>
            </w:tcMar>
            <w:vAlign w:val="center"/>
            <w:hideMark/>
          </w:tcPr>
          <w:p w14:paraId="3CFD711F"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61E99949"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59AA7C5B"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C718C0B" w14:textId="77777777" w:rsidR="00000000" w:rsidRDefault="001A570A">
            <w:pPr>
              <w:jc w:val="center"/>
              <w:rPr>
                <w:rFonts w:eastAsia="Times New Roman"/>
              </w:rPr>
            </w:pPr>
            <w:r>
              <w:rPr>
                <w:rFonts w:eastAsia="Times New Roman"/>
                <w:b/>
                <w:bCs/>
                <w:color w:val="000000"/>
                <w:sz w:val="16"/>
                <w:szCs w:val="16"/>
              </w:rPr>
              <w:t>Two Quarters Ended</w:t>
            </w:r>
          </w:p>
        </w:tc>
        <w:tc>
          <w:tcPr>
            <w:tcW w:w="0" w:type="auto"/>
            <w:gridSpan w:val="3"/>
            <w:tcMar>
              <w:top w:w="0" w:type="dxa"/>
              <w:left w:w="20" w:type="dxa"/>
              <w:bottom w:w="0" w:type="dxa"/>
              <w:right w:w="20" w:type="dxa"/>
            </w:tcMar>
            <w:vAlign w:val="center"/>
            <w:hideMark/>
          </w:tcPr>
          <w:p w14:paraId="2B166BCC"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163236DF" w14:textId="77777777" w:rsidR="00000000" w:rsidRDefault="001A570A">
            <w:pPr>
              <w:jc w:val="center"/>
              <w:rPr>
                <w:rFonts w:eastAsia="Times New Roman"/>
              </w:rPr>
            </w:pPr>
            <w:r>
              <w:rPr>
                <w:rFonts w:eastAsia="Times New Roman"/>
                <w:b/>
                <w:bCs/>
                <w:color w:val="000000"/>
                <w:sz w:val="16"/>
                <w:szCs w:val="16"/>
              </w:rPr>
              <w:t>Fiscal Years Ended</w:t>
            </w:r>
          </w:p>
        </w:tc>
      </w:tr>
      <w:tr w:rsidR="00000000" w14:paraId="5FEF8F52" w14:textId="77777777">
        <w:trPr>
          <w:divId w:val="327246056"/>
        </w:trPr>
        <w:tc>
          <w:tcPr>
            <w:tcW w:w="0" w:type="auto"/>
            <w:gridSpan w:val="3"/>
            <w:tcMar>
              <w:top w:w="30" w:type="dxa"/>
              <w:left w:w="20" w:type="dxa"/>
              <w:bottom w:w="30" w:type="dxa"/>
              <w:right w:w="20" w:type="dxa"/>
            </w:tcMar>
            <w:vAlign w:val="bottom"/>
            <w:hideMark/>
          </w:tcPr>
          <w:p w14:paraId="1D3CF1F9" w14:textId="77777777" w:rsidR="00000000" w:rsidRDefault="001A570A">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61B9401"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tcMar>
              <w:top w:w="0" w:type="dxa"/>
              <w:left w:w="20" w:type="dxa"/>
              <w:bottom w:w="0" w:type="dxa"/>
              <w:right w:w="20" w:type="dxa"/>
            </w:tcMar>
            <w:vAlign w:val="center"/>
            <w:hideMark/>
          </w:tcPr>
          <w:p w14:paraId="2B09CD32"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11C10B"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Mar>
              <w:top w:w="0" w:type="dxa"/>
              <w:left w:w="20" w:type="dxa"/>
              <w:bottom w:w="0" w:type="dxa"/>
              <w:right w:w="20" w:type="dxa"/>
            </w:tcMar>
            <w:vAlign w:val="center"/>
            <w:hideMark/>
          </w:tcPr>
          <w:p w14:paraId="6E27A094"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4848F4" w14:textId="77777777" w:rsidR="00000000" w:rsidRDefault="001A570A">
            <w:pPr>
              <w:jc w:val="center"/>
              <w:rPr>
                <w:rFonts w:eastAsia="Times New Roman"/>
              </w:rPr>
            </w:pPr>
            <w:r>
              <w:rPr>
                <w:rFonts w:eastAsia="Times New Roman"/>
                <w:b/>
                <w:bCs/>
                <w:color w:val="000000"/>
                <w:sz w:val="16"/>
                <w:szCs w:val="16"/>
              </w:rPr>
              <w:t>June 28, 2019</w:t>
            </w:r>
          </w:p>
        </w:tc>
        <w:tc>
          <w:tcPr>
            <w:tcW w:w="0" w:type="auto"/>
            <w:gridSpan w:val="3"/>
            <w:tcBorders>
              <w:top w:val="single" w:sz="8" w:space="0" w:color="000000"/>
            </w:tcBorders>
            <w:tcMar>
              <w:top w:w="0" w:type="dxa"/>
              <w:left w:w="20" w:type="dxa"/>
              <w:bottom w:w="0" w:type="dxa"/>
              <w:right w:w="20" w:type="dxa"/>
            </w:tcMar>
            <w:vAlign w:val="center"/>
            <w:hideMark/>
          </w:tcPr>
          <w:p w14:paraId="4D235D6E" w14:textId="77777777" w:rsidR="00000000" w:rsidRDefault="001A570A">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C425EB" w14:textId="77777777" w:rsidR="00000000" w:rsidRDefault="001A570A">
            <w:pPr>
              <w:jc w:val="center"/>
              <w:rPr>
                <w:rFonts w:eastAsia="Times New Roman"/>
              </w:rPr>
            </w:pPr>
            <w:r>
              <w:rPr>
                <w:rFonts w:eastAsia="Times New Roman"/>
                <w:b/>
                <w:bCs/>
                <w:color w:val="000000"/>
                <w:sz w:val="16"/>
                <w:szCs w:val="16"/>
              </w:rPr>
              <w:t>June 29, 2018</w:t>
            </w:r>
          </w:p>
        </w:tc>
      </w:tr>
      <w:tr w:rsidR="00000000" w14:paraId="12B84EDA" w14:textId="77777777">
        <w:trPr>
          <w:divId w:val="327246056"/>
          <w:trHeight w:val="60"/>
        </w:trPr>
        <w:tc>
          <w:tcPr>
            <w:tcW w:w="0" w:type="auto"/>
            <w:gridSpan w:val="3"/>
            <w:tcMar>
              <w:top w:w="0" w:type="dxa"/>
              <w:left w:w="20" w:type="dxa"/>
              <w:bottom w:w="0" w:type="dxa"/>
              <w:right w:w="20" w:type="dxa"/>
            </w:tcMar>
            <w:vAlign w:val="center"/>
            <w:hideMark/>
          </w:tcPr>
          <w:p w14:paraId="045A2CA9"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2700A24"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F41CA23"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F4905C"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652E5C6"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45BA4A"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0F088F2A"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68EF7C" w14:textId="77777777" w:rsidR="00000000" w:rsidRDefault="001A570A">
            <w:pPr>
              <w:rPr>
                <w:rFonts w:eastAsia="Times New Roman"/>
                <w:sz w:val="20"/>
                <w:szCs w:val="20"/>
              </w:rPr>
            </w:pPr>
          </w:p>
        </w:tc>
      </w:tr>
      <w:tr w:rsidR="00000000" w14:paraId="420BD26E" w14:textId="77777777">
        <w:trPr>
          <w:divId w:val="327246056"/>
        </w:trPr>
        <w:tc>
          <w:tcPr>
            <w:tcW w:w="0" w:type="auto"/>
            <w:gridSpan w:val="3"/>
            <w:shd w:val="clear" w:color="auto" w:fill="CCEEFF"/>
            <w:tcMar>
              <w:top w:w="30" w:type="dxa"/>
              <w:left w:w="20" w:type="dxa"/>
              <w:bottom w:w="30" w:type="dxa"/>
              <w:right w:w="20" w:type="dxa"/>
            </w:tcMar>
            <w:hideMark/>
          </w:tcPr>
          <w:p w14:paraId="43B5BCC3" w14:textId="77777777" w:rsidR="00000000" w:rsidRDefault="001A570A">
            <w:pPr>
              <w:rPr>
                <w:rFonts w:eastAsia="Times New Roman"/>
              </w:rPr>
            </w:pPr>
            <w:r>
              <w:rPr>
                <w:rFonts w:eastAsia="Times New Roman"/>
                <w:b/>
                <w:bCs/>
                <w:color w:val="000000"/>
                <w:sz w:val="20"/>
                <w:szCs w:val="20"/>
              </w:rPr>
              <w:t>Capital Expenditures</w:t>
            </w:r>
          </w:p>
        </w:tc>
        <w:tc>
          <w:tcPr>
            <w:tcW w:w="0" w:type="auto"/>
            <w:gridSpan w:val="3"/>
            <w:shd w:val="clear" w:color="auto" w:fill="CCEEFF"/>
            <w:tcMar>
              <w:top w:w="0" w:type="dxa"/>
              <w:left w:w="20" w:type="dxa"/>
              <w:bottom w:w="0" w:type="dxa"/>
              <w:right w:w="20" w:type="dxa"/>
            </w:tcMar>
            <w:vAlign w:val="center"/>
            <w:hideMark/>
          </w:tcPr>
          <w:p w14:paraId="2E176E31"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B101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D5F8D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8DEF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EC237"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7D5D9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7C7119" w14:textId="77777777" w:rsidR="00000000" w:rsidRDefault="001A570A">
            <w:pPr>
              <w:rPr>
                <w:rFonts w:eastAsia="Times New Roman"/>
                <w:sz w:val="20"/>
                <w:szCs w:val="20"/>
              </w:rPr>
            </w:pPr>
          </w:p>
        </w:tc>
      </w:tr>
      <w:tr w:rsidR="00000000" w14:paraId="0BE9898C" w14:textId="77777777">
        <w:trPr>
          <w:divId w:val="327246056"/>
        </w:trPr>
        <w:tc>
          <w:tcPr>
            <w:tcW w:w="0" w:type="auto"/>
            <w:gridSpan w:val="3"/>
            <w:shd w:val="clear" w:color="auto" w:fill="FFFFFF"/>
            <w:tcMar>
              <w:top w:w="30" w:type="dxa"/>
              <w:left w:w="20" w:type="dxa"/>
              <w:bottom w:w="30" w:type="dxa"/>
              <w:right w:w="20" w:type="dxa"/>
            </w:tcMar>
            <w:hideMark/>
          </w:tcPr>
          <w:p w14:paraId="5A9493A9"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10F1A21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E45B8C" w14:textId="77777777" w:rsidR="00000000" w:rsidRDefault="001A570A">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7398C1C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DF64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EE1B06"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8F7A1D" w14:textId="77777777" w:rsidR="00000000" w:rsidRDefault="001A570A">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4F4C889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0214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AA862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DE85CD4"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63E1DB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7A4B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46DE2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C4E6DD"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59D999AE" w14:textId="77777777" w:rsidR="00000000" w:rsidRDefault="001A570A">
            <w:pPr>
              <w:jc w:val="right"/>
              <w:rPr>
                <w:rFonts w:eastAsia="Times New Roman"/>
              </w:rPr>
            </w:pPr>
          </w:p>
        </w:tc>
      </w:tr>
      <w:tr w:rsidR="00000000" w14:paraId="78881B7C" w14:textId="77777777">
        <w:trPr>
          <w:divId w:val="327246056"/>
        </w:trPr>
        <w:tc>
          <w:tcPr>
            <w:tcW w:w="0" w:type="auto"/>
            <w:gridSpan w:val="3"/>
            <w:shd w:val="clear" w:color="auto" w:fill="CCEEFF"/>
            <w:tcMar>
              <w:top w:w="30" w:type="dxa"/>
              <w:left w:w="20" w:type="dxa"/>
              <w:bottom w:w="30" w:type="dxa"/>
              <w:right w:w="20" w:type="dxa"/>
            </w:tcMar>
            <w:hideMark/>
          </w:tcPr>
          <w:p w14:paraId="194E7177"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71639F25" w14:textId="77777777" w:rsidR="00000000" w:rsidRDefault="001A570A">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15DD422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ED73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309AF" w14:textId="77777777" w:rsidR="00000000" w:rsidRDefault="001A570A">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10275AF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967C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F4A62" w14:textId="77777777" w:rsidR="00000000" w:rsidRDefault="001A570A">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2B856C9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2BDC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5789F5"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14:paraId="77544FD8" w14:textId="77777777" w:rsidR="00000000" w:rsidRDefault="001A570A">
            <w:pPr>
              <w:jc w:val="right"/>
              <w:rPr>
                <w:rFonts w:eastAsia="Times New Roman"/>
              </w:rPr>
            </w:pPr>
          </w:p>
        </w:tc>
      </w:tr>
      <w:tr w:rsidR="00000000" w14:paraId="130F130E" w14:textId="77777777">
        <w:trPr>
          <w:divId w:val="327246056"/>
        </w:trPr>
        <w:tc>
          <w:tcPr>
            <w:tcW w:w="0" w:type="auto"/>
            <w:gridSpan w:val="3"/>
            <w:shd w:val="clear" w:color="auto" w:fill="FFFFFF"/>
            <w:tcMar>
              <w:top w:w="30" w:type="dxa"/>
              <w:left w:w="20" w:type="dxa"/>
              <w:bottom w:w="30" w:type="dxa"/>
              <w:right w:w="20" w:type="dxa"/>
            </w:tcMar>
            <w:hideMark/>
          </w:tcPr>
          <w:p w14:paraId="1893545E"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67185869" w14:textId="77777777" w:rsidR="00000000" w:rsidRDefault="001A570A">
            <w:pPr>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2C04B22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42FC1"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8DCED" w14:textId="77777777" w:rsidR="00000000" w:rsidRDefault="001A570A">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50E0337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2F4A8"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0B31E" w14:textId="77777777" w:rsidR="00000000" w:rsidRDefault="001A570A">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77B4307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3D8F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64056" w14:textId="77777777" w:rsidR="00000000" w:rsidRDefault="001A570A">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3B2EF238" w14:textId="77777777" w:rsidR="00000000" w:rsidRDefault="001A570A">
            <w:pPr>
              <w:jc w:val="right"/>
              <w:rPr>
                <w:rFonts w:eastAsia="Times New Roman"/>
              </w:rPr>
            </w:pPr>
          </w:p>
        </w:tc>
      </w:tr>
      <w:tr w:rsidR="00000000" w14:paraId="651407EF" w14:textId="77777777">
        <w:trPr>
          <w:divId w:val="327246056"/>
        </w:trPr>
        <w:tc>
          <w:tcPr>
            <w:tcW w:w="0" w:type="auto"/>
            <w:gridSpan w:val="3"/>
            <w:shd w:val="clear" w:color="auto" w:fill="CCEEFF"/>
            <w:tcMar>
              <w:top w:w="30" w:type="dxa"/>
              <w:left w:w="20" w:type="dxa"/>
              <w:bottom w:w="30" w:type="dxa"/>
              <w:right w:w="20" w:type="dxa"/>
            </w:tcMar>
            <w:hideMark/>
          </w:tcPr>
          <w:p w14:paraId="445AC937"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69E6279B" w14:textId="77777777" w:rsidR="00000000" w:rsidRDefault="001A570A">
            <w:pPr>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3D8A635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1C80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2F8E7" w14:textId="77777777" w:rsidR="00000000" w:rsidRDefault="001A570A">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14:paraId="1883794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0897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35CB26"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6FBF1BC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96E8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13EED"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6A47F1CC" w14:textId="77777777" w:rsidR="00000000" w:rsidRDefault="001A570A">
            <w:pPr>
              <w:jc w:val="right"/>
              <w:rPr>
                <w:rFonts w:eastAsia="Times New Roman"/>
              </w:rPr>
            </w:pPr>
          </w:p>
        </w:tc>
      </w:tr>
      <w:tr w:rsidR="00000000" w14:paraId="4F8D7F4F" w14:textId="77777777">
        <w:trPr>
          <w:divId w:val="327246056"/>
        </w:trPr>
        <w:tc>
          <w:tcPr>
            <w:tcW w:w="0" w:type="auto"/>
            <w:gridSpan w:val="3"/>
            <w:shd w:val="clear" w:color="auto" w:fill="FFFFFF"/>
            <w:tcMar>
              <w:top w:w="30" w:type="dxa"/>
              <w:left w:w="20" w:type="dxa"/>
              <w:bottom w:w="30" w:type="dxa"/>
              <w:right w:w="20" w:type="dxa"/>
            </w:tcMar>
            <w:hideMark/>
          </w:tcPr>
          <w:p w14:paraId="4C813A15" w14:textId="77777777" w:rsidR="00000000" w:rsidRDefault="001A570A">
            <w:pPr>
              <w:divId w:val="385449486"/>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49E24C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F698E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493E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BA2743"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80E6D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5AEF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5E4D0" w14:textId="77777777" w:rsidR="00000000" w:rsidRDefault="001A570A">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6C17EA6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898B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82F00" w14:textId="77777777" w:rsidR="00000000" w:rsidRDefault="001A570A">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050FF097" w14:textId="77777777" w:rsidR="00000000" w:rsidRDefault="001A570A">
            <w:pPr>
              <w:jc w:val="right"/>
              <w:rPr>
                <w:rFonts w:eastAsia="Times New Roman"/>
              </w:rPr>
            </w:pPr>
          </w:p>
        </w:tc>
      </w:tr>
      <w:tr w:rsidR="00000000" w14:paraId="28F47874" w14:textId="77777777">
        <w:trPr>
          <w:divId w:val="327246056"/>
        </w:trPr>
        <w:tc>
          <w:tcPr>
            <w:tcW w:w="0" w:type="auto"/>
            <w:gridSpan w:val="3"/>
            <w:shd w:val="clear" w:color="auto" w:fill="CCEEFF"/>
            <w:tcMar>
              <w:top w:w="30" w:type="dxa"/>
              <w:left w:w="20" w:type="dxa"/>
              <w:bottom w:w="30" w:type="dxa"/>
              <w:right w:w="20" w:type="dxa"/>
            </w:tcMar>
            <w:hideMark/>
          </w:tcPr>
          <w:p w14:paraId="0259EB38" w14:textId="77777777" w:rsidR="00000000" w:rsidRDefault="001A570A">
            <w:pPr>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4EA17DF0" w14:textId="77777777" w:rsidR="00000000" w:rsidRDefault="001A570A">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14:paraId="24693BA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3445F"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02D944" w14:textId="77777777" w:rsidR="00000000" w:rsidRDefault="001A570A">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7055B6C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1EF8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EABA4" w14:textId="77777777" w:rsidR="00000000" w:rsidRDefault="001A570A">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5FEB82C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3E73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CA6FFD" w14:textId="77777777" w:rsidR="00000000" w:rsidRDefault="001A570A">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52372788" w14:textId="77777777" w:rsidR="00000000" w:rsidRDefault="001A570A">
            <w:pPr>
              <w:jc w:val="right"/>
              <w:rPr>
                <w:rFonts w:eastAsia="Times New Roman"/>
              </w:rPr>
            </w:pPr>
          </w:p>
        </w:tc>
      </w:tr>
      <w:tr w:rsidR="00000000" w14:paraId="6D9629F1" w14:textId="77777777">
        <w:trPr>
          <w:divId w:val="327246056"/>
        </w:trPr>
        <w:tc>
          <w:tcPr>
            <w:tcW w:w="0" w:type="auto"/>
            <w:gridSpan w:val="3"/>
            <w:vAlign w:val="center"/>
            <w:hideMark/>
          </w:tcPr>
          <w:p w14:paraId="45BDD122" w14:textId="77777777" w:rsidR="00000000" w:rsidRDefault="001A570A">
            <w:pPr>
              <w:jc w:val="right"/>
              <w:rPr>
                <w:rFonts w:eastAsia="Times New Roman"/>
                <w:sz w:val="20"/>
                <w:szCs w:val="20"/>
              </w:rPr>
            </w:pPr>
          </w:p>
        </w:tc>
        <w:tc>
          <w:tcPr>
            <w:tcW w:w="0" w:type="auto"/>
            <w:gridSpan w:val="3"/>
            <w:vAlign w:val="center"/>
            <w:hideMark/>
          </w:tcPr>
          <w:p w14:paraId="1E0CDAC6" w14:textId="77777777" w:rsidR="00000000" w:rsidRDefault="001A570A">
            <w:pPr>
              <w:rPr>
                <w:rFonts w:eastAsia="Times New Roman"/>
                <w:sz w:val="20"/>
                <w:szCs w:val="20"/>
              </w:rPr>
            </w:pPr>
          </w:p>
        </w:tc>
        <w:tc>
          <w:tcPr>
            <w:tcW w:w="0" w:type="auto"/>
            <w:gridSpan w:val="3"/>
            <w:vAlign w:val="center"/>
            <w:hideMark/>
          </w:tcPr>
          <w:p w14:paraId="6E31941A" w14:textId="77777777" w:rsidR="00000000" w:rsidRDefault="001A570A">
            <w:pPr>
              <w:rPr>
                <w:rFonts w:eastAsia="Times New Roman"/>
                <w:sz w:val="20"/>
                <w:szCs w:val="20"/>
              </w:rPr>
            </w:pPr>
          </w:p>
        </w:tc>
        <w:tc>
          <w:tcPr>
            <w:tcW w:w="0" w:type="auto"/>
            <w:gridSpan w:val="3"/>
            <w:vAlign w:val="center"/>
            <w:hideMark/>
          </w:tcPr>
          <w:p w14:paraId="7F0B8FCB" w14:textId="77777777" w:rsidR="00000000" w:rsidRDefault="001A570A">
            <w:pPr>
              <w:rPr>
                <w:rFonts w:eastAsia="Times New Roman"/>
                <w:sz w:val="20"/>
                <w:szCs w:val="20"/>
              </w:rPr>
            </w:pPr>
          </w:p>
        </w:tc>
        <w:tc>
          <w:tcPr>
            <w:tcW w:w="0" w:type="auto"/>
            <w:gridSpan w:val="3"/>
            <w:vAlign w:val="center"/>
            <w:hideMark/>
          </w:tcPr>
          <w:p w14:paraId="799863BE" w14:textId="77777777" w:rsidR="00000000" w:rsidRDefault="001A570A">
            <w:pPr>
              <w:rPr>
                <w:rFonts w:eastAsia="Times New Roman"/>
                <w:sz w:val="20"/>
                <w:szCs w:val="20"/>
              </w:rPr>
            </w:pPr>
          </w:p>
        </w:tc>
        <w:tc>
          <w:tcPr>
            <w:tcW w:w="0" w:type="auto"/>
            <w:gridSpan w:val="3"/>
            <w:vAlign w:val="center"/>
            <w:hideMark/>
          </w:tcPr>
          <w:p w14:paraId="663759BF" w14:textId="77777777" w:rsidR="00000000" w:rsidRDefault="001A570A">
            <w:pPr>
              <w:rPr>
                <w:rFonts w:eastAsia="Times New Roman"/>
                <w:sz w:val="20"/>
                <w:szCs w:val="20"/>
              </w:rPr>
            </w:pPr>
          </w:p>
        </w:tc>
        <w:tc>
          <w:tcPr>
            <w:tcW w:w="0" w:type="auto"/>
            <w:gridSpan w:val="3"/>
            <w:vAlign w:val="center"/>
            <w:hideMark/>
          </w:tcPr>
          <w:p w14:paraId="747AD99D" w14:textId="77777777" w:rsidR="00000000" w:rsidRDefault="001A570A">
            <w:pPr>
              <w:rPr>
                <w:rFonts w:eastAsia="Times New Roman"/>
                <w:sz w:val="20"/>
                <w:szCs w:val="20"/>
              </w:rPr>
            </w:pPr>
          </w:p>
        </w:tc>
        <w:tc>
          <w:tcPr>
            <w:tcW w:w="0" w:type="auto"/>
            <w:gridSpan w:val="3"/>
            <w:vAlign w:val="center"/>
            <w:hideMark/>
          </w:tcPr>
          <w:p w14:paraId="27FB4516" w14:textId="77777777" w:rsidR="00000000" w:rsidRDefault="001A570A">
            <w:pPr>
              <w:rPr>
                <w:rFonts w:eastAsia="Times New Roman"/>
                <w:sz w:val="20"/>
                <w:szCs w:val="20"/>
              </w:rPr>
            </w:pPr>
          </w:p>
        </w:tc>
      </w:tr>
      <w:tr w:rsidR="00000000" w14:paraId="35BEDADF" w14:textId="77777777">
        <w:trPr>
          <w:divId w:val="327246056"/>
        </w:trPr>
        <w:tc>
          <w:tcPr>
            <w:tcW w:w="0" w:type="auto"/>
            <w:gridSpan w:val="3"/>
            <w:shd w:val="clear" w:color="auto" w:fill="FFFFFF"/>
            <w:tcMar>
              <w:top w:w="0" w:type="dxa"/>
              <w:left w:w="20" w:type="dxa"/>
              <w:bottom w:w="0" w:type="dxa"/>
              <w:right w:w="20" w:type="dxa"/>
            </w:tcMar>
            <w:vAlign w:val="center"/>
            <w:hideMark/>
          </w:tcPr>
          <w:p w14:paraId="34D3F14C"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DCB61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4192A0" w14:textId="77777777" w:rsidR="00000000" w:rsidRDefault="001A570A">
            <w:pPr>
              <w:jc w:val="right"/>
              <w:rPr>
                <w:rFonts w:eastAsia="Times New Roman"/>
              </w:rPr>
            </w:pPr>
            <w:r>
              <w:rPr>
                <w:rFonts w:eastAsia="Times New Roman"/>
                <w:color w:val="000000"/>
                <w:sz w:val="20"/>
                <w:szCs w:val="20"/>
              </w:rPr>
              <w:t>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A2E5E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AD0B1"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05073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F2BEEB" w14:textId="77777777" w:rsidR="00000000" w:rsidRDefault="001A570A">
            <w:pPr>
              <w:jc w:val="right"/>
              <w:rPr>
                <w:rFonts w:eastAsia="Times New Roman"/>
              </w:rPr>
            </w:pPr>
            <w:r>
              <w:rPr>
                <w:rFonts w:eastAsia="Times New Roman"/>
                <w:color w:val="000000"/>
                <w:sz w:val="20"/>
                <w:szCs w:val="20"/>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93137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E989E"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11BDD1"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ABBB4A" w14:textId="77777777" w:rsidR="00000000" w:rsidRDefault="001A570A">
            <w:pPr>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3CE0D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AABF0"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F2FE7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19D542" w14:textId="77777777" w:rsidR="00000000" w:rsidRDefault="001A570A">
            <w:pPr>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170245" w14:textId="77777777" w:rsidR="00000000" w:rsidRDefault="001A570A">
            <w:pPr>
              <w:jc w:val="right"/>
              <w:rPr>
                <w:rFonts w:eastAsia="Times New Roman"/>
              </w:rPr>
            </w:pPr>
          </w:p>
        </w:tc>
      </w:tr>
      <w:tr w:rsidR="00000000" w14:paraId="37209A60" w14:textId="77777777">
        <w:trPr>
          <w:divId w:val="327246056"/>
        </w:trPr>
        <w:tc>
          <w:tcPr>
            <w:tcW w:w="0" w:type="auto"/>
            <w:gridSpan w:val="3"/>
            <w:shd w:val="clear" w:color="auto" w:fill="CCEEFF"/>
            <w:tcMar>
              <w:top w:w="30" w:type="dxa"/>
              <w:left w:w="20" w:type="dxa"/>
              <w:bottom w:w="30" w:type="dxa"/>
              <w:right w:w="20" w:type="dxa"/>
            </w:tcMar>
            <w:hideMark/>
          </w:tcPr>
          <w:p w14:paraId="75DF73A0" w14:textId="77777777" w:rsidR="00000000" w:rsidRDefault="001A570A">
            <w:pPr>
              <w:rPr>
                <w:rFonts w:eastAsia="Times New Roman"/>
              </w:rPr>
            </w:pPr>
            <w:r>
              <w:rPr>
                <w:rFonts w:eastAsia="Times New Roman"/>
                <w:b/>
                <w:bCs/>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63C06E"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A06D0"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44450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849B3"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D0280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9D5444"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B66A80" w14:textId="77777777" w:rsidR="00000000" w:rsidRDefault="001A570A">
            <w:pPr>
              <w:rPr>
                <w:rFonts w:eastAsia="Times New Roman"/>
                <w:sz w:val="20"/>
                <w:szCs w:val="20"/>
              </w:rPr>
            </w:pPr>
          </w:p>
        </w:tc>
      </w:tr>
      <w:tr w:rsidR="00000000" w14:paraId="57E752CA" w14:textId="77777777">
        <w:trPr>
          <w:divId w:val="327246056"/>
        </w:trPr>
        <w:tc>
          <w:tcPr>
            <w:tcW w:w="0" w:type="auto"/>
            <w:gridSpan w:val="3"/>
            <w:shd w:val="clear" w:color="auto" w:fill="FFFFFF"/>
            <w:tcMar>
              <w:top w:w="30" w:type="dxa"/>
              <w:left w:w="20" w:type="dxa"/>
              <w:bottom w:w="30" w:type="dxa"/>
              <w:right w:w="20" w:type="dxa"/>
            </w:tcMar>
            <w:hideMark/>
          </w:tcPr>
          <w:p w14:paraId="78CF21AC" w14:textId="77777777" w:rsidR="00000000" w:rsidRDefault="001A570A">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14:paraId="3D4BCAA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AA5C96" w14:textId="77777777" w:rsidR="00000000" w:rsidRDefault="001A570A">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65AE99E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2B0E4"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591EB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FBAD3E" w14:textId="77777777" w:rsidR="00000000" w:rsidRDefault="001A570A">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5831F2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C5CB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BCD150"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B6A9D3"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299DF39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6F67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79404A"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A43EA9" w14:textId="77777777" w:rsidR="00000000" w:rsidRDefault="001A570A">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704A2D4" w14:textId="77777777" w:rsidR="00000000" w:rsidRDefault="001A570A">
            <w:pPr>
              <w:jc w:val="right"/>
              <w:rPr>
                <w:rFonts w:eastAsia="Times New Roman"/>
              </w:rPr>
            </w:pPr>
          </w:p>
        </w:tc>
      </w:tr>
      <w:tr w:rsidR="00000000" w14:paraId="06A961E3" w14:textId="77777777">
        <w:trPr>
          <w:divId w:val="327246056"/>
        </w:trPr>
        <w:tc>
          <w:tcPr>
            <w:tcW w:w="0" w:type="auto"/>
            <w:gridSpan w:val="3"/>
            <w:shd w:val="clear" w:color="auto" w:fill="CCEEFF"/>
            <w:tcMar>
              <w:top w:w="30" w:type="dxa"/>
              <w:left w:w="20" w:type="dxa"/>
              <w:bottom w:w="30" w:type="dxa"/>
              <w:right w:w="20" w:type="dxa"/>
            </w:tcMar>
            <w:hideMark/>
          </w:tcPr>
          <w:p w14:paraId="605FFCED" w14:textId="77777777" w:rsidR="00000000" w:rsidRDefault="001A570A">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14:paraId="5D76FF5D" w14:textId="77777777" w:rsidR="00000000" w:rsidRDefault="001A570A">
            <w:pPr>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392F88D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2B70A"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54E747" w14:textId="77777777" w:rsidR="00000000" w:rsidRDefault="001A570A">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64397751"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3472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E60A4" w14:textId="77777777" w:rsidR="00000000" w:rsidRDefault="001A570A">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00FE3E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0CD4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004A4"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4A7F09D7" w14:textId="77777777" w:rsidR="00000000" w:rsidRDefault="001A570A">
            <w:pPr>
              <w:jc w:val="right"/>
              <w:rPr>
                <w:rFonts w:eastAsia="Times New Roman"/>
              </w:rPr>
            </w:pPr>
          </w:p>
        </w:tc>
      </w:tr>
      <w:tr w:rsidR="00000000" w14:paraId="5040C135" w14:textId="77777777">
        <w:trPr>
          <w:divId w:val="327246056"/>
        </w:trPr>
        <w:tc>
          <w:tcPr>
            <w:tcW w:w="0" w:type="auto"/>
            <w:gridSpan w:val="3"/>
            <w:shd w:val="clear" w:color="auto" w:fill="FFFFFF"/>
            <w:tcMar>
              <w:top w:w="30" w:type="dxa"/>
              <w:left w:w="20" w:type="dxa"/>
              <w:bottom w:w="30" w:type="dxa"/>
              <w:right w:w="20" w:type="dxa"/>
            </w:tcMar>
            <w:hideMark/>
          </w:tcPr>
          <w:p w14:paraId="2B1D00B5" w14:textId="77777777" w:rsidR="00000000" w:rsidRDefault="001A570A">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14:paraId="12B0DEEC" w14:textId="77777777" w:rsidR="00000000" w:rsidRDefault="001A570A">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2664BBE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A7C2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95363" w14:textId="77777777" w:rsidR="00000000" w:rsidRDefault="001A570A">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1E90BC6F"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9A77F"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B7D50" w14:textId="77777777" w:rsidR="00000000" w:rsidRDefault="001A570A">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29C35F8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45C1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DB1FA" w14:textId="77777777" w:rsidR="00000000" w:rsidRDefault="001A570A">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14:paraId="0E619293" w14:textId="77777777" w:rsidR="00000000" w:rsidRDefault="001A570A">
            <w:pPr>
              <w:jc w:val="right"/>
              <w:rPr>
                <w:rFonts w:eastAsia="Times New Roman"/>
              </w:rPr>
            </w:pPr>
          </w:p>
        </w:tc>
      </w:tr>
      <w:tr w:rsidR="00000000" w14:paraId="5C2C5388" w14:textId="77777777">
        <w:trPr>
          <w:divId w:val="327246056"/>
        </w:trPr>
        <w:tc>
          <w:tcPr>
            <w:tcW w:w="0" w:type="auto"/>
            <w:gridSpan w:val="3"/>
            <w:shd w:val="clear" w:color="auto" w:fill="CCEEFF"/>
            <w:tcMar>
              <w:top w:w="30" w:type="dxa"/>
              <w:left w:w="20" w:type="dxa"/>
              <w:bottom w:w="30" w:type="dxa"/>
              <w:right w:w="20" w:type="dxa"/>
            </w:tcMar>
            <w:hideMark/>
          </w:tcPr>
          <w:p w14:paraId="5F40E3BF" w14:textId="77777777" w:rsidR="00000000" w:rsidRDefault="001A570A">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14:paraId="576DF9E4" w14:textId="77777777" w:rsidR="00000000" w:rsidRDefault="001A570A">
            <w:pPr>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14:paraId="3118820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2585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2A6E4" w14:textId="77777777" w:rsidR="00000000" w:rsidRDefault="001A570A">
            <w:pPr>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28094AA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1A9A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5571D6" w14:textId="77777777" w:rsidR="00000000" w:rsidRDefault="001A570A">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2CFCEB3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994D1"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2F1A54" w14:textId="77777777" w:rsidR="00000000" w:rsidRDefault="001A570A">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6D11BA7E" w14:textId="77777777" w:rsidR="00000000" w:rsidRDefault="001A570A">
            <w:pPr>
              <w:jc w:val="right"/>
              <w:rPr>
                <w:rFonts w:eastAsia="Times New Roman"/>
              </w:rPr>
            </w:pPr>
          </w:p>
        </w:tc>
      </w:tr>
      <w:tr w:rsidR="00000000" w14:paraId="1BFE3968" w14:textId="77777777">
        <w:trPr>
          <w:divId w:val="327246056"/>
        </w:trPr>
        <w:tc>
          <w:tcPr>
            <w:tcW w:w="0" w:type="auto"/>
            <w:gridSpan w:val="3"/>
            <w:shd w:val="clear" w:color="auto" w:fill="FFFFFF"/>
            <w:tcMar>
              <w:top w:w="30" w:type="dxa"/>
              <w:left w:w="20" w:type="dxa"/>
              <w:bottom w:w="30" w:type="dxa"/>
              <w:right w:w="20" w:type="dxa"/>
            </w:tcMar>
            <w:hideMark/>
          </w:tcPr>
          <w:p w14:paraId="2B8D67A4" w14:textId="77777777" w:rsidR="00000000" w:rsidRDefault="001A570A">
            <w:pPr>
              <w:divId w:val="177739754"/>
              <w:rPr>
                <w:rFonts w:eastAsia="Times New Roman"/>
              </w:rPr>
            </w:pPr>
            <w:r>
              <w:rPr>
                <w:rFonts w:eastAsia="Times New Roman"/>
                <w:color w:val="000000"/>
                <w:sz w:val="20"/>
                <w:szCs w:val="20"/>
              </w:rPr>
              <w:t>Other non-reportable business segment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ACDD33F"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2DFB7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4ED82"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E84FA5"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44485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8A34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BBA012" w14:textId="77777777" w:rsidR="00000000" w:rsidRDefault="001A570A">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74F8B9D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F3FB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BD64C" w14:textId="77777777" w:rsidR="00000000" w:rsidRDefault="001A570A">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5990FC1" w14:textId="77777777" w:rsidR="00000000" w:rsidRDefault="001A570A">
            <w:pPr>
              <w:jc w:val="right"/>
              <w:rPr>
                <w:rFonts w:eastAsia="Times New Roman"/>
              </w:rPr>
            </w:pPr>
          </w:p>
        </w:tc>
      </w:tr>
      <w:tr w:rsidR="00000000" w14:paraId="5D8D9D78" w14:textId="77777777">
        <w:trPr>
          <w:divId w:val="327246056"/>
        </w:trPr>
        <w:tc>
          <w:tcPr>
            <w:tcW w:w="0" w:type="auto"/>
            <w:gridSpan w:val="3"/>
            <w:shd w:val="clear" w:color="auto" w:fill="CCEEFF"/>
            <w:tcMar>
              <w:top w:w="30" w:type="dxa"/>
              <w:left w:w="20" w:type="dxa"/>
              <w:bottom w:w="30" w:type="dxa"/>
              <w:right w:w="20" w:type="dxa"/>
            </w:tcMar>
            <w:hideMark/>
          </w:tcPr>
          <w:p w14:paraId="02ECF98A" w14:textId="77777777" w:rsidR="00000000" w:rsidRDefault="001A570A">
            <w:pPr>
              <w:rPr>
                <w:rFonts w:eastAsia="Times New Roman"/>
              </w:rPr>
            </w:pPr>
            <w:r>
              <w:rPr>
                <w:rFonts w:eastAsia="Times New Roman"/>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582DE3CB" w14:textId="77777777" w:rsidR="00000000" w:rsidRDefault="001A570A">
            <w:pPr>
              <w:jc w:val="right"/>
              <w:rPr>
                <w:rFonts w:eastAsia="Times New Roman"/>
              </w:rPr>
            </w:pPr>
            <w:r>
              <w:rPr>
                <w:rFonts w:eastAsia="Times New Roman"/>
                <w:color w:val="000000"/>
                <w:sz w:val="20"/>
                <w:szCs w:val="20"/>
              </w:rPr>
              <w:t>732 </w:t>
            </w:r>
          </w:p>
        </w:tc>
        <w:tc>
          <w:tcPr>
            <w:tcW w:w="0" w:type="auto"/>
            <w:shd w:val="clear" w:color="auto" w:fill="CCEEFF"/>
            <w:tcMar>
              <w:top w:w="30" w:type="dxa"/>
              <w:left w:w="0" w:type="dxa"/>
              <w:bottom w:w="30" w:type="dxa"/>
              <w:right w:w="20" w:type="dxa"/>
            </w:tcMar>
            <w:vAlign w:val="bottom"/>
            <w:hideMark/>
          </w:tcPr>
          <w:p w14:paraId="7388D9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01D1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39E8A1" w14:textId="77777777" w:rsidR="00000000" w:rsidRDefault="001A570A">
            <w:pPr>
              <w:jc w:val="right"/>
              <w:rPr>
                <w:rFonts w:eastAsia="Times New Roman"/>
              </w:rPr>
            </w:pPr>
            <w:r>
              <w:rPr>
                <w:rFonts w:eastAsia="Times New Roman"/>
                <w:color w:val="000000"/>
                <w:sz w:val="20"/>
                <w:szCs w:val="20"/>
              </w:rPr>
              <w:t>289 </w:t>
            </w:r>
          </w:p>
        </w:tc>
        <w:tc>
          <w:tcPr>
            <w:tcW w:w="0" w:type="auto"/>
            <w:shd w:val="clear" w:color="auto" w:fill="CCEEFF"/>
            <w:tcMar>
              <w:top w:w="30" w:type="dxa"/>
              <w:left w:w="0" w:type="dxa"/>
              <w:bottom w:w="30" w:type="dxa"/>
              <w:right w:w="20" w:type="dxa"/>
            </w:tcMar>
            <w:vAlign w:val="bottom"/>
            <w:hideMark/>
          </w:tcPr>
          <w:p w14:paraId="1D9E557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0613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DE1EF2" w14:textId="77777777" w:rsidR="00000000" w:rsidRDefault="001A570A">
            <w:pPr>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72560AF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EC85E"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89B211" w14:textId="77777777" w:rsidR="00000000" w:rsidRDefault="001A570A">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2580E994" w14:textId="77777777" w:rsidR="00000000" w:rsidRDefault="001A570A">
            <w:pPr>
              <w:jc w:val="right"/>
              <w:rPr>
                <w:rFonts w:eastAsia="Times New Roman"/>
              </w:rPr>
            </w:pPr>
          </w:p>
        </w:tc>
      </w:tr>
      <w:tr w:rsidR="00000000" w14:paraId="11470C12" w14:textId="77777777">
        <w:trPr>
          <w:divId w:val="327246056"/>
        </w:trPr>
        <w:tc>
          <w:tcPr>
            <w:tcW w:w="0" w:type="auto"/>
            <w:gridSpan w:val="3"/>
            <w:vAlign w:val="center"/>
            <w:hideMark/>
          </w:tcPr>
          <w:p w14:paraId="1CDEE21B" w14:textId="77777777" w:rsidR="00000000" w:rsidRDefault="001A570A">
            <w:pPr>
              <w:jc w:val="right"/>
              <w:rPr>
                <w:rFonts w:eastAsia="Times New Roman"/>
                <w:sz w:val="20"/>
                <w:szCs w:val="20"/>
              </w:rPr>
            </w:pPr>
          </w:p>
        </w:tc>
        <w:tc>
          <w:tcPr>
            <w:tcW w:w="0" w:type="auto"/>
            <w:gridSpan w:val="3"/>
            <w:vAlign w:val="center"/>
            <w:hideMark/>
          </w:tcPr>
          <w:p w14:paraId="2D94F3A9" w14:textId="77777777" w:rsidR="00000000" w:rsidRDefault="001A570A">
            <w:pPr>
              <w:rPr>
                <w:rFonts w:eastAsia="Times New Roman"/>
                <w:sz w:val="20"/>
                <w:szCs w:val="20"/>
              </w:rPr>
            </w:pPr>
          </w:p>
        </w:tc>
        <w:tc>
          <w:tcPr>
            <w:tcW w:w="0" w:type="auto"/>
            <w:gridSpan w:val="3"/>
            <w:vAlign w:val="center"/>
            <w:hideMark/>
          </w:tcPr>
          <w:p w14:paraId="465469AB" w14:textId="77777777" w:rsidR="00000000" w:rsidRDefault="001A570A">
            <w:pPr>
              <w:rPr>
                <w:rFonts w:eastAsia="Times New Roman"/>
                <w:sz w:val="20"/>
                <w:szCs w:val="20"/>
              </w:rPr>
            </w:pPr>
          </w:p>
        </w:tc>
        <w:tc>
          <w:tcPr>
            <w:tcW w:w="0" w:type="auto"/>
            <w:gridSpan w:val="3"/>
            <w:vAlign w:val="center"/>
            <w:hideMark/>
          </w:tcPr>
          <w:p w14:paraId="2F66A5B4" w14:textId="77777777" w:rsidR="00000000" w:rsidRDefault="001A570A">
            <w:pPr>
              <w:rPr>
                <w:rFonts w:eastAsia="Times New Roman"/>
                <w:sz w:val="20"/>
                <w:szCs w:val="20"/>
              </w:rPr>
            </w:pPr>
          </w:p>
        </w:tc>
        <w:tc>
          <w:tcPr>
            <w:tcW w:w="0" w:type="auto"/>
            <w:gridSpan w:val="3"/>
            <w:vAlign w:val="center"/>
            <w:hideMark/>
          </w:tcPr>
          <w:p w14:paraId="0FEFC967" w14:textId="77777777" w:rsidR="00000000" w:rsidRDefault="001A570A">
            <w:pPr>
              <w:rPr>
                <w:rFonts w:eastAsia="Times New Roman"/>
                <w:sz w:val="20"/>
                <w:szCs w:val="20"/>
              </w:rPr>
            </w:pPr>
          </w:p>
        </w:tc>
        <w:tc>
          <w:tcPr>
            <w:tcW w:w="0" w:type="auto"/>
            <w:gridSpan w:val="3"/>
            <w:vAlign w:val="center"/>
            <w:hideMark/>
          </w:tcPr>
          <w:p w14:paraId="7D0E342E" w14:textId="77777777" w:rsidR="00000000" w:rsidRDefault="001A570A">
            <w:pPr>
              <w:rPr>
                <w:rFonts w:eastAsia="Times New Roman"/>
                <w:sz w:val="20"/>
                <w:szCs w:val="20"/>
              </w:rPr>
            </w:pPr>
          </w:p>
        </w:tc>
        <w:tc>
          <w:tcPr>
            <w:tcW w:w="0" w:type="auto"/>
            <w:gridSpan w:val="3"/>
            <w:vAlign w:val="center"/>
            <w:hideMark/>
          </w:tcPr>
          <w:p w14:paraId="24F4B8A8" w14:textId="77777777" w:rsidR="00000000" w:rsidRDefault="001A570A">
            <w:pPr>
              <w:rPr>
                <w:rFonts w:eastAsia="Times New Roman"/>
                <w:sz w:val="20"/>
                <w:szCs w:val="20"/>
              </w:rPr>
            </w:pPr>
          </w:p>
        </w:tc>
        <w:tc>
          <w:tcPr>
            <w:tcW w:w="0" w:type="auto"/>
            <w:gridSpan w:val="3"/>
            <w:vAlign w:val="center"/>
            <w:hideMark/>
          </w:tcPr>
          <w:p w14:paraId="5B5CC6E4" w14:textId="77777777" w:rsidR="00000000" w:rsidRDefault="001A570A">
            <w:pPr>
              <w:rPr>
                <w:rFonts w:eastAsia="Times New Roman"/>
                <w:sz w:val="20"/>
                <w:szCs w:val="20"/>
              </w:rPr>
            </w:pPr>
          </w:p>
        </w:tc>
      </w:tr>
      <w:tr w:rsidR="00000000" w14:paraId="003103CA" w14:textId="77777777">
        <w:trPr>
          <w:divId w:val="327246056"/>
        </w:trPr>
        <w:tc>
          <w:tcPr>
            <w:tcW w:w="0" w:type="auto"/>
            <w:gridSpan w:val="3"/>
            <w:shd w:val="clear" w:color="auto" w:fill="FFFFFF"/>
            <w:tcMar>
              <w:top w:w="0" w:type="dxa"/>
              <w:left w:w="20" w:type="dxa"/>
              <w:bottom w:w="0" w:type="dxa"/>
              <w:right w:w="20" w:type="dxa"/>
            </w:tcMar>
            <w:vAlign w:val="center"/>
            <w:hideMark/>
          </w:tcPr>
          <w:p w14:paraId="6DA6CFF3" w14:textId="77777777" w:rsidR="00000000" w:rsidRDefault="001A570A">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848D12"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24C5AD" w14:textId="77777777" w:rsidR="00000000" w:rsidRDefault="001A570A">
            <w:pPr>
              <w:jc w:val="right"/>
              <w:rPr>
                <w:rFonts w:eastAsia="Times New Roman"/>
              </w:rPr>
            </w:pPr>
            <w:r>
              <w:rPr>
                <w:rFonts w:eastAsia="Times New Roman"/>
                <w:color w:val="000000"/>
                <w:sz w:val="20"/>
                <w:szCs w:val="20"/>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C06B6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4CABF"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42DF0C"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73AB26" w14:textId="77777777" w:rsidR="00000000" w:rsidRDefault="001A570A">
            <w:pPr>
              <w:jc w:val="right"/>
              <w:rPr>
                <w:rFonts w:eastAsia="Times New Roman"/>
              </w:rPr>
            </w:pPr>
            <w:r>
              <w:rPr>
                <w:rFonts w:eastAsia="Times New Roman"/>
                <w:color w:val="000000"/>
                <w:sz w:val="20"/>
                <w:szCs w:val="20"/>
              </w:rPr>
              <w:t>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7997D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2CE13"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6886DF"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0AD5EE" w14:textId="77777777" w:rsidR="00000000" w:rsidRDefault="001A570A">
            <w:pPr>
              <w:jc w:val="right"/>
              <w:rPr>
                <w:rFonts w:eastAsia="Times New Roman"/>
              </w:rPr>
            </w:pPr>
            <w:r>
              <w:rPr>
                <w:rFonts w:eastAsia="Times New Roman"/>
                <w:color w:val="000000"/>
                <w:sz w:val="20"/>
                <w:szCs w:val="20"/>
              </w:rPr>
              <w:t>258 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BDD8C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2823E"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BB5B96"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B58C3D" w14:textId="77777777" w:rsidR="00000000" w:rsidRDefault="001A570A">
            <w:pPr>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D1FF03" w14:textId="77777777" w:rsidR="00000000" w:rsidRDefault="001A570A">
            <w:pPr>
              <w:jc w:val="right"/>
              <w:rPr>
                <w:rFonts w:eastAsia="Times New Roman"/>
              </w:rPr>
            </w:pPr>
          </w:p>
        </w:tc>
      </w:tr>
      <w:tr w:rsidR="00000000" w14:paraId="4AAFD66F" w14:textId="77777777">
        <w:trPr>
          <w:divId w:val="327246056"/>
        </w:trPr>
        <w:tc>
          <w:tcPr>
            <w:tcW w:w="0" w:type="auto"/>
            <w:gridSpan w:val="3"/>
            <w:shd w:val="clear" w:color="auto" w:fill="CCEEFF"/>
            <w:tcMar>
              <w:top w:w="30" w:type="dxa"/>
              <w:left w:w="20" w:type="dxa"/>
              <w:bottom w:w="30" w:type="dxa"/>
              <w:right w:w="20" w:type="dxa"/>
            </w:tcMar>
            <w:hideMark/>
          </w:tcPr>
          <w:p w14:paraId="736B0CDC" w14:textId="77777777" w:rsidR="00000000" w:rsidRDefault="001A570A">
            <w:pPr>
              <w:rPr>
                <w:rFonts w:eastAsia="Times New Roman"/>
              </w:rPr>
            </w:pPr>
            <w:r>
              <w:rPr>
                <w:rFonts w:eastAsia="Times New Roman"/>
                <w:b/>
                <w:bCs/>
                <w:color w:val="000000"/>
                <w:sz w:val="20"/>
                <w:szCs w:val="20"/>
              </w:rPr>
              <w:t>Geographical Information for Continuing Operations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D941C4"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CEF5E"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37CA09"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4E696D"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2F503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26259A"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7D5EF0" w14:textId="77777777" w:rsidR="00000000" w:rsidRDefault="001A570A">
            <w:pPr>
              <w:rPr>
                <w:rFonts w:eastAsia="Times New Roman"/>
                <w:sz w:val="20"/>
                <w:szCs w:val="20"/>
              </w:rPr>
            </w:pPr>
          </w:p>
        </w:tc>
      </w:tr>
      <w:tr w:rsidR="00000000" w14:paraId="6C2CEB32" w14:textId="77777777">
        <w:trPr>
          <w:divId w:val="327246056"/>
        </w:trPr>
        <w:tc>
          <w:tcPr>
            <w:tcW w:w="0" w:type="auto"/>
            <w:gridSpan w:val="3"/>
            <w:shd w:val="clear" w:color="auto" w:fill="FFFFFF"/>
            <w:tcMar>
              <w:top w:w="30" w:type="dxa"/>
              <w:left w:w="20" w:type="dxa"/>
              <w:bottom w:w="30" w:type="dxa"/>
              <w:right w:w="20" w:type="dxa"/>
            </w:tcMar>
            <w:hideMark/>
          </w:tcPr>
          <w:p w14:paraId="56C23178" w14:textId="77777777" w:rsidR="00000000" w:rsidRDefault="001A570A">
            <w:pPr>
              <w:rPr>
                <w:rFonts w:eastAsia="Times New Roman"/>
              </w:rPr>
            </w:pPr>
            <w:r>
              <w:rPr>
                <w:rFonts w:eastAsia="Times New Roman"/>
                <w:color w:val="000000"/>
                <w:sz w:val="20"/>
                <w:szCs w:val="20"/>
              </w:rPr>
              <w:t>U.S. operations:</w:t>
            </w:r>
          </w:p>
        </w:tc>
        <w:tc>
          <w:tcPr>
            <w:tcW w:w="0" w:type="auto"/>
            <w:gridSpan w:val="3"/>
            <w:shd w:val="clear" w:color="auto" w:fill="FFFFFF"/>
            <w:tcMar>
              <w:top w:w="0" w:type="dxa"/>
              <w:left w:w="20" w:type="dxa"/>
              <w:bottom w:w="0" w:type="dxa"/>
              <w:right w:w="20" w:type="dxa"/>
            </w:tcMar>
            <w:vAlign w:val="center"/>
            <w:hideMark/>
          </w:tcPr>
          <w:p w14:paraId="72F0BDEE"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33E89"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72D6FA"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ADFA0D"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EBEA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C414A2"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586524" w14:textId="77777777" w:rsidR="00000000" w:rsidRDefault="001A570A">
            <w:pPr>
              <w:rPr>
                <w:rFonts w:eastAsia="Times New Roman"/>
                <w:sz w:val="20"/>
                <w:szCs w:val="20"/>
              </w:rPr>
            </w:pPr>
          </w:p>
        </w:tc>
      </w:tr>
      <w:tr w:rsidR="00000000" w14:paraId="2A866441" w14:textId="77777777">
        <w:trPr>
          <w:divId w:val="327246056"/>
        </w:trPr>
        <w:tc>
          <w:tcPr>
            <w:tcW w:w="0" w:type="auto"/>
            <w:gridSpan w:val="3"/>
            <w:shd w:val="clear" w:color="auto" w:fill="CCEEFF"/>
            <w:tcMar>
              <w:top w:w="30" w:type="dxa"/>
              <w:left w:w="155" w:type="dxa"/>
              <w:bottom w:w="30" w:type="dxa"/>
              <w:right w:w="20" w:type="dxa"/>
            </w:tcMar>
            <w:hideMark/>
          </w:tcPr>
          <w:p w14:paraId="1247C432" w14:textId="77777777" w:rsidR="00000000" w:rsidRDefault="001A570A">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14:paraId="663E5C59"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69A64A" w14:textId="77777777" w:rsidR="00000000" w:rsidRDefault="001A570A">
            <w:pPr>
              <w:jc w:val="right"/>
              <w:rPr>
                <w:rFonts w:eastAsia="Times New Roman"/>
              </w:rPr>
            </w:pPr>
            <w:r>
              <w:rPr>
                <w:rFonts w:eastAsia="Times New Roman"/>
                <w:color w:val="000000"/>
                <w:sz w:val="20"/>
                <w:szCs w:val="20"/>
              </w:rPr>
              <w:t>16,998 </w:t>
            </w:r>
          </w:p>
        </w:tc>
        <w:tc>
          <w:tcPr>
            <w:tcW w:w="0" w:type="auto"/>
            <w:shd w:val="clear" w:color="auto" w:fill="CCEEFF"/>
            <w:tcMar>
              <w:top w:w="30" w:type="dxa"/>
              <w:left w:w="0" w:type="dxa"/>
              <w:bottom w:w="30" w:type="dxa"/>
              <w:right w:w="20" w:type="dxa"/>
            </w:tcMar>
            <w:vAlign w:val="bottom"/>
            <w:hideMark/>
          </w:tcPr>
          <w:p w14:paraId="4D1D243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27EA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C1FF4C"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6BE1A7" w14:textId="77777777" w:rsidR="00000000" w:rsidRDefault="001A570A">
            <w:pPr>
              <w:jc w:val="right"/>
              <w:rPr>
                <w:rFonts w:eastAsia="Times New Roman"/>
              </w:rPr>
            </w:pPr>
            <w:r>
              <w:rPr>
                <w:rFonts w:eastAsia="Times New Roman"/>
                <w:color w:val="000000"/>
                <w:sz w:val="20"/>
                <w:szCs w:val="20"/>
              </w:rPr>
              <w:t>8,485 </w:t>
            </w:r>
          </w:p>
        </w:tc>
        <w:tc>
          <w:tcPr>
            <w:tcW w:w="0" w:type="auto"/>
            <w:shd w:val="clear" w:color="auto" w:fill="CCEEFF"/>
            <w:tcMar>
              <w:top w:w="30" w:type="dxa"/>
              <w:left w:w="0" w:type="dxa"/>
              <w:bottom w:w="30" w:type="dxa"/>
              <w:right w:w="20" w:type="dxa"/>
            </w:tcMar>
            <w:vAlign w:val="bottom"/>
            <w:hideMark/>
          </w:tcPr>
          <w:p w14:paraId="22BC6B6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04C6B"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308498"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5B83A3" w14:textId="77777777" w:rsidR="00000000" w:rsidRDefault="001A570A">
            <w:pPr>
              <w:jc w:val="right"/>
              <w:rPr>
                <w:rFonts w:eastAsia="Times New Roman"/>
              </w:rPr>
            </w:pPr>
            <w:r>
              <w:rPr>
                <w:rFonts w:eastAsia="Times New Roman"/>
                <w:color w:val="000000"/>
                <w:sz w:val="20"/>
                <w:szCs w:val="20"/>
              </w:rPr>
              <w:t>6,530 </w:t>
            </w:r>
          </w:p>
        </w:tc>
        <w:tc>
          <w:tcPr>
            <w:tcW w:w="0" w:type="auto"/>
            <w:shd w:val="clear" w:color="auto" w:fill="CCEEFF"/>
            <w:tcMar>
              <w:top w:w="30" w:type="dxa"/>
              <w:left w:w="0" w:type="dxa"/>
              <w:bottom w:w="30" w:type="dxa"/>
              <w:right w:w="20" w:type="dxa"/>
            </w:tcMar>
            <w:vAlign w:val="bottom"/>
            <w:hideMark/>
          </w:tcPr>
          <w:p w14:paraId="4DD5E03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7ED02"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1C3AB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0497C0" w14:textId="77777777" w:rsidR="00000000" w:rsidRDefault="001A570A">
            <w:pPr>
              <w:jc w:val="right"/>
              <w:rPr>
                <w:rFonts w:eastAsia="Times New Roman"/>
              </w:rPr>
            </w:pPr>
            <w:r>
              <w:rPr>
                <w:rFonts w:eastAsia="Times New Roman"/>
                <w:color w:val="000000"/>
                <w:sz w:val="20"/>
                <w:szCs w:val="20"/>
              </w:rPr>
              <w:t>5,854 </w:t>
            </w:r>
          </w:p>
        </w:tc>
        <w:tc>
          <w:tcPr>
            <w:tcW w:w="0" w:type="auto"/>
            <w:shd w:val="clear" w:color="auto" w:fill="CCEEFF"/>
            <w:tcMar>
              <w:top w:w="30" w:type="dxa"/>
              <w:left w:w="0" w:type="dxa"/>
              <w:bottom w:w="30" w:type="dxa"/>
              <w:right w:w="20" w:type="dxa"/>
            </w:tcMar>
            <w:vAlign w:val="bottom"/>
            <w:hideMark/>
          </w:tcPr>
          <w:p w14:paraId="113E9FD5" w14:textId="77777777" w:rsidR="00000000" w:rsidRDefault="001A570A">
            <w:pPr>
              <w:jc w:val="right"/>
              <w:rPr>
                <w:rFonts w:eastAsia="Times New Roman"/>
              </w:rPr>
            </w:pPr>
          </w:p>
        </w:tc>
      </w:tr>
      <w:tr w:rsidR="00000000" w14:paraId="16242B8C" w14:textId="77777777">
        <w:trPr>
          <w:divId w:val="327246056"/>
        </w:trPr>
        <w:tc>
          <w:tcPr>
            <w:tcW w:w="0" w:type="auto"/>
            <w:gridSpan w:val="3"/>
            <w:shd w:val="clear" w:color="auto" w:fill="FFFFFF"/>
            <w:tcMar>
              <w:top w:w="30" w:type="dxa"/>
              <w:left w:w="20" w:type="dxa"/>
              <w:bottom w:w="30" w:type="dxa"/>
              <w:right w:w="20" w:type="dxa"/>
            </w:tcMar>
            <w:hideMark/>
          </w:tcPr>
          <w:p w14:paraId="00C0DC19" w14:textId="77777777" w:rsidR="00000000" w:rsidRDefault="001A570A">
            <w:pPr>
              <w:divId w:val="2015568348"/>
              <w:rPr>
                <w:rFonts w:eastAsia="Times New Roman"/>
              </w:rPr>
            </w:pPr>
            <w:r>
              <w:rPr>
                <w:rFonts w:eastAsia="Times New Roman"/>
                <w:color w:val="000000"/>
                <w:sz w:val="20"/>
                <w:szCs w:val="20"/>
              </w:rPr>
              <w:t>Long-lived asset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01C84D5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4B435D" w14:textId="77777777" w:rsidR="00000000" w:rsidRDefault="001A570A">
            <w:pPr>
              <w:jc w:val="right"/>
              <w:rPr>
                <w:rFonts w:eastAsia="Times New Roman"/>
              </w:rPr>
            </w:pPr>
            <w:r>
              <w:rPr>
                <w:rFonts w:eastAsia="Times New Roman"/>
                <w:color w:val="000000"/>
                <w:sz w:val="20"/>
                <w:szCs w:val="20"/>
              </w:rPr>
              <w:t>1,949 </w:t>
            </w:r>
          </w:p>
        </w:tc>
        <w:tc>
          <w:tcPr>
            <w:tcW w:w="0" w:type="auto"/>
            <w:shd w:val="clear" w:color="auto" w:fill="FFFFFF"/>
            <w:tcMar>
              <w:top w:w="30" w:type="dxa"/>
              <w:left w:w="0" w:type="dxa"/>
              <w:bottom w:w="30" w:type="dxa"/>
              <w:right w:w="20" w:type="dxa"/>
            </w:tcMar>
            <w:vAlign w:val="bottom"/>
            <w:hideMark/>
          </w:tcPr>
          <w:p w14:paraId="6E6446C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CE2F1"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9B0181"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95966A" w14:textId="77777777" w:rsidR="00000000" w:rsidRDefault="001A570A">
            <w:pPr>
              <w:jc w:val="right"/>
              <w:rPr>
                <w:rFonts w:eastAsia="Times New Roman"/>
              </w:rPr>
            </w:pPr>
            <w:r>
              <w:rPr>
                <w:rFonts w:eastAsia="Times New Roman"/>
                <w:color w:val="000000"/>
                <w:sz w:val="20"/>
                <w:szCs w:val="20"/>
              </w:rPr>
              <w:t>1,865 </w:t>
            </w:r>
          </w:p>
        </w:tc>
        <w:tc>
          <w:tcPr>
            <w:tcW w:w="0" w:type="auto"/>
            <w:shd w:val="clear" w:color="auto" w:fill="FFFFFF"/>
            <w:tcMar>
              <w:top w:w="30" w:type="dxa"/>
              <w:left w:w="0" w:type="dxa"/>
              <w:bottom w:w="30" w:type="dxa"/>
              <w:right w:w="20" w:type="dxa"/>
            </w:tcMar>
            <w:vAlign w:val="bottom"/>
            <w:hideMark/>
          </w:tcPr>
          <w:p w14:paraId="59B8579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44792"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3A631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F9166B" w14:textId="77777777" w:rsidR="00000000" w:rsidRDefault="001A570A">
            <w:pPr>
              <w:jc w:val="right"/>
              <w:rPr>
                <w:rFonts w:eastAsia="Times New Roman"/>
              </w:rPr>
            </w:pPr>
            <w:r>
              <w:rPr>
                <w:rFonts w:eastAsia="Times New Roman"/>
                <w:color w:val="000000"/>
                <w:sz w:val="20"/>
                <w:szCs w:val="20"/>
              </w:rPr>
              <w:t>866 </w:t>
            </w:r>
          </w:p>
        </w:tc>
        <w:tc>
          <w:tcPr>
            <w:tcW w:w="0" w:type="auto"/>
            <w:shd w:val="clear" w:color="auto" w:fill="FFFFFF"/>
            <w:tcMar>
              <w:top w:w="30" w:type="dxa"/>
              <w:left w:w="0" w:type="dxa"/>
              <w:bottom w:w="30" w:type="dxa"/>
              <w:right w:w="20" w:type="dxa"/>
            </w:tcMar>
            <w:vAlign w:val="bottom"/>
            <w:hideMark/>
          </w:tcPr>
          <w:p w14:paraId="67DDDA4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B42E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12C72D"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6FDDB7" w14:textId="77777777" w:rsidR="00000000" w:rsidRDefault="001A570A">
            <w:pPr>
              <w:jc w:val="right"/>
              <w:rPr>
                <w:rFonts w:eastAsia="Times New Roman"/>
              </w:rPr>
            </w:pPr>
            <w:r>
              <w:rPr>
                <w:rFonts w:eastAsia="Times New Roman"/>
                <w:color w:val="000000"/>
                <w:sz w:val="20"/>
                <w:szCs w:val="20"/>
              </w:rPr>
              <w:t>892 </w:t>
            </w:r>
          </w:p>
        </w:tc>
        <w:tc>
          <w:tcPr>
            <w:tcW w:w="0" w:type="auto"/>
            <w:shd w:val="clear" w:color="auto" w:fill="FFFFFF"/>
            <w:tcMar>
              <w:top w:w="30" w:type="dxa"/>
              <w:left w:w="0" w:type="dxa"/>
              <w:bottom w:w="30" w:type="dxa"/>
              <w:right w:w="20" w:type="dxa"/>
            </w:tcMar>
            <w:vAlign w:val="bottom"/>
            <w:hideMark/>
          </w:tcPr>
          <w:p w14:paraId="7999A38C" w14:textId="77777777" w:rsidR="00000000" w:rsidRDefault="001A570A">
            <w:pPr>
              <w:jc w:val="right"/>
              <w:rPr>
                <w:rFonts w:eastAsia="Times New Roman"/>
              </w:rPr>
            </w:pPr>
          </w:p>
        </w:tc>
      </w:tr>
      <w:tr w:rsidR="00000000" w14:paraId="6B0E9D0E" w14:textId="77777777">
        <w:trPr>
          <w:divId w:val="327246056"/>
        </w:trPr>
        <w:tc>
          <w:tcPr>
            <w:tcW w:w="0" w:type="auto"/>
            <w:gridSpan w:val="3"/>
            <w:shd w:val="clear" w:color="auto" w:fill="CCEEFF"/>
            <w:tcMar>
              <w:top w:w="30" w:type="dxa"/>
              <w:left w:w="20" w:type="dxa"/>
              <w:bottom w:w="30" w:type="dxa"/>
              <w:right w:w="20" w:type="dxa"/>
            </w:tcMar>
            <w:hideMark/>
          </w:tcPr>
          <w:p w14:paraId="04A74CBD" w14:textId="77777777" w:rsidR="00000000" w:rsidRDefault="001A570A">
            <w:pPr>
              <w:rPr>
                <w:rFonts w:eastAsia="Times New Roman"/>
              </w:rPr>
            </w:pPr>
            <w:r>
              <w:rPr>
                <w:rFonts w:eastAsia="Times New Roman"/>
                <w:color w:val="000000"/>
                <w:sz w:val="20"/>
                <w:szCs w:val="20"/>
              </w:rPr>
              <w:t>International operations:</w:t>
            </w:r>
          </w:p>
        </w:tc>
        <w:tc>
          <w:tcPr>
            <w:tcW w:w="0" w:type="auto"/>
            <w:gridSpan w:val="3"/>
            <w:shd w:val="clear" w:color="auto" w:fill="CCEEFF"/>
            <w:tcMar>
              <w:top w:w="0" w:type="dxa"/>
              <w:left w:w="20" w:type="dxa"/>
              <w:bottom w:w="0" w:type="dxa"/>
              <w:right w:w="20" w:type="dxa"/>
            </w:tcMar>
            <w:vAlign w:val="center"/>
            <w:hideMark/>
          </w:tcPr>
          <w:p w14:paraId="2137AEF3"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F7445"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5C6CA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150F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B9E5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7748E"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0F67D0" w14:textId="77777777" w:rsidR="00000000" w:rsidRDefault="001A570A">
            <w:pPr>
              <w:rPr>
                <w:rFonts w:eastAsia="Times New Roman"/>
                <w:sz w:val="20"/>
                <w:szCs w:val="20"/>
              </w:rPr>
            </w:pPr>
          </w:p>
        </w:tc>
      </w:tr>
      <w:tr w:rsidR="00000000" w14:paraId="5BC7EC29" w14:textId="77777777">
        <w:trPr>
          <w:divId w:val="327246056"/>
        </w:trPr>
        <w:tc>
          <w:tcPr>
            <w:tcW w:w="0" w:type="auto"/>
            <w:gridSpan w:val="3"/>
            <w:shd w:val="clear" w:color="auto" w:fill="FFFFFF"/>
            <w:tcMar>
              <w:top w:w="30" w:type="dxa"/>
              <w:left w:w="155" w:type="dxa"/>
              <w:bottom w:w="30" w:type="dxa"/>
              <w:right w:w="20" w:type="dxa"/>
            </w:tcMar>
            <w:hideMark/>
          </w:tcPr>
          <w:p w14:paraId="2AAC2417" w14:textId="77777777" w:rsidR="00000000" w:rsidRDefault="001A570A">
            <w:pPr>
              <w:rPr>
                <w:rFonts w:eastAsia="Times New Roman"/>
              </w:rPr>
            </w:pPr>
            <w:r>
              <w:rPr>
                <w:rFonts w:eastAsia="Times New Roman"/>
                <w:color w:val="000000"/>
                <w:sz w:val="20"/>
                <w:szCs w:val="20"/>
              </w:rPr>
              <w:t>Revenue</w:t>
            </w:r>
          </w:p>
        </w:tc>
        <w:tc>
          <w:tcPr>
            <w:tcW w:w="0" w:type="auto"/>
            <w:shd w:val="clear" w:color="auto" w:fill="FFFFFF"/>
            <w:tcMar>
              <w:top w:w="30" w:type="dxa"/>
              <w:left w:w="20" w:type="dxa"/>
              <w:bottom w:w="30" w:type="dxa"/>
              <w:right w:w="0" w:type="dxa"/>
            </w:tcMar>
            <w:vAlign w:val="bottom"/>
            <w:hideMark/>
          </w:tcPr>
          <w:p w14:paraId="28F13F87"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1EE839" w14:textId="77777777" w:rsidR="00000000" w:rsidRDefault="001A570A">
            <w:pPr>
              <w:jc w:val="right"/>
              <w:rPr>
                <w:rFonts w:eastAsia="Times New Roman"/>
              </w:rPr>
            </w:pPr>
            <w:r>
              <w:rPr>
                <w:rFonts w:eastAsia="Times New Roman"/>
                <w:color w:val="000000"/>
                <w:sz w:val="20"/>
                <w:szCs w:val="20"/>
              </w:rPr>
              <w:t>1,196 </w:t>
            </w:r>
          </w:p>
        </w:tc>
        <w:tc>
          <w:tcPr>
            <w:tcW w:w="0" w:type="auto"/>
            <w:shd w:val="clear" w:color="auto" w:fill="FFFFFF"/>
            <w:tcMar>
              <w:top w:w="30" w:type="dxa"/>
              <w:left w:w="0" w:type="dxa"/>
              <w:bottom w:w="30" w:type="dxa"/>
              <w:right w:w="20" w:type="dxa"/>
            </w:tcMar>
            <w:vAlign w:val="bottom"/>
            <w:hideMark/>
          </w:tcPr>
          <w:p w14:paraId="1EBFA5C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8942C"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6928A3"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48C816" w14:textId="77777777" w:rsidR="00000000" w:rsidRDefault="001A570A">
            <w:pPr>
              <w:jc w:val="right"/>
              <w:rPr>
                <w:rFonts w:eastAsia="Times New Roman"/>
              </w:rPr>
            </w:pPr>
            <w:r>
              <w:rPr>
                <w:rFonts w:eastAsia="Times New Roman"/>
                <w:color w:val="000000"/>
                <w:sz w:val="20"/>
                <w:szCs w:val="20"/>
              </w:rPr>
              <w:t>778 </w:t>
            </w:r>
          </w:p>
        </w:tc>
        <w:tc>
          <w:tcPr>
            <w:tcW w:w="0" w:type="auto"/>
            <w:shd w:val="clear" w:color="auto" w:fill="FFFFFF"/>
            <w:tcMar>
              <w:top w:w="30" w:type="dxa"/>
              <w:left w:w="0" w:type="dxa"/>
              <w:bottom w:w="30" w:type="dxa"/>
              <w:right w:w="20" w:type="dxa"/>
            </w:tcMar>
            <w:vAlign w:val="bottom"/>
            <w:hideMark/>
          </w:tcPr>
          <w:p w14:paraId="7C30C9C8"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9FD08"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2D140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65BDE3" w14:textId="77777777" w:rsidR="00000000" w:rsidRDefault="001A570A">
            <w:pPr>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14:paraId="5E327E8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D3C23"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68F9E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2482866" w14:textId="77777777" w:rsidR="00000000" w:rsidRDefault="001A570A">
            <w:pPr>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14:paraId="3542B935" w14:textId="77777777" w:rsidR="00000000" w:rsidRDefault="001A570A">
            <w:pPr>
              <w:jc w:val="right"/>
              <w:rPr>
                <w:rFonts w:eastAsia="Times New Roman"/>
              </w:rPr>
            </w:pPr>
          </w:p>
        </w:tc>
      </w:tr>
      <w:tr w:rsidR="00000000" w14:paraId="629ED1E9" w14:textId="77777777">
        <w:trPr>
          <w:divId w:val="327246056"/>
        </w:trPr>
        <w:tc>
          <w:tcPr>
            <w:tcW w:w="0" w:type="auto"/>
            <w:gridSpan w:val="3"/>
            <w:shd w:val="clear" w:color="auto" w:fill="CCEEFF"/>
            <w:tcMar>
              <w:top w:w="30" w:type="dxa"/>
              <w:left w:w="20" w:type="dxa"/>
              <w:bottom w:w="30" w:type="dxa"/>
              <w:right w:w="20" w:type="dxa"/>
            </w:tcMar>
            <w:hideMark/>
          </w:tcPr>
          <w:p w14:paraId="1FBBCCCB" w14:textId="77777777" w:rsidR="00000000" w:rsidRDefault="001A570A">
            <w:pPr>
              <w:divId w:val="2014019288"/>
              <w:rPr>
                <w:rFonts w:eastAsia="Times New Roman"/>
              </w:rPr>
            </w:pPr>
            <w:r>
              <w:rPr>
                <w:rFonts w:eastAsia="Times New Roman"/>
                <w:color w:val="000000"/>
                <w:sz w:val="20"/>
                <w:szCs w:val="20"/>
              </w:rPr>
              <w:t>Long-lived asset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02AC50CE"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A4A623" w14:textId="77777777" w:rsidR="00000000" w:rsidRDefault="001A570A">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7286422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43D1D"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C959E0"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89C622" w14:textId="77777777" w:rsidR="00000000" w:rsidRDefault="001A570A">
            <w:pPr>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14:paraId="6982E5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E8029"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77887A"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BB7329" w14:textId="77777777" w:rsidR="00000000" w:rsidRDefault="001A570A">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003DA04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A4FA1"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0DC82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C46146" w14:textId="77777777" w:rsidR="00000000" w:rsidRDefault="001A570A">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72D4A3DA" w14:textId="77777777" w:rsidR="00000000" w:rsidRDefault="001A570A">
            <w:pPr>
              <w:jc w:val="right"/>
              <w:rPr>
                <w:rFonts w:eastAsia="Times New Roman"/>
              </w:rPr>
            </w:pPr>
          </w:p>
        </w:tc>
      </w:tr>
    </w:tbl>
    <w:p w14:paraId="01E7D142" w14:textId="77777777" w:rsidR="00000000" w:rsidRDefault="001A570A">
      <w:pPr>
        <w:divId w:val="1182473214"/>
        <w:rPr>
          <w:rFonts w:eastAsia="Times New Roman"/>
        </w:rPr>
      </w:pPr>
      <w:r>
        <w:rPr>
          <w:rFonts w:eastAsia="Times New Roman"/>
          <w:color w:val="000000"/>
          <w:sz w:val="16"/>
          <w:szCs w:val="16"/>
        </w:rPr>
        <w:t>_______________</w:t>
      </w:r>
    </w:p>
    <w:p w14:paraId="35537CE3" w14:textId="77777777" w:rsidR="00000000" w:rsidRDefault="001A570A">
      <w:pPr>
        <w:ind w:hanging="360"/>
        <w:divId w:val="1913932078"/>
        <w:rPr>
          <w:rFonts w:eastAsia="Times New Roman"/>
        </w:rPr>
      </w:pPr>
      <w:r>
        <w:rPr>
          <w:rFonts w:eastAsia="Times New Roman"/>
          <w:color w:val="000000"/>
          <w:sz w:val="16"/>
          <w:szCs w:val="16"/>
        </w:rPr>
        <w:t>(1)Includes</w:t>
      </w:r>
      <w:r>
        <w:rPr>
          <w:rFonts w:eastAsia="Times New Roman"/>
          <w:color w:val="000000"/>
          <w:sz w:val="16"/>
          <w:szCs w:val="16"/>
        </w:rPr>
        <w:t xml:space="preserve"> capital expenditures and depreciation and amortization of the Harris Night Vision business prior to the date of divestiture on September 13, 2019. See </w:t>
      </w:r>
      <w:r>
        <w:rPr>
          <w:rFonts w:eastAsia="Times New Roman"/>
          <w:i/>
          <w:iCs/>
          <w:color w:val="000000"/>
          <w:sz w:val="16"/>
          <w:szCs w:val="16"/>
        </w:rPr>
        <w:t>Note 3: Business Divestitures and Asset Sales</w:t>
      </w:r>
      <w:r>
        <w:rPr>
          <w:rFonts w:eastAsia="Times New Roman"/>
          <w:color w:val="000000"/>
          <w:sz w:val="16"/>
          <w:szCs w:val="16"/>
        </w:rPr>
        <w:t xml:space="preserve"> </w:t>
      </w:r>
      <w:r>
        <w:rPr>
          <w:rFonts w:eastAsia="Times New Roman"/>
          <w:color w:val="000000"/>
          <w:sz w:val="16"/>
          <w:szCs w:val="16"/>
        </w:rPr>
        <w:t xml:space="preserve">in these Notes for more information. </w:t>
      </w:r>
    </w:p>
    <w:p w14:paraId="5EEAD4E0" w14:textId="77777777" w:rsidR="00000000" w:rsidRDefault="001A570A">
      <w:pPr>
        <w:ind w:hanging="360"/>
        <w:divId w:val="218714263"/>
        <w:rPr>
          <w:rFonts w:eastAsia="Times New Roman"/>
        </w:rPr>
      </w:pPr>
      <w:r>
        <w:rPr>
          <w:rFonts w:eastAsia="Times New Roman"/>
          <w:color w:val="000000"/>
          <w:sz w:val="16"/>
          <w:szCs w:val="16"/>
        </w:rPr>
        <w:t>(2)Long-lived assets are net fixed assets attributed to the respective geographic regions.</w:t>
      </w:r>
    </w:p>
    <w:p w14:paraId="71F57FFF" w14:textId="77777777" w:rsidR="00000000" w:rsidRDefault="001A570A">
      <w:pPr>
        <w:ind w:firstLine="450"/>
        <w:divId w:val="1349403814"/>
        <w:rPr>
          <w:rFonts w:eastAsia="Times New Roman"/>
        </w:rPr>
      </w:pPr>
      <w:r>
        <w:rPr>
          <w:rFonts w:eastAsia="Times New Roman"/>
          <w:color w:val="000000"/>
          <w:sz w:val="20"/>
          <w:szCs w:val="20"/>
        </w:rPr>
        <w:t xml:space="preserve">In addition to depreciation and amortization expense related to property, plant and equipment, “Depreciation and Amortization” </w:t>
      </w:r>
      <w:r>
        <w:rPr>
          <w:rFonts w:eastAsia="Times New Roman"/>
          <w:color w:val="000000"/>
          <w:sz w:val="20"/>
          <w:szCs w:val="20"/>
        </w:rPr>
        <w:t>in the table above also includes $714 million $285 million, $120 million and $116 million of amortization related to identifiable intangible assets, debt premium, debt discount, debt issuance costs and other items in fiscal 2020, the two quarters ended Jan</w:t>
      </w:r>
      <w:r>
        <w:rPr>
          <w:rFonts w:eastAsia="Times New Roman"/>
          <w:color w:val="000000"/>
          <w:sz w:val="20"/>
          <w:szCs w:val="20"/>
        </w:rPr>
        <w:t>uary 3, 2020, and fiscal 2019 and 2018, respectively.</w:t>
      </w:r>
    </w:p>
    <w:p w14:paraId="723C45AE" w14:textId="77777777" w:rsidR="00000000" w:rsidRDefault="001A570A">
      <w:pPr>
        <w:ind w:firstLine="450"/>
        <w:jc w:val="center"/>
        <w:divId w:val="843974592"/>
        <w:rPr>
          <w:rFonts w:eastAsia="Times New Roman"/>
        </w:rPr>
      </w:pPr>
      <w:r>
        <w:rPr>
          <w:rFonts w:eastAsia="Times New Roman"/>
          <w:color w:val="000000"/>
          <w:sz w:val="20"/>
          <w:szCs w:val="20"/>
        </w:rPr>
        <w:t>128</w:t>
      </w:r>
    </w:p>
    <w:p w14:paraId="0D4A21B8" w14:textId="77777777" w:rsidR="00000000" w:rsidRDefault="001A570A">
      <w:pPr>
        <w:rPr>
          <w:rFonts w:eastAsia="Times New Roman"/>
        </w:rPr>
      </w:pPr>
      <w:r>
        <w:rPr>
          <w:rFonts w:eastAsia="Times New Roman"/>
        </w:rPr>
        <w:pict w14:anchorId="69EC80AB">
          <v:rect id="_x0000_i1156" style="width:0;height:1.5pt" o:hralign="center" o:hrstd="t" o:hr="t" fillcolor="#a0a0a0" stroked="f"/>
        </w:pict>
      </w:r>
    </w:p>
    <w:p w14:paraId="6FFC4CE8" w14:textId="77777777" w:rsidR="00000000" w:rsidRDefault="001A570A">
      <w:pPr>
        <w:ind w:firstLine="450"/>
        <w:divId w:val="647175250"/>
        <w:rPr>
          <w:rFonts w:eastAsia="Times New Roman"/>
        </w:rPr>
      </w:pPr>
    </w:p>
    <w:p w14:paraId="3D1F61E8" w14:textId="77777777" w:rsidR="00000000" w:rsidRDefault="001A570A">
      <w:pPr>
        <w:ind w:firstLine="450"/>
        <w:divId w:val="1418288903"/>
        <w:rPr>
          <w:rFonts w:eastAsia="Times New Roman"/>
        </w:rPr>
      </w:pPr>
      <w:r>
        <w:rPr>
          <w:rFonts w:eastAsia="Times New Roman"/>
          <w:color w:val="000000"/>
          <w:sz w:val="20"/>
          <w:szCs w:val="20"/>
        </w:rPr>
        <w:t>Our products and systems are produced principally in the U.S. with international revenue derived primarily from exports. No revenue earned from any individual f</w:t>
      </w:r>
      <w:r>
        <w:rPr>
          <w:rFonts w:eastAsia="Times New Roman"/>
          <w:color w:val="000000"/>
          <w:sz w:val="20"/>
          <w:szCs w:val="20"/>
        </w:rPr>
        <w:t>oreign country exceeded 5 percent of our total revenue in fiscal 2020, the two quarters ended January 3, 2020, or fiscal 2019 or 2018.</w:t>
      </w:r>
    </w:p>
    <w:p w14:paraId="77FBE469" w14:textId="77777777" w:rsidR="00000000" w:rsidRDefault="001A570A">
      <w:pPr>
        <w:ind w:firstLine="450"/>
        <w:divId w:val="1133017742"/>
        <w:rPr>
          <w:rFonts w:eastAsia="Times New Roman"/>
        </w:rPr>
      </w:pPr>
      <w:r>
        <w:rPr>
          <w:rFonts w:eastAsia="Times New Roman"/>
          <w:color w:val="000000"/>
          <w:sz w:val="20"/>
          <w:szCs w:val="20"/>
        </w:rPr>
        <w:t>Sales made to U.S. Government customers, including foreign military sales funded through the U.S. Government, whether dir</w:t>
      </w:r>
      <w:r>
        <w:rPr>
          <w:rFonts w:eastAsia="Times New Roman"/>
          <w:color w:val="000000"/>
          <w:sz w:val="20"/>
          <w:szCs w:val="20"/>
        </w:rPr>
        <w:t>ectly or through prime contractors, by all segments as a percentage of total revenue were 78 percent, 73 percent, 77 percent and 75 percent in fiscal 2020, the two quarters ended January 3, 2020, and fiscal 2019 and 2018, respectively. Revenue from service</w:t>
      </w:r>
      <w:r>
        <w:rPr>
          <w:rFonts w:eastAsia="Times New Roman"/>
          <w:color w:val="000000"/>
          <w:sz w:val="20"/>
          <w:szCs w:val="20"/>
        </w:rPr>
        <w:t>s in fiscal 2020 was 34 percent, 16 percent, 15 percent and 38 percent of total revenue in our Integrated Mission Systems, Space and Airborne Systems, Communication Systems and Aviation Systems segments, respectively.</w:t>
      </w:r>
    </w:p>
    <w:p w14:paraId="157675E6" w14:textId="77777777" w:rsidR="00000000" w:rsidRDefault="001A570A">
      <w:pPr>
        <w:ind w:firstLine="450"/>
        <w:divId w:val="947271710"/>
        <w:rPr>
          <w:rFonts w:eastAsia="Times New Roman"/>
        </w:rPr>
      </w:pPr>
      <w:r>
        <w:rPr>
          <w:rFonts w:eastAsia="Times New Roman"/>
          <w:color w:val="000000"/>
          <w:sz w:val="20"/>
          <w:szCs w:val="20"/>
        </w:rPr>
        <w:t>Revenue from products and services where the end consumer is located outside the U.S., including foreign military sales through the U.S. Government, was $3.7 billion (20 percent of our revenue), $2.0 billion (21 percent of our revenue), $1.5 billion (22 pe</w:t>
      </w:r>
      <w:r>
        <w:rPr>
          <w:rFonts w:eastAsia="Times New Roman"/>
          <w:color w:val="000000"/>
          <w:sz w:val="20"/>
          <w:szCs w:val="20"/>
        </w:rPr>
        <w:t xml:space="preserve">rcent of our revenue) and $1.4 billion (23 percent of our revenue) in fiscal 2020, the two quarters ended January 3, 2020, and fiscal 2019 and 2018, respectively. Export revenue and revenue from international operations in fiscal 2020 was principally from </w:t>
      </w:r>
      <w:r>
        <w:rPr>
          <w:rFonts w:eastAsia="Times New Roman"/>
          <w:color w:val="000000"/>
          <w:sz w:val="20"/>
          <w:szCs w:val="20"/>
        </w:rPr>
        <w:t>the EMEA (Europe, Middle East and Africa) and APAC (Asia-Pacific) regions and Canada.</w:t>
      </w:r>
    </w:p>
    <w:p w14:paraId="7C95C5CD" w14:textId="77777777" w:rsidR="00000000" w:rsidRDefault="001A570A">
      <w:pPr>
        <w:divId w:val="1663897974"/>
        <w:rPr>
          <w:rFonts w:eastAsia="Times New Roman"/>
        </w:rPr>
      </w:pPr>
      <w:r>
        <w:rPr>
          <w:rFonts w:eastAsia="Times New Roman"/>
          <w:b/>
          <w:bCs/>
          <w:color w:val="000000"/>
          <w:sz w:val="20"/>
          <w:szCs w:val="20"/>
        </w:rPr>
        <w:t>NOTE 26: LEGAL PROCEEDINGS AND CONTINGENCIES</w:t>
      </w:r>
      <w:r>
        <w:rPr>
          <w:rFonts w:eastAsia="Times New Roman"/>
          <w:b/>
          <w:bCs/>
          <w:i/>
          <w:iCs/>
          <w:color w:val="000000"/>
          <w:sz w:val="20"/>
          <w:szCs w:val="20"/>
        </w:rPr>
        <w:t xml:space="preserve"> </w:t>
      </w:r>
    </w:p>
    <w:p w14:paraId="18D25418" w14:textId="77777777" w:rsidR="00000000" w:rsidRDefault="001A570A">
      <w:pPr>
        <w:ind w:firstLine="450"/>
        <w:divId w:val="1528451118"/>
        <w:rPr>
          <w:rFonts w:eastAsia="Times New Roman"/>
        </w:rPr>
      </w:pPr>
      <w:r>
        <w:rPr>
          <w:rFonts w:eastAsia="Times New Roman"/>
          <w:color w:val="000000"/>
          <w:sz w:val="20"/>
          <w:szCs w:val="20"/>
        </w:rPr>
        <w:t>From time to time, as a normal incident of the nature and kind of businesses in which we are or were engaged, various claims</w:t>
      </w:r>
      <w:r>
        <w:rPr>
          <w:rFonts w:eastAsia="Times New Roman"/>
          <w:color w:val="000000"/>
          <w:sz w:val="20"/>
          <w:szCs w:val="20"/>
        </w:rPr>
        <w:t xml:space="preserve"> or charges are asserted and litigation or arbitration is commenced by or against us arising from or related to matters, including but not limited to: product liability; personal injury; patents, trademarks, trade secrets or other intellectual property; la</w:t>
      </w:r>
      <w:r>
        <w:rPr>
          <w:rFonts w:eastAsia="Times New Roman"/>
          <w:color w:val="000000"/>
          <w:sz w:val="20"/>
          <w:szCs w:val="20"/>
        </w:rPr>
        <w:t>bor and employee disputes; commercial or contractual disputes; strategic acquisitions or divestitures; the prior sale or use of former products allegedly containing asbestos or other restricted materials; breach of warranty; or environmental matters. Claim</w:t>
      </w:r>
      <w:r>
        <w:rPr>
          <w:rFonts w:eastAsia="Times New Roman"/>
          <w:color w:val="000000"/>
          <w:sz w:val="20"/>
          <w:szCs w:val="20"/>
        </w:rPr>
        <w:t>ed amounts against us may be substantial, but may not bear any reasonable relationship to the merits of the claim or the extent of any real risk of court or arbitral awards. We record accruals for losses related to those matters against us that we consider</w:t>
      </w:r>
      <w:r>
        <w:rPr>
          <w:rFonts w:eastAsia="Times New Roman"/>
          <w:color w:val="000000"/>
          <w:sz w:val="20"/>
          <w:szCs w:val="20"/>
        </w:rPr>
        <w:t xml:space="preserve"> to be probable and that can be reasonably estimated. Gain contingencies, if any, are recognized when they are realized and legal costs generally are expensed when incurred. At January 1, 2021, our accrual for the potential resolution of lawsuits, claims o</w:t>
      </w:r>
      <w:r>
        <w:rPr>
          <w:rFonts w:eastAsia="Times New Roman"/>
          <w:color w:val="000000"/>
          <w:sz w:val="20"/>
          <w:szCs w:val="20"/>
        </w:rPr>
        <w:t>r proceedings that we consider probable of being decided unfavorably to us was not material Although it is not feasible to predict the outcome of these matters with certainty, it is reasonably possible that some lawsuits, claims or proceedings may be dispo</w:t>
      </w:r>
      <w:r>
        <w:rPr>
          <w:rFonts w:eastAsia="Times New Roman"/>
          <w:color w:val="000000"/>
          <w:sz w:val="20"/>
          <w:szCs w:val="20"/>
        </w:rPr>
        <w:t>sed of or decided unfavorably to us and in excess of the amounts currently accrued. Based on available information, in the opinion of management, settlements, arbitration awards and final judgments, if any, that are considered probable of being rendered ag</w:t>
      </w:r>
      <w:r>
        <w:rPr>
          <w:rFonts w:eastAsia="Times New Roman"/>
          <w:color w:val="000000"/>
          <w:sz w:val="20"/>
          <w:szCs w:val="20"/>
        </w:rPr>
        <w:t>ainst us in litigation or arbitration in existence at January 1, 2021 are reserved against or would not have a material adverse effect on our financial condition, results of operations, cash flows or equity.</w:t>
      </w:r>
    </w:p>
    <w:p w14:paraId="57F0D1B1" w14:textId="77777777" w:rsidR="00000000" w:rsidRDefault="001A570A">
      <w:pPr>
        <w:divId w:val="354768247"/>
        <w:rPr>
          <w:rFonts w:eastAsia="Times New Roman"/>
        </w:rPr>
      </w:pPr>
      <w:r>
        <w:rPr>
          <w:rFonts w:eastAsia="Times New Roman"/>
          <w:b/>
          <w:bCs/>
          <w:color w:val="000000"/>
          <w:sz w:val="20"/>
          <w:szCs w:val="20"/>
        </w:rPr>
        <w:t>Tax Audits</w:t>
      </w:r>
    </w:p>
    <w:p w14:paraId="4CA95D40" w14:textId="77777777" w:rsidR="00000000" w:rsidRDefault="001A570A">
      <w:pPr>
        <w:ind w:firstLine="450"/>
        <w:divId w:val="1323509949"/>
        <w:rPr>
          <w:rFonts w:eastAsia="Times New Roman"/>
        </w:rPr>
      </w:pPr>
      <w:r>
        <w:rPr>
          <w:rFonts w:eastAsia="Times New Roman"/>
          <w:color w:val="000000"/>
          <w:sz w:val="20"/>
          <w:szCs w:val="20"/>
        </w:rPr>
        <w:t xml:space="preserve">Our tax filings are subject to audit </w:t>
      </w:r>
      <w:r>
        <w:rPr>
          <w:rFonts w:eastAsia="Times New Roman"/>
          <w:color w:val="000000"/>
          <w:sz w:val="20"/>
          <w:szCs w:val="20"/>
        </w:rPr>
        <w:t>by taxing authorities in jurisdictions where we conduct or conducted business. These audits may result in assessments of additional taxes that are subsequently resolved with the authorities or ultimately through legal proceedings. We believe we have adequa</w:t>
      </w:r>
      <w:r>
        <w:rPr>
          <w:rFonts w:eastAsia="Times New Roman"/>
          <w:color w:val="000000"/>
          <w:sz w:val="20"/>
          <w:szCs w:val="20"/>
        </w:rPr>
        <w:t>tely accrued for any ultimate amounts that are likely to result from these audits; however, final assessments, if any, could be different from the amounts recorded in our Consolidated Financial Statements. Additional information regarding audits and examin</w:t>
      </w:r>
      <w:r>
        <w:rPr>
          <w:rFonts w:eastAsia="Times New Roman"/>
          <w:color w:val="000000"/>
          <w:sz w:val="20"/>
          <w:szCs w:val="20"/>
        </w:rPr>
        <w:t xml:space="preserve">ations by taxing authorities of our tax filings is set forth in </w:t>
      </w:r>
      <w:r>
        <w:rPr>
          <w:rFonts w:eastAsia="Times New Roman"/>
          <w:i/>
          <w:iCs/>
          <w:color w:val="000000"/>
          <w:sz w:val="20"/>
          <w:szCs w:val="20"/>
        </w:rPr>
        <w:t>Note 23: Income Taxes</w:t>
      </w:r>
      <w:r>
        <w:rPr>
          <w:rFonts w:eastAsia="Times New Roman"/>
          <w:color w:val="000000"/>
          <w:sz w:val="20"/>
          <w:szCs w:val="20"/>
        </w:rPr>
        <w:t xml:space="preserve"> in these Notes.</w:t>
      </w:r>
    </w:p>
    <w:p w14:paraId="186B33F3" w14:textId="77777777" w:rsidR="00000000" w:rsidRDefault="001A570A">
      <w:pPr>
        <w:divId w:val="1632780459"/>
        <w:rPr>
          <w:rFonts w:eastAsia="Times New Roman"/>
        </w:rPr>
      </w:pPr>
      <w:r>
        <w:rPr>
          <w:rFonts w:eastAsia="Times New Roman"/>
          <w:b/>
          <w:bCs/>
          <w:color w:val="000000"/>
          <w:sz w:val="20"/>
          <w:szCs w:val="20"/>
        </w:rPr>
        <w:t>International</w:t>
      </w:r>
    </w:p>
    <w:p w14:paraId="63B4A0A1" w14:textId="77777777" w:rsidR="00000000" w:rsidRDefault="001A570A">
      <w:pPr>
        <w:ind w:firstLine="450"/>
        <w:divId w:val="1935434120"/>
        <w:rPr>
          <w:rFonts w:eastAsia="Times New Roman"/>
        </w:rPr>
      </w:pPr>
      <w:r>
        <w:rPr>
          <w:rFonts w:eastAsia="Times New Roman"/>
          <w:i/>
          <w:iCs/>
          <w:color w:val="000000"/>
          <w:sz w:val="20"/>
          <w:szCs w:val="20"/>
        </w:rPr>
        <w:t> </w:t>
      </w:r>
      <w:r>
        <w:rPr>
          <w:rFonts w:eastAsia="Times New Roman"/>
          <w:color w:val="000000"/>
          <w:sz w:val="20"/>
          <w:szCs w:val="20"/>
        </w:rPr>
        <w:t>As an international company, we are, from time to time, the subject of investigations relating to our international operations, including u</w:t>
      </w:r>
      <w:r>
        <w:rPr>
          <w:rFonts w:eastAsia="Times New Roman"/>
          <w:color w:val="000000"/>
          <w:sz w:val="20"/>
          <w:szCs w:val="20"/>
        </w:rPr>
        <w:t>nder U.S. export control laws (such as ITAR), the FCPA and other similar U.S. and international laws.</w:t>
      </w:r>
    </w:p>
    <w:p w14:paraId="238338E6" w14:textId="77777777" w:rsidR="00000000" w:rsidRDefault="001A570A">
      <w:pPr>
        <w:ind w:firstLine="450"/>
        <w:divId w:val="832912261"/>
        <w:rPr>
          <w:rFonts w:eastAsia="Times New Roman"/>
        </w:rPr>
      </w:pPr>
      <w:r>
        <w:rPr>
          <w:rFonts w:eastAsia="Times New Roman"/>
          <w:color w:val="000000"/>
          <w:sz w:val="20"/>
          <w:szCs w:val="20"/>
        </w:rPr>
        <w:t>In September 2019, we reached an administrative settlement with the Department of State to resolve alleged U.S. export control regulation violations. Unde</w:t>
      </w:r>
      <w:r>
        <w:rPr>
          <w:rFonts w:eastAsia="Times New Roman"/>
          <w:color w:val="000000"/>
          <w:sz w:val="20"/>
          <w:szCs w:val="20"/>
        </w:rPr>
        <w:t>r the terms of the settlement we have committed to strengthen our trade compliance program under the supervision of a special compliance officer and will pay a civil penalty of $13 million over three years (with $6.5 million suspended on the condition of u</w:t>
      </w:r>
      <w:r>
        <w:rPr>
          <w:rFonts w:eastAsia="Times New Roman"/>
          <w:color w:val="000000"/>
          <w:sz w:val="20"/>
          <w:szCs w:val="20"/>
        </w:rPr>
        <w:t xml:space="preserve">se for qualified remedial compliance measures). The settlement did not result in any debarment or limitation on export licensing. </w:t>
      </w:r>
    </w:p>
    <w:p w14:paraId="7C2AA56B" w14:textId="77777777" w:rsidR="00000000" w:rsidRDefault="001A570A">
      <w:pPr>
        <w:divId w:val="1829518967"/>
        <w:rPr>
          <w:rFonts w:eastAsia="Times New Roman"/>
        </w:rPr>
      </w:pPr>
      <w:r>
        <w:rPr>
          <w:rFonts w:eastAsia="Times New Roman"/>
          <w:b/>
          <w:bCs/>
          <w:color w:val="000000"/>
          <w:sz w:val="20"/>
          <w:szCs w:val="20"/>
        </w:rPr>
        <w:t>Environmental Matters</w:t>
      </w:r>
    </w:p>
    <w:p w14:paraId="0B190039" w14:textId="77777777" w:rsidR="00000000" w:rsidRDefault="001A570A">
      <w:pPr>
        <w:ind w:firstLine="450"/>
        <w:divId w:val="1826972095"/>
        <w:rPr>
          <w:rFonts w:eastAsia="Times New Roman"/>
        </w:rPr>
      </w:pPr>
      <w:r>
        <w:rPr>
          <w:rFonts w:eastAsia="Times New Roman"/>
          <w:color w:val="000000"/>
          <w:sz w:val="20"/>
          <w:szCs w:val="20"/>
        </w:rPr>
        <w:t>We are subject to numerous U.S. Federal, state, local and international environmental laws and regulato</w:t>
      </w:r>
      <w:r>
        <w:rPr>
          <w:rFonts w:eastAsia="Times New Roman"/>
          <w:color w:val="000000"/>
          <w:sz w:val="20"/>
          <w:szCs w:val="20"/>
        </w:rPr>
        <w:t>ry requirements and are involved from time to time in investigations or litigation of various potential environmental issues. We or companies we have acquired are responsible, or alleged to be responsible, for environmental investigation and/or remediation</w:t>
      </w:r>
      <w:r>
        <w:rPr>
          <w:rFonts w:eastAsia="Times New Roman"/>
          <w:color w:val="000000"/>
          <w:sz w:val="20"/>
          <w:szCs w:val="20"/>
        </w:rPr>
        <w:t xml:space="preserve"> of multiple sites. These sites are in various stages of investigation and/or remediation and in some cases our liability is considered de minimis. Notices from the U.S. Environmental Protection Agency (“EPA”) or equivalent state or international environme</w:t>
      </w:r>
      <w:r>
        <w:rPr>
          <w:rFonts w:eastAsia="Times New Roman"/>
          <w:color w:val="000000"/>
          <w:sz w:val="20"/>
          <w:szCs w:val="20"/>
        </w:rPr>
        <w:t>ntal agencies allege that a number of sites formerly or currently owned and/or operated by us or companies we have acquired, and other properties or water supplies that may be or have been impacted from those operations, contain disposed or recycled materi</w:t>
      </w:r>
      <w:r>
        <w:rPr>
          <w:rFonts w:eastAsia="Times New Roman"/>
          <w:color w:val="000000"/>
          <w:sz w:val="20"/>
          <w:szCs w:val="20"/>
        </w:rPr>
        <w:t xml:space="preserve">als or wastes and require environmental investigation and/or remediation. These sites include instances of being identified as a potentially responsible party </w:t>
      </w:r>
    </w:p>
    <w:p w14:paraId="592A320B" w14:textId="77777777" w:rsidR="00000000" w:rsidRDefault="001A570A">
      <w:pPr>
        <w:ind w:firstLine="450"/>
        <w:jc w:val="center"/>
        <w:divId w:val="2063284311"/>
        <w:rPr>
          <w:rFonts w:eastAsia="Times New Roman"/>
        </w:rPr>
      </w:pPr>
      <w:r>
        <w:rPr>
          <w:rFonts w:eastAsia="Times New Roman"/>
          <w:color w:val="000000"/>
          <w:sz w:val="20"/>
          <w:szCs w:val="20"/>
        </w:rPr>
        <w:t>129</w:t>
      </w:r>
    </w:p>
    <w:p w14:paraId="42CEB7B2" w14:textId="77777777" w:rsidR="00000000" w:rsidRDefault="001A570A">
      <w:pPr>
        <w:rPr>
          <w:rFonts w:eastAsia="Times New Roman"/>
        </w:rPr>
      </w:pPr>
      <w:r>
        <w:rPr>
          <w:rFonts w:eastAsia="Times New Roman"/>
        </w:rPr>
        <w:pict w14:anchorId="311121C0">
          <v:rect id="_x0000_i1157" style="width:0;height:1.5pt" o:hralign="center" o:hrstd="t" o:hr="t" fillcolor="#a0a0a0" stroked="f"/>
        </w:pict>
      </w:r>
    </w:p>
    <w:p w14:paraId="0F6A107E" w14:textId="77777777" w:rsidR="00000000" w:rsidRDefault="001A570A">
      <w:pPr>
        <w:ind w:firstLine="450"/>
        <w:divId w:val="394476828"/>
        <w:rPr>
          <w:rFonts w:eastAsia="Times New Roman"/>
        </w:rPr>
      </w:pPr>
    </w:p>
    <w:p w14:paraId="730769AB" w14:textId="77777777" w:rsidR="00000000" w:rsidRDefault="001A570A">
      <w:pPr>
        <w:divId w:val="1502426176"/>
        <w:rPr>
          <w:rFonts w:eastAsia="Times New Roman"/>
        </w:rPr>
      </w:pPr>
      <w:r>
        <w:rPr>
          <w:rFonts w:eastAsia="Times New Roman"/>
          <w:color w:val="000000"/>
          <w:sz w:val="20"/>
          <w:szCs w:val="20"/>
        </w:rPr>
        <w:t>under the Comprehensive Environmental Response, Compen</w:t>
      </w:r>
      <w:r>
        <w:rPr>
          <w:rFonts w:eastAsia="Times New Roman"/>
          <w:color w:val="000000"/>
          <w:sz w:val="20"/>
          <w:szCs w:val="20"/>
        </w:rPr>
        <w:t>sation and Liability Act (commonly known as the “Superfund Act”) and/or equivalent state and international laws. For example, in June 2014, the U.S. Department of Justice,, Environment and Natural Resources Division, notified several potentially responsibl</w:t>
      </w:r>
      <w:r>
        <w:rPr>
          <w:rFonts w:eastAsia="Times New Roman"/>
          <w:color w:val="000000"/>
          <w:sz w:val="20"/>
          <w:szCs w:val="20"/>
        </w:rPr>
        <w:t>e parties, including Exelis, of potential responsibility for contribution to the environmental investigation and remediation of multiple locations in Alaska. In addition, in March 2016, the EPA notified over 100 potentially responsible parties, including E</w:t>
      </w:r>
      <w:r>
        <w:rPr>
          <w:rFonts w:eastAsia="Times New Roman"/>
          <w:color w:val="000000"/>
          <w:sz w:val="20"/>
          <w:szCs w:val="20"/>
        </w:rPr>
        <w:t>xelis, of potential liability for the cost of remediation for the 8.3-mile stretch of the Lower Passaic River, estimated by the EPA to be $1.38 billion, but the parties’ respective allocations have not been determined. Although it is not feasible to predic</w:t>
      </w:r>
      <w:r>
        <w:rPr>
          <w:rFonts w:eastAsia="Times New Roman"/>
          <w:color w:val="000000"/>
          <w:sz w:val="20"/>
          <w:szCs w:val="20"/>
        </w:rPr>
        <w:t>t the outcome of these environmental claims made against us, based on available information, in the opinion of our management, any payments we may be required to make as a result of environmental claims made against us in existence at January 1, 2021 are r</w:t>
      </w:r>
      <w:r>
        <w:rPr>
          <w:rFonts w:eastAsia="Times New Roman"/>
          <w:color w:val="000000"/>
          <w:sz w:val="20"/>
          <w:szCs w:val="20"/>
        </w:rPr>
        <w:t>eserved against, covered by insurance or would not have a material adverse effect on our financial condition, results of operations, cash flows or equity.</w:t>
      </w:r>
    </w:p>
    <w:p w14:paraId="7E6DB24A" w14:textId="77777777" w:rsidR="00000000" w:rsidRDefault="001A570A">
      <w:pPr>
        <w:ind w:firstLine="450"/>
        <w:jc w:val="center"/>
        <w:divId w:val="335696703"/>
        <w:rPr>
          <w:rFonts w:eastAsia="Times New Roman"/>
        </w:rPr>
      </w:pPr>
      <w:r>
        <w:rPr>
          <w:rFonts w:eastAsia="Times New Roman"/>
          <w:color w:val="000000"/>
          <w:sz w:val="20"/>
          <w:szCs w:val="20"/>
        </w:rPr>
        <w:t>130</w:t>
      </w:r>
    </w:p>
    <w:p w14:paraId="515DB3BF" w14:textId="77777777" w:rsidR="00000000" w:rsidRDefault="001A570A">
      <w:pPr>
        <w:rPr>
          <w:rFonts w:eastAsia="Times New Roman"/>
        </w:rPr>
      </w:pPr>
      <w:r>
        <w:rPr>
          <w:rFonts w:eastAsia="Times New Roman"/>
        </w:rPr>
        <w:pict w14:anchorId="79487F5D">
          <v:rect id="_x0000_i1158" style="width:0;height:1.5pt" o:hralign="center" o:hrstd="t" o:hr="t" fillcolor="#a0a0a0" stroked="f"/>
        </w:pict>
      </w:r>
    </w:p>
    <w:p w14:paraId="12C591C3" w14:textId="77777777" w:rsidR="00000000" w:rsidRDefault="001A570A">
      <w:pPr>
        <w:ind w:firstLine="450"/>
        <w:divId w:val="1035739258"/>
        <w:rPr>
          <w:rFonts w:eastAsia="Times New Roman"/>
        </w:rPr>
      </w:pPr>
    </w:p>
    <w:p w14:paraId="4075A47B" w14:textId="77777777" w:rsidR="00000000" w:rsidRDefault="001A570A">
      <w:pPr>
        <w:divId w:val="167063598"/>
        <w:rPr>
          <w:rFonts w:eastAsia="Times New Roman"/>
        </w:rPr>
      </w:pPr>
      <w:r>
        <w:rPr>
          <w:rFonts w:eastAsia="Times New Roman"/>
          <w:b/>
          <w:bCs/>
          <w:color w:val="000000"/>
          <w:sz w:val="20"/>
          <w:szCs w:val="20"/>
        </w:rPr>
        <w:t>NOTE 27: TRANSITION PERIOD COMPARATIVE DATA (UNAUDITED)</w:t>
      </w:r>
    </w:p>
    <w:p w14:paraId="7C33D6D3" w14:textId="77777777" w:rsidR="00000000" w:rsidRDefault="001A570A">
      <w:pPr>
        <w:ind w:firstLine="450"/>
        <w:divId w:val="2056810166"/>
        <w:rPr>
          <w:rFonts w:eastAsia="Times New Roman"/>
        </w:rPr>
      </w:pPr>
      <w:r>
        <w:rPr>
          <w:rFonts w:eastAsia="Times New Roman"/>
          <w:color w:val="000000"/>
          <w:sz w:val="20"/>
          <w:szCs w:val="20"/>
        </w:rPr>
        <w:t>Th</w:t>
      </w:r>
      <w:r>
        <w:rPr>
          <w:rFonts w:eastAsia="Times New Roman"/>
          <w:color w:val="000000"/>
          <w:sz w:val="20"/>
          <w:szCs w:val="20"/>
        </w:rPr>
        <w:t>e following table presents certain comparative financial information for fiscal 2020 compared with the four quarters ended January 3, 2020 (Unaudited) and two quarters ended January 3, 2020 compared with the two quarters ended December 28, 2018 (Unaudited)</w:t>
      </w:r>
      <w:r>
        <w:rPr>
          <w:rFonts w:eastAsia="Times New Roman"/>
          <w:color w:val="000000"/>
          <w:sz w:val="20"/>
          <w:szCs w:val="20"/>
        </w:rPr>
        <w:t>. Due to the L3Harris Merger on June 29, 2019, fiscal 2020 and the two quarters ended January 3, 2020 reflect the results of the combined Company, while the four quarters ended January 3, 2020 reflect the results of only Harris operating businesses for the</w:t>
      </w:r>
      <w:r>
        <w:rPr>
          <w:rFonts w:eastAsia="Times New Roman"/>
          <w:color w:val="000000"/>
          <w:sz w:val="20"/>
          <w:szCs w:val="20"/>
        </w:rPr>
        <w:t xml:space="preserve"> two quarters ended June 28, 2019 and the results of the combined Company for the two quarters ended January 3, 2020. The two quarters ended December 28, 2018 reflect the results of only Harris operating businesses. Due to the significance of the L3 operat</w:t>
      </w:r>
      <w:r>
        <w:rPr>
          <w:rFonts w:eastAsia="Times New Roman"/>
          <w:color w:val="000000"/>
          <w:sz w:val="20"/>
          <w:szCs w:val="20"/>
        </w:rPr>
        <w:t xml:space="preserve">ing businesses included in the combined Company results following the L3Harris Merger, the reported results for fiscal 2020 and the two quarters ended January 3, 2020 generally are not comparable to the four quarters ended January 3, 2020 and two quarters </w:t>
      </w:r>
      <w:r>
        <w:rPr>
          <w:rFonts w:eastAsia="Times New Roman"/>
          <w:color w:val="000000"/>
          <w:sz w:val="20"/>
          <w:szCs w:val="20"/>
        </w:rPr>
        <w:t>ended December 28, 2018, respectively.</w:t>
      </w:r>
    </w:p>
    <w:tbl>
      <w:tblPr>
        <w:tblW w:w="5000" w:type="pct"/>
        <w:tblCellMar>
          <w:top w:w="15" w:type="dxa"/>
          <w:left w:w="15" w:type="dxa"/>
          <w:bottom w:w="15" w:type="dxa"/>
          <w:right w:w="15" w:type="dxa"/>
        </w:tblCellMar>
        <w:tblLook w:val="04A0" w:firstRow="1" w:lastRow="0" w:firstColumn="1" w:lastColumn="0" w:noHBand="0" w:noVBand="1"/>
      </w:tblPr>
      <w:tblGrid>
        <w:gridCol w:w="41"/>
        <w:gridCol w:w="3481"/>
        <w:gridCol w:w="40"/>
        <w:gridCol w:w="120"/>
        <w:gridCol w:w="963"/>
        <w:gridCol w:w="36"/>
        <w:gridCol w:w="36"/>
        <w:gridCol w:w="36"/>
        <w:gridCol w:w="36"/>
        <w:gridCol w:w="121"/>
        <w:gridCol w:w="902"/>
        <w:gridCol w:w="37"/>
        <w:gridCol w:w="36"/>
        <w:gridCol w:w="36"/>
        <w:gridCol w:w="36"/>
        <w:gridCol w:w="120"/>
        <w:gridCol w:w="963"/>
        <w:gridCol w:w="36"/>
        <w:gridCol w:w="36"/>
        <w:gridCol w:w="36"/>
        <w:gridCol w:w="36"/>
        <w:gridCol w:w="122"/>
        <w:gridCol w:w="963"/>
        <w:gridCol w:w="37"/>
      </w:tblGrid>
      <w:tr w:rsidR="00000000" w14:paraId="67F401DA" w14:textId="77777777">
        <w:trPr>
          <w:divId w:val="1323894875"/>
        </w:trPr>
        <w:tc>
          <w:tcPr>
            <w:tcW w:w="50" w:type="pct"/>
            <w:vAlign w:val="center"/>
            <w:hideMark/>
          </w:tcPr>
          <w:p w14:paraId="6BC55C2E" w14:textId="77777777" w:rsidR="00000000" w:rsidRDefault="001A570A">
            <w:pPr>
              <w:ind w:firstLine="450"/>
              <w:rPr>
                <w:rFonts w:eastAsia="Times New Roman"/>
              </w:rPr>
            </w:pPr>
          </w:p>
        </w:tc>
        <w:tc>
          <w:tcPr>
            <w:tcW w:w="2150" w:type="pct"/>
            <w:vAlign w:val="center"/>
            <w:hideMark/>
          </w:tcPr>
          <w:p w14:paraId="0D6E308C" w14:textId="77777777" w:rsidR="00000000" w:rsidRDefault="001A570A">
            <w:pPr>
              <w:rPr>
                <w:rFonts w:eastAsia="Times New Roman"/>
                <w:sz w:val="20"/>
                <w:szCs w:val="20"/>
              </w:rPr>
            </w:pPr>
          </w:p>
        </w:tc>
        <w:tc>
          <w:tcPr>
            <w:tcW w:w="5" w:type="pct"/>
            <w:vAlign w:val="center"/>
            <w:hideMark/>
          </w:tcPr>
          <w:p w14:paraId="57492A9F" w14:textId="77777777" w:rsidR="00000000" w:rsidRDefault="001A570A">
            <w:pPr>
              <w:rPr>
                <w:rFonts w:eastAsia="Times New Roman"/>
                <w:sz w:val="20"/>
                <w:szCs w:val="20"/>
              </w:rPr>
            </w:pPr>
          </w:p>
        </w:tc>
        <w:tc>
          <w:tcPr>
            <w:tcW w:w="50" w:type="pct"/>
            <w:vAlign w:val="center"/>
            <w:hideMark/>
          </w:tcPr>
          <w:p w14:paraId="2CF505B5" w14:textId="77777777" w:rsidR="00000000" w:rsidRDefault="001A570A">
            <w:pPr>
              <w:rPr>
                <w:rFonts w:eastAsia="Times New Roman"/>
                <w:sz w:val="20"/>
                <w:szCs w:val="20"/>
              </w:rPr>
            </w:pPr>
          </w:p>
        </w:tc>
        <w:tc>
          <w:tcPr>
            <w:tcW w:w="620" w:type="pct"/>
            <w:vAlign w:val="center"/>
            <w:hideMark/>
          </w:tcPr>
          <w:p w14:paraId="4EE8B277" w14:textId="77777777" w:rsidR="00000000" w:rsidRDefault="001A570A">
            <w:pPr>
              <w:rPr>
                <w:rFonts w:eastAsia="Times New Roman"/>
                <w:sz w:val="20"/>
                <w:szCs w:val="20"/>
              </w:rPr>
            </w:pPr>
          </w:p>
        </w:tc>
        <w:tc>
          <w:tcPr>
            <w:tcW w:w="5" w:type="pct"/>
            <w:vAlign w:val="center"/>
            <w:hideMark/>
          </w:tcPr>
          <w:p w14:paraId="50136488" w14:textId="77777777" w:rsidR="00000000" w:rsidRDefault="001A570A">
            <w:pPr>
              <w:rPr>
                <w:rFonts w:eastAsia="Times New Roman"/>
                <w:sz w:val="20"/>
                <w:szCs w:val="20"/>
              </w:rPr>
            </w:pPr>
          </w:p>
        </w:tc>
        <w:tc>
          <w:tcPr>
            <w:tcW w:w="5" w:type="pct"/>
            <w:vAlign w:val="center"/>
            <w:hideMark/>
          </w:tcPr>
          <w:p w14:paraId="1304A56D" w14:textId="77777777" w:rsidR="00000000" w:rsidRDefault="001A570A">
            <w:pPr>
              <w:rPr>
                <w:rFonts w:eastAsia="Times New Roman"/>
                <w:sz w:val="20"/>
                <w:szCs w:val="20"/>
              </w:rPr>
            </w:pPr>
          </w:p>
        </w:tc>
        <w:tc>
          <w:tcPr>
            <w:tcW w:w="25" w:type="pct"/>
            <w:vAlign w:val="center"/>
            <w:hideMark/>
          </w:tcPr>
          <w:p w14:paraId="344B0F47" w14:textId="77777777" w:rsidR="00000000" w:rsidRDefault="001A570A">
            <w:pPr>
              <w:rPr>
                <w:rFonts w:eastAsia="Times New Roman"/>
                <w:sz w:val="20"/>
                <w:szCs w:val="20"/>
              </w:rPr>
            </w:pPr>
          </w:p>
        </w:tc>
        <w:tc>
          <w:tcPr>
            <w:tcW w:w="5" w:type="pct"/>
            <w:vAlign w:val="center"/>
            <w:hideMark/>
          </w:tcPr>
          <w:p w14:paraId="3E95F7FA" w14:textId="77777777" w:rsidR="00000000" w:rsidRDefault="001A570A">
            <w:pPr>
              <w:rPr>
                <w:rFonts w:eastAsia="Times New Roman"/>
                <w:sz w:val="20"/>
                <w:szCs w:val="20"/>
              </w:rPr>
            </w:pPr>
          </w:p>
        </w:tc>
        <w:tc>
          <w:tcPr>
            <w:tcW w:w="50" w:type="pct"/>
            <w:vAlign w:val="center"/>
            <w:hideMark/>
          </w:tcPr>
          <w:p w14:paraId="1A56FBDA" w14:textId="77777777" w:rsidR="00000000" w:rsidRDefault="001A570A">
            <w:pPr>
              <w:rPr>
                <w:rFonts w:eastAsia="Times New Roman"/>
                <w:sz w:val="20"/>
                <w:szCs w:val="20"/>
              </w:rPr>
            </w:pPr>
          </w:p>
        </w:tc>
        <w:tc>
          <w:tcPr>
            <w:tcW w:w="620" w:type="pct"/>
            <w:vAlign w:val="center"/>
            <w:hideMark/>
          </w:tcPr>
          <w:p w14:paraId="16089F5B" w14:textId="77777777" w:rsidR="00000000" w:rsidRDefault="001A570A">
            <w:pPr>
              <w:rPr>
                <w:rFonts w:eastAsia="Times New Roman"/>
                <w:sz w:val="20"/>
                <w:szCs w:val="20"/>
              </w:rPr>
            </w:pPr>
          </w:p>
        </w:tc>
        <w:tc>
          <w:tcPr>
            <w:tcW w:w="5" w:type="pct"/>
            <w:vAlign w:val="center"/>
            <w:hideMark/>
          </w:tcPr>
          <w:p w14:paraId="63D632A2" w14:textId="77777777" w:rsidR="00000000" w:rsidRDefault="001A570A">
            <w:pPr>
              <w:rPr>
                <w:rFonts w:eastAsia="Times New Roman"/>
                <w:sz w:val="20"/>
                <w:szCs w:val="20"/>
              </w:rPr>
            </w:pPr>
          </w:p>
        </w:tc>
        <w:tc>
          <w:tcPr>
            <w:tcW w:w="5" w:type="pct"/>
            <w:vAlign w:val="center"/>
            <w:hideMark/>
          </w:tcPr>
          <w:p w14:paraId="2B61631E" w14:textId="77777777" w:rsidR="00000000" w:rsidRDefault="001A570A">
            <w:pPr>
              <w:rPr>
                <w:rFonts w:eastAsia="Times New Roman"/>
                <w:sz w:val="20"/>
                <w:szCs w:val="20"/>
              </w:rPr>
            </w:pPr>
          </w:p>
        </w:tc>
        <w:tc>
          <w:tcPr>
            <w:tcW w:w="18" w:type="pct"/>
            <w:vAlign w:val="center"/>
            <w:hideMark/>
          </w:tcPr>
          <w:p w14:paraId="52244FD0" w14:textId="77777777" w:rsidR="00000000" w:rsidRDefault="001A570A">
            <w:pPr>
              <w:rPr>
                <w:rFonts w:eastAsia="Times New Roman"/>
                <w:sz w:val="20"/>
                <w:szCs w:val="20"/>
              </w:rPr>
            </w:pPr>
          </w:p>
        </w:tc>
        <w:tc>
          <w:tcPr>
            <w:tcW w:w="5" w:type="pct"/>
            <w:vAlign w:val="center"/>
            <w:hideMark/>
          </w:tcPr>
          <w:p w14:paraId="5616B734" w14:textId="77777777" w:rsidR="00000000" w:rsidRDefault="001A570A">
            <w:pPr>
              <w:rPr>
                <w:rFonts w:eastAsia="Times New Roman"/>
                <w:sz w:val="20"/>
                <w:szCs w:val="20"/>
              </w:rPr>
            </w:pPr>
          </w:p>
        </w:tc>
        <w:tc>
          <w:tcPr>
            <w:tcW w:w="50" w:type="pct"/>
            <w:vAlign w:val="center"/>
            <w:hideMark/>
          </w:tcPr>
          <w:p w14:paraId="407F1B29" w14:textId="77777777" w:rsidR="00000000" w:rsidRDefault="001A570A">
            <w:pPr>
              <w:rPr>
                <w:rFonts w:eastAsia="Times New Roman"/>
                <w:sz w:val="20"/>
                <w:szCs w:val="20"/>
              </w:rPr>
            </w:pPr>
          </w:p>
        </w:tc>
        <w:tc>
          <w:tcPr>
            <w:tcW w:w="620" w:type="pct"/>
            <w:vAlign w:val="center"/>
            <w:hideMark/>
          </w:tcPr>
          <w:p w14:paraId="6741C27E" w14:textId="77777777" w:rsidR="00000000" w:rsidRDefault="001A570A">
            <w:pPr>
              <w:rPr>
                <w:rFonts w:eastAsia="Times New Roman"/>
                <w:sz w:val="20"/>
                <w:szCs w:val="20"/>
              </w:rPr>
            </w:pPr>
          </w:p>
        </w:tc>
        <w:tc>
          <w:tcPr>
            <w:tcW w:w="5" w:type="pct"/>
            <w:vAlign w:val="center"/>
            <w:hideMark/>
          </w:tcPr>
          <w:p w14:paraId="60CF4A5E" w14:textId="77777777" w:rsidR="00000000" w:rsidRDefault="001A570A">
            <w:pPr>
              <w:rPr>
                <w:rFonts w:eastAsia="Times New Roman"/>
                <w:sz w:val="20"/>
                <w:szCs w:val="20"/>
              </w:rPr>
            </w:pPr>
          </w:p>
        </w:tc>
        <w:tc>
          <w:tcPr>
            <w:tcW w:w="5" w:type="pct"/>
            <w:vAlign w:val="center"/>
            <w:hideMark/>
          </w:tcPr>
          <w:p w14:paraId="0B64D5E3" w14:textId="77777777" w:rsidR="00000000" w:rsidRDefault="001A570A">
            <w:pPr>
              <w:rPr>
                <w:rFonts w:eastAsia="Times New Roman"/>
                <w:sz w:val="20"/>
                <w:szCs w:val="20"/>
              </w:rPr>
            </w:pPr>
          </w:p>
        </w:tc>
        <w:tc>
          <w:tcPr>
            <w:tcW w:w="18" w:type="pct"/>
            <w:vAlign w:val="center"/>
            <w:hideMark/>
          </w:tcPr>
          <w:p w14:paraId="366E21DC" w14:textId="77777777" w:rsidR="00000000" w:rsidRDefault="001A570A">
            <w:pPr>
              <w:rPr>
                <w:rFonts w:eastAsia="Times New Roman"/>
                <w:sz w:val="20"/>
                <w:szCs w:val="20"/>
              </w:rPr>
            </w:pPr>
          </w:p>
        </w:tc>
        <w:tc>
          <w:tcPr>
            <w:tcW w:w="5" w:type="pct"/>
            <w:vAlign w:val="center"/>
            <w:hideMark/>
          </w:tcPr>
          <w:p w14:paraId="3A15B7D5" w14:textId="77777777" w:rsidR="00000000" w:rsidRDefault="001A570A">
            <w:pPr>
              <w:rPr>
                <w:rFonts w:eastAsia="Times New Roman"/>
                <w:sz w:val="20"/>
                <w:szCs w:val="20"/>
              </w:rPr>
            </w:pPr>
          </w:p>
        </w:tc>
        <w:tc>
          <w:tcPr>
            <w:tcW w:w="50" w:type="pct"/>
            <w:vAlign w:val="center"/>
            <w:hideMark/>
          </w:tcPr>
          <w:p w14:paraId="6E3A4815" w14:textId="77777777" w:rsidR="00000000" w:rsidRDefault="001A570A">
            <w:pPr>
              <w:rPr>
                <w:rFonts w:eastAsia="Times New Roman"/>
                <w:sz w:val="20"/>
                <w:szCs w:val="20"/>
              </w:rPr>
            </w:pPr>
          </w:p>
        </w:tc>
        <w:tc>
          <w:tcPr>
            <w:tcW w:w="620" w:type="pct"/>
            <w:vAlign w:val="center"/>
            <w:hideMark/>
          </w:tcPr>
          <w:p w14:paraId="4CEC4870" w14:textId="77777777" w:rsidR="00000000" w:rsidRDefault="001A570A">
            <w:pPr>
              <w:rPr>
                <w:rFonts w:eastAsia="Times New Roman"/>
                <w:sz w:val="20"/>
                <w:szCs w:val="20"/>
              </w:rPr>
            </w:pPr>
          </w:p>
        </w:tc>
        <w:tc>
          <w:tcPr>
            <w:tcW w:w="5" w:type="pct"/>
            <w:vAlign w:val="center"/>
            <w:hideMark/>
          </w:tcPr>
          <w:p w14:paraId="1FA3BF70" w14:textId="77777777" w:rsidR="00000000" w:rsidRDefault="001A570A">
            <w:pPr>
              <w:rPr>
                <w:rFonts w:eastAsia="Times New Roman"/>
                <w:sz w:val="20"/>
                <w:szCs w:val="20"/>
              </w:rPr>
            </w:pPr>
          </w:p>
        </w:tc>
      </w:tr>
      <w:tr w:rsidR="00000000" w14:paraId="33293140" w14:textId="77777777">
        <w:trPr>
          <w:divId w:val="1323894875"/>
        </w:trPr>
        <w:tc>
          <w:tcPr>
            <w:tcW w:w="0" w:type="auto"/>
            <w:gridSpan w:val="3"/>
            <w:tcMar>
              <w:top w:w="0" w:type="dxa"/>
              <w:left w:w="20" w:type="dxa"/>
              <w:bottom w:w="0" w:type="dxa"/>
              <w:right w:w="20" w:type="dxa"/>
            </w:tcMar>
            <w:vAlign w:val="center"/>
            <w:hideMark/>
          </w:tcPr>
          <w:p w14:paraId="16F8040E"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43C04A3A" w14:textId="77777777" w:rsidR="00000000" w:rsidRDefault="001A570A">
            <w:pPr>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14:paraId="42EC754D"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045CE9D6" w14:textId="77777777" w:rsidR="00000000" w:rsidRDefault="001A570A">
            <w:pPr>
              <w:jc w:val="center"/>
              <w:rPr>
                <w:rFonts w:eastAsia="Times New Roman"/>
              </w:rPr>
            </w:pPr>
            <w:r>
              <w:rPr>
                <w:rFonts w:eastAsia="Times New Roman"/>
                <w:b/>
                <w:bCs/>
                <w:color w:val="000000"/>
                <w:sz w:val="16"/>
                <w:szCs w:val="16"/>
              </w:rPr>
              <w:t>Four Quarters Ended</w:t>
            </w:r>
          </w:p>
        </w:tc>
        <w:tc>
          <w:tcPr>
            <w:tcW w:w="0" w:type="auto"/>
            <w:gridSpan w:val="3"/>
            <w:tcMar>
              <w:top w:w="0" w:type="dxa"/>
              <w:left w:w="20" w:type="dxa"/>
              <w:bottom w:w="0" w:type="dxa"/>
              <w:right w:w="20" w:type="dxa"/>
            </w:tcMar>
            <w:vAlign w:val="center"/>
            <w:hideMark/>
          </w:tcPr>
          <w:p w14:paraId="7B836891" w14:textId="77777777" w:rsidR="00000000" w:rsidRDefault="001A570A">
            <w:pPr>
              <w:jc w:val="center"/>
              <w:rPr>
                <w:rFonts w:eastAsia="Times New Roman"/>
              </w:rPr>
            </w:pPr>
          </w:p>
        </w:tc>
        <w:tc>
          <w:tcPr>
            <w:tcW w:w="0" w:type="auto"/>
            <w:gridSpan w:val="9"/>
            <w:tcMar>
              <w:top w:w="30" w:type="dxa"/>
              <w:left w:w="20" w:type="dxa"/>
              <w:bottom w:w="30" w:type="dxa"/>
              <w:right w:w="20" w:type="dxa"/>
            </w:tcMar>
            <w:vAlign w:val="bottom"/>
            <w:hideMark/>
          </w:tcPr>
          <w:p w14:paraId="7B4F7ADC" w14:textId="77777777" w:rsidR="00000000" w:rsidRDefault="001A570A">
            <w:pPr>
              <w:jc w:val="center"/>
              <w:rPr>
                <w:rFonts w:eastAsia="Times New Roman"/>
              </w:rPr>
            </w:pPr>
            <w:r>
              <w:rPr>
                <w:rFonts w:eastAsia="Times New Roman"/>
                <w:b/>
                <w:bCs/>
                <w:color w:val="000000"/>
                <w:sz w:val="16"/>
                <w:szCs w:val="16"/>
              </w:rPr>
              <w:t>Two Quarters Ended</w:t>
            </w:r>
          </w:p>
        </w:tc>
      </w:tr>
      <w:tr w:rsidR="00000000" w14:paraId="2BFA3E44" w14:textId="77777777">
        <w:trPr>
          <w:divId w:val="1323894875"/>
        </w:trPr>
        <w:tc>
          <w:tcPr>
            <w:tcW w:w="0" w:type="auto"/>
            <w:gridSpan w:val="3"/>
            <w:tcMar>
              <w:top w:w="30" w:type="dxa"/>
              <w:left w:w="20" w:type="dxa"/>
              <w:bottom w:w="30" w:type="dxa"/>
              <w:right w:w="20" w:type="dxa"/>
            </w:tcMar>
            <w:vAlign w:val="bottom"/>
            <w:hideMark/>
          </w:tcPr>
          <w:p w14:paraId="4E532A4F" w14:textId="77777777" w:rsidR="00000000" w:rsidRDefault="001A570A">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78AEC2B" w14:textId="77777777" w:rsidR="00000000" w:rsidRDefault="001A570A">
            <w:pPr>
              <w:jc w:val="center"/>
              <w:rPr>
                <w:rFonts w:eastAsia="Times New Roman"/>
              </w:rPr>
            </w:pPr>
            <w:r>
              <w:rPr>
                <w:rFonts w:eastAsia="Times New Roman"/>
                <w:b/>
                <w:bCs/>
                <w:color w:val="000000"/>
                <w:sz w:val="16"/>
                <w:szCs w:val="16"/>
              </w:rPr>
              <w:t>January 1, 2021</w:t>
            </w:r>
          </w:p>
        </w:tc>
        <w:tc>
          <w:tcPr>
            <w:tcW w:w="0" w:type="auto"/>
            <w:gridSpan w:val="3"/>
            <w:shd w:val="clear" w:color="auto" w:fill="FFFFFF"/>
            <w:tcMar>
              <w:top w:w="0" w:type="dxa"/>
              <w:left w:w="20" w:type="dxa"/>
              <w:bottom w:w="0" w:type="dxa"/>
              <w:right w:w="20" w:type="dxa"/>
            </w:tcMar>
            <w:vAlign w:val="center"/>
            <w:hideMark/>
          </w:tcPr>
          <w:p w14:paraId="579314CC" w14:textId="77777777" w:rsidR="00000000" w:rsidRDefault="001A570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091B485"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shd w:val="clear" w:color="auto" w:fill="FFFFFF"/>
            <w:tcMar>
              <w:top w:w="0" w:type="dxa"/>
              <w:left w:w="20" w:type="dxa"/>
              <w:bottom w:w="0" w:type="dxa"/>
              <w:right w:w="20" w:type="dxa"/>
            </w:tcMar>
            <w:vAlign w:val="center"/>
            <w:hideMark/>
          </w:tcPr>
          <w:p w14:paraId="30C72710" w14:textId="77777777" w:rsidR="00000000" w:rsidRDefault="001A570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33254FF" w14:textId="77777777" w:rsidR="00000000" w:rsidRDefault="001A570A">
            <w:pPr>
              <w:jc w:val="center"/>
              <w:rPr>
                <w:rFonts w:eastAsia="Times New Roman"/>
              </w:rPr>
            </w:pPr>
            <w:r>
              <w:rPr>
                <w:rFonts w:eastAsia="Times New Roman"/>
                <w:b/>
                <w:bCs/>
                <w:color w:val="000000"/>
                <w:sz w:val="16"/>
                <w:szCs w:val="16"/>
              </w:rPr>
              <w:t>January 3, 2020</w:t>
            </w:r>
          </w:p>
        </w:tc>
        <w:tc>
          <w:tcPr>
            <w:tcW w:w="0" w:type="auto"/>
            <w:gridSpan w:val="3"/>
            <w:tcBorders>
              <w:top w:val="single" w:sz="8" w:space="0" w:color="000000"/>
            </w:tcBorders>
            <w:tcMar>
              <w:top w:w="0" w:type="dxa"/>
              <w:left w:w="20" w:type="dxa"/>
              <w:bottom w:w="0" w:type="dxa"/>
              <w:right w:w="20" w:type="dxa"/>
            </w:tcMar>
            <w:vAlign w:val="center"/>
            <w:hideMark/>
          </w:tcPr>
          <w:p w14:paraId="1CF39FB8" w14:textId="77777777" w:rsidR="00000000" w:rsidRDefault="001A570A">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9430A98" w14:textId="77777777" w:rsidR="00000000" w:rsidRDefault="001A570A">
            <w:pPr>
              <w:jc w:val="center"/>
              <w:rPr>
                <w:rFonts w:eastAsia="Times New Roman"/>
              </w:rPr>
            </w:pPr>
            <w:r>
              <w:rPr>
                <w:rFonts w:eastAsia="Times New Roman"/>
                <w:b/>
                <w:bCs/>
                <w:color w:val="000000"/>
                <w:sz w:val="16"/>
                <w:szCs w:val="16"/>
              </w:rPr>
              <w:t>December 28, 2018</w:t>
            </w:r>
          </w:p>
        </w:tc>
      </w:tr>
      <w:tr w:rsidR="00000000" w14:paraId="4C13DC93" w14:textId="77777777">
        <w:trPr>
          <w:divId w:val="1323894875"/>
        </w:trPr>
        <w:tc>
          <w:tcPr>
            <w:tcW w:w="0" w:type="auto"/>
            <w:gridSpan w:val="3"/>
            <w:tcMar>
              <w:top w:w="0" w:type="dxa"/>
              <w:left w:w="20" w:type="dxa"/>
              <w:bottom w:w="0" w:type="dxa"/>
              <w:right w:w="20" w:type="dxa"/>
            </w:tcMar>
            <w:vAlign w:val="center"/>
            <w:hideMark/>
          </w:tcPr>
          <w:p w14:paraId="3A337066"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26BCDA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CBD35EA"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1CA3F54" w14:textId="77777777" w:rsidR="00000000" w:rsidRDefault="001A570A">
            <w:pPr>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26EC53E2" w14:textId="77777777" w:rsidR="00000000" w:rsidRDefault="001A570A">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35ABAD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ABE138E" w14:textId="77777777" w:rsidR="00000000" w:rsidRDefault="001A570A">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90125CC" w14:textId="77777777" w:rsidR="00000000" w:rsidRDefault="001A570A">
            <w:pPr>
              <w:jc w:val="center"/>
              <w:rPr>
                <w:rFonts w:eastAsia="Times New Roman"/>
              </w:rPr>
            </w:pPr>
            <w:r>
              <w:rPr>
                <w:rFonts w:eastAsia="Times New Roman"/>
                <w:b/>
                <w:bCs/>
                <w:color w:val="000000"/>
                <w:sz w:val="16"/>
                <w:szCs w:val="16"/>
              </w:rPr>
              <w:t>(Unaudited)</w:t>
            </w:r>
          </w:p>
        </w:tc>
      </w:tr>
      <w:tr w:rsidR="00000000" w14:paraId="3EB3D127" w14:textId="77777777">
        <w:trPr>
          <w:divId w:val="1323894875"/>
          <w:trHeight w:val="60"/>
        </w:trPr>
        <w:tc>
          <w:tcPr>
            <w:tcW w:w="0" w:type="auto"/>
            <w:gridSpan w:val="3"/>
            <w:tcMar>
              <w:top w:w="0" w:type="dxa"/>
              <w:left w:w="20" w:type="dxa"/>
              <w:bottom w:w="0" w:type="dxa"/>
              <w:right w:w="20" w:type="dxa"/>
            </w:tcMar>
            <w:vAlign w:val="center"/>
            <w:hideMark/>
          </w:tcPr>
          <w:p w14:paraId="3101C899" w14:textId="77777777" w:rsidR="00000000" w:rsidRDefault="001A570A">
            <w:pPr>
              <w:jc w:val="center"/>
              <w:rPr>
                <w:rFonts w:eastAsia="Times New Roman"/>
              </w:rPr>
            </w:pPr>
          </w:p>
        </w:tc>
        <w:tc>
          <w:tcPr>
            <w:tcW w:w="0" w:type="auto"/>
            <w:gridSpan w:val="3"/>
            <w:tcMar>
              <w:top w:w="0" w:type="dxa"/>
              <w:left w:w="20" w:type="dxa"/>
              <w:bottom w:w="0" w:type="dxa"/>
              <w:right w:w="20" w:type="dxa"/>
            </w:tcMar>
            <w:vAlign w:val="center"/>
            <w:hideMark/>
          </w:tcPr>
          <w:p w14:paraId="2C795D3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6F9D355"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2D413D"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82CA77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44204B47"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5F4C999" w14:textId="77777777" w:rsidR="00000000" w:rsidRDefault="001A570A">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E6AE27" w14:textId="77777777" w:rsidR="00000000" w:rsidRDefault="001A570A">
            <w:pPr>
              <w:rPr>
                <w:rFonts w:eastAsia="Times New Roman"/>
                <w:sz w:val="20"/>
                <w:szCs w:val="20"/>
              </w:rPr>
            </w:pPr>
          </w:p>
        </w:tc>
      </w:tr>
      <w:tr w:rsidR="00000000" w14:paraId="348E7E7F" w14:textId="77777777">
        <w:trPr>
          <w:divId w:val="1323894875"/>
        </w:trPr>
        <w:tc>
          <w:tcPr>
            <w:tcW w:w="0" w:type="auto"/>
            <w:gridSpan w:val="3"/>
            <w:shd w:val="clear" w:color="auto" w:fill="CCEEFF"/>
            <w:tcMar>
              <w:top w:w="30" w:type="dxa"/>
              <w:left w:w="20" w:type="dxa"/>
              <w:bottom w:w="30" w:type="dxa"/>
              <w:right w:w="20" w:type="dxa"/>
            </w:tcMar>
            <w:vAlign w:val="bottom"/>
            <w:hideMark/>
          </w:tcPr>
          <w:p w14:paraId="136BADD9" w14:textId="77777777" w:rsidR="00000000" w:rsidRDefault="001A570A">
            <w:pPr>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14:paraId="24F907CB"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ACC5CD" w14:textId="77777777" w:rsidR="00000000" w:rsidRDefault="001A570A">
            <w:pPr>
              <w:jc w:val="right"/>
              <w:rPr>
                <w:rFonts w:eastAsia="Times New Roman"/>
              </w:rPr>
            </w:pPr>
            <w:r>
              <w:rPr>
                <w:rFonts w:eastAsia="Times New Roman"/>
                <w:color w:val="000000"/>
                <w:sz w:val="20"/>
                <w:szCs w:val="20"/>
              </w:rPr>
              <w:t>18,194 </w:t>
            </w:r>
          </w:p>
        </w:tc>
        <w:tc>
          <w:tcPr>
            <w:tcW w:w="0" w:type="auto"/>
            <w:shd w:val="clear" w:color="auto" w:fill="CCEEFF"/>
            <w:tcMar>
              <w:top w:w="30" w:type="dxa"/>
              <w:left w:w="0" w:type="dxa"/>
              <w:bottom w:w="30" w:type="dxa"/>
              <w:right w:w="20" w:type="dxa"/>
            </w:tcMar>
            <w:vAlign w:val="bottom"/>
            <w:hideMark/>
          </w:tcPr>
          <w:p w14:paraId="7F2CEEC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18064"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376CF1"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5B5A0D" w14:textId="77777777" w:rsidR="00000000" w:rsidRDefault="001A570A">
            <w:pPr>
              <w:jc w:val="right"/>
              <w:rPr>
                <w:rFonts w:eastAsia="Times New Roman"/>
              </w:rPr>
            </w:pPr>
            <w:r>
              <w:rPr>
                <w:rFonts w:eastAsia="Times New Roman"/>
                <w:color w:val="000000"/>
                <w:sz w:val="20"/>
                <w:szCs w:val="20"/>
              </w:rPr>
              <w:t>12,856 </w:t>
            </w:r>
          </w:p>
        </w:tc>
        <w:tc>
          <w:tcPr>
            <w:tcW w:w="0" w:type="auto"/>
            <w:shd w:val="clear" w:color="auto" w:fill="CCEEFF"/>
            <w:tcMar>
              <w:top w:w="30" w:type="dxa"/>
              <w:left w:w="0" w:type="dxa"/>
              <w:bottom w:w="30" w:type="dxa"/>
              <w:right w:w="20" w:type="dxa"/>
            </w:tcMar>
            <w:vAlign w:val="bottom"/>
            <w:hideMark/>
          </w:tcPr>
          <w:p w14:paraId="4D9A9258"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D09D8"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9F6F12"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74E9F2" w14:textId="77777777" w:rsidR="00000000" w:rsidRDefault="001A570A">
            <w:pPr>
              <w:jc w:val="right"/>
              <w:rPr>
                <w:rFonts w:eastAsia="Times New Roman"/>
              </w:rPr>
            </w:pPr>
            <w:r>
              <w:rPr>
                <w:rFonts w:eastAsia="Times New Roman"/>
                <w:color w:val="000000"/>
                <w:sz w:val="20"/>
                <w:szCs w:val="20"/>
              </w:rPr>
              <w:t>9,263 </w:t>
            </w:r>
          </w:p>
        </w:tc>
        <w:tc>
          <w:tcPr>
            <w:tcW w:w="0" w:type="auto"/>
            <w:shd w:val="clear" w:color="auto" w:fill="CCEEFF"/>
            <w:tcMar>
              <w:top w:w="30" w:type="dxa"/>
              <w:left w:w="0" w:type="dxa"/>
              <w:bottom w:w="30" w:type="dxa"/>
              <w:right w:w="20" w:type="dxa"/>
            </w:tcMar>
            <w:vAlign w:val="bottom"/>
            <w:hideMark/>
          </w:tcPr>
          <w:p w14:paraId="143FABAE"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9DF9E" w14:textId="77777777" w:rsidR="00000000" w:rsidRDefault="001A570A">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F48D16" w14:textId="77777777" w:rsidR="00000000" w:rsidRDefault="001A570A">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D552EB" w14:textId="77777777" w:rsidR="00000000" w:rsidRDefault="001A570A">
            <w:pPr>
              <w:jc w:val="right"/>
              <w:rPr>
                <w:rFonts w:eastAsia="Times New Roman"/>
              </w:rPr>
            </w:pPr>
            <w:r>
              <w:rPr>
                <w:rFonts w:eastAsia="Times New Roman"/>
                <w:color w:val="000000"/>
                <w:sz w:val="20"/>
                <w:szCs w:val="20"/>
              </w:rPr>
              <w:t>3,208 </w:t>
            </w:r>
          </w:p>
        </w:tc>
        <w:tc>
          <w:tcPr>
            <w:tcW w:w="0" w:type="auto"/>
            <w:shd w:val="clear" w:color="auto" w:fill="CCEEFF"/>
            <w:tcMar>
              <w:top w:w="30" w:type="dxa"/>
              <w:left w:w="0" w:type="dxa"/>
              <w:bottom w:w="30" w:type="dxa"/>
              <w:right w:w="20" w:type="dxa"/>
            </w:tcMar>
            <w:vAlign w:val="bottom"/>
            <w:hideMark/>
          </w:tcPr>
          <w:p w14:paraId="26DAD79E" w14:textId="77777777" w:rsidR="00000000" w:rsidRDefault="001A570A">
            <w:pPr>
              <w:jc w:val="right"/>
              <w:rPr>
                <w:rFonts w:eastAsia="Times New Roman"/>
              </w:rPr>
            </w:pPr>
          </w:p>
        </w:tc>
      </w:tr>
      <w:tr w:rsidR="00000000" w14:paraId="5C110040" w14:textId="77777777">
        <w:trPr>
          <w:divId w:val="1323894875"/>
        </w:trPr>
        <w:tc>
          <w:tcPr>
            <w:tcW w:w="0" w:type="auto"/>
            <w:gridSpan w:val="3"/>
            <w:shd w:val="clear" w:color="auto" w:fill="FFFFFF"/>
            <w:tcMar>
              <w:top w:w="30" w:type="dxa"/>
              <w:left w:w="20" w:type="dxa"/>
              <w:bottom w:w="30" w:type="dxa"/>
              <w:right w:w="20" w:type="dxa"/>
            </w:tcMar>
            <w:vAlign w:val="bottom"/>
            <w:hideMark/>
          </w:tcPr>
          <w:p w14:paraId="5997AD85" w14:textId="77777777" w:rsidR="00000000" w:rsidRDefault="001A570A">
            <w:pPr>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14:paraId="2AE8A9EC" w14:textId="77777777" w:rsidR="00000000" w:rsidRDefault="001A570A">
            <w:pPr>
              <w:jc w:val="right"/>
              <w:rPr>
                <w:rFonts w:eastAsia="Times New Roman"/>
              </w:rPr>
            </w:pPr>
            <w:r>
              <w:rPr>
                <w:rFonts w:eastAsia="Times New Roman"/>
                <w:color w:val="000000"/>
                <w:sz w:val="20"/>
                <w:szCs w:val="20"/>
              </w:rPr>
              <w:t>(12,886)</w:t>
            </w:r>
          </w:p>
        </w:tc>
        <w:tc>
          <w:tcPr>
            <w:tcW w:w="0" w:type="auto"/>
            <w:shd w:val="clear" w:color="auto" w:fill="FFFFFF"/>
            <w:tcMar>
              <w:top w:w="30" w:type="dxa"/>
              <w:left w:w="0" w:type="dxa"/>
              <w:bottom w:w="30" w:type="dxa"/>
              <w:right w:w="20" w:type="dxa"/>
            </w:tcMar>
            <w:vAlign w:val="bottom"/>
            <w:hideMark/>
          </w:tcPr>
          <w:p w14:paraId="3ACB9E1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C027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78491B" w14:textId="77777777" w:rsidR="00000000" w:rsidRDefault="001A570A">
            <w:pPr>
              <w:jc w:val="right"/>
              <w:rPr>
                <w:rFonts w:eastAsia="Times New Roman"/>
              </w:rPr>
            </w:pPr>
            <w:r>
              <w:rPr>
                <w:rFonts w:eastAsia="Times New Roman"/>
                <w:color w:val="000000"/>
                <w:sz w:val="20"/>
                <w:szCs w:val="20"/>
              </w:rPr>
              <w:t>(9,088)</w:t>
            </w:r>
          </w:p>
        </w:tc>
        <w:tc>
          <w:tcPr>
            <w:tcW w:w="0" w:type="auto"/>
            <w:shd w:val="clear" w:color="auto" w:fill="FFFFFF"/>
            <w:tcMar>
              <w:top w:w="30" w:type="dxa"/>
              <w:left w:w="0" w:type="dxa"/>
              <w:bottom w:w="30" w:type="dxa"/>
              <w:right w:w="20" w:type="dxa"/>
            </w:tcMar>
            <w:vAlign w:val="bottom"/>
            <w:hideMark/>
          </w:tcPr>
          <w:p w14:paraId="41996687"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F1B1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BF1739" w14:textId="77777777" w:rsidR="00000000" w:rsidRDefault="001A570A">
            <w:pPr>
              <w:jc w:val="right"/>
              <w:rPr>
                <w:rFonts w:eastAsia="Times New Roman"/>
              </w:rPr>
            </w:pPr>
            <w:r>
              <w:rPr>
                <w:rFonts w:eastAsia="Times New Roman"/>
                <w:color w:val="000000"/>
                <w:sz w:val="20"/>
                <w:szCs w:val="20"/>
              </w:rPr>
              <w:t>(6,726)</w:t>
            </w:r>
          </w:p>
        </w:tc>
        <w:tc>
          <w:tcPr>
            <w:tcW w:w="0" w:type="auto"/>
            <w:shd w:val="clear" w:color="auto" w:fill="FFFFFF"/>
            <w:tcMar>
              <w:top w:w="30" w:type="dxa"/>
              <w:left w:w="0" w:type="dxa"/>
              <w:bottom w:w="30" w:type="dxa"/>
              <w:right w:w="20" w:type="dxa"/>
            </w:tcMar>
            <w:vAlign w:val="bottom"/>
            <w:hideMark/>
          </w:tcPr>
          <w:p w14:paraId="72EAC5B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EE4ED"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9138D4" w14:textId="77777777" w:rsidR="00000000" w:rsidRDefault="001A570A">
            <w:pPr>
              <w:jc w:val="right"/>
              <w:rPr>
                <w:rFonts w:eastAsia="Times New Roman"/>
              </w:rPr>
            </w:pPr>
            <w:r>
              <w:rPr>
                <w:rFonts w:eastAsia="Times New Roman"/>
                <w:color w:val="000000"/>
                <w:sz w:val="20"/>
                <w:szCs w:val="20"/>
              </w:rPr>
              <w:t>(2,105)</w:t>
            </w:r>
          </w:p>
        </w:tc>
        <w:tc>
          <w:tcPr>
            <w:tcW w:w="0" w:type="auto"/>
            <w:shd w:val="clear" w:color="auto" w:fill="FFFFFF"/>
            <w:tcMar>
              <w:top w:w="30" w:type="dxa"/>
              <w:left w:w="0" w:type="dxa"/>
              <w:bottom w:w="30" w:type="dxa"/>
              <w:right w:w="20" w:type="dxa"/>
            </w:tcMar>
            <w:vAlign w:val="bottom"/>
            <w:hideMark/>
          </w:tcPr>
          <w:p w14:paraId="793E09F5" w14:textId="77777777" w:rsidR="00000000" w:rsidRDefault="001A570A">
            <w:pPr>
              <w:jc w:val="right"/>
              <w:rPr>
                <w:rFonts w:eastAsia="Times New Roman"/>
              </w:rPr>
            </w:pPr>
          </w:p>
        </w:tc>
      </w:tr>
      <w:tr w:rsidR="00000000" w14:paraId="41C5F210" w14:textId="77777777">
        <w:trPr>
          <w:divId w:val="1323894875"/>
        </w:trPr>
        <w:tc>
          <w:tcPr>
            <w:tcW w:w="0" w:type="auto"/>
            <w:gridSpan w:val="3"/>
            <w:shd w:val="clear" w:color="auto" w:fill="CCEEFF"/>
            <w:tcMar>
              <w:top w:w="30" w:type="dxa"/>
              <w:left w:w="20" w:type="dxa"/>
              <w:bottom w:w="30" w:type="dxa"/>
              <w:right w:w="20" w:type="dxa"/>
            </w:tcMar>
            <w:vAlign w:val="bottom"/>
            <w:hideMark/>
          </w:tcPr>
          <w:p w14:paraId="13438805" w14:textId="77777777" w:rsidR="00000000" w:rsidRDefault="001A570A">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14:paraId="20C5E975" w14:textId="77777777" w:rsidR="00000000" w:rsidRDefault="001A570A">
            <w:pPr>
              <w:jc w:val="right"/>
              <w:rPr>
                <w:rFonts w:eastAsia="Times New Roman"/>
              </w:rPr>
            </w:pPr>
            <w:r>
              <w:rPr>
                <w:rFonts w:eastAsia="Times New Roman"/>
                <w:color w:val="000000"/>
                <w:sz w:val="20"/>
                <w:szCs w:val="20"/>
              </w:rPr>
              <w:t>(3,315)</w:t>
            </w:r>
          </w:p>
        </w:tc>
        <w:tc>
          <w:tcPr>
            <w:tcW w:w="0" w:type="auto"/>
            <w:shd w:val="clear" w:color="auto" w:fill="CCEEFF"/>
            <w:tcMar>
              <w:top w:w="30" w:type="dxa"/>
              <w:left w:w="0" w:type="dxa"/>
              <w:bottom w:w="30" w:type="dxa"/>
              <w:right w:w="20" w:type="dxa"/>
            </w:tcMar>
            <w:vAlign w:val="bottom"/>
            <w:hideMark/>
          </w:tcPr>
          <w:p w14:paraId="6399E57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54719"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55263" w14:textId="77777777" w:rsidR="00000000" w:rsidRDefault="001A570A">
            <w:pPr>
              <w:jc w:val="right"/>
              <w:rPr>
                <w:rFonts w:eastAsia="Times New Roman"/>
              </w:rPr>
            </w:pPr>
            <w:r>
              <w:rPr>
                <w:rFonts w:eastAsia="Times New Roman"/>
                <w:color w:val="000000"/>
                <w:sz w:val="20"/>
                <w:szCs w:val="20"/>
              </w:rPr>
              <w:t>(2,540)</w:t>
            </w:r>
          </w:p>
        </w:tc>
        <w:tc>
          <w:tcPr>
            <w:tcW w:w="0" w:type="auto"/>
            <w:shd w:val="clear" w:color="auto" w:fill="CCEEFF"/>
            <w:tcMar>
              <w:top w:w="30" w:type="dxa"/>
              <w:left w:w="0" w:type="dxa"/>
              <w:bottom w:w="30" w:type="dxa"/>
              <w:right w:w="20" w:type="dxa"/>
            </w:tcMar>
            <w:vAlign w:val="bottom"/>
            <w:hideMark/>
          </w:tcPr>
          <w:p w14:paraId="78B684A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C72C2"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9B3FD7" w14:textId="77777777" w:rsidR="00000000" w:rsidRDefault="001A570A">
            <w:pPr>
              <w:jc w:val="right"/>
              <w:rPr>
                <w:rFonts w:eastAsia="Times New Roman"/>
              </w:rPr>
            </w:pPr>
            <w:r>
              <w:rPr>
                <w:rFonts w:eastAsia="Times New Roman"/>
                <w:color w:val="000000"/>
                <w:sz w:val="20"/>
                <w:szCs w:val="20"/>
              </w:rPr>
              <w:t>(1,881)</w:t>
            </w:r>
          </w:p>
        </w:tc>
        <w:tc>
          <w:tcPr>
            <w:tcW w:w="0" w:type="auto"/>
            <w:shd w:val="clear" w:color="auto" w:fill="CCEEFF"/>
            <w:tcMar>
              <w:top w:w="30" w:type="dxa"/>
              <w:left w:w="0" w:type="dxa"/>
              <w:bottom w:w="30" w:type="dxa"/>
              <w:right w:w="20" w:type="dxa"/>
            </w:tcMar>
            <w:vAlign w:val="bottom"/>
            <w:hideMark/>
          </w:tcPr>
          <w:p w14:paraId="2BECD9E6"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0084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A365A" w14:textId="77777777" w:rsidR="00000000" w:rsidRDefault="001A570A">
            <w:pPr>
              <w:jc w:val="right"/>
              <w:rPr>
                <w:rFonts w:eastAsia="Times New Roman"/>
              </w:rPr>
            </w:pPr>
            <w:r>
              <w:rPr>
                <w:rFonts w:eastAsia="Times New Roman"/>
                <w:color w:val="000000"/>
                <w:sz w:val="20"/>
                <w:szCs w:val="20"/>
              </w:rPr>
              <w:t>(583)</w:t>
            </w:r>
          </w:p>
        </w:tc>
        <w:tc>
          <w:tcPr>
            <w:tcW w:w="0" w:type="auto"/>
            <w:shd w:val="clear" w:color="auto" w:fill="CCEEFF"/>
            <w:tcMar>
              <w:top w:w="30" w:type="dxa"/>
              <w:left w:w="0" w:type="dxa"/>
              <w:bottom w:w="30" w:type="dxa"/>
              <w:right w:w="20" w:type="dxa"/>
            </w:tcMar>
            <w:vAlign w:val="bottom"/>
            <w:hideMark/>
          </w:tcPr>
          <w:p w14:paraId="6603FB20" w14:textId="77777777" w:rsidR="00000000" w:rsidRDefault="001A570A">
            <w:pPr>
              <w:jc w:val="right"/>
              <w:rPr>
                <w:rFonts w:eastAsia="Times New Roman"/>
              </w:rPr>
            </w:pPr>
          </w:p>
        </w:tc>
      </w:tr>
      <w:tr w:rsidR="00000000" w14:paraId="6DAF6F9A" w14:textId="77777777">
        <w:trPr>
          <w:divId w:val="1323894875"/>
        </w:trPr>
        <w:tc>
          <w:tcPr>
            <w:tcW w:w="0" w:type="auto"/>
            <w:gridSpan w:val="3"/>
            <w:shd w:val="clear" w:color="auto" w:fill="FFFFFF"/>
            <w:tcMar>
              <w:top w:w="30" w:type="dxa"/>
              <w:left w:w="20" w:type="dxa"/>
              <w:bottom w:w="30" w:type="dxa"/>
              <w:right w:w="20" w:type="dxa"/>
            </w:tcMar>
            <w:vAlign w:val="bottom"/>
            <w:hideMark/>
          </w:tcPr>
          <w:p w14:paraId="61E417D1" w14:textId="77777777" w:rsidR="00000000" w:rsidRDefault="001A570A">
            <w:pPr>
              <w:rPr>
                <w:rFonts w:eastAsia="Times New Roman"/>
              </w:rPr>
            </w:pPr>
            <w:r>
              <w:rPr>
                <w:rFonts w:eastAsia="Times New Roman"/>
                <w:color w:val="000000"/>
                <w:sz w:val="20"/>
                <w:szCs w:val="20"/>
              </w:rPr>
              <w:t>Business divestiture-related (losses) gains</w:t>
            </w:r>
          </w:p>
        </w:tc>
        <w:tc>
          <w:tcPr>
            <w:tcW w:w="0" w:type="auto"/>
            <w:gridSpan w:val="2"/>
            <w:shd w:val="clear" w:color="auto" w:fill="FFFFFF"/>
            <w:tcMar>
              <w:top w:w="30" w:type="dxa"/>
              <w:left w:w="20" w:type="dxa"/>
              <w:bottom w:w="30" w:type="dxa"/>
              <w:right w:w="0" w:type="dxa"/>
            </w:tcMar>
            <w:vAlign w:val="bottom"/>
            <w:hideMark/>
          </w:tcPr>
          <w:p w14:paraId="06729C20" w14:textId="77777777" w:rsidR="00000000" w:rsidRDefault="001A570A">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14:paraId="75DC1A0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EF39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34475D"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73A2B49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7F893"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07FDE4" w14:textId="77777777" w:rsidR="00000000" w:rsidRDefault="001A570A">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1CA3C92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9A9C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A2F662"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D2E532" w14:textId="77777777" w:rsidR="00000000" w:rsidRDefault="001A570A">
            <w:pPr>
              <w:jc w:val="right"/>
              <w:rPr>
                <w:rFonts w:eastAsia="Times New Roman"/>
              </w:rPr>
            </w:pPr>
          </w:p>
        </w:tc>
      </w:tr>
      <w:tr w:rsidR="00000000" w14:paraId="5EE2414D" w14:textId="77777777">
        <w:trPr>
          <w:divId w:val="1323894875"/>
        </w:trPr>
        <w:tc>
          <w:tcPr>
            <w:tcW w:w="0" w:type="auto"/>
            <w:gridSpan w:val="3"/>
            <w:shd w:val="clear" w:color="auto" w:fill="CCEEFF"/>
            <w:tcMar>
              <w:top w:w="30" w:type="dxa"/>
              <w:left w:w="20" w:type="dxa"/>
              <w:bottom w:w="30" w:type="dxa"/>
              <w:right w:w="20" w:type="dxa"/>
            </w:tcMar>
            <w:vAlign w:val="bottom"/>
            <w:hideMark/>
          </w:tcPr>
          <w:p w14:paraId="7E5948E0" w14:textId="77777777" w:rsidR="00000000" w:rsidRDefault="001A570A">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14:paraId="424DA2CD" w14:textId="77777777" w:rsidR="00000000" w:rsidRDefault="001A570A">
            <w:pPr>
              <w:jc w:val="right"/>
              <w:rPr>
                <w:rFonts w:eastAsia="Times New Roman"/>
              </w:rPr>
            </w:pPr>
            <w:r>
              <w:rPr>
                <w:rFonts w:eastAsia="Times New Roman"/>
                <w:color w:val="000000"/>
                <w:sz w:val="20"/>
                <w:szCs w:val="20"/>
              </w:rPr>
              <w:t>(767)</w:t>
            </w:r>
          </w:p>
        </w:tc>
        <w:tc>
          <w:tcPr>
            <w:tcW w:w="0" w:type="auto"/>
            <w:shd w:val="clear" w:color="auto" w:fill="CCEEFF"/>
            <w:tcMar>
              <w:top w:w="30" w:type="dxa"/>
              <w:left w:w="0" w:type="dxa"/>
              <w:bottom w:w="30" w:type="dxa"/>
              <w:right w:w="20" w:type="dxa"/>
            </w:tcMar>
            <w:vAlign w:val="bottom"/>
            <w:hideMark/>
          </w:tcPr>
          <w:p w14:paraId="376B5BD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EA730"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50A7BE"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083FEC8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2D6D6"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D87BA6" w14:textId="77777777" w:rsidR="00000000" w:rsidRDefault="001A570A">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1D0C7A14"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424E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7E737"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86DFF26" w14:textId="77777777" w:rsidR="00000000" w:rsidRDefault="001A570A">
            <w:pPr>
              <w:jc w:val="right"/>
              <w:rPr>
                <w:rFonts w:eastAsia="Times New Roman"/>
              </w:rPr>
            </w:pPr>
          </w:p>
        </w:tc>
      </w:tr>
      <w:tr w:rsidR="00000000" w14:paraId="249DB7CC" w14:textId="77777777">
        <w:trPr>
          <w:divId w:val="1323894875"/>
        </w:trPr>
        <w:tc>
          <w:tcPr>
            <w:tcW w:w="0" w:type="auto"/>
            <w:gridSpan w:val="3"/>
            <w:shd w:val="clear" w:color="auto" w:fill="FFFFFF"/>
            <w:tcMar>
              <w:top w:w="30" w:type="dxa"/>
              <w:left w:w="20" w:type="dxa"/>
              <w:bottom w:w="30" w:type="dxa"/>
              <w:right w:w="20" w:type="dxa"/>
            </w:tcMar>
            <w:vAlign w:val="bottom"/>
            <w:hideMark/>
          </w:tcPr>
          <w:p w14:paraId="28F0016A" w14:textId="77777777" w:rsidR="00000000" w:rsidRDefault="001A570A">
            <w:pPr>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14:paraId="1A72FC34" w14:textId="77777777" w:rsidR="00000000" w:rsidRDefault="001A570A">
            <w:pPr>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14:paraId="48420F50"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24149"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F6376" w14:textId="77777777" w:rsidR="00000000" w:rsidRDefault="001A570A">
            <w:pPr>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14:paraId="24B78C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21DCC"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DD5DA" w14:textId="77777777" w:rsidR="00000000" w:rsidRDefault="001A570A">
            <w:pPr>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68E1F59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89E0B"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F3D832" w14:textId="77777777" w:rsidR="00000000" w:rsidRDefault="001A570A">
            <w:pPr>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14:paraId="11B9EBF4" w14:textId="77777777" w:rsidR="00000000" w:rsidRDefault="001A570A">
            <w:pPr>
              <w:jc w:val="right"/>
              <w:rPr>
                <w:rFonts w:eastAsia="Times New Roman"/>
              </w:rPr>
            </w:pPr>
          </w:p>
        </w:tc>
      </w:tr>
      <w:tr w:rsidR="00000000" w14:paraId="0AF2EF82" w14:textId="77777777">
        <w:trPr>
          <w:divId w:val="1323894875"/>
        </w:trPr>
        <w:tc>
          <w:tcPr>
            <w:tcW w:w="0" w:type="auto"/>
            <w:gridSpan w:val="3"/>
            <w:shd w:val="clear" w:color="auto" w:fill="CCEEFF"/>
            <w:tcMar>
              <w:top w:w="30" w:type="dxa"/>
              <w:left w:w="20" w:type="dxa"/>
              <w:bottom w:w="30" w:type="dxa"/>
              <w:right w:w="20" w:type="dxa"/>
            </w:tcMar>
            <w:vAlign w:val="bottom"/>
            <w:hideMark/>
          </w:tcPr>
          <w:p w14:paraId="51A0E3E0" w14:textId="77777777" w:rsidR="00000000" w:rsidRDefault="001A570A">
            <w:pPr>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2452EF41" w14:textId="77777777" w:rsidR="00000000" w:rsidRDefault="001A570A">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1CB1532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FBE08"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A21F5" w14:textId="77777777" w:rsidR="00000000" w:rsidRDefault="001A570A">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2CB580C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B3FA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56A7F" w14:textId="77777777" w:rsidR="00000000" w:rsidRDefault="001A570A">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57B33D8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CA1D7"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96C41" w14:textId="77777777" w:rsidR="00000000" w:rsidRDefault="001A570A">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5EAC777" w14:textId="77777777" w:rsidR="00000000" w:rsidRDefault="001A570A">
            <w:pPr>
              <w:jc w:val="right"/>
              <w:rPr>
                <w:rFonts w:eastAsia="Times New Roman"/>
              </w:rPr>
            </w:pPr>
          </w:p>
        </w:tc>
      </w:tr>
      <w:tr w:rsidR="00000000" w14:paraId="0E533626" w14:textId="77777777">
        <w:trPr>
          <w:divId w:val="1323894875"/>
        </w:trPr>
        <w:tc>
          <w:tcPr>
            <w:tcW w:w="0" w:type="auto"/>
            <w:gridSpan w:val="3"/>
            <w:shd w:val="clear" w:color="auto" w:fill="FFFFFF"/>
            <w:tcMar>
              <w:top w:w="30" w:type="dxa"/>
              <w:left w:w="20" w:type="dxa"/>
              <w:bottom w:w="30" w:type="dxa"/>
              <w:right w:w="20" w:type="dxa"/>
            </w:tcMar>
            <w:vAlign w:val="bottom"/>
            <w:hideMark/>
          </w:tcPr>
          <w:p w14:paraId="24DB0873" w14:textId="77777777" w:rsidR="00000000" w:rsidRDefault="001A570A">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01DFDC6D" w14:textId="77777777" w:rsidR="00000000" w:rsidRDefault="001A570A">
            <w:pPr>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14:paraId="0418015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9165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DBECDB" w14:textId="77777777" w:rsidR="00000000" w:rsidRDefault="001A570A">
            <w:pPr>
              <w:jc w:val="right"/>
              <w:rPr>
                <w:rFonts w:eastAsia="Times New Roman"/>
              </w:rPr>
            </w:pPr>
            <w:r>
              <w:rPr>
                <w:rFonts w:eastAsia="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14:paraId="251A5A8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08BE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419B6" w14:textId="77777777" w:rsidR="00000000" w:rsidRDefault="001A570A">
            <w:pPr>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14:paraId="3BEB35D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DEB2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B1F8EC" w14:textId="77777777" w:rsidR="00000000" w:rsidRDefault="001A570A">
            <w:pPr>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14:paraId="0CA76ED2" w14:textId="77777777" w:rsidR="00000000" w:rsidRDefault="001A570A">
            <w:pPr>
              <w:jc w:val="right"/>
              <w:rPr>
                <w:rFonts w:eastAsia="Times New Roman"/>
              </w:rPr>
            </w:pPr>
          </w:p>
        </w:tc>
      </w:tr>
      <w:tr w:rsidR="00000000" w14:paraId="1B303826" w14:textId="77777777">
        <w:trPr>
          <w:divId w:val="1323894875"/>
        </w:trPr>
        <w:tc>
          <w:tcPr>
            <w:tcW w:w="0" w:type="auto"/>
            <w:gridSpan w:val="3"/>
            <w:shd w:val="clear" w:color="auto" w:fill="CCEEFF"/>
            <w:tcMar>
              <w:top w:w="30" w:type="dxa"/>
              <w:left w:w="20" w:type="dxa"/>
              <w:bottom w:w="30" w:type="dxa"/>
              <w:right w:w="20" w:type="dxa"/>
            </w:tcMar>
            <w:vAlign w:val="bottom"/>
            <w:hideMark/>
          </w:tcPr>
          <w:p w14:paraId="29510AB3" w14:textId="77777777" w:rsidR="00000000" w:rsidRDefault="001A570A">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144607" w14:textId="77777777" w:rsidR="00000000" w:rsidRDefault="001A570A">
            <w:pPr>
              <w:jc w:val="right"/>
              <w:rPr>
                <w:rFonts w:eastAsia="Times New Roman"/>
              </w:rPr>
            </w:pPr>
            <w:r>
              <w:rPr>
                <w:rFonts w:eastAsia="Times New Roman"/>
                <w:color w:val="000000"/>
                <w:sz w:val="20"/>
                <w:szCs w:val="20"/>
              </w:rPr>
              <w:t>1,322 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CF3B95"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D9014"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FD3E02" w14:textId="77777777" w:rsidR="00000000" w:rsidRDefault="001A570A">
            <w:pPr>
              <w:jc w:val="right"/>
              <w:rPr>
                <w:rFonts w:eastAsia="Times New Roman"/>
              </w:rPr>
            </w:pPr>
            <w:r>
              <w:rPr>
                <w:rFonts w:eastAsia="Times New Roman"/>
                <w:color w:val="000000"/>
                <w:sz w:val="20"/>
                <w:szCs w:val="20"/>
              </w:rPr>
              <w:t>1,493 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40BE6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5299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A889B2" w14:textId="77777777" w:rsidR="00000000" w:rsidRDefault="001A570A">
            <w:pPr>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B772B2"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7C20B"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9C26B8" w14:textId="77777777" w:rsidR="00000000" w:rsidRDefault="001A570A">
            <w:pPr>
              <w:jc w:val="right"/>
              <w:rPr>
                <w:rFonts w:eastAsia="Times New Roman"/>
              </w:rPr>
            </w:pPr>
            <w:r>
              <w:rPr>
                <w:rFonts w:eastAsia="Times New Roman"/>
                <w:color w:val="000000"/>
                <w:sz w:val="20"/>
                <w:szCs w:val="20"/>
              </w:rPr>
              <w:t>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62B19" w14:textId="77777777" w:rsidR="00000000" w:rsidRDefault="001A570A">
            <w:pPr>
              <w:jc w:val="right"/>
              <w:rPr>
                <w:rFonts w:eastAsia="Times New Roman"/>
              </w:rPr>
            </w:pPr>
          </w:p>
        </w:tc>
      </w:tr>
      <w:tr w:rsidR="00000000" w14:paraId="08C21988" w14:textId="77777777">
        <w:trPr>
          <w:divId w:val="1323894875"/>
        </w:trPr>
        <w:tc>
          <w:tcPr>
            <w:tcW w:w="0" w:type="auto"/>
            <w:gridSpan w:val="3"/>
            <w:shd w:val="clear" w:color="auto" w:fill="FFFFFF"/>
            <w:tcMar>
              <w:top w:w="30" w:type="dxa"/>
              <w:left w:w="20" w:type="dxa"/>
              <w:bottom w:w="30" w:type="dxa"/>
              <w:right w:w="20" w:type="dxa"/>
            </w:tcMar>
            <w:vAlign w:val="bottom"/>
            <w:hideMark/>
          </w:tcPr>
          <w:p w14:paraId="23E6CA05" w14:textId="77777777" w:rsidR="00000000" w:rsidRDefault="001A570A">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67E0EED7" w14:textId="77777777" w:rsidR="00000000" w:rsidRDefault="001A570A">
            <w:pPr>
              <w:jc w:val="right"/>
              <w:rPr>
                <w:rFonts w:eastAsia="Times New Roman"/>
              </w:rPr>
            </w:pPr>
            <w:r>
              <w:rPr>
                <w:rFonts w:eastAsia="Times New Roman"/>
                <w:color w:val="000000"/>
                <w:sz w:val="20"/>
                <w:szCs w:val="20"/>
              </w:rPr>
              <w:t>(234)</w:t>
            </w:r>
          </w:p>
        </w:tc>
        <w:tc>
          <w:tcPr>
            <w:tcW w:w="0" w:type="auto"/>
            <w:shd w:val="clear" w:color="auto" w:fill="FFFFFF"/>
            <w:tcMar>
              <w:top w:w="30" w:type="dxa"/>
              <w:left w:w="0" w:type="dxa"/>
              <w:bottom w:w="30" w:type="dxa"/>
              <w:right w:w="20" w:type="dxa"/>
            </w:tcMar>
            <w:vAlign w:val="bottom"/>
            <w:hideMark/>
          </w:tcPr>
          <w:p w14:paraId="3B37A3D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4707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BD336" w14:textId="77777777" w:rsidR="00000000" w:rsidRDefault="001A570A">
            <w:pPr>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14:paraId="0FD27EC2"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59E8A"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FC13E" w14:textId="77777777" w:rsidR="00000000" w:rsidRDefault="001A570A">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14:paraId="65952856"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949A7"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B6069" w14:textId="77777777" w:rsidR="00000000" w:rsidRDefault="001A570A">
            <w:pPr>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14:paraId="5B3E86B1" w14:textId="77777777" w:rsidR="00000000" w:rsidRDefault="001A570A">
            <w:pPr>
              <w:jc w:val="right"/>
              <w:rPr>
                <w:rFonts w:eastAsia="Times New Roman"/>
              </w:rPr>
            </w:pPr>
          </w:p>
        </w:tc>
      </w:tr>
      <w:tr w:rsidR="00000000" w14:paraId="0AA09AA7" w14:textId="77777777">
        <w:trPr>
          <w:divId w:val="1323894875"/>
        </w:trPr>
        <w:tc>
          <w:tcPr>
            <w:tcW w:w="0" w:type="auto"/>
            <w:gridSpan w:val="3"/>
            <w:shd w:val="clear" w:color="auto" w:fill="CCEEFF"/>
            <w:tcMar>
              <w:top w:w="30" w:type="dxa"/>
              <w:left w:w="20" w:type="dxa"/>
              <w:bottom w:w="30" w:type="dxa"/>
              <w:right w:w="20" w:type="dxa"/>
            </w:tcMar>
            <w:vAlign w:val="bottom"/>
            <w:hideMark/>
          </w:tcPr>
          <w:p w14:paraId="195A3918" w14:textId="77777777" w:rsidR="00000000" w:rsidRDefault="001A570A">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4D1A85" w14:textId="77777777" w:rsidR="00000000" w:rsidRDefault="001A570A">
            <w:pPr>
              <w:jc w:val="right"/>
              <w:rPr>
                <w:rFonts w:eastAsia="Times New Roman"/>
              </w:rPr>
            </w:pPr>
            <w:r>
              <w:rPr>
                <w:rFonts w:eastAsia="Times New Roman"/>
                <w:color w:val="000000"/>
                <w:sz w:val="20"/>
                <w:szCs w:val="20"/>
              </w:rPr>
              <w:t>1,088 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FF411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2362E"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95361D" w14:textId="77777777" w:rsidR="00000000" w:rsidRDefault="001A570A">
            <w:pPr>
              <w:jc w:val="right"/>
              <w:rPr>
                <w:rFonts w:eastAsia="Times New Roman"/>
              </w:rPr>
            </w:pPr>
            <w:r>
              <w:rPr>
                <w:rFonts w:eastAsia="Times New Roman"/>
                <w:color w:val="000000"/>
                <w:sz w:val="20"/>
                <w:szCs w:val="20"/>
              </w:rPr>
              <w:t>1,347 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9C13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72A22"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68468C" w14:textId="77777777" w:rsidR="00000000" w:rsidRDefault="001A570A">
            <w:pPr>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74DC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00BA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6B2A1B" w14:textId="77777777" w:rsidR="00000000" w:rsidRDefault="001A570A">
            <w:pPr>
              <w:jc w:val="right"/>
              <w:rPr>
                <w:rFonts w:eastAsia="Times New Roman"/>
              </w:rPr>
            </w:pPr>
            <w:r>
              <w:rPr>
                <w:rFonts w:eastAsia="Times New Roman"/>
                <w:color w:val="000000"/>
                <w:sz w:val="20"/>
                <w:szCs w:val="20"/>
              </w:rPr>
              <w:t>441 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3B28FF" w14:textId="77777777" w:rsidR="00000000" w:rsidRDefault="001A570A">
            <w:pPr>
              <w:jc w:val="right"/>
              <w:rPr>
                <w:rFonts w:eastAsia="Times New Roman"/>
              </w:rPr>
            </w:pPr>
          </w:p>
        </w:tc>
      </w:tr>
      <w:tr w:rsidR="00000000" w14:paraId="565E947A" w14:textId="77777777">
        <w:trPr>
          <w:divId w:val="1323894875"/>
        </w:trPr>
        <w:tc>
          <w:tcPr>
            <w:tcW w:w="0" w:type="auto"/>
            <w:gridSpan w:val="3"/>
            <w:shd w:val="clear" w:color="auto" w:fill="FFFFFF"/>
            <w:tcMar>
              <w:top w:w="30" w:type="dxa"/>
              <w:left w:w="20" w:type="dxa"/>
              <w:bottom w:w="30" w:type="dxa"/>
              <w:right w:w="20" w:type="dxa"/>
            </w:tcMar>
            <w:vAlign w:val="bottom"/>
            <w:hideMark/>
          </w:tcPr>
          <w:p w14:paraId="4E59AE3E" w14:textId="77777777" w:rsidR="00000000" w:rsidRDefault="001A570A">
            <w:pPr>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14:paraId="617E557E"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46A29BD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24600"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44A3C" w14:textId="77777777" w:rsidR="00000000" w:rsidRDefault="001A570A">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1220D0A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0EC5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76108" w14:textId="77777777" w:rsidR="00000000" w:rsidRDefault="001A570A">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84235D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7587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96FED" w14:textId="77777777" w:rsidR="00000000" w:rsidRDefault="001A570A">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08378E66" w14:textId="77777777" w:rsidR="00000000" w:rsidRDefault="001A570A">
            <w:pPr>
              <w:jc w:val="right"/>
              <w:rPr>
                <w:rFonts w:eastAsia="Times New Roman"/>
              </w:rPr>
            </w:pPr>
          </w:p>
        </w:tc>
      </w:tr>
      <w:tr w:rsidR="00000000" w14:paraId="0F67C627" w14:textId="77777777">
        <w:trPr>
          <w:divId w:val="1323894875"/>
        </w:trPr>
        <w:tc>
          <w:tcPr>
            <w:tcW w:w="0" w:type="auto"/>
            <w:gridSpan w:val="3"/>
            <w:shd w:val="clear" w:color="auto" w:fill="CCEEFF"/>
            <w:tcMar>
              <w:top w:w="30" w:type="dxa"/>
              <w:left w:w="20" w:type="dxa"/>
              <w:bottom w:w="30" w:type="dxa"/>
              <w:right w:w="20" w:type="dxa"/>
            </w:tcMar>
            <w:vAlign w:val="bottom"/>
            <w:hideMark/>
          </w:tcPr>
          <w:p w14:paraId="0572F9B8" w14:textId="77777777" w:rsidR="00000000" w:rsidRDefault="001A570A">
            <w:pPr>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E2C2D0" w14:textId="77777777" w:rsidR="00000000" w:rsidRDefault="001A570A">
            <w:pPr>
              <w:jc w:val="right"/>
              <w:rPr>
                <w:rFonts w:eastAsia="Times New Roman"/>
              </w:rPr>
            </w:pPr>
            <w:r>
              <w:rPr>
                <w:rFonts w:eastAsia="Times New Roman"/>
                <w:color w:val="000000"/>
                <w:sz w:val="20"/>
                <w:szCs w:val="20"/>
              </w:rPr>
              <w:t>1,086 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587D8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48753"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58487B" w14:textId="77777777" w:rsidR="00000000" w:rsidRDefault="001A570A">
            <w:pPr>
              <w:jc w:val="right"/>
              <w:rPr>
                <w:rFonts w:eastAsia="Times New Roman"/>
              </w:rPr>
            </w:pPr>
            <w:r>
              <w:rPr>
                <w:rFonts w:eastAsia="Times New Roman"/>
                <w:color w:val="000000"/>
                <w:sz w:val="20"/>
                <w:szCs w:val="20"/>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E15B8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1BA90"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DF02D9" w14:textId="77777777" w:rsidR="00000000" w:rsidRDefault="001A570A">
            <w:pPr>
              <w:jc w:val="right"/>
              <w:rPr>
                <w:rFonts w:eastAsia="Times New Roman"/>
              </w:rPr>
            </w:pPr>
            <w:r>
              <w:rPr>
                <w:rFonts w:eastAsia="Times New Roman"/>
                <w:color w:val="000000"/>
                <w:sz w:val="20"/>
                <w:szCs w:val="20"/>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7D2530"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85AB6" w14:textId="77777777" w:rsidR="00000000" w:rsidRDefault="001A570A">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8CBB68" w14:textId="77777777" w:rsidR="00000000" w:rsidRDefault="001A570A">
            <w:pPr>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FE3C9B" w14:textId="77777777" w:rsidR="00000000" w:rsidRDefault="001A570A">
            <w:pPr>
              <w:jc w:val="right"/>
              <w:rPr>
                <w:rFonts w:eastAsia="Times New Roman"/>
              </w:rPr>
            </w:pPr>
          </w:p>
        </w:tc>
      </w:tr>
      <w:tr w:rsidR="00000000" w14:paraId="403DAEC8" w14:textId="77777777">
        <w:trPr>
          <w:divId w:val="1323894875"/>
        </w:trPr>
        <w:tc>
          <w:tcPr>
            <w:tcW w:w="0" w:type="auto"/>
            <w:gridSpan w:val="3"/>
            <w:shd w:val="clear" w:color="auto" w:fill="FFFFFF"/>
            <w:tcMar>
              <w:top w:w="30" w:type="dxa"/>
              <w:left w:w="20" w:type="dxa"/>
              <w:bottom w:w="30" w:type="dxa"/>
              <w:right w:w="20" w:type="dxa"/>
            </w:tcMar>
            <w:vAlign w:val="bottom"/>
            <w:hideMark/>
          </w:tcPr>
          <w:p w14:paraId="1B29705B" w14:textId="77777777" w:rsidR="00000000" w:rsidRDefault="001A570A">
            <w:pPr>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14:paraId="1FC810A7" w14:textId="77777777" w:rsidR="00000000" w:rsidRDefault="001A570A">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593395F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DAAA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9AFA6"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79B4565B"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1E636"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9508D" w14:textId="77777777" w:rsidR="00000000" w:rsidRDefault="001A570A">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7A240E2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F112E"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30208"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F1AB19" w14:textId="77777777" w:rsidR="00000000" w:rsidRDefault="001A570A">
            <w:pPr>
              <w:jc w:val="right"/>
              <w:rPr>
                <w:rFonts w:eastAsia="Times New Roman"/>
              </w:rPr>
            </w:pPr>
          </w:p>
        </w:tc>
      </w:tr>
      <w:tr w:rsidR="00000000" w14:paraId="6D90B858" w14:textId="77777777">
        <w:trPr>
          <w:divId w:val="1323894875"/>
        </w:trPr>
        <w:tc>
          <w:tcPr>
            <w:tcW w:w="0" w:type="auto"/>
            <w:gridSpan w:val="3"/>
            <w:shd w:val="clear" w:color="auto" w:fill="CCEEFF"/>
            <w:tcMar>
              <w:top w:w="30" w:type="dxa"/>
              <w:left w:w="20" w:type="dxa"/>
              <w:bottom w:w="30" w:type="dxa"/>
              <w:right w:w="20" w:type="dxa"/>
            </w:tcMar>
            <w:vAlign w:val="bottom"/>
            <w:hideMark/>
          </w:tcPr>
          <w:p w14:paraId="1966FA30" w14:textId="77777777" w:rsidR="00000000" w:rsidRDefault="001A570A">
            <w:pPr>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98BA8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37FA78" w14:textId="77777777" w:rsidR="00000000" w:rsidRDefault="001A570A">
            <w:pPr>
              <w:jc w:val="right"/>
              <w:rPr>
                <w:rFonts w:eastAsia="Times New Roman"/>
              </w:rPr>
            </w:pPr>
            <w:r>
              <w:rPr>
                <w:rFonts w:eastAsia="Times New Roman"/>
                <w:color w:val="000000"/>
                <w:sz w:val="20"/>
                <w:szCs w:val="20"/>
              </w:rPr>
              <w:t>1,119 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0C75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CA7E8"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022B7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49AF26" w14:textId="77777777" w:rsidR="00000000" w:rsidRDefault="001A570A">
            <w:pPr>
              <w:jc w:val="right"/>
              <w:rPr>
                <w:rFonts w:eastAsia="Times New Roman"/>
              </w:rPr>
            </w:pPr>
            <w:r>
              <w:rPr>
                <w:rFonts w:eastAsia="Times New Roman"/>
                <w:color w:val="000000"/>
                <w:sz w:val="20"/>
                <w:szCs w:val="20"/>
              </w:rPr>
              <w:t>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D10C83"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9D0E8"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3053E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0EEBD4" w14:textId="77777777" w:rsidR="00000000" w:rsidRDefault="001A570A">
            <w:pPr>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79FEF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7AA4A" w14:textId="77777777" w:rsidR="00000000" w:rsidRDefault="001A570A">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8CC13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DBFBEB" w14:textId="77777777" w:rsidR="00000000" w:rsidRDefault="001A570A">
            <w:pPr>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5C4A07" w14:textId="77777777" w:rsidR="00000000" w:rsidRDefault="001A570A">
            <w:pPr>
              <w:jc w:val="right"/>
              <w:rPr>
                <w:rFonts w:eastAsia="Times New Roman"/>
              </w:rPr>
            </w:pPr>
          </w:p>
        </w:tc>
      </w:tr>
      <w:tr w:rsidR="00000000" w14:paraId="738FF499" w14:textId="77777777">
        <w:trPr>
          <w:divId w:val="1323894875"/>
          <w:trHeight w:val="180"/>
        </w:trPr>
        <w:tc>
          <w:tcPr>
            <w:tcW w:w="0" w:type="auto"/>
            <w:gridSpan w:val="3"/>
            <w:shd w:val="clear" w:color="auto" w:fill="FFFFFF"/>
            <w:tcMar>
              <w:top w:w="0" w:type="dxa"/>
              <w:left w:w="20" w:type="dxa"/>
              <w:bottom w:w="0" w:type="dxa"/>
              <w:right w:w="20" w:type="dxa"/>
            </w:tcMar>
            <w:vAlign w:val="center"/>
            <w:hideMark/>
          </w:tcPr>
          <w:p w14:paraId="63FD04F3" w14:textId="77777777" w:rsidR="00000000" w:rsidRDefault="001A570A">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B3B737"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88AA20"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F34BE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B3417F"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E46C8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24EE4F"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D71010" w14:textId="77777777" w:rsidR="00000000" w:rsidRDefault="001A570A">
            <w:pPr>
              <w:rPr>
                <w:rFonts w:eastAsia="Times New Roman"/>
                <w:sz w:val="20"/>
                <w:szCs w:val="20"/>
              </w:rPr>
            </w:pPr>
          </w:p>
        </w:tc>
      </w:tr>
      <w:tr w:rsidR="00000000" w14:paraId="5CCCCF8A" w14:textId="77777777">
        <w:trPr>
          <w:divId w:val="1323894875"/>
        </w:trPr>
        <w:tc>
          <w:tcPr>
            <w:tcW w:w="0" w:type="auto"/>
            <w:gridSpan w:val="24"/>
            <w:shd w:val="clear" w:color="auto" w:fill="CCEEFF"/>
            <w:tcMar>
              <w:top w:w="30" w:type="dxa"/>
              <w:left w:w="20" w:type="dxa"/>
              <w:bottom w:w="30" w:type="dxa"/>
              <w:right w:w="20" w:type="dxa"/>
            </w:tcMar>
            <w:vAlign w:val="bottom"/>
            <w:hideMark/>
          </w:tcPr>
          <w:p w14:paraId="74A79A06" w14:textId="77777777" w:rsidR="00000000" w:rsidRDefault="001A570A">
            <w:pPr>
              <w:rPr>
                <w:rFonts w:eastAsia="Times New Roman"/>
              </w:rPr>
            </w:pPr>
            <w:r>
              <w:rPr>
                <w:rFonts w:eastAsia="Times New Roman"/>
                <w:b/>
                <w:bCs/>
                <w:color w:val="000000"/>
                <w:sz w:val="20"/>
                <w:szCs w:val="20"/>
              </w:rPr>
              <w:t>Net income per common share attributable to L3Harris Technologies, Inc. common shareholders</w:t>
            </w:r>
          </w:p>
        </w:tc>
      </w:tr>
      <w:tr w:rsidR="00000000" w14:paraId="5FC71535" w14:textId="77777777">
        <w:trPr>
          <w:divId w:val="1323894875"/>
        </w:trPr>
        <w:tc>
          <w:tcPr>
            <w:tcW w:w="0" w:type="auto"/>
            <w:gridSpan w:val="3"/>
            <w:shd w:val="clear" w:color="auto" w:fill="FFFFFF"/>
            <w:tcMar>
              <w:top w:w="30" w:type="dxa"/>
              <w:left w:w="20" w:type="dxa"/>
              <w:bottom w:w="30" w:type="dxa"/>
              <w:right w:w="20" w:type="dxa"/>
            </w:tcMar>
            <w:vAlign w:val="bottom"/>
            <w:hideMark/>
          </w:tcPr>
          <w:p w14:paraId="3842C89C" w14:textId="77777777" w:rsidR="00000000" w:rsidRDefault="001A570A">
            <w:pPr>
              <w:rPr>
                <w:rFonts w:eastAsia="Times New Roman"/>
              </w:rPr>
            </w:pPr>
            <w:r>
              <w:rPr>
                <w:rFonts w:eastAsia="Times New Roman"/>
                <w:color w:val="000000"/>
                <w:sz w:val="20"/>
                <w:szCs w:val="20"/>
              </w:rPr>
              <w:t>Net income per common share</w:t>
            </w:r>
          </w:p>
        </w:tc>
        <w:tc>
          <w:tcPr>
            <w:tcW w:w="0" w:type="auto"/>
            <w:gridSpan w:val="3"/>
            <w:shd w:val="clear" w:color="auto" w:fill="FFFFFF"/>
            <w:tcMar>
              <w:top w:w="0" w:type="dxa"/>
              <w:left w:w="20" w:type="dxa"/>
              <w:bottom w:w="0" w:type="dxa"/>
              <w:right w:w="20" w:type="dxa"/>
            </w:tcMar>
            <w:vAlign w:val="center"/>
            <w:hideMark/>
          </w:tcPr>
          <w:p w14:paraId="7516DC97" w14:textId="77777777" w:rsidR="00000000" w:rsidRDefault="001A570A">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9777B"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096F71"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052003"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A9E464"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B86DF" w14:textId="77777777" w:rsidR="00000000" w:rsidRDefault="001A570A">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22234" w14:textId="77777777" w:rsidR="00000000" w:rsidRDefault="001A570A">
            <w:pPr>
              <w:rPr>
                <w:rFonts w:eastAsia="Times New Roman"/>
                <w:sz w:val="20"/>
                <w:szCs w:val="20"/>
              </w:rPr>
            </w:pPr>
          </w:p>
        </w:tc>
      </w:tr>
      <w:tr w:rsidR="00000000" w14:paraId="3B791CC3" w14:textId="77777777">
        <w:trPr>
          <w:divId w:val="1323894875"/>
        </w:trPr>
        <w:tc>
          <w:tcPr>
            <w:tcW w:w="0" w:type="auto"/>
            <w:gridSpan w:val="3"/>
            <w:shd w:val="clear" w:color="auto" w:fill="CCEEFF"/>
            <w:tcMar>
              <w:top w:w="30" w:type="dxa"/>
              <w:left w:w="20" w:type="dxa"/>
              <w:bottom w:w="30" w:type="dxa"/>
              <w:right w:w="20" w:type="dxa"/>
            </w:tcMar>
            <w:vAlign w:val="bottom"/>
            <w:hideMark/>
          </w:tcPr>
          <w:p w14:paraId="738576CE" w14:textId="77777777" w:rsidR="00000000" w:rsidRDefault="001A570A">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14:paraId="622BB3E5"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14A28"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A6C4EF"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DDEDF4"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E570C"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E440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654E4A" w14:textId="77777777" w:rsidR="00000000" w:rsidRDefault="001A570A">
            <w:pPr>
              <w:rPr>
                <w:rFonts w:eastAsia="Times New Roman"/>
                <w:sz w:val="20"/>
                <w:szCs w:val="20"/>
              </w:rPr>
            </w:pPr>
          </w:p>
        </w:tc>
      </w:tr>
      <w:tr w:rsidR="00000000" w14:paraId="3EC97D42" w14:textId="77777777">
        <w:trPr>
          <w:divId w:val="1323894875"/>
        </w:trPr>
        <w:tc>
          <w:tcPr>
            <w:tcW w:w="0" w:type="auto"/>
            <w:gridSpan w:val="3"/>
            <w:shd w:val="clear" w:color="auto" w:fill="FFFFFF"/>
            <w:tcMar>
              <w:top w:w="30" w:type="dxa"/>
              <w:left w:w="260" w:type="dxa"/>
              <w:bottom w:w="30" w:type="dxa"/>
              <w:right w:w="20" w:type="dxa"/>
            </w:tcMar>
            <w:vAlign w:val="bottom"/>
            <w:hideMark/>
          </w:tcPr>
          <w:p w14:paraId="3051414D" w14:textId="77777777" w:rsidR="00000000" w:rsidRDefault="001A570A">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3843065B"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57B3A9" w14:textId="77777777" w:rsidR="00000000" w:rsidRDefault="001A570A">
            <w:pPr>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14:paraId="05945C1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DEEBE"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DCC9AF"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323688" w14:textId="77777777" w:rsidR="00000000" w:rsidRDefault="001A570A">
            <w:pPr>
              <w:jc w:val="right"/>
              <w:rPr>
                <w:rFonts w:eastAsia="Times New Roman"/>
              </w:rPr>
            </w:pPr>
            <w:r>
              <w:rPr>
                <w:rFonts w:eastAsia="Times New Roman"/>
                <w:color w:val="000000"/>
                <w:sz w:val="20"/>
                <w:szCs w:val="20"/>
              </w:rPr>
              <w:t>8.04 </w:t>
            </w:r>
          </w:p>
        </w:tc>
        <w:tc>
          <w:tcPr>
            <w:tcW w:w="0" w:type="auto"/>
            <w:shd w:val="clear" w:color="auto" w:fill="FFFFFF"/>
            <w:tcMar>
              <w:top w:w="30" w:type="dxa"/>
              <w:left w:w="0" w:type="dxa"/>
              <w:bottom w:w="30" w:type="dxa"/>
              <w:right w:w="20" w:type="dxa"/>
            </w:tcMar>
            <w:vAlign w:val="bottom"/>
            <w:hideMark/>
          </w:tcPr>
          <w:p w14:paraId="5E62F84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B2205"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B4E11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2B65C7" w14:textId="77777777" w:rsidR="00000000" w:rsidRDefault="001A570A">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14:paraId="5BEC4EE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B8B99"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472F5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F016BD" w14:textId="77777777" w:rsidR="00000000" w:rsidRDefault="001A570A">
            <w:pPr>
              <w:jc w:val="right"/>
              <w:rPr>
                <w:rFonts w:eastAsia="Times New Roman"/>
              </w:rPr>
            </w:pPr>
            <w:r>
              <w:rPr>
                <w:rFonts w:eastAsia="Times New Roman"/>
                <w:color w:val="000000"/>
                <w:sz w:val="20"/>
                <w:szCs w:val="20"/>
              </w:rPr>
              <w:t>3.74 </w:t>
            </w:r>
          </w:p>
        </w:tc>
        <w:tc>
          <w:tcPr>
            <w:tcW w:w="0" w:type="auto"/>
            <w:shd w:val="clear" w:color="auto" w:fill="FFFFFF"/>
            <w:tcMar>
              <w:top w:w="30" w:type="dxa"/>
              <w:left w:w="0" w:type="dxa"/>
              <w:bottom w:w="30" w:type="dxa"/>
              <w:right w:w="20" w:type="dxa"/>
            </w:tcMar>
            <w:vAlign w:val="bottom"/>
            <w:hideMark/>
          </w:tcPr>
          <w:p w14:paraId="3FA52D59" w14:textId="77777777" w:rsidR="00000000" w:rsidRDefault="001A570A">
            <w:pPr>
              <w:jc w:val="right"/>
              <w:rPr>
                <w:rFonts w:eastAsia="Times New Roman"/>
              </w:rPr>
            </w:pPr>
          </w:p>
        </w:tc>
      </w:tr>
      <w:tr w:rsidR="00000000" w14:paraId="6BEC7176" w14:textId="77777777">
        <w:trPr>
          <w:divId w:val="1323894875"/>
        </w:trPr>
        <w:tc>
          <w:tcPr>
            <w:tcW w:w="0" w:type="auto"/>
            <w:gridSpan w:val="3"/>
            <w:shd w:val="clear" w:color="auto" w:fill="CCEEFF"/>
            <w:tcMar>
              <w:top w:w="30" w:type="dxa"/>
              <w:left w:w="260" w:type="dxa"/>
              <w:bottom w:w="30" w:type="dxa"/>
              <w:right w:w="20" w:type="dxa"/>
            </w:tcMar>
            <w:vAlign w:val="bottom"/>
            <w:hideMark/>
          </w:tcPr>
          <w:p w14:paraId="52D72338" w14:textId="77777777" w:rsidR="00000000" w:rsidRDefault="001A570A">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14:paraId="226EF7CF" w14:textId="77777777" w:rsidR="00000000" w:rsidRDefault="001A570A">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162579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83BF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0B49D"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EDD4FB"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09B65"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262F0E"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E82339"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C1433"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FE835" w14:textId="77777777" w:rsidR="00000000" w:rsidRDefault="001A570A">
            <w:pPr>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14:paraId="6F3C0082" w14:textId="77777777" w:rsidR="00000000" w:rsidRDefault="001A570A">
            <w:pPr>
              <w:jc w:val="right"/>
              <w:rPr>
                <w:rFonts w:eastAsia="Times New Roman"/>
              </w:rPr>
            </w:pPr>
          </w:p>
        </w:tc>
      </w:tr>
      <w:tr w:rsidR="00000000" w14:paraId="039CA1C5" w14:textId="77777777">
        <w:trPr>
          <w:divId w:val="1323894875"/>
        </w:trPr>
        <w:tc>
          <w:tcPr>
            <w:tcW w:w="0" w:type="auto"/>
            <w:gridSpan w:val="3"/>
            <w:shd w:val="clear" w:color="auto" w:fill="FFFFFF"/>
            <w:tcMar>
              <w:top w:w="0" w:type="dxa"/>
              <w:left w:w="20" w:type="dxa"/>
              <w:bottom w:w="0" w:type="dxa"/>
              <w:right w:w="20" w:type="dxa"/>
            </w:tcMar>
            <w:vAlign w:val="center"/>
            <w:hideMark/>
          </w:tcPr>
          <w:p w14:paraId="68C9ADFB"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24689A"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CD9D6F" w14:textId="77777777" w:rsidR="00000000" w:rsidRDefault="001A570A">
            <w:pPr>
              <w:jc w:val="right"/>
              <w:rPr>
                <w:rFonts w:eastAsia="Times New Roman"/>
              </w:rPr>
            </w:pPr>
            <w:r>
              <w:rPr>
                <w:rFonts w:eastAsia="Times New Roman"/>
                <w:color w:val="000000"/>
                <w:sz w:val="20"/>
                <w:szCs w:val="20"/>
              </w:rPr>
              <w:t>5.23 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1D7BB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203E3A"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FFFEA0"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D82BDF" w14:textId="77777777" w:rsidR="00000000" w:rsidRDefault="001A570A">
            <w:pPr>
              <w:jc w:val="right"/>
              <w:rPr>
                <w:rFonts w:eastAsia="Times New Roman"/>
              </w:rPr>
            </w:pPr>
            <w:r>
              <w:rPr>
                <w:rFonts w:eastAsia="Times New Roman"/>
                <w:color w:val="000000"/>
                <w:sz w:val="20"/>
                <w:szCs w:val="20"/>
              </w:rPr>
              <w:t>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17EB7D"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226AE"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8295E4"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BCF38B" w14:textId="77777777" w:rsidR="00000000" w:rsidRDefault="001A570A">
            <w:pPr>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D7F04E"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AC292"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77138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3546F5" w14:textId="77777777" w:rsidR="00000000" w:rsidRDefault="001A570A">
            <w:pPr>
              <w:jc w:val="right"/>
              <w:rPr>
                <w:rFonts w:eastAsia="Times New Roman"/>
              </w:rPr>
            </w:pPr>
            <w:r>
              <w:rPr>
                <w:rFonts w:eastAsia="Times New Roman"/>
                <w:color w:val="000000"/>
                <w:sz w:val="20"/>
                <w:szCs w:val="20"/>
              </w:rPr>
              <w:t>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F01D30" w14:textId="77777777" w:rsidR="00000000" w:rsidRDefault="001A570A">
            <w:pPr>
              <w:jc w:val="right"/>
              <w:rPr>
                <w:rFonts w:eastAsia="Times New Roman"/>
              </w:rPr>
            </w:pPr>
          </w:p>
        </w:tc>
      </w:tr>
      <w:tr w:rsidR="00000000" w14:paraId="0375A8EC" w14:textId="77777777">
        <w:trPr>
          <w:divId w:val="1323894875"/>
        </w:trPr>
        <w:tc>
          <w:tcPr>
            <w:tcW w:w="0" w:type="auto"/>
            <w:gridSpan w:val="3"/>
            <w:shd w:val="clear" w:color="auto" w:fill="CCEEFF"/>
            <w:tcMar>
              <w:top w:w="30" w:type="dxa"/>
              <w:left w:w="20" w:type="dxa"/>
              <w:bottom w:w="30" w:type="dxa"/>
              <w:right w:w="20" w:type="dxa"/>
            </w:tcMar>
            <w:vAlign w:val="bottom"/>
            <w:hideMark/>
          </w:tcPr>
          <w:p w14:paraId="2AF6A230" w14:textId="77777777" w:rsidR="00000000" w:rsidRDefault="001A570A">
            <w:pPr>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B8D7F0" w14:textId="77777777" w:rsidR="00000000" w:rsidRDefault="001A570A">
            <w:pP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0FD7D"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495C16"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5E69E4"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114EFB"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FD664"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A080B0" w14:textId="77777777" w:rsidR="00000000" w:rsidRDefault="001A570A">
            <w:pPr>
              <w:rPr>
                <w:rFonts w:eastAsia="Times New Roman"/>
                <w:sz w:val="20"/>
                <w:szCs w:val="20"/>
              </w:rPr>
            </w:pPr>
          </w:p>
        </w:tc>
      </w:tr>
      <w:tr w:rsidR="00000000" w14:paraId="365055A8" w14:textId="77777777">
        <w:trPr>
          <w:divId w:val="1323894875"/>
        </w:trPr>
        <w:tc>
          <w:tcPr>
            <w:tcW w:w="0" w:type="auto"/>
            <w:gridSpan w:val="3"/>
            <w:shd w:val="clear" w:color="auto" w:fill="FFFFFF"/>
            <w:tcMar>
              <w:top w:w="30" w:type="dxa"/>
              <w:left w:w="260" w:type="dxa"/>
              <w:bottom w:w="30" w:type="dxa"/>
              <w:right w:w="20" w:type="dxa"/>
            </w:tcMar>
            <w:vAlign w:val="bottom"/>
            <w:hideMark/>
          </w:tcPr>
          <w:p w14:paraId="53DE1610" w14:textId="77777777" w:rsidR="00000000" w:rsidRDefault="001A570A">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0A0143B9"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8FD6DD" w14:textId="77777777" w:rsidR="00000000" w:rsidRDefault="001A570A">
            <w:pPr>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4232C124"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8487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6FB9AC"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32ABD1" w14:textId="77777777" w:rsidR="00000000" w:rsidRDefault="001A570A">
            <w:pPr>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14:paraId="3BF62A7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82A9D"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17ADE4"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76CA30" w14:textId="77777777" w:rsidR="00000000" w:rsidRDefault="001A570A">
            <w:pPr>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14:paraId="1E375C6C"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14B90" w14:textId="77777777" w:rsidR="00000000" w:rsidRDefault="001A570A">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1CB338" w14:textId="77777777" w:rsidR="00000000" w:rsidRDefault="001A570A">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14585D" w14:textId="77777777" w:rsidR="00000000" w:rsidRDefault="001A570A">
            <w:pPr>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14:paraId="398ECCB7" w14:textId="77777777" w:rsidR="00000000" w:rsidRDefault="001A570A">
            <w:pPr>
              <w:jc w:val="right"/>
              <w:rPr>
                <w:rFonts w:eastAsia="Times New Roman"/>
              </w:rPr>
            </w:pPr>
          </w:p>
        </w:tc>
      </w:tr>
      <w:tr w:rsidR="00000000" w14:paraId="07E9D239" w14:textId="77777777">
        <w:trPr>
          <w:divId w:val="1323894875"/>
        </w:trPr>
        <w:tc>
          <w:tcPr>
            <w:tcW w:w="0" w:type="auto"/>
            <w:gridSpan w:val="3"/>
            <w:shd w:val="clear" w:color="auto" w:fill="CCEEFF"/>
            <w:tcMar>
              <w:top w:w="30" w:type="dxa"/>
              <w:left w:w="260" w:type="dxa"/>
              <w:bottom w:w="30" w:type="dxa"/>
              <w:right w:w="20" w:type="dxa"/>
            </w:tcMar>
            <w:vAlign w:val="bottom"/>
            <w:hideMark/>
          </w:tcPr>
          <w:p w14:paraId="42F2EB51" w14:textId="77777777" w:rsidR="00000000" w:rsidRDefault="001A570A">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14:paraId="7C3A61B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C444EF"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5645C"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37E79B" w14:textId="77777777" w:rsidR="00000000" w:rsidRDefault="001A570A">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63BCD20A"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2B45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CED87" w14:textId="77777777" w:rsidR="00000000" w:rsidRDefault="001A570A">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43114D47"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E72BD"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147D3F" w14:textId="77777777" w:rsidR="00000000" w:rsidRDefault="001A570A">
            <w:pPr>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14:paraId="3D15C9C1" w14:textId="77777777" w:rsidR="00000000" w:rsidRDefault="001A570A">
            <w:pPr>
              <w:jc w:val="right"/>
              <w:rPr>
                <w:rFonts w:eastAsia="Times New Roman"/>
              </w:rPr>
            </w:pPr>
          </w:p>
        </w:tc>
      </w:tr>
      <w:tr w:rsidR="00000000" w14:paraId="69E9A87C" w14:textId="77777777">
        <w:trPr>
          <w:divId w:val="1323894875"/>
        </w:trPr>
        <w:tc>
          <w:tcPr>
            <w:tcW w:w="0" w:type="auto"/>
            <w:gridSpan w:val="3"/>
            <w:shd w:val="clear" w:color="auto" w:fill="FFFFFF"/>
            <w:tcMar>
              <w:top w:w="0" w:type="dxa"/>
              <w:left w:w="20" w:type="dxa"/>
              <w:bottom w:w="0" w:type="dxa"/>
              <w:right w:w="20" w:type="dxa"/>
            </w:tcMar>
            <w:vAlign w:val="center"/>
            <w:hideMark/>
          </w:tcPr>
          <w:p w14:paraId="303297C5"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F529D9"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533609" w14:textId="77777777" w:rsidR="00000000" w:rsidRDefault="001A570A">
            <w:pPr>
              <w:jc w:val="right"/>
              <w:rPr>
                <w:rFonts w:eastAsia="Times New Roman"/>
              </w:rPr>
            </w:pPr>
            <w:r>
              <w:rPr>
                <w:rFonts w:eastAsia="Times New Roman"/>
                <w:color w:val="000000"/>
                <w:sz w:val="20"/>
                <w:szCs w:val="20"/>
              </w:rPr>
              <w:t>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4CC6B1"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F62D2"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2EE90E"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AFA4F7" w14:textId="77777777" w:rsidR="00000000" w:rsidRDefault="001A570A">
            <w:pPr>
              <w:jc w:val="right"/>
              <w:rPr>
                <w:rFonts w:eastAsia="Times New Roman"/>
              </w:rPr>
            </w:pPr>
            <w:r>
              <w:rPr>
                <w:rFonts w:eastAsia="Times New Roman"/>
                <w:color w:val="000000"/>
                <w:sz w:val="20"/>
                <w:szCs w:val="20"/>
              </w:rPr>
              <w:t>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585A45"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BC7EF"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81DE83"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421FDA" w14:textId="77777777" w:rsidR="00000000" w:rsidRDefault="001A570A">
            <w:pPr>
              <w:jc w:val="right"/>
              <w:rPr>
                <w:rFonts w:eastAsia="Times New Roman"/>
              </w:rPr>
            </w:pPr>
            <w:r>
              <w:rPr>
                <w:rFonts w:eastAsia="Times New Roman"/>
                <w:color w:val="000000"/>
                <w:sz w:val="20"/>
                <w:szCs w:val="20"/>
              </w:rPr>
              <w:t>3.67 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CCED59"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A5289" w14:textId="77777777" w:rsidR="00000000" w:rsidRDefault="001A570A">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FD3E7D" w14:textId="77777777" w:rsidR="00000000" w:rsidRDefault="001A570A">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5330C1" w14:textId="77777777" w:rsidR="00000000" w:rsidRDefault="001A570A">
            <w:pPr>
              <w:jc w:val="right"/>
              <w:rPr>
                <w:rFonts w:eastAsia="Times New Roman"/>
              </w:rPr>
            </w:pPr>
            <w:r>
              <w:rPr>
                <w:rFonts w:eastAsia="Times New Roman"/>
                <w:color w:val="000000"/>
                <w:sz w:val="20"/>
                <w:szCs w:val="20"/>
              </w:rPr>
              <w:t>3.64 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8232F5" w14:textId="77777777" w:rsidR="00000000" w:rsidRDefault="001A570A">
            <w:pPr>
              <w:jc w:val="right"/>
              <w:rPr>
                <w:rFonts w:eastAsia="Times New Roman"/>
              </w:rPr>
            </w:pPr>
          </w:p>
        </w:tc>
      </w:tr>
      <w:tr w:rsidR="00000000" w14:paraId="295DCE69" w14:textId="77777777">
        <w:trPr>
          <w:divId w:val="1323894875"/>
          <w:trHeight w:val="160"/>
        </w:trPr>
        <w:tc>
          <w:tcPr>
            <w:tcW w:w="0" w:type="auto"/>
            <w:gridSpan w:val="3"/>
            <w:shd w:val="clear" w:color="auto" w:fill="CCEEFF"/>
            <w:tcMar>
              <w:top w:w="0" w:type="dxa"/>
              <w:left w:w="20" w:type="dxa"/>
              <w:bottom w:w="0" w:type="dxa"/>
              <w:right w:w="20" w:type="dxa"/>
            </w:tcMar>
            <w:vAlign w:val="center"/>
            <w:hideMark/>
          </w:tcPr>
          <w:p w14:paraId="43F181D3" w14:textId="77777777" w:rsidR="00000000" w:rsidRDefault="001A570A">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0E6142"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B5E023"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164A3A3"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E6870C"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D7A13D" w14:textId="77777777" w:rsidR="00000000" w:rsidRDefault="001A570A">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517EBF" w14:textId="77777777" w:rsidR="00000000" w:rsidRDefault="001A570A">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783A35" w14:textId="77777777" w:rsidR="00000000" w:rsidRDefault="001A570A">
            <w:pPr>
              <w:rPr>
                <w:rFonts w:eastAsia="Times New Roman"/>
                <w:sz w:val="20"/>
                <w:szCs w:val="20"/>
              </w:rPr>
            </w:pPr>
          </w:p>
        </w:tc>
      </w:tr>
      <w:tr w:rsidR="00000000" w14:paraId="44AFCDA3" w14:textId="77777777">
        <w:trPr>
          <w:divId w:val="1323894875"/>
        </w:trPr>
        <w:tc>
          <w:tcPr>
            <w:tcW w:w="0" w:type="auto"/>
            <w:gridSpan w:val="3"/>
            <w:shd w:val="clear" w:color="auto" w:fill="FFFFFF"/>
            <w:tcMar>
              <w:top w:w="30" w:type="dxa"/>
              <w:left w:w="20" w:type="dxa"/>
              <w:bottom w:w="30" w:type="dxa"/>
              <w:right w:w="20" w:type="dxa"/>
            </w:tcMar>
            <w:vAlign w:val="bottom"/>
            <w:hideMark/>
          </w:tcPr>
          <w:p w14:paraId="0EC44CBE" w14:textId="77777777" w:rsidR="00000000" w:rsidRDefault="001A570A">
            <w:pPr>
              <w:rPr>
                <w:rFonts w:eastAsia="Times New Roman"/>
              </w:rPr>
            </w:pPr>
            <w:r>
              <w:rPr>
                <w:rFonts w:eastAsia="Times New Roman"/>
                <w:color w:val="000000"/>
                <w:sz w:val="20"/>
                <w:szCs w:val="20"/>
              </w:rPr>
              <w:t>Basic weighted average common shares outstanding</w:t>
            </w:r>
          </w:p>
        </w:tc>
        <w:tc>
          <w:tcPr>
            <w:tcW w:w="0" w:type="auto"/>
            <w:gridSpan w:val="3"/>
            <w:shd w:val="clear" w:color="auto" w:fill="FFFFFF"/>
            <w:tcMar>
              <w:top w:w="30" w:type="dxa"/>
              <w:left w:w="20" w:type="dxa"/>
              <w:bottom w:w="30" w:type="dxa"/>
              <w:right w:w="20" w:type="dxa"/>
            </w:tcMar>
            <w:vAlign w:val="bottom"/>
            <w:hideMark/>
          </w:tcPr>
          <w:p w14:paraId="1BC0CA26" w14:textId="77777777" w:rsidR="00000000" w:rsidRDefault="001A570A">
            <w:pPr>
              <w:jc w:val="right"/>
              <w:rPr>
                <w:rFonts w:eastAsia="Times New Roman"/>
              </w:rPr>
            </w:pPr>
            <w:r>
              <w:rPr>
                <w:rFonts w:eastAsia="Times New Roman"/>
                <w:color w:val="000000"/>
                <w:sz w:val="20"/>
                <w:szCs w:val="20"/>
              </w:rPr>
              <w:t>214.0</w:t>
            </w:r>
          </w:p>
        </w:tc>
        <w:tc>
          <w:tcPr>
            <w:tcW w:w="0" w:type="auto"/>
            <w:gridSpan w:val="3"/>
            <w:shd w:val="clear" w:color="auto" w:fill="FFFFFF"/>
            <w:tcMar>
              <w:top w:w="0" w:type="dxa"/>
              <w:left w:w="20" w:type="dxa"/>
              <w:bottom w:w="0" w:type="dxa"/>
              <w:right w:w="20" w:type="dxa"/>
            </w:tcMar>
            <w:vAlign w:val="center"/>
            <w:hideMark/>
          </w:tcPr>
          <w:p w14:paraId="4E17E553" w14:textId="77777777" w:rsidR="00000000" w:rsidRDefault="001A570A">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C592F9" w14:textId="77777777" w:rsidR="00000000" w:rsidRDefault="001A570A">
            <w:pPr>
              <w:jc w:val="right"/>
              <w:rPr>
                <w:rFonts w:eastAsia="Times New Roman"/>
              </w:rPr>
            </w:pPr>
            <w:r>
              <w:rPr>
                <w:rFonts w:eastAsia="Times New Roman"/>
                <w:color w:val="000000"/>
                <w:sz w:val="20"/>
                <w:szCs w:val="20"/>
              </w:rPr>
              <w:t>166.0</w:t>
            </w:r>
          </w:p>
        </w:tc>
        <w:tc>
          <w:tcPr>
            <w:tcW w:w="0" w:type="auto"/>
            <w:gridSpan w:val="3"/>
            <w:shd w:val="clear" w:color="auto" w:fill="FFFFFF"/>
            <w:tcMar>
              <w:top w:w="0" w:type="dxa"/>
              <w:left w:w="20" w:type="dxa"/>
              <w:bottom w:w="0" w:type="dxa"/>
              <w:right w:w="20" w:type="dxa"/>
            </w:tcMar>
            <w:vAlign w:val="center"/>
            <w:hideMark/>
          </w:tcPr>
          <w:p w14:paraId="07A40A91"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360151" w14:textId="77777777" w:rsidR="00000000" w:rsidRDefault="001A570A">
            <w:pPr>
              <w:jc w:val="right"/>
              <w:rPr>
                <w:rFonts w:eastAsia="Times New Roman"/>
              </w:rPr>
            </w:pPr>
            <w:r>
              <w:rPr>
                <w:rFonts w:eastAsia="Times New Roman"/>
                <w:color w:val="000000"/>
                <w:sz w:val="20"/>
                <w:szCs w:val="20"/>
              </w:rPr>
              <w:t>221.2 </w:t>
            </w:r>
          </w:p>
        </w:tc>
        <w:tc>
          <w:tcPr>
            <w:tcW w:w="0" w:type="auto"/>
            <w:shd w:val="clear" w:color="auto" w:fill="FFFFFF"/>
            <w:tcMar>
              <w:top w:w="30" w:type="dxa"/>
              <w:left w:w="0" w:type="dxa"/>
              <w:bottom w:w="30" w:type="dxa"/>
              <w:right w:w="20" w:type="dxa"/>
            </w:tcMar>
            <w:vAlign w:val="bottom"/>
            <w:hideMark/>
          </w:tcPr>
          <w:p w14:paraId="21DD5373" w14:textId="77777777" w:rsidR="00000000" w:rsidRDefault="001A570A">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72025" w14:textId="77777777" w:rsidR="00000000" w:rsidRDefault="001A570A">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F8FC37" w14:textId="77777777" w:rsidR="00000000" w:rsidRDefault="001A570A">
            <w:pPr>
              <w:jc w:val="right"/>
              <w:rPr>
                <w:rFonts w:eastAsia="Times New Roman"/>
              </w:rPr>
            </w:pPr>
            <w:r>
              <w:rPr>
                <w:rFonts w:eastAsia="Times New Roman"/>
                <w:color w:val="000000"/>
                <w:sz w:val="20"/>
                <w:szCs w:val="20"/>
              </w:rPr>
              <w:t>117.8 </w:t>
            </w:r>
          </w:p>
        </w:tc>
        <w:tc>
          <w:tcPr>
            <w:tcW w:w="0" w:type="auto"/>
            <w:shd w:val="clear" w:color="auto" w:fill="FFFFFF"/>
            <w:tcMar>
              <w:top w:w="30" w:type="dxa"/>
              <w:left w:w="0" w:type="dxa"/>
              <w:bottom w:w="30" w:type="dxa"/>
              <w:right w:w="20" w:type="dxa"/>
            </w:tcMar>
            <w:vAlign w:val="bottom"/>
            <w:hideMark/>
          </w:tcPr>
          <w:p w14:paraId="57F09C7A" w14:textId="77777777" w:rsidR="00000000" w:rsidRDefault="001A570A">
            <w:pPr>
              <w:jc w:val="right"/>
              <w:rPr>
                <w:rFonts w:eastAsia="Times New Roman"/>
              </w:rPr>
            </w:pPr>
          </w:p>
        </w:tc>
      </w:tr>
      <w:tr w:rsidR="00000000" w14:paraId="692763F6" w14:textId="77777777">
        <w:trPr>
          <w:divId w:val="1323894875"/>
        </w:trPr>
        <w:tc>
          <w:tcPr>
            <w:tcW w:w="0" w:type="auto"/>
            <w:gridSpan w:val="3"/>
            <w:shd w:val="clear" w:color="auto" w:fill="CCEEFF"/>
            <w:tcMar>
              <w:top w:w="30" w:type="dxa"/>
              <w:left w:w="20" w:type="dxa"/>
              <w:bottom w:w="30" w:type="dxa"/>
              <w:right w:w="20" w:type="dxa"/>
            </w:tcMar>
            <w:vAlign w:val="bottom"/>
            <w:hideMark/>
          </w:tcPr>
          <w:p w14:paraId="2770AD79" w14:textId="77777777" w:rsidR="00000000" w:rsidRDefault="001A570A">
            <w:pPr>
              <w:rPr>
                <w:rFonts w:eastAsia="Times New Roman"/>
              </w:rPr>
            </w:pPr>
            <w:r>
              <w:rPr>
                <w:rFonts w:eastAsia="Times New Roman"/>
                <w:color w:val="000000"/>
                <w:sz w:val="20"/>
                <w:szCs w:val="20"/>
              </w:rPr>
              <w:t>Diluted weighted average common shares outstanding</w:t>
            </w:r>
          </w:p>
        </w:tc>
        <w:tc>
          <w:tcPr>
            <w:tcW w:w="0" w:type="auto"/>
            <w:gridSpan w:val="3"/>
            <w:shd w:val="clear" w:color="auto" w:fill="CCEEFF"/>
            <w:tcMar>
              <w:top w:w="30" w:type="dxa"/>
              <w:left w:w="20" w:type="dxa"/>
              <w:bottom w:w="30" w:type="dxa"/>
              <w:right w:w="20" w:type="dxa"/>
            </w:tcMar>
            <w:vAlign w:val="bottom"/>
            <w:hideMark/>
          </w:tcPr>
          <w:p w14:paraId="28BBCAD5" w14:textId="77777777" w:rsidR="00000000" w:rsidRDefault="001A570A">
            <w:pPr>
              <w:jc w:val="right"/>
              <w:rPr>
                <w:rFonts w:eastAsia="Times New Roman"/>
              </w:rPr>
            </w:pPr>
            <w:r>
              <w:rPr>
                <w:rFonts w:eastAsia="Times New Roman"/>
                <w:color w:val="000000"/>
                <w:sz w:val="20"/>
                <w:szCs w:val="20"/>
              </w:rPr>
              <w:t>215.9</w:t>
            </w:r>
          </w:p>
        </w:tc>
        <w:tc>
          <w:tcPr>
            <w:tcW w:w="0" w:type="auto"/>
            <w:gridSpan w:val="3"/>
            <w:shd w:val="clear" w:color="auto" w:fill="CCEEFF"/>
            <w:tcMar>
              <w:top w:w="0" w:type="dxa"/>
              <w:left w:w="20" w:type="dxa"/>
              <w:bottom w:w="0" w:type="dxa"/>
              <w:right w:w="20" w:type="dxa"/>
            </w:tcMar>
            <w:vAlign w:val="center"/>
            <w:hideMark/>
          </w:tcPr>
          <w:p w14:paraId="476118FB" w14:textId="77777777" w:rsidR="00000000" w:rsidRDefault="001A570A">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083996" w14:textId="77777777" w:rsidR="00000000" w:rsidRDefault="001A570A">
            <w:pPr>
              <w:jc w:val="right"/>
              <w:rPr>
                <w:rFonts w:eastAsia="Times New Roman"/>
              </w:rPr>
            </w:pPr>
            <w:r>
              <w:rPr>
                <w:rFonts w:eastAsia="Times New Roman"/>
                <w:color w:val="000000"/>
                <w:sz w:val="20"/>
                <w:szCs w:val="20"/>
              </w:rPr>
              <w:t>169.0</w:t>
            </w:r>
          </w:p>
        </w:tc>
        <w:tc>
          <w:tcPr>
            <w:tcW w:w="0" w:type="auto"/>
            <w:gridSpan w:val="3"/>
            <w:shd w:val="clear" w:color="auto" w:fill="CCEEFF"/>
            <w:tcMar>
              <w:top w:w="0" w:type="dxa"/>
              <w:left w:w="20" w:type="dxa"/>
              <w:bottom w:w="0" w:type="dxa"/>
              <w:right w:w="20" w:type="dxa"/>
            </w:tcMar>
            <w:vAlign w:val="center"/>
            <w:hideMark/>
          </w:tcPr>
          <w:p w14:paraId="1D96189E" w14:textId="77777777" w:rsidR="00000000" w:rsidRDefault="001A570A">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3B393F" w14:textId="77777777" w:rsidR="00000000" w:rsidRDefault="001A570A">
            <w:pPr>
              <w:jc w:val="right"/>
              <w:rPr>
                <w:rFonts w:eastAsia="Times New Roman"/>
              </w:rPr>
            </w:pPr>
            <w:r>
              <w:rPr>
                <w:rFonts w:eastAsia="Times New Roman"/>
                <w:color w:val="000000"/>
                <w:sz w:val="20"/>
                <w:szCs w:val="20"/>
              </w:rPr>
              <w:t>223.7 </w:t>
            </w:r>
          </w:p>
        </w:tc>
        <w:tc>
          <w:tcPr>
            <w:tcW w:w="0" w:type="auto"/>
            <w:shd w:val="clear" w:color="auto" w:fill="CCEEFF"/>
            <w:tcMar>
              <w:top w:w="30" w:type="dxa"/>
              <w:left w:w="0" w:type="dxa"/>
              <w:bottom w:w="30" w:type="dxa"/>
              <w:right w:w="20" w:type="dxa"/>
            </w:tcMar>
            <w:vAlign w:val="bottom"/>
            <w:hideMark/>
          </w:tcPr>
          <w:p w14:paraId="550FE32D" w14:textId="77777777" w:rsidR="00000000" w:rsidRDefault="001A570A">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B2584" w14:textId="77777777" w:rsidR="00000000" w:rsidRDefault="001A570A">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B0F92" w14:textId="77777777" w:rsidR="00000000" w:rsidRDefault="001A570A">
            <w:pPr>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14:paraId="15012CFB" w14:textId="77777777" w:rsidR="00000000" w:rsidRDefault="001A570A">
            <w:pPr>
              <w:jc w:val="right"/>
              <w:rPr>
                <w:rFonts w:eastAsia="Times New Roman"/>
              </w:rPr>
            </w:pPr>
          </w:p>
        </w:tc>
      </w:tr>
    </w:tbl>
    <w:p w14:paraId="2732B8D9" w14:textId="77777777" w:rsidR="00000000" w:rsidRDefault="001A570A">
      <w:pPr>
        <w:divId w:val="238253950"/>
        <w:rPr>
          <w:rFonts w:eastAsia="Times New Roman"/>
        </w:rPr>
      </w:pPr>
      <w:r>
        <w:rPr>
          <w:rFonts w:eastAsia="Times New Roman"/>
          <w:b/>
          <w:bCs/>
          <w:color w:val="000000"/>
          <w:sz w:val="20"/>
          <w:szCs w:val="20"/>
        </w:rPr>
        <w:t xml:space="preserve">NOTE 28: SUBSEQUENT EVENTS </w:t>
      </w:r>
    </w:p>
    <w:p w14:paraId="5FEA268F" w14:textId="77777777" w:rsidR="00000000" w:rsidRDefault="001A570A">
      <w:pPr>
        <w:divId w:val="955480315"/>
        <w:rPr>
          <w:rFonts w:eastAsia="Times New Roman"/>
        </w:rPr>
      </w:pPr>
      <w:r>
        <w:rPr>
          <w:rFonts w:eastAsia="Times New Roman"/>
          <w:b/>
          <w:bCs/>
          <w:color w:val="000000"/>
          <w:sz w:val="20"/>
          <w:szCs w:val="20"/>
        </w:rPr>
        <w:t>Share Repurchase Authorization</w:t>
      </w:r>
    </w:p>
    <w:p w14:paraId="34D631F6" w14:textId="77777777" w:rsidR="00000000" w:rsidRDefault="001A570A">
      <w:pPr>
        <w:ind w:firstLine="450"/>
        <w:divId w:val="1447191601"/>
        <w:rPr>
          <w:rFonts w:eastAsia="Times New Roman"/>
        </w:rPr>
      </w:pPr>
      <w:r>
        <w:rPr>
          <w:rFonts w:eastAsia="Times New Roman"/>
          <w:color w:val="000000"/>
          <w:sz w:val="20"/>
          <w:szCs w:val="20"/>
        </w:rPr>
        <w:t>On January </w:t>
      </w:r>
      <w:r>
        <w:rPr>
          <w:rFonts w:eastAsia="Times New Roman"/>
          <w:color w:val="000000"/>
          <w:sz w:val="20"/>
          <w:szCs w:val="20"/>
        </w:rPr>
        <w:t>28, 2021, we announced that our Board of Directors approved a new $6 billion share repurchase authorization under our repurchase program that was in addition to the remaining unused authorization of $210 million, for a total unused authorization of $6.2 bi</w:t>
      </w:r>
      <w:r>
        <w:rPr>
          <w:rFonts w:eastAsia="Times New Roman"/>
          <w:color w:val="000000"/>
          <w:sz w:val="20"/>
          <w:szCs w:val="20"/>
        </w:rPr>
        <w:t>llion. Although our repurchase program does not have a stated expiration date, we announced that we currently expect to repurchase up to $2.3 billion in shares in fiscal 2021, exclusive of any proceeds from divestitures that we may complete, but we can giv</w:t>
      </w:r>
      <w:r>
        <w:rPr>
          <w:rFonts w:eastAsia="Times New Roman"/>
          <w:color w:val="000000"/>
          <w:sz w:val="20"/>
          <w:szCs w:val="20"/>
        </w:rPr>
        <w:t>e no assurances regarding the level and timing of shares repurchases. Repurchases under our repurchase program may be made through open-market transactions, private transactions, transactions structured through investment banking institutions or any combin</w:t>
      </w:r>
      <w:r>
        <w:rPr>
          <w:rFonts w:eastAsia="Times New Roman"/>
          <w:color w:val="000000"/>
          <w:sz w:val="20"/>
          <w:szCs w:val="20"/>
        </w:rPr>
        <w:t xml:space="preserve">ation thereof. The level of our repurchases depends on a number of factors, including our financial </w:t>
      </w:r>
    </w:p>
    <w:p w14:paraId="1847876E" w14:textId="77777777" w:rsidR="00000000" w:rsidRDefault="001A570A">
      <w:pPr>
        <w:ind w:firstLine="450"/>
        <w:jc w:val="center"/>
        <w:divId w:val="1183282661"/>
        <w:rPr>
          <w:rFonts w:eastAsia="Times New Roman"/>
        </w:rPr>
      </w:pPr>
      <w:r>
        <w:rPr>
          <w:rFonts w:eastAsia="Times New Roman"/>
          <w:color w:val="000000"/>
          <w:sz w:val="20"/>
          <w:szCs w:val="20"/>
        </w:rPr>
        <w:t>131</w:t>
      </w:r>
    </w:p>
    <w:p w14:paraId="0B23515E" w14:textId="77777777" w:rsidR="00000000" w:rsidRDefault="001A570A">
      <w:pPr>
        <w:rPr>
          <w:rFonts w:eastAsia="Times New Roman"/>
        </w:rPr>
      </w:pPr>
      <w:r>
        <w:rPr>
          <w:rFonts w:eastAsia="Times New Roman"/>
        </w:rPr>
        <w:pict w14:anchorId="6D4B10F6">
          <v:rect id="_x0000_i1159" style="width:0;height:1.5pt" o:hralign="center" o:hrstd="t" o:hr="t" fillcolor="#a0a0a0" stroked="f"/>
        </w:pict>
      </w:r>
    </w:p>
    <w:p w14:paraId="64F544C9" w14:textId="77777777" w:rsidR="00000000" w:rsidRDefault="001A570A">
      <w:pPr>
        <w:ind w:firstLine="450"/>
        <w:divId w:val="1822381614"/>
        <w:rPr>
          <w:rFonts w:eastAsia="Times New Roman"/>
        </w:rPr>
      </w:pPr>
    </w:p>
    <w:p w14:paraId="305CB15B" w14:textId="77777777" w:rsidR="00000000" w:rsidRDefault="001A570A">
      <w:pPr>
        <w:divId w:val="1583099605"/>
        <w:rPr>
          <w:rFonts w:eastAsia="Times New Roman"/>
        </w:rPr>
      </w:pPr>
      <w:r>
        <w:rPr>
          <w:rFonts w:eastAsia="Times New Roman"/>
          <w:color w:val="000000"/>
          <w:sz w:val="20"/>
          <w:szCs w:val="20"/>
        </w:rPr>
        <w:t xml:space="preserve">condition, capital requirements, cash flows, results of operations, future business prospects and other factors </w:t>
      </w:r>
      <w:r>
        <w:rPr>
          <w:rFonts w:eastAsia="Times New Roman"/>
          <w:color w:val="000000"/>
          <w:sz w:val="20"/>
          <w:szCs w:val="20"/>
        </w:rPr>
        <w:t>our Board and management may deem relevant. The timing, volume and nature of repurchases are subject to market conditions, applicable securities laws and other factors and are at our discretion and may be suspended or discontinued at any time.</w:t>
      </w:r>
    </w:p>
    <w:p w14:paraId="6F0CBDD5" w14:textId="77777777" w:rsidR="00000000" w:rsidRDefault="001A570A">
      <w:pPr>
        <w:divId w:val="1240554722"/>
        <w:rPr>
          <w:rFonts w:eastAsia="Times New Roman"/>
        </w:rPr>
      </w:pPr>
      <w:r>
        <w:rPr>
          <w:rFonts w:eastAsia="Times New Roman"/>
          <w:b/>
          <w:bCs/>
          <w:color w:val="000000"/>
          <w:sz w:val="20"/>
          <w:szCs w:val="20"/>
        </w:rPr>
        <w:t>Pending Dive</w:t>
      </w:r>
      <w:r>
        <w:rPr>
          <w:rFonts w:eastAsia="Times New Roman"/>
          <w:b/>
          <w:bCs/>
          <w:color w:val="000000"/>
          <w:sz w:val="20"/>
          <w:szCs w:val="20"/>
        </w:rPr>
        <w:t>stitures</w:t>
      </w:r>
    </w:p>
    <w:p w14:paraId="56DB830C" w14:textId="77777777" w:rsidR="00000000" w:rsidRDefault="001A570A">
      <w:pPr>
        <w:ind w:firstLine="450"/>
        <w:divId w:val="2010862284"/>
        <w:rPr>
          <w:rFonts w:eastAsia="Times New Roman"/>
        </w:rPr>
      </w:pPr>
      <w:r>
        <w:rPr>
          <w:rFonts w:eastAsia="Times New Roman"/>
          <w:color w:val="000000"/>
          <w:sz w:val="20"/>
          <w:szCs w:val="20"/>
        </w:rPr>
        <w:t xml:space="preserve">Subsequent to the end of fiscal 2020, we entered into definitive agreements to divest two </w:t>
      </w:r>
      <w:r>
        <w:rPr>
          <w:rFonts w:eastAsia="Times New Roman"/>
          <w:color w:val="000000"/>
          <w:sz w:val="20"/>
          <w:szCs w:val="20"/>
        </w:rPr>
        <w:t>businesses in connection with our process to reshape our business portfolio to focus on core technologies following the L3Harris Merger. Each divestiture is subject to regulatory review and other customary closing conditions, and we expect to close the div</w:t>
      </w:r>
      <w:r>
        <w:rPr>
          <w:rFonts w:eastAsia="Times New Roman"/>
          <w:color w:val="000000"/>
          <w:sz w:val="20"/>
          <w:szCs w:val="20"/>
        </w:rPr>
        <w:t xml:space="preserve">estitures in the second half of fiscal 2021 and to use proceeds from the divestitures to repurchase shares of our common stock; however, there can be no assurances that the conditions will be satisfied (or waived, if applicable) or that closing will occur </w:t>
      </w:r>
      <w:r>
        <w:rPr>
          <w:rFonts w:eastAsia="Times New Roman"/>
          <w:color w:val="000000"/>
          <w:sz w:val="20"/>
          <w:szCs w:val="20"/>
        </w:rPr>
        <w:t>in the second half of fiscal 2021 or at all or regarding the use of proceeds. Because the two businesses did not meet the held for sale criteria as of January 1, 2021, the assets and liabilities of the businesses were not classified as held for sale in our</w:t>
      </w:r>
      <w:r>
        <w:rPr>
          <w:rFonts w:eastAsia="Times New Roman"/>
          <w:color w:val="000000"/>
          <w:sz w:val="20"/>
          <w:szCs w:val="20"/>
        </w:rPr>
        <w:t xml:space="preserve"> Consolidated Balance Sheet at January 1, 2021. </w:t>
      </w:r>
    </w:p>
    <w:p w14:paraId="3E3F4823" w14:textId="77777777" w:rsidR="00000000" w:rsidRDefault="001A570A">
      <w:pPr>
        <w:ind w:firstLine="450"/>
        <w:divId w:val="1905331783"/>
        <w:rPr>
          <w:rFonts w:eastAsia="Times New Roman"/>
        </w:rPr>
      </w:pPr>
      <w:r>
        <w:rPr>
          <w:rFonts w:eastAsia="Times New Roman"/>
          <w:i/>
          <w:iCs/>
          <w:color w:val="000000"/>
          <w:sz w:val="20"/>
          <w:szCs w:val="20"/>
        </w:rPr>
        <w:t xml:space="preserve">Military training business. </w:t>
      </w:r>
      <w:r>
        <w:rPr>
          <w:rFonts w:eastAsia="Times New Roman"/>
          <w:color w:val="000000"/>
          <w:sz w:val="20"/>
          <w:szCs w:val="20"/>
        </w:rPr>
        <w:t>On February 27, 2021, we entered into a definitive agreement to sell our military training business to CAE USA Inc., a subsidiary of CAE Inc., for $1.05 billion in cash, subject t</w:t>
      </w:r>
      <w:r>
        <w:rPr>
          <w:rFonts w:eastAsia="Times New Roman"/>
          <w:color w:val="000000"/>
          <w:sz w:val="20"/>
          <w:szCs w:val="20"/>
        </w:rPr>
        <w:t xml:space="preserve">o adjustments set forth in the definitive agreement. The military training business provides flight simulation solutions and training services to DoD and foreign military agencies. The military training business is part of our Aviation Systems segment and </w:t>
      </w:r>
      <w:r>
        <w:rPr>
          <w:rFonts w:eastAsia="Times New Roman"/>
          <w:color w:val="000000"/>
          <w:sz w:val="20"/>
          <w:szCs w:val="20"/>
        </w:rPr>
        <w:t xml:space="preserve">had approximately $500 million in fiscal 2020 revenue. </w:t>
      </w:r>
    </w:p>
    <w:p w14:paraId="1CBF4C52" w14:textId="77777777" w:rsidR="00000000" w:rsidRDefault="001A570A">
      <w:pPr>
        <w:ind w:firstLine="450"/>
        <w:divId w:val="959267487"/>
        <w:rPr>
          <w:rFonts w:eastAsia="Times New Roman"/>
        </w:rPr>
      </w:pPr>
      <w:r>
        <w:rPr>
          <w:rFonts w:eastAsia="Times New Roman"/>
          <w:i/>
          <w:iCs/>
          <w:color w:val="000000"/>
          <w:sz w:val="20"/>
          <w:szCs w:val="20"/>
        </w:rPr>
        <w:t>CPS business.</w:t>
      </w:r>
      <w:r>
        <w:rPr>
          <w:rFonts w:eastAsia="Times New Roman"/>
          <w:color w:val="000000"/>
          <w:sz w:val="20"/>
          <w:szCs w:val="20"/>
        </w:rPr>
        <w:t xml:space="preserve"> On March 1, 2021, we entered into a definitive agreement to sell our Combat Propulsion Systems and related businesses (“CPS business”) to RENK AG for approximately $400 million in cash, </w:t>
      </w:r>
      <w:r>
        <w:rPr>
          <w:rFonts w:eastAsia="Times New Roman"/>
          <w:color w:val="000000"/>
          <w:sz w:val="20"/>
          <w:szCs w:val="20"/>
        </w:rPr>
        <w:t>subject to adjustments set forth in the definitive agreement. The CPS business engineers, designs, manufactures and remanufactures engines, transmissions, suspensions and turret drive systems for tracked and wheeled combat vehicle systems. The CPS business</w:t>
      </w:r>
      <w:r>
        <w:rPr>
          <w:rFonts w:eastAsia="Times New Roman"/>
          <w:color w:val="000000"/>
          <w:sz w:val="20"/>
          <w:szCs w:val="20"/>
        </w:rPr>
        <w:t xml:space="preserve"> is part of our Aviation Systems segment and had approximately $230 million in fiscal 2020 revenue. </w:t>
      </w:r>
    </w:p>
    <w:p w14:paraId="71DFA4F3" w14:textId="77777777" w:rsidR="00000000" w:rsidRDefault="001A570A">
      <w:pPr>
        <w:ind w:firstLine="450"/>
        <w:divId w:val="1750804907"/>
        <w:rPr>
          <w:rFonts w:eastAsia="Times New Roman"/>
        </w:rPr>
      </w:pPr>
    </w:p>
    <w:tbl>
      <w:tblPr>
        <w:tblW w:w="4899" w:type="pct"/>
        <w:tblCellMar>
          <w:top w:w="15" w:type="dxa"/>
          <w:left w:w="15" w:type="dxa"/>
          <w:bottom w:w="15" w:type="dxa"/>
          <w:right w:w="15" w:type="dxa"/>
        </w:tblCellMar>
        <w:tblLook w:val="04A0" w:firstRow="1" w:lastRow="0" w:firstColumn="1" w:lastColumn="0" w:noHBand="0" w:noVBand="1"/>
      </w:tblPr>
      <w:tblGrid>
        <w:gridCol w:w="70"/>
        <w:gridCol w:w="859"/>
        <w:gridCol w:w="36"/>
        <w:gridCol w:w="67"/>
        <w:gridCol w:w="7070"/>
        <w:gridCol w:w="36"/>
      </w:tblGrid>
      <w:tr w:rsidR="00000000" w14:paraId="05EDA1CE" w14:textId="77777777">
        <w:trPr>
          <w:divId w:val="486476769"/>
        </w:trPr>
        <w:tc>
          <w:tcPr>
            <w:tcW w:w="50" w:type="pct"/>
            <w:vAlign w:val="center"/>
            <w:hideMark/>
          </w:tcPr>
          <w:p w14:paraId="2BC80334" w14:textId="77777777" w:rsidR="00000000" w:rsidRDefault="001A570A">
            <w:pPr>
              <w:ind w:firstLine="450"/>
              <w:rPr>
                <w:rFonts w:eastAsia="Times New Roman"/>
              </w:rPr>
            </w:pPr>
          </w:p>
        </w:tc>
        <w:tc>
          <w:tcPr>
            <w:tcW w:w="538" w:type="pct"/>
            <w:vAlign w:val="center"/>
            <w:hideMark/>
          </w:tcPr>
          <w:p w14:paraId="332F9E5C" w14:textId="77777777" w:rsidR="00000000" w:rsidRDefault="001A570A">
            <w:pPr>
              <w:rPr>
                <w:rFonts w:eastAsia="Times New Roman"/>
                <w:sz w:val="20"/>
                <w:szCs w:val="20"/>
              </w:rPr>
            </w:pPr>
          </w:p>
        </w:tc>
        <w:tc>
          <w:tcPr>
            <w:tcW w:w="5" w:type="pct"/>
            <w:vAlign w:val="center"/>
            <w:hideMark/>
          </w:tcPr>
          <w:p w14:paraId="44DAF94D" w14:textId="77777777" w:rsidR="00000000" w:rsidRDefault="001A570A">
            <w:pPr>
              <w:rPr>
                <w:rFonts w:eastAsia="Times New Roman"/>
                <w:sz w:val="20"/>
                <w:szCs w:val="20"/>
              </w:rPr>
            </w:pPr>
          </w:p>
        </w:tc>
        <w:tc>
          <w:tcPr>
            <w:tcW w:w="50" w:type="pct"/>
            <w:vAlign w:val="center"/>
            <w:hideMark/>
          </w:tcPr>
          <w:p w14:paraId="1F9ADC8F" w14:textId="77777777" w:rsidR="00000000" w:rsidRDefault="001A570A">
            <w:pPr>
              <w:rPr>
                <w:rFonts w:eastAsia="Times New Roman"/>
                <w:sz w:val="20"/>
                <w:szCs w:val="20"/>
              </w:rPr>
            </w:pPr>
          </w:p>
        </w:tc>
        <w:tc>
          <w:tcPr>
            <w:tcW w:w="4351" w:type="pct"/>
            <w:vAlign w:val="center"/>
            <w:hideMark/>
          </w:tcPr>
          <w:p w14:paraId="130C2EC5" w14:textId="77777777" w:rsidR="00000000" w:rsidRDefault="001A570A">
            <w:pPr>
              <w:rPr>
                <w:rFonts w:eastAsia="Times New Roman"/>
                <w:sz w:val="20"/>
                <w:szCs w:val="20"/>
              </w:rPr>
            </w:pPr>
          </w:p>
        </w:tc>
        <w:tc>
          <w:tcPr>
            <w:tcW w:w="5" w:type="pct"/>
            <w:vAlign w:val="center"/>
            <w:hideMark/>
          </w:tcPr>
          <w:p w14:paraId="556B06B8" w14:textId="77777777" w:rsidR="00000000" w:rsidRDefault="001A570A">
            <w:pPr>
              <w:rPr>
                <w:rFonts w:eastAsia="Times New Roman"/>
                <w:sz w:val="20"/>
                <w:szCs w:val="20"/>
              </w:rPr>
            </w:pPr>
          </w:p>
        </w:tc>
      </w:tr>
      <w:tr w:rsidR="00000000" w14:paraId="0038BC49" w14:textId="77777777">
        <w:trPr>
          <w:divId w:val="486476769"/>
        </w:trPr>
        <w:tc>
          <w:tcPr>
            <w:tcW w:w="0" w:type="auto"/>
            <w:gridSpan w:val="3"/>
            <w:tcMar>
              <w:top w:w="30" w:type="dxa"/>
              <w:left w:w="20" w:type="dxa"/>
              <w:bottom w:w="30" w:type="dxa"/>
              <w:right w:w="20" w:type="dxa"/>
            </w:tcMar>
            <w:hideMark/>
          </w:tcPr>
          <w:p w14:paraId="086510F7" w14:textId="77777777" w:rsidR="00000000" w:rsidRDefault="001A570A">
            <w:pPr>
              <w:rPr>
                <w:rFonts w:eastAsia="Times New Roman"/>
              </w:rPr>
            </w:pPr>
            <w:r>
              <w:rPr>
                <w:rFonts w:eastAsia="Times New Roman"/>
                <w:b/>
                <w:bCs/>
                <w:color w:val="000000"/>
                <w:sz w:val="20"/>
                <w:szCs w:val="20"/>
              </w:rPr>
              <w:t> ITEM 9.</w:t>
            </w:r>
          </w:p>
        </w:tc>
        <w:tc>
          <w:tcPr>
            <w:tcW w:w="0" w:type="auto"/>
            <w:gridSpan w:val="3"/>
            <w:tcMar>
              <w:top w:w="30" w:type="dxa"/>
              <w:left w:w="20" w:type="dxa"/>
              <w:bottom w:w="30" w:type="dxa"/>
              <w:right w:w="20" w:type="dxa"/>
            </w:tcMar>
            <w:hideMark/>
          </w:tcPr>
          <w:p w14:paraId="28487EE4" w14:textId="77777777" w:rsidR="00000000" w:rsidRDefault="001A570A">
            <w:pPr>
              <w:rPr>
                <w:rFonts w:eastAsia="Times New Roman"/>
              </w:rPr>
            </w:pPr>
            <w:r>
              <w:rPr>
                <w:rFonts w:eastAsia="Times New Roman"/>
                <w:b/>
                <w:bCs/>
                <w:color w:val="000000"/>
                <w:sz w:val="20"/>
                <w:szCs w:val="20"/>
              </w:rPr>
              <w:t>CHANGES IN AND DISAGREEMENTS WITH ACCOUNTANTS ON ACCOUNTING AND FINANCIAL DISCLOSURE.</w:t>
            </w:r>
          </w:p>
        </w:tc>
      </w:tr>
    </w:tbl>
    <w:p w14:paraId="1B9BECA0" w14:textId="77777777" w:rsidR="00000000" w:rsidRDefault="001A570A">
      <w:pPr>
        <w:ind w:firstLine="450"/>
        <w:divId w:val="1067999311"/>
        <w:rPr>
          <w:rFonts w:eastAsia="Times New Roman"/>
        </w:rPr>
      </w:pPr>
      <w:r>
        <w:rPr>
          <w:rFonts w:eastAsia="Times New Roman"/>
          <w:color w:val="000000"/>
          <w:sz w:val="20"/>
          <w:szCs w:val="20"/>
        </w:rPr>
        <w:t>Not applicable.</w:t>
      </w:r>
    </w:p>
    <w:p w14:paraId="47D18121" w14:textId="77777777" w:rsidR="00000000" w:rsidRDefault="001A570A">
      <w:pPr>
        <w:ind w:firstLine="450"/>
        <w:divId w:val="1637494437"/>
        <w:rPr>
          <w:rFonts w:eastAsia="Times New Roman"/>
        </w:rPr>
      </w:pPr>
      <w:r>
        <w:rPr>
          <w:rFonts w:eastAsia="Times New Roman"/>
          <w:color w:val="000000"/>
          <w:sz w:val="18"/>
          <w:szCs w:val="18"/>
        </w:rPr>
        <w:t> </w:t>
      </w:r>
    </w:p>
    <w:tbl>
      <w:tblPr>
        <w:tblW w:w="2162"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470"/>
        <w:gridCol w:w="36"/>
      </w:tblGrid>
      <w:tr w:rsidR="00000000" w14:paraId="357E948D" w14:textId="77777777">
        <w:trPr>
          <w:divId w:val="2051950981"/>
        </w:trPr>
        <w:tc>
          <w:tcPr>
            <w:tcW w:w="50" w:type="pct"/>
            <w:vAlign w:val="center"/>
            <w:hideMark/>
          </w:tcPr>
          <w:p w14:paraId="4B53B065" w14:textId="77777777" w:rsidR="00000000" w:rsidRDefault="001A570A">
            <w:pPr>
              <w:ind w:firstLine="450"/>
              <w:rPr>
                <w:rFonts w:eastAsia="Times New Roman"/>
              </w:rPr>
            </w:pPr>
          </w:p>
        </w:tc>
        <w:tc>
          <w:tcPr>
            <w:tcW w:w="1406" w:type="pct"/>
            <w:vAlign w:val="center"/>
            <w:hideMark/>
          </w:tcPr>
          <w:p w14:paraId="64A2F1A0" w14:textId="77777777" w:rsidR="00000000" w:rsidRDefault="001A570A">
            <w:pPr>
              <w:rPr>
                <w:rFonts w:eastAsia="Times New Roman"/>
                <w:sz w:val="20"/>
                <w:szCs w:val="20"/>
              </w:rPr>
            </w:pPr>
          </w:p>
        </w:tc>
        <w:tc>
          <w:tcPr>
            <w:tcW w:w="5" w:type="pct"/>
            <w:vAlign w:val="center"/>
            <w:hideMark/>
          </w:tcPr>
          <w:p w14:paraId="5A1C6648" w14:textId="77777777" w:rsidR="00000000" w:rsidRDefault="001A570A">
            <w:pPr>
              <w:rPr>
                <w:rFonts w:eastAsia="Times New Roman"/>
                <w:sz w:val="20"/>
                <w:szCs w:val="20"/>
              </w:rPr>
            </w:pPr>
          </w:p>
        </w:tc>
        <w:tc>
          <w:tcPr>
            <w:tcW w:w="50" w:type="pct"/>
            <w:vAlign w:val="center"/>
            <w:hideMark/>
          </w:tcPr>
          <w:p w14:paraId="0E8CCC39" w14:textId="77777777" w:rsidR="00000000" w:rsidRDefault="001A570A">
            <w:pPr>
              <w:rPr>
                <w:rFonts w:eastAsia="Times New Roman"/>
                <w:sz w:val="20"/>
                <w:szCs w:val="20"/>
              </w:rPr>
            </w:pPr>
          </w:p>
        </w:tc>
        <w:tc>
          <w:tcPr>
            <w:tcW w:w="3483" w:type="pct"/>
            <w:vAlign w:val="center"/>
            <w:hideMark/>
          </w:tcPr>
          <w:p w14:paraId="4A83680B" w14:textId="77777777" w:rsidR="00000000" w:rsidRDefault="001A570A">
            <w:pPr>
              <w:rPr>
                <w:rFonts w:eastAsia="Times New Roman"/>
                <w:sz w:val="20"/>
                <w:szCs w:val="20"/>
              </w:rPr>
            </w:pPr>
          </w:p>
        </w:tc>
        <w:tc>
          <w:tcPr>
            <w:tcW w:w="5" w:type="pct"/>
            <w:vAlign w:val="center"/>
            <w:hideMark/>
          </w:tcPr>
          <w:p w14:paraId="2E3B56D2" w14:textId="77777777" w:rsidR="00000000" w:rsidRDefault="001A570A">
            <w:pPr>
              <w:rPr>
                <w:rFonts w:eastAsia="Times New Roman"/>
                <w:sz w:val="20"/>
                <w:szCs w:val="20"/>
              </w:rPr>
            </w:pPr>
          </w:p>
        </w:tc>
      </w:tr>
      <w:tr w:rsidR="00000000" w14:paraId="5C095035" w14:textId="77777777">
        <w:trPr>
          <w:divId w:val="2051950981"/>
        </w:trPr>
        <w:tc>
          <w:tcPr>
            <w:tcW w:w="0" w:type="auto"/>
            <w:gridSpan w:val="3"/>
            <w:tcMar>
              <w:top w:w="30" w:type="dxa"/>
              <w:left w:w="20" w:type="dxa"/>
              <w:bottom w:w="30" w:type="dxa"/>
              <w:right w:w="20" w:type="dxa"/>
            </w:tcMar>
            <w:hideMark/>
          </w:tcPr>
          <w:p w14:paraId="5415AC07" w14:textId="77777777" w:rsidR="00000000" w:rsidRDefault="001A570A">
            <w:pPr>
              <w:rPr>
                <w:rFonts w:eastAsia="Times New Roman"/>
              </w:rPr>
            </w:pPr>
            <w:r>
              <w:rPr>
                <w:rFonts w:eastAsia="Times New Roman"/>
                <w:b/>
                <w:bCs/>
                <w:color w:val="000000"/>
                <w:sz w:val="20"/>
                <w:szCs w:val="20"/>
              </w:rPr>
              <w:t> ITEM 9A.</w:t>
            </w:r>
          </w:p>
        </w:tc>
        <w:tc>
          <w:tcPr>
            <w:tcW w:w="0" w:type="auto"/>
            <w:gridSpan w:val="3"/>
            <w:tcMar>
              <w:top w:w="30" w:type="dxa"/>
              <w:left w:w="20" w:type="dxa"/>
              <w:bottom w:w="30" w:type="dxa"/>
              <w:right w:w="20" w:type="dxa"/>
            </w:tcMar>
            <w:hideMark/>
          </w:tcPr>
          <w:p w14:paraId="5E757B55" w14:textId="77777777" w:rsidR="00000000" w:rsidRDefault="001A570A">
            <w:pPr>
              <w:rPr>
                <w:rFonts w:eastAsia="Times New Roman"/>
              </w:rPr>
            </w:pPr>
            <w:r>
              <w:rPr>
                <w:rFonts w:eastAsia="Times New Roman"/>
                <w:b/>
                <w:bCs/>
                <w:color w:val="000000"/>
                <w:sz w:val="20"/>
                <w:szCs w:val="20"/>
              </w:rPr>
              <w:t>CONTROLS AND PROCEDURES.</w:t>
            </w:r>
          </w:p>
        </w:tc>
      </w:tr>
    </w:tbl>
    <w:p w14:paraId="6C56E368" w14:textId="77777777" w:rsidR="00000000" w:rsidRDefault="001A570A">
      <w:pPr>
        <w:ind w:firstLine="450"/>
        <w:divId w:val="371349135"/>
        <w:rPr>
          <w:rFonts w:eastAsia="Times New Roman"/>
        </w:rPr>
      </w:pPr>
      <w:r>
        <w:rPr>
          <w:rFonts w:eastAsia="Times New Roman"/>
          <w:color w:val="000000"/>
          <w:sz w:val="20"/>
          <w:szCs w:val="20"/>
        </w:rPr>
        <w:t>(a) </w:t>
      </w:r>
      <w:r>
        <w:rPr>
          <w:rFonts w:eastAsia="Times New Roman"/>
          <w:i/>
          <w:iCs/>
          <w:color w:val="000000"/>
          <w:sz w:val="20"/>
          <w:szCs w:val="20"/>
        </w:rPr>
        <w:t>Evaluation of Disclosure Controls and Procedures:</w:t>
      </w:r>
      <w:r>
        <w:rPr>
          <w:rFonts w:eastAsia="Times New Roman"/>
          <w:color w:val="000000"/>
          <w:sz w:val="20"/>
          <w:szCs w:val="20"/>
        </w:rPr>
        <w:t> We maintain disclosure controls and procedures that are designed to ensure that information required to be disclosed in our reports filed or submitted under the Exchange Act</w:t>
      </w:r>
      <w:r>
        <w:rPr>
          <w:rFonts w:eastAsia="Times New Roman"/>
          <w:color w:val="000000"/>
          <w:sz w:val="20"/>
          <w:szCs w:val="20"/>
        </w:rPr>
        <w:t xml:space="preserve"> is recorded, processed, summarized and reported within the time periods specified in SEC rules and forms. Our disclosure controls and procedures include, without limitation, controls and procedures designed to ensure that information required to be disclo</w:t>
      </w:r>
      <w:r>
        <w:rPr>
          <w:rFonts w:eastAsia="Times New Roman"/>
          <w:color w:val="000000"/>
          <w:sz w:val="20"/>
          <w:szCs w:val="20"/>
        </w:rPr>
        <w:t>sed in our reports filed or submitted under the Exchange Act is accumulated and communicated to management, including our Chief Executive Officer and Chief Financial Officer, as appropriate to allow timely decisions regarding required disclosures. There ar</w:t>
      </w:r>
      <w:r>
        <w:rPr>
          <w:rFonts w:eastAsia="Times New Roman"/>
          <w:color w:val="000000"/>
          <w:sz w:val="20"/>
          <w:szCs w:val="20"/>
        </w:rPr>
        <w:t>e inherent limitations to the effectiveness of any system of disclosure controls and procedures, including the possibility of human error and the circumvention or overriding of the controls and procedures. Accordingly, even effective disclosure controls an</w:t>
      </w:r>
      <w:r>
        <w:rPr>
          <w:rFonts w:eastAsia="Times New Roman"/>
          <w:color w:val="000000"/>
          <w:sz w:val="20"/>
          <w:szCs w:val="20"/>
        </w:rPr>
        <w:t>d procedures can provide only reasonable assurance of achieving their control objectives, and management necessarily is required to use its judgment in evaluating the cost-benefit relationship of possible controls and procedures. As required by Rule 13a-15</w:t>
      </w:r>
      <w:r>
        <w:rPr>
          <w:rFonts w:eastAsia="Times New Roman"/>
          <w:color w:val="000000"/>
          <w:sz w:val="20"/>
          <w:szCs w:val="20"/>
        </w:rPr>
        <w:t xml:space="preserve"> under the Exchange Act, as of January 1, 2021, we carried out an evaluation of the effectiveness of the design and operation of our disclosure controls and procedures. This evaluation was carried out under the supervision and with the participation of our</w:t>
      </w:r>
      <w:r>
        <w:rPr>
          <w:rFonts w:eastAsia="Times New Roman"/>
          <w:color w:val="000000"/>
          <w:sz w:val="20"/>
          <w:szCs w:val="20"/>
        </w:rPr>
        <w:t xml:space="preserve"> management, including our Chief Executive Officer and our Chief Financial Officer. Based on this work and other evaluation procedures, our management, including our Chief Executive Officer and our Chief Financial Officer, has concluded that as of January </w:t>
      </w:r>
      <w:r>
        <w:rPr>
          <w:rFonts w:eastAsia="Times New Roman"/>
          <w:color w:val="000000"/>
          <w:sz w:val="20"/>
          <w:szCs w:val="20"/>
        </w:rPr>
        <w:t>1, 2021 our disclosure controls and procedures were effective.</w:t>
      </w:r>
    </w:p>
    <w:p w14:paraId="5C5F0B09" w14:textId="77777777" w:rsidR="00000000" w:rsidRDefault="001A570A">
      <w:pPr>
        <w:ind w:firstLine="450"/>
        <w:divId w:val="1295714763"/>
        <w:rPr>
          <w:rFonts w:eastAsia="Times New Roman"/>
        </w:rPr>
      </w:pPr>
      <w:r>
        <w:rPr>
          <w:rFonts w:eastAsia="Times New Roman"/>
          <w:color w:val="000000"/>
          <w:sz w:val="20"/>
          <w:szCs w:val="20"/>
        </w:rPr>
        <w:t>(b) </w:t>
      </w:r>
      <w:r>
        <w:rPr>
          <w:rFonts w:eastAsia="Times New Roman"/>
          <w:i/>
          <w:iCs/>
          <w:color w:val="000000"/>
          <w:sz w:val="20"/>
          <w:szCs w:val="20"/>
        </w:rPr>
        <w:t>Changes in Internal Control:</w:t>
      </w:r>
      <w:r>
        <w:rPr>
          <w:rFonts w:eastAsia="Times New Roman"/>
          <w:color w:val="000000"/>
          <w:sz w:val="20"/>
          <w:szCs w:val="20"/>
        </w:rPr>
        <w:t> We periodically review our internal control over financial reporting as part of our efforts to ensure compliance with the requirements of Section 404 of the Sar</w:t>
      </w:r>
      <w:r>
        <w:rPr>
          <w:rFonts w:eastAsia="Times New Roman"/>
          <w:color w:val="000000"/>
          <w:sz w:val="20"/>
          <w:szCs w:val="20"/>
        </w:rPr>
        <w:t xml:space="preserve">banes-Oxley Act of 2002. In addition, we routinely review our system of internal control over financial reporting to identify potential changes to our processes and systems that may improve controls and increase efficiency, while ensuring that we maintain </w:t>
      </w:r>
      <w:r>
        <w:rPr>
          <w:rFonts w:eastAsia="Times New Roman"/>
          <w:color w:val="000000"/>
          <w:sz w:val="20"/>
          <w:szCs w:val="20"/>
        </w:rPr>
        <w:t>an effective internal control environment. Changes may include such activities as implementing new, more efficient systems, consolidating the activities of business units, migrating certain processes to our shared services organizations, formalizing polici</w:t>
      </w:r>
      <w:r>
        <w:rPr>
          <w:rFonts w:eastAsia="Times New Roman"/>
          <w:color w:val="000000"/>
          <w:sz w:val="20"/>
          <w:szCs w:val="20"/>
        </w:rPr>
        <w:t>es and procedures, improving segregation of duties and increasing monitoring controls. In addition, when we acquire new businesses, we incorporate our controls and procedures into the acquired business as part of our integration activities. We evaluated th</w:t>
      </w:r>
      <w:r>
        <w:rPr>
          <w:rFonts w:eastAsia="Times New Roman"/>
          <w:color w:val="000000"/>
          <w:sz w:val="20"/>
          <w:szCs w:val="20"/>
        </w:rPr>
        <w:t>e impacts of COVID on our ability to maintain effective internal controls and concluded that our internal control environment was not materially affected during fiscal 2020. Other than changes related to incorporating our controls and procedures with respe</w:t>
      </w:r>
      <w:r>
        <w:rPr>
          <w:rFonts w:eastAsia="Times New Roman"/>
          <w:color w:val="000000"/>
          <w:sz w:val="20"/>
          <w:szCs w:val="20"/>
        </w:rPr>
        <w:t>ct to L3’s operations, there have been no changes in our internal control over financial reporting that occurred during the fourth quarter of fiscal 2020 that have materially affected, or are reasonably likely to materially affect, our internal control ove</w:t>
      </w:r>
      <w:r>
        <w:rPr>
          <w:rFonts w:eastAsia="Times New Roman"/>
          <w:color w:val="000000"/>
          <w:sz w:val="20"/>
          <w:szCs w:val="20"/>
        </w:rPr>
        <w:t>r financial reporting.</w:t>
      </w:r>
    </w:p>
    <w:p w14:paraId="453734A8" w14:textId="77777777" w:rsidR="00000000" w:rsidRDefault="001A570A">
      <w:pPr>
        <w:ind w:firstLine="450"/>
        <w:jc w:val="center"/>
        <w:divId w:val="973489333"/>
        <w:rPr>
          <w:rFonts w:eastAsia="Times New Roman"/>
        </w:rPr>
      </w:pPr>
      <w:r>
        <w:rPr>
          <w:rFonts w:eastAsia="Times New Roman"/>
          <w:color w:val="000000"/>
          <w:sz w:val="20"/>
          <w:szCs w:val="20"/>
        </w:rPr>
        <w:t>132</w:t>
      </w:r>
    </w:p>
    <w:p w14:paraId="71EBE972" w14:textId="77777777" w:rsidR="00000000" w:rsidRDefault="001A570A">
      <w:pPr>
        <w:rPr>
          <w:rFonts w:eastAsia="Times New Roman"/>
        </w:rPr>
      </w:pPr>
      <w:r>
        <w:rPr>
          <w:rFonts w:eastAsia="Times New Roman"/>
        </w:rPr>
        <w:pict w14:anchorId="73D6A912">
          <v:rect id="_x0000_i1160" style="width:0;height:1.5pt" o:hralign="center" o:hrstd="t" o:hr="t" fillcolor="#a0a0a0" stroked="f"/>
        </w:pict>
      </w:r>
    </w:p>
    <w:p w14:paraId="0267A125" w14:textId="77777777" w:rsidR="00000000" w:rsidRDefault="001A570A">
      <w:pPr>
        <w:ind w:firstLine="450"/>
        <w:divId w:val="1074157565"/>
        <w:rPr>
          <w:rFonts w:eastAsia="Times New Roman"/>
        </w:rPr>
      </w:pPr>
    </w:p>
    <w:p w14:paraId="5C9DBD1D" w14:textId="77777777" w:rsidR="00000000" w:rsidRDefault="001A570A">
      <w:pPr>
        <w:ind w:firstLine="450"/>
        <w:divId w:val="595135323"/>
        <w:rPr>
          <w:rFonts w:eastAsia="Times New Roman"/>
        </w:rPr>
      </w:pPr>
      <w:r>
        <w:rPr>
          <w:rFonts w:eastAsia="Times New Roman"/>
          <w:color w:val="000000"/>
          <w:sz w:val="20"/>
          <w:szCs w:val="20"/>
        </w:rPr>
        <w:t>(c) </w:t>
      </w:r>
      <w:r>
        <w:rPr>
          <w:rFonts w:eastAsia="Times New Roman"/>
          <w:i/>
          <w:iCs/>
          <w:color w:val="000000"/>
          <w:sz w:val="20"/>
          <w:szCs w:val="20"/>
        </w:rPr>
        <w:t>Evaluation of Internal Control over Financial Reporting:</w:t>
      </w:r>
      <w:r>
        <w:rPr>
          <w:rFonts w:eastAsia="Times New Roman"/>
          <w:color w:val="000000"/>
          <w:sz w:val="20"/>
          <w:szCs w:val="20"/>
        </w:rPr>
        <w:t> Our management is responsible for establishing and maintaining adequate internal control over financial reporting. Our management</w:t>
      </w:r>
      <w:r>
        <w:rPr>
          <w:rFonts w:eastAsia="Times New Roman"/>
          <w:color w:val="000000"/>
          <w:sz w:val="20"/>
          <w:szCs w:val="20"/>
        </w:rPr>
        <w:t>, with the participation of our Chief Executive Officer and our Chief Financial Officer, assessed the effectiveness of our internal control over financial reporting as of January 1, 2021. In making this assessment, our management used the criteria set fort</w:t>
      </w:r>
      <w:r>
        <w:rPr>
          <w:rFonts w:eastAsia="Times New Roman"/>
          <w:color w:val="000000"/>
          <w:sz w:val="20"/>
          <w:szCs w:val="20"/>
        </w:rPr>
        <w:t xml:space="preserve">h by the Committee of Sponsoring Organizations of the Treadway Commission (COSO) in </w:t>
      </w:r>
      <w:r>
        <w:rPr>
          <w:rFonts w:eastAsia="Times New Roman"/>
          <w:i/>
          <w:iCs/>
          <w:color w:val="000000"/>
          <w:sz w:val="20"/>
          <w:szCs w:val="20"/>
        </w:rPr>
        <w:t>Internal Control-Integrated Framework</w:t>
      </w:r>
      <w:r>
        <w:rPr>
          <w:rFonts w:eastAsia="Times New Roman"/>
          <w:color w:val="000000"/>
          <w:sz w:val="20"/>
          <w:szCs w:val="20"/>
        </w:rPr>
        <w:t xml:space="preserve"> (2013 framework). Based on our management’s assessment and those criteria, our management concluded that our internal control over fin</w:t>
      </w:r>
      <w:r>
        <w:rPr>
          <w:rFonts w:eastAsia="Times New Roman"/>
          <w:color w:val="000000"/>
          <w:sz w:val="20"/>
          <w:szCs w:val="20"/>
        </w:rPr>
        <w:t>ancial reporting was effective as of January 1, 2021. “Management’s Report on Internal Control Over Financial Reporting” is included within “Item 8. Financial Statements and Supplementary Data” of this Report. The effectiveness of our internal control over</w:t>
      </w:r>
      <w:r>
        <w:rPr>
          <w:rFonts w:eastAsia="Times New Roman"/>
          <w:color w:val="000000"/>
          <w:sz w:val="20"/>
          <w:szCs w:val="20"/>
        </w:rPr>
        <w:t xml:space="preserve"> financial reporting was audited by Ernst &amp; Young LLP, our independent registered public accounting firm, whose unqualified report is included within “Item 8. Financial Statements and Supplementary Data” of this Report.</w:t>
      </w:r>
    </w:p>
    <w:p w14:paraId="2A6CF5FA" w14:textId="77777777" w:rsidR="00000000" w:rsidRDefault="001A570A">
      <w:pPr>
        <w:ind w:firstLine="450"/>
        <w:divId w:val="930893872"/>
        <w:rPr>
          <w:rFonts w:eastAsia="Times New Roman"/>
        </w:rPr>
      </w:pPr>
      <w:r>
        <w:rPr>
          <w:rFonts w:eastAsia="Times New Roman"/>
          <w:color w:val="000000"/>
          <w:sz w:val="18"/>
          <w:szCs w:val="18"/>
        </w:rPr>
        <w:t> </w:t>
      </w:r>
    </w:p>
    <w:tbl>
      <w:tblPr>
        <w:tblW w:w="1788"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848"/>
        <w:gridCol w:w="36"/>
      </w:tblGrid>
      <w:tr w:rsidR="00000000" w14:paraId="33C8A7CF" w14:textId="77777777">
        <w:trPr>
          <w:divId w:val="754130269"/>
        </w:trPr>
        <w:tc>
          <w:tcPr>
            <w:tcW w:w="50" w:type="pct"/>
            <w:vAlign w:val="center"/>
            <w:hideMark/>
          </w:tcPr>
          <w:p w14:paraId="31254CA4" w14:textId="77777777" w:rsidR="00000000" w:rsidRDefault="001A570A">
            <w:pPr>
              <w:ind w:firstLine="450"/>
              <w:rPr>
                <w:rFonts w:eastAsia="Times New Roman"/>
              </w:rPr>
            </w:pPr>
          </w:p>
        </w:tc>
        <w:tc>
          <w:tcPr>
            <w:tcW w:w="1712" w:type="pct"/>
            <w:vAlign w:val="center"/>
            <w:hideMark/>
          </w:tcPr>
          <w:p w14:paraId="7EF9FABA" w14:textId="77777777" w:rsidR="00000000" w:rsidRDefault="001A570A">
            <w:pPr>
              <w:rPr>
                <w:rFonts w:eastAsia="Times New Roman"/>
                <w:sz w:val="20"/>
                <w:szCs w:val="20"/>
              </w:rPr>
            </w:pPr>
          </w:p>
        </w:tc>
        <w:tc>
          <w:tcPr>
            <w:tcW w:w="5" w:type="pct"/>
            <w:vAlign w:val="center"/>
            <w:hideMark/>
          </w:tcPr>
          <w:p w14:paraId="5714B8E4" w14:textId="77777777" w:rsidR="00000000" w:rsidRDefault="001A570A">
            <w:pPr>
              <w:rPr>
                <w:rFonts w:eastAsia="Times New Roman"/>
                <w:sz w:val="20"/>
                <w:szCs w:val="20"/>
              </w:rPr>
            </w:pPr>
          </w:p>
        </w:tc>
        <w:tc>
          <w:tcPr>
            <w:tcW w:w="50" w:type="pct"/>
            <w:vAlign w:val="center"/>
            <w:hideMark/>
          </w:tcPr>
          <w:p w14:paraId="5105DE77" w14:textId="77777777" w:rsidR="00000000" w:rsidRDefault="001A570A">
            <w:pPr>
              <w:rPr>
                <w:rFonts w:eastAsia="Times New Roman"/>
                <w:sz w:val="20"/>
                <w:szCs w:val="20"/>
              </w:rPr>
            </w:pPr>
          </w:p>
        </w:tc>
        <w:tc>
          <w:tcPr>
            <w:tcW w:w="3177" w:type="pct"/>
            <w:vAlign w:val="center"/>
            <w:hideMark/>
          </w:tcPr>
          <w:p w14:paraId="69345AB0" w14:textId="77777777" w:rsidR="00000000" w:rsidRDefault="001A570A">
            <w:pPr>
              <w:rPr>
                <w:rFonts w:eastAsia="Times New Roman"/>
                <w:sz w:val="20"/>
                <w:szCs w:val="20"/>
              </w:rPr>
            </w:pPr>
          </w:p>
        </w:tc>
        <w:tc>
          <w:tcPr>
            <w:tcW w:w="5" w:type="pct"/>
            <w:vAlign w:val="center"/>
            <w:hideMark/>
          </w:tcPr>
          <w:p w14:paraId="1887FB84" w14:textId="77777777" w:rsidR="00000000" w:rsidRDefault="001A570A">
            <w:pPr>
              <w:rPr>
                <w:rFonts w:eastAsia="Times New Roman"/>
                <w:sz w:val="20"/>
                <w:szCs w:val="20"/>
              </w:rPr>
            </w:pPr>
          </w:p>
        </w:tc>
      </w:tr>
      <w:tr w:rsidR="00000000" w14:paraId="4B7988A7" w14:textId="77777777">
        <w:trPr>
          <w:divId w:val="754130269"/>
        </w:trPr>
        <w:tc>
          <w:tcPr>
            <w:tcW w:w="0" w:type="auto"/>
            <w:gridSpan w:val="3"/>
            <w:tcMar>
              <w:top w:w="30" w:type="dxa"/>
              <w:left w:w="20" w:type="dxa"/>
              <w:bottom w:w="30" w:type="dxa"/>
              <w:right w:w="20" w:type="dxa"/>
            </w:tcMar>
            <w:hideMark/>
          </w:tcPr>
          <w:p w14:paraId="33DA7429" w14:textId="77777777" w:rsidR="00000000" w:rsidRDefault="001A570A">
            <w:pPr>
              <w:rPr>
                <w:rFonts w:eastAsia="Times New Roman"/>
              </w:rPr>
            </w:pPr>
            <w:r>
              <w:rPr>
                <w:rFonts w:eastAsia="Times New Roman"/>
                <w:b/>
                <w:bCs/>
                <w:color w:val="000000"/>
                <w:sz w:val="20"/>
                <w:szCs w:val="20"/>
              </w:rPr>
              <w:t> ITEM 9B.</w:t>
            </w:r>
          </w:p>
        </w:tc>
        <w:tc>
          <w:tcPr>
            <w:tcW w:w="0" w:type="auto"/>
            <w:gridSpan w:val="3"/>
            <w:tcMar>
              <w:top w:w="30" w:type="dxa"/>
              <w:left w:w="20" w:type="dxa"/>
              <w:bottom w:w="30" w:type="dxa"/>
              <w:right w:w="20" w:type="dxa"/>
            </w:tcMar>
            <w:hideMark/>
          </w:tcPr>
          <w:p w14:paraId="5EA71911" w14:textId="77777777" w:rsidR="00000000" w:rsidRDefault="001A570A">
            <w:pPr>
              <w:rPr>
                <w:rFonts w:eastAsia="Times New Roman"/>
              </w:rPr>
            </w:pPr>
            <w:r>
              <w:rPr>
                <w:rFonts w:eastAsia="Times New Roman"/>
                <w:b/>
                <w:bCs/>
                <w:color w:val="000000"/>
                <w:sz w:val="20"/>
                <w:szCs w:val="20"/>
              </w:rPr>
              <w:t>OTHER INFORMATION.</w:t>
            </w:r>
          </w:p>
        </w:tc>
      </w:tr>
    </w:tbl>
    <w:p w14:paraId="107C4297" w14:textId="77777777" w:rsidR="00000000" w:rsidRDefault="001A570A">
      <w:pPr>
        <w:ind w:firstLine="450"/>
        <w:divId w:val="173960672"/>
        <w:rPr>
          <w:rFonts w:eastAsia="Times New Roman"/>
        </w:rPr>
      </w:pPr>
      <w:r>
        <w:rPr>
          <w:rFonts w:eastAsia="Times New Roman"/>
          <w:color w:val="000000"/>
          <w:sz w:val="20"/>
          <w:szCs w:val="20"/>
        </w:rPr>
        <w:t>Not applicable.</w:t>
      </w:r>
    </w:p>
    <w:p w14:paraId="0A135F1E" w14:textId="77777777" w:rsidR="00000000" w:rsidRDefault="001A570A">
      <w:pPr>
        <w:ind w:firstLine="450"/>
        <w:jc w:val="center"/>
        <w:divId w:val="1470628741"/>
        <w:rPr>
          <w:rFonts w:eastAsia="Times New Roman"/>
        </w:rPr>
      </w:pPr>
      <w:r>
        <w:rPr>
          <w:rFonts w:eastAsia="Times New Roman"/>
          <w:b/>
          <w:bCs/>
          <w:color w:val="000000"/>
        </w:rPr>
        <w:t>PART III</w:t>
      </w:r>
    </w:p>
    <w:tbl>
      <w:tblPr>
        <w:tblW w:w="3987" w:type="pct"/>
        <w:tblCellMar>
          <w:top w:w="15" w:type="dxa"/>
          <w:left w:w="15" w:type="dxa"/>
          <w:bottom w:w="15" w:type="dxa"/>
          <w:right w:w="15" w:type="dxa"/>
        </w:tblCellMar>
        <w:tblLook w:val="04A0" w:firstRow="1" w:lastRow="0" w:firstColumn="1" w:lastColumn="0" w:noHBand="0" w:noVBand="1"/>
      </w:tblPr>
      <w:tblGrid>
        <w:gridCol w:w="59"/>
        <w:gridCol w:w="953"/>
        <w:gridCol w:w="36"/>
        <w:gridCol w:w="52"/>
        <w:gridCol w:w="5487"/>
        <w:gridCol w:w="36"/>
      </w:tblGrid>
      <w:tr w:rsidR="00000000" w14:paraId="17E92428" w14:textId="77777777">
        <w:trPr>
          <w:divId w:val="1342930370"/>
        </w:trPr>
        <w:tc>
          <w:tcPr>
            <w:tcW w:w="50" w:type="pct"/>
            <w:vAlign w:val="center"/>
            <w:hideMark/>
          </w:tcPr>
          <w:p w14:paraId="2434C795" w14:textId="77777777" w:rsidR="00000000" w:rsidRDefault="001A570A">
            <w:pPr>
              <w:ind w:firstLine="450"/>
              <w:jc w:val="center"/>
              <w:rPr>
                <w:rFonts w:eastAsia="Times New Roman"/>
              </w:rPr>
            </w:pPr>
          </w:p>
        </w:tc>
        <w:tc>
          <w:tcPr>
            <w:tcW w:w="737" w:type="pct"/>
            <w:vAlign w:val="center"/>
            <w:hideMark/>
          </w:tcPr>
          <w:p w14:paraId="17D97620" w14:textId="77777777" w:rsidR="00000000" w:rsidRDefault="001A570A">
            <w:pPr>
              <w:rPr>
                <w:rFonts w:eastAsia="Times New Roman"/>
                <w:sz w:val="20"/>
                <w:szCs w:val="20"/>
              </w:rPr>
            </w:pPr>
          </w:p>
        </w:tc>
        <w:tc>
          <w:tcPr>
            <w:tcW w:w="5" w:type="pct"/>
            <w:vAlign w:val="center"/>
            <w:hideMark/>
          </w:tcPr>
          <w:p w14:paraId="0C9558AF" w14:textId="77777777" w:rsidR="00000000" w:rsidRDefault="001A570A">
            <w:pPr>
              <w:rPr>
                <w:rFonts w:eastAsia="Times New Roman"/>
                <w:sz w:val="20"/>
                <w:szCs w:val="20"/>
              </w:rPr>
            </w:pPr>
          </w:p>
        </w:tc>
        <w:tc>
          <w:tcPr>
            <w:tcW w:w="50" w:type="pct"/>
            <w:vAlign w:val="center"/>
            <w:hideMark/>
          </w:tcPr>
          <w:p w14:paraId="5877E7BF" w14:textId="77777777" w:rsidR="00000000" w:rsidRDefault="001A570A">
            <w:pPr>
              <w:rPr>
                <w:rFonts w:eastAsia="Times New Roman"/>
                <w:sz w:val="20"/>
                <w:szCs w:val="20"/>
              </w:rPr>
            </w:pPr>
          </w:p>
        </w:tc>
        <w:tc>
          <w:tcPr>
            <w:tcW w:w="4152" w:type="pct"/>
            <w:vAlign w:val="center"/>
            <w:hideMark/>
          </w:tcPr>
          <w:p w14:paraId="0B0270BE" w14:textId="77777777" w:rsidR="00000000" w:rsidRDefault="001A570A">
            <w:pPr>
              <w:rPr>
                <w:rFonts w:eastAsia="Times New Roman"/>
                <w:sz w:val="20"/>
                <w:szCs w:val="20"/>
              </w:rPr>
            </w:pPr>
          </w:p>
        </w:tc>
        <w:tc>
          <w:tcPr>
            <w:tcW w:w="5" w:type="pct"/>
            <w:vAlign w:val="center"/>
            <w:hideMark/>
          </w:tcPr>
          <w:p w14:paraId="77ABE124" w14:textId="77777777" w:rsidR="00000000" w:rsidRDefault="001A570A">
            <w:pPr>
              <w:rPr>
                <w:rFonts w:eastAsia="Times New Roman"/>
                <w:sz w:val="20"/>
                <w:szCs w:val="20"/>
              </w:rPr>
            </w:pPr>
          </w:p>
        </w:tc>
      </w:tr>
      <w:tr w:rsidR="00000000" w14:paraId="644EFC13" w14:textId="77777777">
        <w:trPr>
          <w:divId w:val="1342930370"/>
        </w:trPr>
        <w:tc>
          <w:tcPr>
            <w:tcW w:w="0" w:type="auto"/>
            <w:gridSpan w:val="3"/>
            <w:tcMar>
              <w:top w:w="30" w:type="dxa"/>
              <w:left w:w="20" w:type="dxa"/>
              <w:bottom w:w="30" w:type="dxa"/>
              <w:right w:w="20" w:type="dxa"/>
            </w:tcMar>
            <w:hideMark/>
          </w:tcPr>
          <w:p w14:paraId="661CD298" w14:textId="77777777" w:rsidR="00000000" w:rsidRDefault="001A570A">
            <w:pPr>
              <w:rPr>
                <w:rFonts w:eastAsia="Times New Roman"/>
              </w:rPr>
            </w:pPr>
            <w:r>
              <w:rPr>
                <w:rFonts w:eastAsia="Times New Roman"/>
                <w:b/>
                <w:bCs/>
                <w:color w:val="000000"/>
                <w:sz w:val="20"/>
                <w:szCs w:val="20"/>
              </w:rPr>
              <w:t> ITEM 10.</w:t>
            </w:r>
          </w:p>
        </w:tc>
        <w:tc>
          <w:tcPr>
            <w:tcW w:w="0" w:type="auto"/>
            <w:gridSpan w:val="3"/>
            <w:tcMar>
              <w:top w:w="30" w:type="dxa"/>
              <w:left w:w="20" w:type="dxa"/>
              <w:bottom w:w="30" w:type="dxa"/>
              <w:right w:w="20" w:type="dxa"/>
            </w:tcMar>
            <w:hideMark/>
          </w:tcPr>
          <w:p w14:paraId="7AC7F6AB" w14:textId="77777777" w:rsidR="00000000" w:rsidRDefault="001A570A">
            <w:pPr>
              <w:rPr>
                <w:rFonts w:eastAsia="Times New Roman"/>
              </w:rPr>
            </w:pPr>
            <w:r>
              <w:rPr>
                <w:rFonts w:eastAsia="Times New Roman"/>
                <w:b/>
                <w:bCs/>
                <w:color w:val="000000"/>
                <w:sz w:val="20"/>
                <w:szCs w:val="20"/>
              </w:rPr>
              <w:t>DIRECTORS, EXECUTIVE OFFICERS AND CORPORATE GOVERNANCE.</w:t>
            </w:r>
          </w:p>
        </w:tc>
      </w:tr>
    </w:tbl>
    <w:p w14:paraId="45294BC7" w14:textId="77777777" w:rsidR="00000000" w:rsidRDefault="001A570A">
      <w:pPr>
        <w:ind w:firstLine="450"/>
        <w:divId w:val="927618078"/>
        <w:rPr>
          <w:rFonts w:eastAsia="Times New Roman"/>
        </w:rPr>
      </w:pPr>
      <w:r>
        <w:rPr>
          <w:rFonts w:eastAsia="Times New Roman"/>
          <w:color w:val="000000"/>
          <w:sz w:val="20"/>
          <w:szCs w:val="20"/>
        </w:rPr>
        <w:t>Information regarding our directors, executive officers and corporate governance is included in our Proxy Statement for our 2021 Annual Meeting of Shareholders scheduled to be held on April 23, 2021 (our “2021 Proxy Statement”), which is expected to be fil</w:t>
      </w:r>
      <w:r>
        <w:rPr>
          <w:rFonts w:eastAsia="Times New Roman"/>
          <w:color w:val="000000"/>
          <w:sz w:val="20"/>
          <w:szCs w:val="20"/>
        </w:rPr>
        <w:t>ed within 120 days after the end of our fiscal 2020.</w:t>
      </w:r>
    </w:p>
    <w:p w14:paraId="5C4CFA31" w14:textId="77777777" w:rsidR="00000000" w:rsidRDefault="001A570A">
      <w:pPr>
        <w:ind w:firstLine="450"/>
        <w:divId w:val="294918824"/>
        <w:rPr>
          <w:rFonts w:eastAsia="Times New Roman"/>
        </w:rPr>
      </w:pPr>
      <w:r>
        <w:rPr>
          <w:rFonts w:eastAsia="Times New Roman"/>
          <w:color w:val="000000"/>
          <w:sz w:val="20"/>
          <w:szCs w:val="20"/>
        </w:rPr>
        <w:t>(a) </w:t>
      </w:r>
      <w:r>
        <w:rPr>
          <w:rFonts w:eastAsia="Times New Roman"/>
          <w:i/>
          <w:iCs/>
          <w:color w:val="000000"/>
          <w:sz w:val="20"/>
          <w:szCs w:val="20"/>
        </w:rPr>
        <w:t>Identification of Directors:</w:t>
      </w:r>
      <w:r>
        <w:rPr>
          <w:rFonts w:eastAsia="Times New Roman"/>
          <w:color w:val="000000"/>
          <w:sz w:val="20"/>
          <w:szCs w:val="20"/>
        </w:rPr>
        <w:t xml:space="preserve">    The information required by this Item with respect to our directors is incorporated herein by reference to the discussion under the headings </w:t>
      </w:r>
      <w:r>
        <w:rPr>
          <w:rFonts w:eastAsia="Times New Roman"/>
          <w:i/>
          <w:iCs/>
          <w:color w:val="000000"/>
          <w:sz w:val="20"/>
          <w:szCs w:val="20"/>
        </w:rPr>
        <w:t>Proposal 1: Election of Di</w:t>
      </w:r>
      <w:r>
        <w:rPr>
          <w:rFonts w:eastAsia="Times New Roman"/>
          <w:i/>
          <w:iCs/>
          <w:color w:val="000000"/>
          <w:sz w:val="20"/>
          <w:szCs w:val="20"/>
        </w:rPr>
        <w:t>rectors</w:t>
      </w:r>
      <w:r>
        <w:rPr>
          <w:rFonts w:eastAsia="Times New Roman"/>
          <w:color w:val="000000"/>
          <w:sz w:val="20"/>
          <w:szCs w:val="20"/>
        </w:rPr>
        <w:t xml:space="preserve"> and </w:t>
      </w:r>
      <w:r>
        <w:rPr>
          <w:rFonts w:eastAsia="Times New Roman"/>
          <w:i/>
          <w:iCs/>
          <w:color w:val="000000"/>
          <w:sz w:val="20"/>
          <w:szCs w:val="20"/>
        </w:rPr>
        <w:t xml:space="preserve">Nominees for Election </w:t>
      </w:r>
      <w:r>
        <w:rPr>
          <w:rFonts w:eastAsia="Times New Roman"/>
          <w:color w:val="000000"/>
          <w:sz w:val="20"/>
          <w:szCs w:val="20"/>
        </w:rPr>
        <w:t>in our 2021 Proxy Statement.</w:t>
      </w:r>
    </w:p>
    <w:p w14:paraId="10270F08" w14:textId="77777777" w:rsidR="00000000" w:rsidRDefault="001A570A">
      <w:pPr>
        <w:ind w:firstLine="450"/>
        <w:divId w:val="1011488495"/>
        <w:rPr>
          <w:rFonts w:eastAsia="Times New Roman"/>
        </w:rPr>
      </w:pPr>
      <w:r>
        <w:rPr>
          <w:rFonts w:eastAsia="Times New Roman"/>
          <w:color w:val="000000"/>
          <w:sz w:val="20"/>
          <w:szCs w:val="20"/>
        </w:rPr>
        <w:t>(b) </w:t>
      </w:r>
      <w:r>
        <w:rPr>
          <w:rFonts w:eastAsia="Times New Roman"/>
          <w:i/>
          <w:iCs/>
          <w:color w:val="000000"/>
          <w:sz w:val="20"/>
          <w:szCs w:val="20"/>
        </w:rPr>
        <w:t>Identification of Executive Officers:</w:t>
      </w:r>
      <w:r>
        <w:rPr>
          <w:rFonts w:eastAsia="Times New Roman"/>
          <w:color w:val="000000"/>
          <w:sz w:val="20"/>
          <w:szCs w:val="20"/>
        </w:rPr>
        <w:t>    Certain information regarding our executive officers is included in Part I of this Report under the heading “</w:t>
      </w:r>
      <w:r>
        <w:rPr>
          <w:rFonts w:eastAsia="Times New Roman"/>
          <w:color w:val="000000"/>
          <w:sz w:val="20"/>
          <w:szCs w:val="20"/>
        </w:rPr>
        <w:t>Information about our Executive Officers” in accordance with General Instruction G(3) of Form 10-K.</w:t>
      </w:r>
    </w:p>
    <w:p w14:paraId="45786898" w14:textId="77777777" w:rsidR="00000000" w:rsidRDefault="001A570A">
      <w:pPr>
        <w:ind w:firstLine="450"/>
        <w:divId w:val="1728452412"/>
        <w:rPr>
          <w:rFonts w:eastAsia="Times New Roman"/>
        </w:rPr>
      </w:pPr>
      <w:r>
        <w:rPr>
          <w:rFonts w:eastAsia="Times New Roman"/>
          <w:color w:val="000000"/>
          <w:sz w:val="20"/>
          <w:szCs w:val="20"/>
        </w:rPr>
        <w:t>(c) </w:t>
      </w:r>
      <w:r>
        <w:rPr>
          <w:rFonts w:eastAsia="Times New Roman"/>
          <w:i/>
          <w:iCs/>
          <w:color w:val="000000"/>
          <w:sz w:val="20"/>
          <w:szCs w:val="20"/>
        </w:rPr>
        <w:t>Audit Committee Information; Financial Expert:</w:t>
      </w:r>
      <w:r>
        <w:rPr>
          <w:rFonts w:eastAsia="Times New Roman"/>
          <w:color w:val="000000"/>
          <w:sz w:val="20"/>
          <w:szCs w:val="20"/>
        </w:rPr>
        <w:t>    The information required by this Item with respect to the Audit Committee of our Board of Directors an</w:t>
      </w:r>
      <w:r>
        <w:rPr>
          <w:rFonts w:eastAsia="Times New Roman"/>
          <w:color w:val="000000"/>
          <w:sz w:val="20"/>
          <w:szCs w:val="20"/>
        </w:rPr>
        <w:t xml:space="preserve">d “audit committee financial experts” is incorporated herein by reference to the discussions under the headings </w:t>
      </w:r>
      <w:r>
        <w:rPr>
          <w:rFonts w:eastAsia="Times New Roman"/>
          <w:i/>
          <w:iCs/>
          <w:color w:val="000000"/>
          <w:sz w:val="20"/>
          <w:szCs w:val="20"/>
        </w:rPr>
        <w:t xml:space="preserve">Corporate Governance </w:t>
      </w:r>
      <w:r>
        <w:rPr>
          <w:rFonts w:eastAsia="Times New Roman"/>
          <w:color w:val="000000"/>
          <w:sz w:val="20"/>
          <w:szCs w:val="20"/>
        </w:rPr>
        <w:t xml:space="preserve">and </w:t>
      </w:r>
      <w:r>
        <w:rPr>
          <w:rFonts w:eastAsia="Times New Roman"/>
          <w:i/>
          <w:iCs/>
          <w:color w:val="000000"/>
          <w:sz w:val="20"/>
          <w:szCs w:val="20"/>
        </w:rPr>
        <w:t>Board Committees</w:t>
      </w:r>
      <w:r>
        <w:rPr>
          <w:rFonts w:eastAsia="Times New Roman"/>
          <w:color w:val="000000"/>
          <w:sz w:val="20"/>
          <w:szCs w:val="20"/>
        </w:rPr>
        <w:t xml:space="preserve">, </w:t>
      </w:r>
      <w:r>
        <w:rPr>
          <w:rFonts w:eastAsia="Times New Roman"/>
          <w:i/>
          <w:iCs/>
          <w:color w:val="000000"/>
          <w:sz w:val="20"/>
          <w:szCs w:val="20"/>
        </w:rPr>
        <w:t>Audit Committee</w:t>
      </w:r>
      <w:r>
        <w:rPr>
          <w:rFonts w:eastAsia="Times New Roman"/>
          <w:color w:val="000000"/>
          <w:sz w:val="20"/>
          <w:szCs w:val="20"/>
        </w:rPr>
        <w:t xml:space="preserve"> in our 2021 Proxy Statement.</w:t>
      </w:r>
    </w:p>
    <w:p w14:paraId="37515C05" w14:textId="77777777" w:rsidR="00000000" w:rsidRDefault="001A570A">
      <w:pPr>
        <w:ind w:firstLine="450"/>
        <w:divId w:val="1962612946"/>
        <w:rPr>
          <w:rFonts w:eastAsia="Times New Roman"/>
        </w:rPr>
      </w:pPr>
      <w:r>
        <w:rPr>
          <w:rFonts w:eastAsia="Times New Roman"/>
          <w:color w:val="000000"/>
          <w:sz w:val="20"/>
          <w:szCs w:val="20"/>
        </w:rPr>
        <w:t>(d) </w:t>
      </w:r>
      <w:r>
        <w:rPr>
          <w:rFonts w:eastAsia="Times New Roman"/>
          <w:i/>
          <w:iCs/>
          <w:color w:val="000000"/>
          <w:sz w:val="20"/>
          <w:szCs w:val="20"/>
        </w:rPr>
        <w:t>Delinquent Section 16(a) Reports:</w:t>
      </w:r>
      <w:r>
        <w:rPr>
          <w:rFonts w:eastAsia="Times New Roman"/>
          <w:color w:val="000000"/>
          <w:sz w:val="20"/>
          <w:szCs w:val="20"/>
        </w:rPr>
        <w:t>    Information rel</w:t>
      </w:r>
      <w:r>
        <w:rPr>
          <w:rFonts w:eastAsia="Times New Roman"/>
          <w:color w:val="000000"/>
          <w:sz w:val="20"/>
          <w:szCs w:val="20"/>
        </w:rPr>
        <w:t xml:space="preserve">ated to compliance with Section 16(a) of the Exchange Act is incorporated herein by reference to the discussion under the heading </w:t>
      </w:r>
      <w:r>
        <w:rPr>
          <w:rFonts w:eastAsia="Times New Roman"/>
          <w:i/>
          <w:iCs/>
          <w:color w:val="000000"/>
          <w:sz w:val="20"/>
          <w:szCs w:val="20"/>
        </w:rPr>
        <w:t>Delinquent Section 16(a) Reports</w:t>
      </w:r>
      <w:r>
        <w:rPr>
          <w:rFonts w:eastAsia="Times New Roman"/>
          <w:color w:val="000000"/>
          <w:sz w:val="20"/>
          <w:szCs w:val="20"/>
        </w:rPr>
        <w:t xml:space="preserve"> in our 2021 Proxy Statement.</w:t>
      </w:r>
    </w:p>
    <w:p w14:paraId="47440CA0" w14:textId="77777777" w:rsidR="00000000" w:rsidRDefault="001A570A">
      <w:pPr>
        <w:ind w:firstLine="450"/>
        <w:divId w:val="925110670"/>
        <w:rPr>
          <w:rFonts w:eastAsia="Times New Roman"/>
        </w:rPr>
      </w:pPr>
      <w:r>
        <w:rPr>
          <w:rFonts w:eastAsia="Times New Roman"/>
          <w:color w:val="000000"/>
          <w:sz w:val="20"/>
          <w:szCs w:val="20"/>
        </w:rPr>
        <w:t>(e) </w:t>
      </w:r>
      <w:r>
        <w:rPr>
          <w:rFonts w:eastAsia="Times New Roman"/>
          <w:i/>
          <w:iCs/>
          <w:color w:val="000000"/>
          <w:sz w:val="20"/>
          <w:szCs w:val="20"/>
        </w:rPr>
        <w:t>Code of Ethics:</w:t>
      </w:r>
      <w:r>
        <w:rPr>
          <w:rFonts w:eastAsia="Times New Roman"/>
          <w:color w:val="000000"/>
          <w:sz w:val="20"/>
          <w:szCs w:val="20"/>
        </w:rPr>
        <w:t>    All of our directors and employees, inclu</w:t>
      </w:r>
      <w:r>
        <w:rPr>
          <w:rFonts w:eastAsia="Times New Roman"/>
          <w:color w:val="000000"/>
          <w:sz w:val="20"/>
          <w:szCs w:val="20"/>
        </w:rPr>
        <w:t xml:space="preserve">ding our Chief Executive Officer, Chief Financial Officer, Principal Accounting Officer and other senior accounting and financial officers, are required to abide by our Code of Conduct. Our Code of Conduct is posted on our website at </w:t>
      </w:r>
      <w:r>
        <w:rPr>
          <w:rFonts w:eastAsia="Times New Roman"/>
          <w:i/>
          <w:iCs/>
          <w:color w:val="000000"/>
          <w:sz w:val="20"/>
          <w:szCs w:val="20"/>
        </w:rPr>
        <w:t>https://www.l3harris.c</w:t>
      </w:r>
      <w:r>
        <w:rPr>
          <w:rFonts w:eastAsia="Times New Roman"/>
          <w:i/>
          <w:iCs/>
          <w:color w:val="000000"/>
          <w:sz w:val="20"/>
          <w:szCs w:val="20"/>
        </w:rPr>
        <w:t>om/content/code-of-conduct</w:t>
      </w:r>
      <w:r>
        <w:rPr>
          <w:rFonts w:eastAsia="Times New Roman"/>
          <w:color w:val="000000"/>
          <w:sz w:val="20"/>
          <w:szCs w:val="20"/>
        </w:rPr>
        <w:t xml:space="preserve"> and is also available free of charge by written request to our Director of Ethics and Compliance, L3Harris Technologies, Inc., 1025 West NASA Boulevard, Melbourne, Florida 32919. We intend to disclose on the Code of Conduct secti</w:t>
      </w:r>
      <w:r>
        <w:rPr>
          <w:rFonts w:eastAsia="Times New Roman"/>
          <w:color w:val="000000"/>
          <w:sz w:val="20"/>
          <w:szCs w:val="20"/>
        </w:rPr>
        <w:t xml:space="preserve">on of our website at </w:t>
      </w:r>
      <w:r>
        <w:rPr>
          <w:rFonts w:eastAsia="Times New Roman"/>
          <w:i/>
          <w:iCs/>
          <w:color w:val="000000"/>
          <w:sz w:val="20"/>
          <w:szCs w:val="20"/>
        </w:rPr>
        <w:t>https://www.l3harris.com/content/code-of-conduct</w:t>
      </w:r>
      <w:r>
        <w:rPr>
          <w:rFonts w:eastAsia="Times New Roman"/>
          <w:color w:val="000000"/>
          <w:sz w:val="20"/>
          <w:szCs w:val="20"/>
        </w:rPr>
        <w:t xml:space="preserve"> any amendment to, or waiver from, our Code of Conduct that is required to be disclosed to shareholders, within four business days following such amendment or waiver. The information requ</w:t>
      </w:r>
      <w:r>
        <w:rPr>
          <w:rFonts w:eastAsia="Times New Roman"/>
          <w:color w:val="000000"/>
          <w:sz w:val="20"/>
          <w:szCs w:val="20"/>
        </w:rPr>
        <w:t xml:space="preserve">ired by this Item with respect to codes of ethics is incorporated herein by reference to the discussion under the heading </w:t>
      </w:r>
      <w:r>
        <w:rPr>
          <w:rFonts w:eastAsia="Times New Roman"/>
          <w:i/>
          <w:iCs/>
          <w:color w:val="000000"/>
          <w:sz w:val="20"/>
          <w:szCs w:val="20"/>
        </w:rPr>
        <w:t>Code of Conduct</w:t>
      </w:r>
      <w:r>
        <w:rPr>
          <w:rFonts w:eastAsia="Times New Roman"/>
          <w:color w:val="000000"/>
          <w:sz w:val="20"/>
          <w:szCs w:val="20"/>
        </w:rPr>
        <w:t xml:space="preserve"> in our 2021 Proxy Statement.</w:t>
      </w:r>
    </w:p>
    <w:p w14:paraId="18A523AE" w14:textId="77777777" w:rsidR="00000000" w:rsidRDefault="001A570A">
      <w:pPr>
        <w:ind w:firstLine="450"/>
        <w:divId w:val="2072314704"/>
        <w:rPr>
          <w:rFonts w:eastAsia="Times New Roman"/>
        </w:rPr>
      </w:pPr>
      <w:r>
        <w:rPr>
          <w:rFonts w:eastAsia="Times New Roman"/>
          <w:color w:val="000000"/>
          <w:sz w:val="20"/>
          <w:szCs w:val="20"/>
        </w:rPr>
        <w:t>(f) </w:t>
      </w:r>
      <w:r>
        <w:rPr>
          <w:rFonts w:eastAsia="Times New Roman"/>
          <w:i/>
          <w:iCs/>
          <w:color w:val="000000"/>
          <w:sz w:val="20"/>
          <w:szCs w:val="20"/>
        </w:rPr>
        <w:t>Policy for Nominees:</w:t>
      </w:r>
      <w:r>
        <w:rPr>
          <w:rFonts w:eastAsia="Times New Roman"/>
          <w:color w:val="000000"/>
          <w:sz w:val="20"/>
          <w:szCs w:val="20"/>
        </w:rPr>
        <w:t>    The information required under Item 407(c)(3) of Regulation S</w:t>
      </w:r>
      <w:r>
        <w:rPr>
          <w:rFonts w:eastAsia="Times New Roman"/>
          <w:color w:val="000000"/>
          <w:sz w:val="20"/>
          <w:szCs w:val="20"/>
        </w:rPr>
        <w:t xml:space="preserve">-K is incorporated herein by reference to the discussion contained under the heading </w:t>
      </w:r>
      <w:r>
        <w:rPr>
          <w:rFonts w:eastAsia="Times New Roman"/>
          <w:i/>
          <w:iCs/>
          <w:color w:val="000000"/>
          <w:sz w:val="20"/>
          <w:szCs w:val="20"/>
        </w:rPr>
        <w:t xml:space="preserve">Director Nomination Process </w:t>
      </w:r>
      <w:r>
        <w:rPr>
          <w:rFonts w:eastAsia="Times New Roman"/>
          <w:color w:val="000000"/>
          <w:sz w:val="20"/>
          <w:szCs w:val="20"/>
        </w:rPr>
        <w:t>in our 2021 Proxy Statement concerning procedures by which shareholders may recommend nominees to our Board of Directors, submit nominees for i</w:t>
      </w:r>
      <w:r>
        <w:rPr>
          <w:rFonts w:eastAsia="Times New Roman"/>
          <w:color w:val="000000"/>
          <w:sz w:val="20"/>
          <w:szCs w:val="20"/>
        </w:rPr>
        <w:t>nclusion in our proxy materials pursuant to our “proxy access” provision of our By-Laws or directly propose nominees for consideration pursuant to our By-Laws but not pursuant to the proxy access provision . No material changes to those procedures have occ</w:t>
      </w:r>
      <w:r>
        <w:rPr>
          <w:rFonts w:eastAsia="Times New Roman"/>
          <w:color w:val="000000"/>
          <w:sz w:val="20"/>
          <w:szCs w:val="20"/>
        </w:rPr>
        <w:t>urred since the disclosure regarding those procedures in our Proxy Statement for our 2020 Annual Meeting of Shareholders.</w:t>
      </w:r>
    </w:p>
    <w:p w14:paraId="12567D9D" w14:textId="77777777" w:rsidR="00000000" w:rsidRDefault="001A570A">
      <w:pPr>
        <w:ind w:firstLine="450"/>
        <w:divId w:val="543905105"/>
        <w:rPr>
          <w:rFonts w:eastAsia="Times New Roman"/>
        </w:rPr>
      </w:pPr>
      <w:r>
        <w:rPr>
          <w:rFonts w:eastAsia="Times New Roman"/>
          <w:color w:val="000000"/>
          <w:sz w:val="20"/>
          <w:szCs w:val="20"/>
        </w:rPr>
        <w:t>Additional information concerning requirements and procedures for shareholders directly nominating directors is contained under the he</w:t>
      </w:r>
      <w:r>
        <w:rPr>
          <w:rFonts w:eastAsia="Times New Roman"/>
          <w:color w:val="000000"/>
          <w:sz w:val="20"/>
          <w:szCs w:val="20"/>
        </w:rPr>
        <w:t xml:space="preserve">ading </w:t>
      </w:r>
      <w:r>
        <w:rPr>
          <w:rFonts w:eastAsia="Times New Roman"/>
          <w:i/>
          <w:iCs/>
          <w:color w:val="000000"/>
          <w:sz w:val="20"/>
          <w:szCs w:val="20"/>
        </w:rPr>
        <w:t xml:space="preserve">Shareholder Nominations and Proposals </w:t>
      </w:r>
      <w:r>
        <w:rPr>
          <w:rFonts w:eastAsia="Times New Roman"/>
          <w:color w:val="000000"/>
          <w:sz w:val="20"/>
          <w:szCs w:val="20"/>
        </w:rPr>
        <w:t>in our 2021 Proxy Statement.</w:t>
      </w:r>
    </w:p>
    <w:p w14:paraId="1B1DBABE" w14:textId="77777777" w:rsidR="00000000" w:rsidRDefault="001A570A">
      <w:pPr>
        <w:ind w:firstLine="450"/>
        <w:divId w:val="543980212"/>
        <w:rPr>
          <w:rFonts w:eastAsia="Times New Roman"/>
        </w:rPr>
      </w:pPr>
      <w:r>
        <w:rPr>
          <w:rFonts w:eastAsia="Times New Roman"/>
          <w:color w:val="000000"/>
          <w:sz w:val="18"/>
          <w:szCs w:val="18"/>
        </w:rPr>
        <w:t> </w:t>
      </w:r>
    </w:p>
    <w:p w14:paraId="5E91C22B" w14:textId="77777777" w:rsidR="00000000" w:rsidRDefault="001A570A">
      <w:pPr>
        <w:ind w:firstLine="450"/>
        <w:jc w:val="center"/>
        <w:divId w:val="2077899253"/>
        <w:rPr>
          <w:rFonts w:eastAsia="Times New Roman"/>
        </w:rPr>
      </w:pPr>
      <w:r>
        <w:rPr>
          <w:rFonts w:eastAsia="Times New Roman"/>
          <w:color w:val="000000"/>
          <w:sz w:val="20"/>
          <w:szCs w:val="20"/>
        </w:rPr>
        <w:t>133</w:t>
      </w:r>
    </w:p>
    <w:p w14:paraId="18D2DFD6" w14:textId="77777777" w:rsidR="00000000" w:rsidRDefault="001A570A">
      <w:pPr>
        <w:rPr>
          <w:rFonts w:eastAsia="Times New Roman"/>
        </w:rPr>
      </w:pPr>
      <w:r>
        <w:rPr>
          <w:rFonts w:eastAsia="Times New Roman"/>
        </w:rPr>
        <w:pict w14:anchorId="0D21138C">
          <v:rect id="_x0000_i1161" style="width:0;height:1.5pt" o:hralign="center" o:hrstd="t" o:hr="t" fillcolor="#a0a0a0" stroked="f"/>
        </w:pict>
      </w:r>
    </w:p>
    <w:p w14:paraId="6CE1E404" w14:textId="77777777" w:rsidR="00000000" w:rsidRDefault="001A570A">
      <w:pPr>
        <w:ind w:firstLine="450"/>
        <w:divId w:val="173501326"/>
        <w:rPr>
          <w:rFonts w:eastAsia="Times New Roman"/>
        </w:rPr>
      </w:pPr>
    </w:p>
    <w:p w14:paraId="30F54E09" w14:textId="77777777" w:rsidR="00000000" w:rsidRDefault="001A570A">
      <w:pPr>
        <w:ind w:firstLine="450"/>
        <w:divId w:val="75901797"/>
        <w:rPr>
          <w:rFonts w:eastAsia="Times New Roman"/>
        </w:rPr>
      </w:pPr>
    </w:p>
    <w:tbl>
      <w:tblPr>
        <w:tblW w:w="209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362"/>
        <w:gridCol w:w="36"/>
      </w:tblGrid>
      <w:tr w:rsidR="00000000" w14:paraId="1626B6CB" w14:textId="77777777">
        <w:trPr>
          <w:divId w:val="2033845021"/>
        </w:trPr>
        <w:tc>
          <w:tcPr>
            <w:tcW w:w="50" w:type="pct"/>
            <w:vAlign w:val="center"/>
            <w:hideMark/>
          </w:tcPr>
          <w:p w14:paraId="4DBF8E5A" w14:textId="77777777" w:rsidR="00000000" w:rsidRDefault="001A570A">
            <w:pPr>
              <w:ind w:firstLine="450"/>
              <w:rPr>
                <w:rFonts w:eastAsia="Times New Roman"/>
              </w:rPr>
            </w:pPr>
          </w:p>
        </w:tc>
        <w:tc>
          <w:tcPr>
            <w:tcW w:w="1451" w:type="pct"/>
            <w:vAlign w:val="center"/>
            <w:hideMark/>
          </w:tcPr>
          <w:p w14:paraId="48C4FFCA" w14:textId="77777777" w:rsidR="00000000" w:rsidRDefault="001A570A">
            <w:pPr>
              <w:rPr>
                <w:rFonts w:eastAsia="Times New Roman"/>
                <w:sz w:val="20"/>
                <w:szCs w:val="20"/>
              </w:rPr>
            </w:pPr>
          </w:p>
        </w:tc>
        <w:tc>
          <w:tcPr>
            <w:tcW w:w="5" w:type="pct"/>
            <w:vAlign w:val="center"/>
            <w:hideMark/>
          </w:tcPr>
          <w:p w14:paraId="4895D434" w14:textId="77777777" w:rsidR="00000000" w:rsidRDefault="001A570A">
            <w:pPr>
              <w:rPr>
                <w:rFonts w:eastAsia="Times New Roman"/>
                <w:sz w:val="20"/>
                <w:szCs w:val="20"/>
              </w:rPr>
            </w:pPr>
          </w:p>
        </w:tc>
        <w:tc>
          <w:tcPr>
            <w:tcW w:w="50" w:type="pct"/>
            <w:vAlign w:val="center"/>
            <w:hideMark/>
          </w:tcPr>
          <w:p w14:paraId="36FAB757" w14:textId="77777777" w:rsidR="00000000" w:rsidRDefault="001A570A">
            <w:pPr>
              <w:rPr>
                <w:rFonts w:eastAsia="Times New Roman"/>
                <w:sz w:val="20"/>
                <w:szCs w:val="20"/>
              </w:rPr>
            </w:pPr>
          </w:p>
        </w:tc>
        <w:tc>
          <w:tcPr>
            <w:tcW w:w="3438" w:type="pct"/>
            <w:vAlign w:val="center"/>
            <w:hideMark/>
          </w:tcPr>
          <w:p w14:paraId="4B586663" w14:textId="77777777" w:rsidR="00000000" w:rsidRDefault="001A570A">
            <w:pPr>
              <w:rPr>
                <w:rFonts w:eastAsia="Times New Roman"/>
                <w:sz w:val="20"/>
                <w:szCs w:val="20"/>
              </w:rPr>
            </w:pPr>
          </w:p>
        </w:tc>
        <w:tc>
          <w:tcPr>
            <w:tcW w:w="5" w:type="pct"/>
            <w:vAlign w:val="center"/>
            <w:hideMark/>
          </w:tcPr>
          <w:p w14:paraId="195CBF61" w14:textId="77777777" w:rsidR="00000000" w:rsidRDefault="001A570A">
            <w:pPr>
              <w:rPr>
                <w:rFonts w:eastAsia="Times New Roman"/>
                <w:sz w:val="20"/>
                <w:szCs w:val="20"/>
              </w:rPr>
            </w:pPr>
          </w:p>
        </w:tc>
      </w:tr>
      <w:tr w:rsidR="00000000" w14:paraId="215AD0A1" w14:textId="77777777">
        <w:trPr>
          <w:divId w:val="2033845021"/>
        </w:trPr>
        <w:tc>
          <w:tcPr>
            <w:tcW w:w="0" w:type="auto"/>
            <w:gridSpan w:val="3"/>
            <w:tcMar>
              <w:top w:w="30" w:type="dxa"/>
              <w:left w:w="20" w:type="dxa"/>
              <w:bottom w:w="30" w:type="dxa"/>
              <w:right w:w="20" w:type="dxa"/>
            </w:tcMar>
            <w:hideMark/>
          </w:tcPr>
          <w:p w14:paraId="663F5951" w14:textId="77777777" w:rsidR="00000000" w:rsidRDefault="001A570A">
            <w:pPr>
              <w:rPr>
                <w:rFonts w:eastAsia="Times New Roman"/>
              </w:rPr>
            </w:pPr>
            <w:r>
              <w:rPr>
                <w:rFonts w:eastAsia="Times New Roman"/>
                <w:b/>
                <w:bCs/>
                <w:color w:val="000000"/>
                <w:sz w:val="20"/>
                <w:szCs w:val="20"/>
              </w:rPr>
              <w:t> ITEM 11.</w:t>
            </w:r>
          </w:p>
        </w:tc>
        <w:tc>
          <w:tcPr>
            <w:tcW w:w="0" w:type="auto"/>
            <w:gridSpan w:val="3"/>
            <w:tcMar>
              <w:top w:w="30" w:type="dxa"/>
              <w:left w:w="20" w:type="dxa"/>
              <w:bottom w:w="30" w:type="dxa"/>
              <w:right w:w="20" w:type="dxa"/>
            </w:tcMar>
            <w:hideMark/>
          </w:tcPr>
          <w:p w14:paraId="275274E2" w14:textId="77777777" w:rsidR="00000000" w:rsidRDefault="001A570A">
            <w:pPr>
              <w:rPr>
                <w:rFonts w:eastAsia="Times New Roman"/>
              </w:rPr>
            </w:pPr>
            <w:r>
              <w:rPr>
                <w:rFonts w:eastAsia="Times New Roman"/>
                <w:b/>
                <w:bCs/>
                <w:color w:val="000000"/>
                <w:sz w:val="20"/>
                <w:szCs w:val="20"/>
              </w:rPr>
              <w:t>EXECUTIVE COMPENSATION.</w:t>
            </w:r>
          </w:p>
        </w:tc>
      </w:tr>
    </w:tbl>
    <w:p w14:paraId="340271C0" w14:textId="77777777" w:rsidR="00000000" w:rsidRDefault="001A570A">
      <w:pPr>
        <w:ind w:firstLine="450"/>
        <w:divId w:val="1926648791"/>
        <w:rPr>
          <w:rFonts w:eastAsia="Times New Roman"/>
        </w:rPr>
      </w:pPr>
      <w:r>
        <w:rPr>
          <w:rFonts w:eastAsia="Times New Roman"/>
          <w:color w:val="000000"/>
          <w:sz w:val="20"/>
          <w:szCs w:val="20"/>
        </w:rPr>
        <w:t xml:space="preserve">The information required by this Item with respect to compensation of our directors and executive officers is incorporated herein by reference to the discussions under the headings </w:t>
      </w:r>
      <w:r>
        <w:rPr>
          <w:rFonts w:eastAsia="Times New Roman"/>
          <w:i/>
          <w:iCs/>
          <w:color w:val="000000"/>
          <w:sz w:val="20"/>
          <w:szCs w:val="20"/>
        </w:rPr>
        <w:t>Director Compensation and Benefits</w:t>
      </w:r>
      <w:r>
        <w:rPr>
          <w:rFonts w:eastAsia="Times New Roman"/>
          <w:color w:val="000000"/>
          <w:sz w:val="20"/>
          <w:szCs w:val="20"/>
        </w:rPr>
        <w:t xml:space="preserve">, </w:t>
      </w:r>
      <w:r>
        <w:rPr>
          <w:rFonts w:eastAsia="Times New Roman"/>
          <w:i/>
          <w:iCs/>
          <w:color w:val="000000"/>
          <w:sz w:val="20"/>
          <w:szCs w:val="20"/>
        </w:rPr>
        <w:t>Compensation Discussion and Analysis</w:t>
      </w:r>
      <w:r>
        <w:rPr>
          <w:rFonts w:eastAsia="Times New Roman"/>
          <w:color w:val="000000"/>
          <w:sz w:val="20"/>
          <w:szCs w:val="20"/>
        </w:rPr>
        <w:t xml:space="preserve"> an</w:t>
      </w:r>
      <w:r>
        <w:rPr>
          <w:rFonts w:eastAsia="Times New Roman"/>
          <w:color w:val="000000"/>
          <w:sz w:val="20"/>
          <w:szCs w:val="20"/>
        </w:rPr>
        <w:t xml:space="preserve">d </w:t>
      </w:r>
      <w:r>
        <w:rPr>
          <w:rFonts w:eastAsia="Times New Roman"/>
          <w:i/>
          <w:iCs/>
          <w:color w:val="000000"/>
          <w:sz w:val="20"/>
          <w:szCs w:val="20"/>
        </w:rPr>
        <w:t>Compensation Committee Report</w:t>
      </w:r>
      <w:r>
        <w:rPr>
          <w:rFonts w:eastAsia="Times New Roman"/>
          <w:color w:val="000000"/>
          <w:sz w:val="20"/>
          <w:szCs w:val="20"/>
        </w:rPr>
        <w:t xml:space="preserve"> in our 2021 Proxy Statement.</w:t>
      </w:r>
    </w:p>
    <w:tbl>
      <w:tblPr>
        <w:tblW w:w="4906" w:type="pct"/>
        <w:tblCellMar>
          <w:top w:w="15" w:type="dxa"/>
          <w:left w:w="15" w:type="dxa"/>
          <w:bottom w:w="15" w:type="dxa"/>
          <w:right w:w="15" w:type="dxa"/>
        </w:tblCellMar>
        <w:tblLook w:val="04A0" w:firstRow="1" w:lastRow="0" w:firstColumn="1" w:lastColumn="0" w:noHBand="0" w:noVBand="1"/>
      </w:tblPr>
      <w:tblGrid>
        <w:gridCol w:w="72"/>
        <w:gridCol w:w="941"/>
        <w:gridCol w:w="36"/>
        <w:gridCol w:w="68"/>
        <w:gridCol w:w="6997"/>
        <w:gridCol w:w="36"/>
      </w:tblGrid>
      <w:tr w:rsidR="00000000" w14:paraId="58C5A355" w14:textId="77777777">
        <w:trPr>
          <w:divId w:val="445851987"/>
        </w:trPr>
        <w:tc>
          <w:tcPr>
            <w:tcW w:w="50" w:type="pct"/>
            <w:vAlign w:val="center"/>
            <w:hideMark/>
          </w:tcPr>
          <w:p w14:paraId="5CD2B49B" w14:textId="77777777" w:rsidR="00000000" w:rsidRDefault="001A570A">
            <w:pPr>
              <w:ind w:firstLine="450"/>
              <w:rPr>
                <w:rFonts w:eastAsia="Times New Roman"/>
              </w:rPr>
            </w:pPr>
          </w:p>
        </w:tc>
        <w:tc>
          <w:tcPr>
            <w:tcW w:w="589" w:type="pct"/>
            <w:vAlign w:val="center"/>
            <w:hideMark/>
          </w:tcPr>
          <w:p w14:paraId="1A6780B1" w14:textId="77777777" w:rsidR="00000000" w:rsidRDefault="001A570A">
            <w:pPr>
              <w:rPr>
                <w:rFonts w:eastAsia="Times New Roman"/>
                <w:sz w:val="20"/>
                <w:szCs w:val="20"/>
              </w:rPr>
            </w:pPr>
          </w:p>
        </w:tc>
        <w:tc>
          <w:tcPr>
            <w:tcW w:w="5" w:type="pct"/>
            <w:vAlign w:val="center"/>
            <w:hideMark/>
          </w:tcPr>
          <w:p w14:paraId="0FC0CCBD" w14:textId="77777777" w:rsidR="00000000" w:rsidRDefault="001A570A">
            <w:pPr>
              <w:rPr>
                <w:rFonts w:eastAsia="Times New Roman"/>
                <w:sz w:val="20"/>
                <w:szCs w:val="20"/>
              </w:rPr>
            </w:pPr>
          </w:p>
        </w:tc>
        <w:tc>
          <w:tcPr>
            <w:tcW w:w="50" w:type="pct"/>
            <w:vAlign w:val="center"/>
            <w:hideMark/>
          </w:tcPr>
          <w:p w14:paraId="727B183E" w14:textId="77777777" w:rsidR="00000000" w:rsidRDefault="001A570A">
            <w:pPr>
              <w:rPr>
                <w:rFonts w:eastAsia="Times New Roman"/>
                <w:sz w:val="20"/>
                <w:szCs w:val="20"/>
              </w:rPr>
            </w:pPr>
          </w:p>
        </w:tc>
        <w:tc>
          <w:tcPr>
            <w:tcW w:w="4300" w:type="pct"/>
            <w:vAlign w:val="center"/>
            <w:hideMark/>
          </w:tcPr>
          <w:p w14:paraId="775DFB74" w14:textId="77777777" w:rsidR="00000000" w:rsidRDefault="001A570A">
            <w:pPr>
              <w:rPr>
                <w:rFonts w:eastAsia="Times New Roman"/>
                <w:sz w:val="20"/>
                <w:szCs w:val="20"/>
              </w:rPr>
            </w:pPr>
          </w:p>
        </w:tc>
        <w:tc>
          <w:tcPr>
            <w:tcW w:w="5" w:type="pct"/>
            <w:vAlign w:val="center"/>
            <w:hideMark/>
          </w:tcPr>
          <w:p w14:paraId="6B8497EF" w14:textId="77777777" w:rsidR="00000000" w:rsidRDefault="001A570A">
            <w:pPr>
              <w:rPr>
                <w:rFonts w:eastAsia="Times New Roman"/>
                <w:sz w:val="20"/>
                <w:szCs w:val="20"/>
              </w:rPr>
            </w:pPr>
          </w:p>
        </w:tc>
      </w:tr>
      <w:tr w:rsidR="00000000" w14:paraId="0DE6221C" w14:textId="77777777">
        <w:trPr>
          <w:divId w:val="445851987"/>
        </w:trPr>
        <w:tc>
          <w:tcPr>
            <w:tcW w:w="0" w:type="auto"/>
            <w:gridSpan w:val="3"/>
            <w:tcMar>
              <w:top w:w="30" w:type="dxa"/>
              <w:left w:w="20" w:type="dxa"/>
              <w:bottom w:w="30" w:type="dxa"/>
              <w:right w:w="20" w:type="dxa"/>
            </w:tcMar>
            <w:hideMark/>
          </w:tcPr>
          <w:p w14:paraId="3117E94B" w14:textId="77777777" w:rsidR="00000000" w:rsidRDefault="001A570A">
            <w:pPr>
              <w:rPr>
                <w:rFonts w:eastAsia="Times New Roman"/>
              </w:rPr>
            </w:pPr>
            <w:r>
              <w:rPr>
                <w:rFonts w:eastAsia="Times New Roman"/>
                <w:b/>
                <w:bCs/>
                <w:color w:val="000000"/>
                <w:sz w:val="20"/>
                <w:szCs w:val="20"/>
              </w:rPr>
              <w:t> ITEM 12.</w:t>
            </w:r>
          </w:p>
        </w:tc>
        <w:tc>
          <w:tcPr>
            <w:tcW w:w="0" w:type="auto"/>
            <w:gridSpan w:val="3"/>
            <w:tcMar>
              <w:top w:w="30" w:type="dxa"/>
              <w:left w:w="20" w:type="dxa"/>
              <w:bottom w:w="30" w:type="dxa"/>
              <w:right w:w="20" w:type="dxa"/>
            </w:tcMar>
            <w:hideMark/>
          </w:tcPr>
          <w:p w14:paraId="7D5DADEC" w14:textId="77777777" w:rsidR="00000000" w:rsidRDefault="001A570A">
            <w:pPr>
              <w:rPr>
                <w:rFonts w:eastAsia="Times New Roman"/>
              </w:rPr>
            </w:pPr>
            <w:r>
              <w:rPr>
                <w:rFonts w:eastAsia="Times New Roman"/>
                <w:b/>
                <w:bCs/>
                <w:color w:val="000000"/>
                <w:sz w:val="20"/>
                <w:szCs w:val="20"/>
              </w:rPr>
              <w:t>SECURITY OWNERSHIP OF CERTAIN BENEFICIAL OWNERS AND MANAGEMENT AND RELATED STOCKHOLDER MATTERS.</w:t>
            </w:r>
          </w:p>
        </w:tc>
      </w:tr>
    </w:tbl>
    <w:p w14:paraId="50B74AE3" w14:textId="77777777" w:rsidR="00000000" w:rsidRDefault="001A570A">
      <w:pPr>
        <w:ind w:firstLine="450"/>
        <w:divId w:val="1489981135"/>
        <w:rPr>
          <w:rFonts w:eastAsia="Times New Roman"/>
        </w:rPr>
      </w:pPr>
      <w:r>
        <w:rPr>
          <w:rFonts w:eastAsia="Times New Roman"/>
          <w:color w:val="000000"/>
          <w:sz w:val="20"/>
          <w:szCs w:val="20"/>
        </w:rPr>
        <w:t>The following table provides information as of January 1, 2021 about our common stock that may be issued, whether upon the exercise of options, warrants and</w:t>
      </w:r>
      <w:r>
        <w:rPr>
          <w:rFonts w:eastAsia="Times New Roman"/>
          <w:color w:val="000000"/>
          <w:sz w:val="20"/>
          <w:szCs w:val="20"/>
        </w:rPr>
        <w:t xml:space="preserve"> rights or otherwise, under our existing equity compensation plans.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617"/>
        <w:gridCol w:w="36"/>
        <w:gridCol w:w="69"/>
        <w:gridCol w:w="1327"/>
        <w:gridCol w:w="36"/>
        <w:gridCol w:w="69"/>
        <w:gridCol w:w="1268"/>
        <w:gridCol w:w="36"/>
        <w:gridCol w:w="70"/>
        <w:gridCol w:w="1673"/>
        <w:gridCol w:w="36"/>
      </w:tblGrid>
      <w:tr w:rsidR="00000000" w14:paraId="174F5A9B" w14:textId="77777777">
        <w:trPr>
          <w:divId w:val="1097793658"/>
          <w:jc w:val="center"/>
        </w:trPr>
        <w:tc>
          <w:tcPr>
            <w:tcW w:w="50" w:type="pct"/>
            <w:vAlign w:val="center"/>
            <w:hideMark/>
          </w:tcPr>
          <w:p w14:paraId="22C0C194" w14:textId="77777777" w:rsidR="00000000" w:rsidRDefault="001A570A">
            <w:pPr>
              <w:ind w:firstLine="450"/>
              <w:rPr>
                <w:rFonts w:eastAsia="Times New Roman"/>
              </w:rPr>
            </w:pPr>
          </w:p>
        </w:tc>
        <w:tc>
          <w:tcPr>
            <w:tcW w:w="2186" w:type="pct"/>
            <w:vAlign w:val="center"/>
            <w:hideMark/>
          </w:tcPr>
          <w:p w14:paraId="57CF1FCF" w14:textId="77777777" w:rsidR="00000000" w:rsidRDefault="001A570A">
            <w:pPr>
              <w:rPr>
                <w:rFonts w:eastAsia="Times New Roman"/>
                <w:sz w:val="20"/>
                <w:szCs w:val="20"/>
              </w:rPr>
            </w:pPr>
          </w:p>
        </w:tc>
        <w:tc>
          <w:tcPr>
            <w:tcW w:w="5" w:type="pct"/>
            <w:vAlign w:val="center"/>
            <w:hideMark/>
          </w:tcPr>
          <w:p w14:paraId="40042842" w14:textId="77777777" w:rsidR="00000000" w:rsidRDefault="001A570A">
            <w:pPr>
              <w:rPr>
                <w:rFonts w:eastAsia="Times New Roman"/>
                <w:sz w:val="20"/>
                <w:szCs w:val="20"/>
              </w:rPr>
            </w:pPr>
          </w:p>
        </w:tc>
        <w:tc>
          <w:tcPr>
            <w:tcW w:w="50" w:type="pct"/>
            <w:vAlign w:val="center"/>
            <w:hideMark/>
          </w:tcPr>
          <w:p w14:paraId="7A894091" w14:textId="77777777" w:rsidR="00000000" w:rsidRDefault="001A570A">
            <w:pPr>
              <w:rPr>
                <w:rFonts w:eastAsia="Times New Roman"/>
                <w:sz w:val="20"/>
                <w:szCs w:val="20"/>
              </w:rPr>
            </w:pPr>
          </w:p>
        </w:tc>
        <w:tc>
          <w:tcPr>
            <w:tcW w:w="807" w:type="pct"/>
            <w:vAlign w:val="center"/>
            <w:hideMark/>
          </w:tcPr>
          <w:p w14:paraId="7E7EFDA6" w14:textId="77777777" w:rsidR="00000000" w:rsidRDefault="001A570A">
            <w:pPr>
              <w:rPr>
                <w:rFonts w:eastAsia="Times New Roman"/>
                <w:sz w:val="20"/>
                <w:szCs w:val="20"/>
              </w:rPr>
            </w:pPr>
          </w:p>
        </w:tc>
        <w:tc>
          <w:tcPr>
            <w:tcW w:w="5" w:type="pct"/>
            <w:vAlign w:val="center"/>
            <w:hideMark/>
          </w:tcPr>
          <w:p w14:paraId="68D5B69F" w14:textId="77777777" w:rsidR="00000000" w:rsidRDefault="001A570A">
            <w:pPr>
              <w:rPr>
                <w:rFonts w:eastAsia="Times New Roman"/>
                <w:sz w:val="20"/>
                <w:szCs w:val="20"/>
              </w:rPr>
            </w:pPr>
          </w:p>
        </w:tc>
        <w:tc>
          <w:tcPr>
            <w:tcW w:w="50" w:type="pct"/>
            <w:vAlign w:val="center"/>
            <w:hideMark/>
          </w:tcPr>
          <w:p w14:paraId="69CBF290" w14:textId="77777777" w:rsidR="00000000" w:rsidRDefault="001A570A">
            <w:pPr>
              <w:rPr>
                <w:rFonts w:eastAsia="Times New Roman"/>
                <w:sz w:val="20"/>
                <w:szCs w:val="20"/>
              </w:rPr>
            </w:pPr>
          </w:p>
        </w:tc>
        <w:tc>
          <w:tcPr>
            <w:tcW w:w="771" w:type="pct"/>
            <w:vAlign w:val="center"/>
            <w:hideMark/>
          </w:tcPr>
          <w:p w14:paraId="5025615E" w14:textId="77777777" w:rsidR="00000000" w:rsidRDefault="001A570A">
            <w:pPr>
              <w:rPr>
                <w:rFonts w:eastAsia="Times New Roman"/>
                <w:sz w:val="20"/>
                <w:szCs w:val="20"/>
              </w:rPr>
            </w:pPr>
          </w:p>
        </w:tc>
        <w:tc>
          <w:tcPr>
            <w:tcW w:w="5" w:type="pct"/>
            <w:vAlign w:val="center"/>
            <w:hideMark/>
          </w:tcPr>
          <w:p w14:paraId="451531EF" w14:textId="77777777" w:rsidR="00000000" w:rsidRDefault="001A570A">
            <w:pPr>
              <w:rPr>
                <w:rFonts w:eastAsia="Times New Roman"/>
                <w:sz w:val="20"/>
                <w:szCs w:val="20"/>
              </w:rPr>
            </w:pPr>
          </w:p>
        </w:tc>
        <w:tc>
          <w:tcPr>
            <w:tcW w:w="50" w:type="pct"/>
            <w:vAlign w:val="center"/>
            <w:hideMark/>
          </w:tcPr>
          <w:p w14:paraId="59296F0C" w14:textId="77777777" w:rsidR="00000000" w:rsidRDefault="001A570A">
            <w:pPr>
              <w:rPr>
                <w:rFonts w:eastAsia="Times New Roman"/>
                <w:sz w:val="20"/>
                <w:szCs w:val="20"/>
              </w:rPr>
            </w:pPr>
          </w:p>
        </w:tc>
        <w:tc>
          <w:tcPr>
            <w:tcW w:w="1015" w:type="pct"/>
            <w:vAlign w:val="center"/>
            <w:hideMark/>
          </w:tcPr>
          <w:p w14:paraId="2595F54E" w14:textId="77777777" w:rsidR="00000000" w:rsidRDefault="001A570A">
            <w:pPr>
              <w:rPr>
                <w:rFonts w:eastAsia="Times New Roman"/>
                <w:sz w:val="20"/>
                <w:szCs w:val="20"/>
              </w:rPr>
            </w:pPr>
          </w:p>
        </w:tc>
        <w:tc>
          <w:tcPr>
            <w:tcW w:w="5" w:type="pct"/>
            <w:vAlign w:val="center"/>
            <w:hideMark/>
          </w:tcPr>
          <w:p w14:paraId="04F071EE" w14:textId="77777777" w:rsidR="00000000" w:rsidRDefault="001A570A">
            <w:pPr>
              <w:rPr>
                <w:rFonts w:eastAsia="Times New Roman"/>
                <w:sz w:val="20"/>
                <w:szCs w:val="20"/>
              </w:rPr>
            </w:pPr>
          </w:p>
        </w:tc>
      </w:tr>
      <w:tr w:rsidR="00000000" w14:paraId="50C312E1" w14:textId="77777777">
        <w:trPr>
          <w:divId w:val="1097793658"/>
          <w:jc w:val="center"/>
        </w:trPr>
        <w:tc>
          <w:tcPr>
            <w:tcW w:w="0" w:type="auto"/>
            <w:gridSpan w:val="3"/>
            <w:tcMar>
              <w:top w:w="30" w:type="dxa"/>
              <w:left w:w="20" w:type="dxa"/>
              <w:bottom w:w="30" w:type="dxa"/>
              <w:right w:w="20" w:type="dxa"/>
            </w:tcMar>
            <w:vAlign w:val="bottom"/>
            <w:hideMark/>
          </w:tcPr>
          <w:p w14:paraId="5A53A70D" w14:textId="77777777" w:rsidR="00000000" w:rsidRDefault="001A570A">
            <w:pPr>
              <w:divId w:val="170529160"/>
              <w:rPr>
                <w:rFonts w:eastAsia="Times New Roman"/>
              </w:rPr>
            </w:pPr>
            <w:r>
              <w:rPr>
                <w:rFonts w:eastAsia="Times New Roman"/>
                <w:b/>
                <w:bCs/>
                <w:color w:val="000000"/>
                <w:sz w:val="14"/>
                <w:szCs w:val="14"/>
              </w:rPr>
              <w:t>Plan Category</w:t>
            </w:r>
          </w:p>
          <w:p w14:paraId="563C8725" w14:textId="77777777" w:rsidR="00000000" w:rsidRDefault="001A570A">
            <w:pPr>
              <w:jc w:val="center"/>
              <w:divId w:val="179970858"/>
              <w:rPr>
                <w:rFonts w:eastAsia="Times New Roman"/>
              </w:rPr>
            </w:pPr>
            <w:r>
              <w:rPr>
                <w:rFonts w:eastAsia="Times New Roman"/>
                <w:color w:val="000000"/>
                <w:sz w:val="8"/>
                <w:szCs w:val="8"/>
              </w:rPr>
              <w:t> </w:t>
            </w:r>
          </w:p>
        </w:tc>
        <w:tc>
          <w:tcPr>
            <w:tcW w:w="0" w:type="auto"/>
            <w:gridSpan w:val="3"/>
            <w:tcMar>
              <w:top w:w="30" w:type="dxa"/>
              <w:left w:w="20" w:type="dxa"/>
              <w:bottom w:w="30" w:type="dxa"/>
              <w:right w:w="20" w:type="dxa"/>
            </w:tcMar>
            <w:vAlign w:val="bottom"/>
            <w:hideMark/>
          </w:tcPr>
          <w:p w14:paraId="6B198615" w14:textId="77777777" w:rsidR="00000000" w:rsidRDefault="001A570A">
            <w:pPr>
              <w:jc w:val="center"/>
              <w:rPr>
                <w:rFonts w:eastAsia="Times New Roman"/>
              </w:rPr>
            </w:pPr>
            <w:r>
              <w:rPr>
                <w:rFonts w:eastAsia="Times New Roman"/>
                <w:b/>
                <w:bCs/>
                <w:color w:val="000000"/>
                <w:sz w:val="14"/>
                <w:szCs w:val="14"/>
              </w:rPr>
              <w:t>Number of securities to be</w:t>
            </w:r>
          </w:p>
          <w:p w14:paraId="4D39C632" w14:textId="77777777" w:rsidR="00000000" w:rsidRDefault="001A570A">
            <w:pPr>
              <w:jc w:val="center"/>
              <w:rPr>
                <w:rFonts w:eastAsia="Times New Roman"/>
              </w:rPr>
            </w:pPr>
            <w:r>
              <w:rPr>
                <w:rFonts w:eastAsia="Times New Roman"/>
                <w:b/>
                <w:bCs/>
                <w:color w:val="000000"/>
                <w:sz w:val="14"/>
                <w:szCs w:val="14"/>
              </w:rPr>
              <w:t>issued upon exercise of</w:t>
            </w:r>
          </w:p>
          <w:p w14:paraId="3C753BAA" w14:textId="77777777" w:rsidR="00000000" w:rsidRDefault="001A570A">
            <w:pPr>
              <w:jc w:val="center"/>
              <w:rPr>
                <w:rFonts w:eastAsia="Times New Roman"/>
              </w:rPr>
            </w:pPr>
            <w:r>
              <w:rPr>
                <w:rFonts w:eastAsia="Times New Roman"/>
                <w:b/>
                <w:bCs/>
                <w:color w:val="000000"/>
                <w:sz w:val="14"/>
                <w:szCs w:val="14"/>
              </w:rPr>
              <w:t>outstanding options,</w:t>
            </w:r>
          </w:p>
          <w:p w14:paraId="787EB7E1" w14:textId="77777777" w:rsidR="00000000" w:rsidRDefault="001A570A">
            <w:pPr>
              <w:jc w:val="center"/>
              <w:rPr>
                <w:rFonts w:eastAsia="Times New Roman"/>
              </w:rPr>
            </w:pPr>
            <w:r>
              <w:rPr>
                <w:rFonts w:eastAsia="Times New Roman"/>
                <w:b/>
                <w:bCs/>
                <w:color w:val="000000"/>
                <w:sz w:val="14"/>
                <w:szCs w:val="14"/>
              </w:rPr>
              <w:t>warrants and rights</w:t>
            </w:r>
          </w:p>
          <w:p w14:paraId="30612BC0" w14:textId="77777777" w:rsidR="00000000" w:rsidRDefault="001A570A">
            <w:pPr>
              <w:jc w:val="center"/>
              <w:rPr>
                <w:rFonts w:eastAsia="Times New Roman"/>
              </w:rPr>
            </w:pPr>
            <w:r>
              <w:rPr>
                <w:rFonts w:eastAsia="Times New Roman"/>
                <w:b/>
                <w:bCs/>
                <w:color w:val="000000"/>
                <w:sz w:val="14"/>
                <w:szCs w:val="14"/>
              </w:rPr>
              <w:t>(a)(2)</w:t>
            </w:r>
          </w:p>
          <w:p w14:paraId="1AD825B7" w14:textId="77777777" w:rsidR="00000000" w:rsidRDefault="001A570A">
            <w:pPr>
              <w:jc w:val="center"/>
              <w:divId w:val="233467689"/>
              <w:rPr>
                <w:rFonts w:eastAsia="Times New Roman"/>
              </w:rPr>
            </w:pPr>
            <w:r>
              <w:rPr>
                <w:rFonts w:eastAsia="Times New Roman"/>
                <w:color w:val="000000"/>
                <w:sz w:val="8"/>
                <w:szCs w:val="8"/>
              </w:rPr>
              <w:t> </w:t>
            </w:r>
          </w:p>
        </w:tc>
        <w:tc>
          <w:tcPr>
            <w:tcW w:w="0" w:type="auto"/>
            <w:gridSpan w:val="3"/>
            <w:tcMar>
              <w:top w:w="30" w:type="dxa"/>
              <w:left w:w="20" w:type="dxa"/>
              <w:bottom w:w="30" w:type="dxa"/>
              <w:right w:w="20" w:type="dxa"/>
            </w:tcMar>
            <w:vAlign w:val="bottom"/>
            <w:hideMark/>
          </w:tcPr>
          <w:p w14:paraId="712BA376" w14:textId="77777777" w:rsidR="00000000" w:rsidRDefault="001A570A">
            <w:pPr>
              <w:jc w:val="center"/>
              <w:rPr>
                <w:rFonts w:eastAsia="Times New Roman"/>
              </w:rPr>
            </w:pPr>
            <w:r>
              <w:rPr>
                <w:rFonts w:eastAsia="Times New Roman"/>
                <w:b/>
                <w:bCs/>
                <w:color w:val="000000"/>
                <w:sz w:val="14"/>
                <w:szCs w:val="14"/>
              </w:rPr>
              <w:t>Weighted-average</w:t>
            </w:r>
          </w:p>
          <w:p w14:paraId="322AD8BC" w14:textId="77777777" w:rsidR="00000000" w:rsidRDefault="001A570A">
            <w:pPr>
              <w:jc w:val="center"/>
              <w:rPr>
                <w:rFonts w:eastAsia="Times New Roman"/>
              </w:rPr>
            </w:pPr>
            <w:r>
              <w:rPr>
                <w:rFonts w:eastAsia="Times New Roman"/>
                <w:b/>
                <w:bCs/>
                <w:color w:val="000000"/>
                <w:sz w:val="14"/>
                <w:szCs w:val="14"/>
              </w:rPr>
              <w:t>exercise price of</w:t>
            </w:r>
          </w:p>
          <w:p w14:paraId="30C9694F" w14:textId="77777777" w:rsidR="00000000" w:rsidRDefault="001A570A">
            <w:pPr>
              <w:jc w:val="center"/>
              <w:rPr>
                <w:rFonts w:eastAsia="Times New Roman"/>
              </w:rPr>
            </w:pPr>
            <w:r>
              <w:rPr>
                <w:rFonts w:eastAsia="Times New Roman"/>
                <w:b/>
                <w:bCs/>
                <w:color w:val="000000"/>
                <w:sz w:val="14"/>
                <w:szCs w:val="14"/>
              </w:rPr>
              <w:t>outstanding options,</w:t>
            </w:r>
          </w:p>
          <w:p w14:paraId="39D9BA57" w14:textId="77777777" w:rsidR="00000000" w:rsidRDefault="001A570A">
            <w:pPr>
              <w:jc w:val="center"/>
              <w:rPr>
                <w:rFonts w:eastAsia="Times New Roman"/>
              </w:rPr>
            </w:pPr>
            <w:r>
              <w:rPr>
                <w:rFonts w:eastAsia="Times New Roman"/>
                <w:b/>
                <w:bCs/>
                <w:color w:val="000000"/>
                <w:sz w:val="14"/>
                <w:szCs w:val="14"/>
              </w:rPr>
              <w:t>warrants and rights</w:t>
            </w:r>
          </w:p>
          <w:p w14:paraId="70CE6FBF" w14:textId="77777777" w:rsidR="00000000" w:rsidRDefault="001A570A">
            <w:pPr>
              <w:jc w:val="center"/>
              <w:rPr>
                <w:rFonts w:eastAsia="Times New Roman"/>
              </w:rPr>
            </w:pPr>
            <w:r>
              <w:rPr>
                <w:rFonts w:eastAsia="Times New Roman"/>
                <w:b/>
                <w:bCs/>
                <w:color w:val="000000"/>
                <w:sz w:val="14"/>
                <w:szCs w:val="14"/>
              </w:rPr>
              <w:t xml:space="preserve">(b)(2) </w:t>
            </w:r>
          </w:p>
          <w:p w14:paraId="3AA1F1EA" w14:textId="77777777" w:rsidR="00000000" w:rsidRDefault="001A570A">
            <w:pPr>
              <w:jc w:val="center"/>
              <w:divId w:val="273371364"/>
              <w:rPr>
                <w:rFonts w:eastAsia="Times New Roman"/>
              </w:rPr>
            </w:pPr>
            <w:r>
              <w:rPr>
                <w:rFonts w:eastAsia="Times New Roman"/>
                <w:b/>
                <w:bCs/>
                <w:color w:val="000000"/>
                <w:sz w:val="14"/>
                <w:szCs w:val="14"/>
              </w:rPr>
              <w:t> </w:t>
            </w:r>
          </w:p>
        </w:tc>
        <w:tc>
          <w:tcPr>
            <w:tcW w:w="0" w:type="auto"/>
            <w:gridSpan w:val="3"/>
            <w:tcMar>
              <w:top w:w="30" w:type="dxa"/>
              <w:left w:w="20" w:type="dxa"/>
              <w:bottom w:w="30" w:type="dxa"/>
              <w:right w:w="20" w:type="dxa"/>
            </w:tcMar>
            <w:vAlign w:val="bottom"/>
            <w:hideMark/>
          </w:tcPr>
          <w:p w14:paraId="71CA7DD7" w14:textId="77777777" w:rsidR="00000000" w:rsidRDefault="001A570A">
            <w:pPr>
              <w:jc w:val="center"/>
              <w:rPr>
                <w:rFonts w:eastAsia="Times New Roman"/>
              </w:rPr>
            </w:pPr>
            <w:r>
              <w:rPr>
                <w:rFonts w:eastAsia="Times New Roman"/>
                <w:b/>
                <w:bCs/>
                <w:color w:val="000000"/>
                <w:sz w:val="14"/>
                <w:szCs w:val="14"/>
              </w:rPr>
              <w:t>Number of securities</w:t>
            </w:r>
          </w:p>
          <w:p w14:paraId="004A8729" w14:textId="77777777" w:rsidR="00000000" w:rsidRDefault="001A570A">
            <w:pPr>
              <w:jc w:val="center"/>
              <w:rPr>
                <w:rFonts w:eastAsia="Times New Roman"/>
              </w:rPr>
            </w:pPr>
            <w:r>
              <w:rPr>
                <w:rFonts w:eastAsia="Times New Roman"/>
                <w:b/>
                <w:bCs/>
                <w:color w:val="000000"/>
                <w:sz w:val="14"/>
                <w:szCs w:val="14"/>
              </w:rPr>
              <w:t>remaining available for</w:t>
            </w:r>
          </w:p>
          <w:p w14:paraId="462FF2A8" w14:textId="77777777" w:rsidR="00000000" w:rsidRDefault="001A570A">
            <w:pPr>
              <w:jc w:val="center"/>
              <w:rPr>
                <w:rFonts w:eastAsia="Times New Roman"/>
              </w:rPr>
            </w:pPr>
            <w:r>
              <w:rPr>
                <w:rFonts w:eastAsia="Times New Roman"/>
                <w:b/>
                <w:bCs/>
                <w:color w:val="000000"/>
                <w:sz w:val="14"/>
                <w:szCs w:val="14"/>
              </w:rPr>
              <w:t>future issuance under</w:t>
            </w:r>
          </w:p>
          <w:p w14:paraId="387CEACE" w14:textId="77777777" w:rsidR="00000000" w:rsidRDefault="001A570A">
            <w:pPr>
              <w:jc w:val="center"/>
              <w:rPr>
                <w:rFonts w:eastAsia="Times New Roman"/>
              </w:rPr>
            </w:pPr>
            <w:r>
              <w:rPr>
                <w:rFonts w:eastAsia="Times New Roman"/>
                <w:b/>
                <w:bCs/>
                <w:color w:val="000000"/>
                <w:sz w:val="14"/>
                <w:szCs w:val="14"/>
              </w:rPr>
              <w:t>equity compensation plans</w:t>
            </w:r>
          </w:p>
          <w:p w14:paraId="2B48A58C" w14:textId="77777777" w:rsidR="00000000" w:rsidRDefault="001A570A">
            <w:pPr>
              <w:jc w:val="center"/>
              <w:rPr>
                <w:rFonts w:eastAsia="Times New Roman"/>
              </w:rPr>
            </w:pPr>
            <w:r>
              <w:rPr>
                <w:rFonts w:eastAsia="Times New Roman"/>
                <w:b/>
                <w:bCs/>
                <w:color w:val="000000"/>
                <w:sz w:val="14"/>
                <w:szCs w:val="14"/>
              </w:rPr>
              <w:t>(excluding securities</w:t>
            </w:r>
          </w:p>
          <w:p w14:paraId="1D03B4FE" w14:textId="77777777" w:rsidR="00000000" w:rsidRDefault="001A570A">
            <w:pPr>
              <w:jc w:val="center"/>
              <w:rPr>
                <w:rFonts w:eastAsia="Times New Roman"/>
              </w:rPr>
            </w:pPr>
            <w:r>
              <w:rPr>
                <w:rFonts w:eastAsia="Times New Roman"/>
                <w:b/>
                <w:bCs/>
                <w:color w:val="000000"/>
                <w:sz w:val="14"/>
                <w:szCs w:val="14"/>
              </w:rPr>
              <w:t>reflected in column (a))</w:t>
            </w:r>
          </w:p>
          <w:p w14:paraId="3243328A" w14:textId="77777777" w:rsidR="00000000" w:rsidRDefault="001A570A">
            <w:pPr>
              <w:jc w:val="center"/>
              <w:rPr>
                <w:rFonts w:eastAsia="Times New Roman"/>
              </w:rPr>
            </w:pPr>
            <w:r>
              <w:rPr>
                <w:rFonts w:eastAsia="Times New Roman"/>
                <w:b/>
                <w:bCs/>
                <w:color w:val="000000"/>
                <w:sz w:val="14"/>
                <w:szCs w:val="14"/>
              </w:rPr>
              <w:t xml:space="preserve">(c) </w:t>
            </w:r>
          </w:p>
          <w:p w14:paraId="56F6AFCC" w14:textId="77777777" w:rsidR="00000000" w:rsidRDefault="001A570A">
            <w:pPr>
              <w:jc w:val="center"/>
              <w:divId w:val="1513032935"/>
              <w:rPr>
                <w:rFonts w:eastAsia="Times New Roman"/>
              </w:rPr>
            </w:pPr>
            <w:r>
              <w:rPr>
                <w:rFonts w:eastAsia="Times New Roman"/>
                <w:b/>
                <w:bCs/>
                <w:color w:val="000000"/>
                <w:sz w:val="14"/>
                <w:szCs w:val="14"/>
              </w:rPr>
              <w:t> </w:t>
            </w:r>
          </w:p>
        </w:tc>
      </w:tr>
      <w:tr w:rsidR="00000000" w14:paraId="1FCBE9A0" w14:textId="77777777">
        <w:trPr>
          <w:divId w:val="1097793658"/>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6B81F8C" w14:textId="77777777" w:rsidR="00000000" w:rsidRDefault="001A570A">
            <w:pPr>
              <w:divId w:val="2059427264"/>
              <w:rPr>
                <w:rFonts w:eastAsia="Times New Roman"/>
              </w:rPr>
            </w:pPr>
            <w:r>
              <w:rPr>
                <w:rFonts w:eastAsia="Times New Roman"/>
                <w:color w:val="000000"/>
                <w:sz w:val="20"/>
                <w:szCs w:val="20"/>
              </w:rPr>
              <w:t>Equity compensation plans approved by shareholder</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9F2795" w14:textId="77777777" w:rsidR="00000000" w:rsidRDefault="001A570A">
            <w:pPr>
              <w:jc w:val="right"/>
              <w:rPr>
                <w:rFonts w:eastAsia="Times New Roman"/>
              </w:rPr>
            </w:pPr>
            <w:r>
              <w:rPr>
                <w:rFonts w:eastAsia="Times New Roman"/>
                <w:color w:val="000000"/>
                <w:sz w:val="20"/>
                <w:szCs w:val="20"/>
              </w:rPr>
              <w:t>5,206,192 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BE6448"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1A003E" w14:textId="77777777" w:rsidR="00000000" w:rsidRDefault="001A570A">
            <w:pPr>
              <w:jc w:val="right"/>
              <w:rPr>
                <w:rFonts w:eastAsia="Times New Roman"/>
              </w:rPr>
            </w:pPr>
            <w:r>
              <w:rPr>
                <w:rFonts w:eastAsia="Times New Roman"/>
                <w:color w:val="000000"/>
                <w:sz w:val="20"/>
                <w:szCs w:val="20"/>
              </w:rPr>
              <w:t>$127.93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87F516"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D2070F" w14:textId="77777777" w:rsidR="00000000" w:rsidRDefault="001A570A">
            <w:pPr>
              <w:jc w:val="right"/>
              <w:rPr>
                <w:rFonts w:eastAsia="Times New Roman"/>
              </w:rPr>
            </w:pPr>
            <w:r>
              <w:rPr>
                <w:rFonts w:eastAsia="Times New Roman"/>
                <w:color w:val="000000"/>
                <w:sz w:val="20"/>
                <w:szCs w:val="20"/>
              </w:rPr>
              <w:t>19,402,884 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65C1E3" w14:textId="77777777" w:rsidR="00000000" w:rsidRDefault="001A570A">
            <w:pPr>
              <w:jc w:val="right"/>
              <w:rPr>
                <w:rFonts w:eastAsia="Times New Roman"/>
              </w:rPr>
            </w:pPr>
          </w:p>
        </w:tc>
      </w:tr>
      <w:tr w:rsidR="00000000" w14:paraId="1A8474FE" w14:textId="77777777">
        <w:trPr>
          <w:divId w:val="1097793658"/>
          <w:jc w:val="center"/>
        </w:trPr>
        <w:tc>
          <w:tcPr>
            <w:tcW w:w="0" w:type="auto"/>
            <w:gridSpan w:val="3"/>
            <w:shd w:val="clear" w:color="auto" w:fill="FFFFFF"/>
            <w:tcMar>
              <w:top w:w="30" w:type="dxa"/>
              <w:left w:w="20" w:type="dxa"/>
              <w:bottom w:w="30" w:type="dxa"/>
              <w:right w:w="20" w:type="dxa"/>
            </w:tcMar>
            <w:vAlign w:val="center"/>
            <w:hideMark/>
          </w:tcPr>
          <w:p w14:paraId="6CCE4F87" w14:textId="77777777" w:rsidR="00000000" w:rsidRDefault="001A570A">
            <w:pPr>
              <w:ind w:hanging="360"/>
              <w:divId w:val="981957859"/>
              <w:rPr>
                <w:rFonts w:eastAsia="Times New Roman"/>
              </w:rPr>
            </w:pPr>
            <w:r>
              <w:rPr>
                <w:rFonts w:eastAsia="Times New Roman"/>
                <w:color w:val="000000"/>
                <w:sz w:val="20"/>
                <w:szCs w:val="20"/>
              </w:rPr>
              <w:t>Equity compensation plans not approved by shareholders</w:t>
            </w:r>
          </w:p>
        </w:tc>
        <w:tc>
          <w:tcPr>
            <w:tcW w:w="0" w:type="auto"/>
            <w:gridSpan w:val="2"/>
            <w:shd w:val="clear" w:color="auto" w:fill="FFFFFF"/>
            <w:tcMar>
              <w:top w:w="30" w:type="dxa"/>
              <w:left w:w="20" w:type="dxa"/>
              <w:bottom w:w="30" w:type="dxa"/>
              <w:right w:w="0" w:type="dxa"/>
            </w:tcMar>
            <w:vAlign w:val="center"/>
            <w:hideMark/>
          </w:tcPr>
          <w:p w14:paraId="41CDD4EB"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06E2459"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C75302A"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6C5A02F" w14:textId="77777777" w:rsidR="00000000" w:rsidRDefault="001A570A">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9F1EB0" w14:textId="77777777" w:rsidR="00000000" w:rsidRDefault="001A570A">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692A31" w14:textId="77777777" w:rsidR="00000000" w:rsidRDefault="001A570A">
            <w:pPr>
              <w:jc w:val="right"/>
              <w:rPr>
                <w:rFonts w:eastAsia="Times New Roman"/>
              </w:rPr>
            </w:pPr>
          </w:p>
        </w:tc>
      </w:tr>
      <w:tr w:rsidR="00000000" w14:paraId="237606EE" w14:textId="77777777">
        <w:trPr>
          <w:divId w:val="1097793658"/>
          <w:jc w:val="center"/>
        </w:trPr>
        <w:tc>
          <w:tcPr>
            <w:tcW w:w="0" w:type="auto"/>
            <w:gridSpan w:val="3"/>
            <w:shd w:val="clear" w:color="auto" w:fill="CCEEFF"/>
            <w:tcMar>
              <w:top w:w="30" w:type="dxa"/>
              <w:left w:w="20" w:type="dxa"/>
              <w:bottom w:w="30" w:type="dxa"/>
              <w:right w:w="20" w:type="dxa"/>
            </w:tcMar>
            <w:vAlign w:val="center"/>
            <w:hideMark/>
          </w:tcPr>
          <w:p w14:paraId="6688E9EC" w14:textId="77777777" w:rsidR="00000000" w:rsidRDefault="001A570A">
            <w:pPr>
              <w:divId w:val="1029532648"/>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82DEAC" w14:textId="77777777" w:rsidR="00000000" w:rsidRDefault="001A570A">
            <w:pPr>
              <w:jc w:val="right"/>
              <w:rPr>
                <w:rFonts w:eastAsia="Times New Roman"/>
              </w:rPr>
            </w:pPr>
            <w:r>
              <w:rPr>
                <w:rFonts w:eastAsia="Times New Roman"/>
                <w:color w:val="000000"/>
                <w:sz w:val="20"/>
                <w:szCs w:val="20"/>
              </w:rPr>
              <w:t>5,206,192 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A54175"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CCD83B" w14:textId="77777777" w:rsidR="00000000" w:rsidRDefault="001A570A">
            <w:pPr>
              <w:jc w:val="right"/>
              <w:rPr>
                <w:rFonts w:eastAsia="Times New Roman"/>
              </w:rPr>
            </w:pPr>
            <w:r>
              <w:rPr>
                <w:rFonts w:eastAsia="Times New Roman"/>
                <w:color w:val="000000"/>
                <w:sz w:val="20"/>
                <w:szCs w:val="20"/>
              </w:rPr>
              <w:t>$127.93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902827" w14:textId="77777777" w:rsidR="00000000" w:rsidRDefault="001A570A">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61160A" w14:textId="77777777" w:rsidR="00000000" w:rsidRDefault="001A570A">
            <w:pPr>
              <w:jc w:val="right"/>
              <w:rPr>
                <w:rFonts w:eastAsia="Times New Roman"/>
              </w:rPr>
            </w:pPr>
            <w:r>
              <w:rPr>
                <w:rFonts w:eastAsia="Times New Roman"/>
                <w:color w:val="000000"/>
                <w:sz w:val="20"/>
                <w:szCs w:val="20"/>
              </w:rPr>
              <w:t>19,402,884 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976E7A" w14:textId="77777777" w:rsidR="00000000" w:rsidRDefault="001A570A">
            <w:pPr>
              <w:jc w:val="right"/>
              <w:rPr>
                <w:rFonts w:eastAsia="Times New Roman"/>
              </w:rPr>
            </w:pPr>
          </w:p>
        </w:tc>
      </w:tr>
    </w:tbl>
    <w:p w14:paraId="01F48C51" w14:textId="77777777" w:rsidR="00000000" w:rsidRDefault="001A570A">
      <w:pPr>
        <w:divId w:val="1226261691"/>
        <w:rPr>
          <w:rFonts w:eastAsia="Times New Roman"/>
        </w:rPr>
      </w:pPr>
      <w:r>
        <w:rPr>
          <w:rFonts w:eastAsia="Times New Roman"/>
          <w:color w:val="000000"/>
          <w:sz w:val="16"/>
          <w:szCs w:val="16"/>
        </w:rPr>
        <w:t>_______________</w:t>
      </w:r>
    </w:p>
    <w:p w14:paraId="1DB7A737" w14:textId="77777777" w:rsidR="00000000" w:rsidRDefault="001A570A">
      <w:pPr>
        <w:ind w:hanging="360"/>
        <w:divId w:val="1326133143"/>
        <w:rPr>
          <w:rFonts w:eastAsia="Times New Roman"/>
        </w:rPr>
      </w:pPr>
      <w:r>
        <w:rPr>
          <w:rFonts w:eastAsia="Times New Roman"/>
          <w:color w:val="000000"/>
          <w:sz w:val="16"/>
          <w:szCs w:val="16"/>
        </w:rPr>
        <w:t xml:space="preserve">(1) </w:t>
      </w:r>
      <w:r>
        <w:rPr>
          <w:rFonts w:eastAsia="Times New Roman"/>
          <w:color w:val="000000"/>
          <w:sz w:val="16"/>
          <w:szCs w:val="16"/>
        </w:rPr>
        <w:t>Consists of the Harris Corporation 2005 Equity Incentive Plan (As Amended and Restated Effective August 27, 2010) (the “2005 EIP”) and the L3Harris Technologies, Inc. 2015 Equity Incentive Plan (As Amended and Restated Effective August 28, 2020) (the “2015</w:t>
      </w:r>
      <w:r>
        <w:rPr>
          <w:rFonts w:eastAsia="Times New Roman"/>
          <w:color w:val="000000"/>
          <w:sz w:val="16"/>
          <w:szCs w:val="16"/>
        </w:rPr>
        <w:t xml:space="preserve"> EIP”), as well as employee stock incentive plans of L3 assumed by L3Harris (collectively with the 2005 EIP and the 2015 EIP, the “L3Harris SIPs”). No additional awards may be granted under the 2005 EIP.</w:t>
      </w:r>
    </w:p>
    <w:p w14:paraId="2996ADC5" w14:textId="77777777" w:rsidR="00000000" w:rsidRDefault="001A570A">
      <w:pPr>
        <w:ind w:hanging="360"/>
        <w:divId w:val="1193692217"/>
        <w:rPr>
          <w:rFonts w:eastAsia="Times New Roman"/>
        </w:rPr>
      </w:pPr>
      <w:r>
        <w:rPr>
          <w:rFonts w:eastAsia="Times New Roman"/>
          <w:color w:val="000000"/>
          <w:sz w:val="16"/>
          <w:szCs w:val="16"/>
        </w:rPr>
        <w:t>(2) Under the L3Harris SIPs, in addition to options,</w:t>
      </w:r>
      <w:r>
        <w:rPr>
          <w:rFonts w:eastAsia="Times New Roman"/>
          <w:color w:val="000000"/>
          <w:sz w:val="16"/>
          <w:szCs w:val="16"/>
        </w:rPr>
        <w:t xml:space="preserve"> we have granted share-based compensation awards in the form of performance shares, shares of restricted stock, performance share units, restricted stock units, shares of immediately vested common stock and other similar types of share-based awards. As of </w:t>
      </w:r>
      <w:r>
        <w:rPr>
          <w:rFonts w:eastAsia="Times New Roman"/>
          <w:color w:val="000000"/>
          <w:sz w:val="16"/>
          <w:szCs w:val="16"/>
        </w:rPr>
        <w:t xml:space="preserve">January 1, 2021, there were awards outstanding under those plans with respect to 948,615 shares, consisting of (i) awards of 64,059 shares of restricted stock, for which all 64,059 shares were issued and outstanding; and (ii) awards of 884,556 performance </w:t>
      </w:r>
      <w:r>
        <w:rPr>
          <w:rFonts w:eastAsia="Times New Roman"/>
          <w:color w:val="000000"/>
          <w:sz w:val="16"/>
          <w:szCs w:val="16"/>
        </w:rPr>
        <w:t>share units and restricted stock units, for which all 884,556 were payable in shares but for which no shares were yet issued and outstanding. The 5,206,192 shares to be issued upon exercise of outstanding options, warrants and rights as listed in column (a</w:t>
      </w:r>
      <w:r>
        <w:rPr>
          <w:rFonts w:eastAsia="Times New Roman"/>
          <w:color w:val="000000"/>
          <w:sz w:val="16"/>
          <w:szCs w:val="16"/>
        </w:rPr>
        <w:t>) consisted of shares to be issued in respect of the exercise of 4,321,636 outstanding options and in respect of awards of 884,556 performance share units and restricted stock units payable in shares. Because there is no exercise price associated with awar</w:t>
      </w:r>
      <w:r>
        <w:rPr>
          <w:rFonts w:eastAsia="Times New Roman"/>
          <w:color w:val="000000"/>
          <w:sz w:val="16"/>
          <w:szCs w:val="16"/>
        </w:rPr>
        <w:t>ds of shares of restricted stock, performance share units or restricted stock units, all of which are granted to employees at no cost, such awards are not included in the weighted-average exercise price calculation in column (b).</w:t>
      </w:r>
    </w:p>
    <w:p w14:paraId="14951F4F" w14:textId="77777777" w:rsidR="00000000" w:rsidRDefault="001A570A">
      <w:pPr>
        <w:ind w:firstLine="450"/>
        <w:divId w:val="1398213153"/>
        <w:rPr>
          <w:rFonts w:eastAsia="Times New Roman"/>
        </w:rPr>
      </w:pPr>
      <w:r>
        <w:rPr>
          <w:rFonts w:eastAsia="Times New Roman"/>
          <w:color w:val="000000"/>
          <w:sz w:val="20"/>
          <w:szCs w:val="20"/>
        </w:rPr>
        <w:t xml:space="preserve">See </w:t>
      </w:r>
      <w:r>
        <w:rPr>
          <w:rFonts w:eastAsia="Times New Roman"/>
          <w:i/>
          <w:iCs/>
          <w:color w:val="000000"/>
          <w:sz w:val="20"/>
          <w:szCs w:val="20"/>
        </w:rPr>
        <w:t>Note 16: Stock Options</w:t>
      </w:r>
      <w:r>
        <w:rPr>
          <w:rFonts w:eastAsia="Times New Roman"/>
          <w:i/>
          <w:iCs/>
          <w:color w:val="000000"/>
          <w:sz w:val="20"/>
          <w:szCs w:val="20"/>
        </w:rPr>
        <w:t xml:space="preserve"> and Other Share-Based Compensation</w:t>
      </w:r>
      <w:r>
        <w:rPr>
          <w:rFonts w:eastAsia="Times New Roman"/>
          <w:color w:val="000000"/>
          <w:sz w:val="20"/>
          <w:szCs w:val="20"/>
        </w:rPr>
        <w:t xml:space="preserve"> in the Notes for a general description of our share-based incentive plans. </w:t>
      </w:r>
    </w:p>
    <w:p w14:paraId="37DECAC7" w14:textId="77777777" w:rsidR="00000000" w:rsidRDefault="001A570A">
      <w:pPr>
        <w:ind w:firstLine="450"/>
        <w:divId w:val="288704304"/>
        <w:rPr>
          <w:rFonts w:eastAsia="Times New Roman"/>
        </w:rPr>
      </w:pPr>
      <w:r>
        <w:rPr>
          <w:rFonts w:eastAsia="Times New Roman"/>
          <w:color w:val="000000"/>
          <w:sz w:val="20"/>
          <w:szCs w:val="20"/>
        </w:rPr>
        <w:t xml:space="preserve">The other information required by this Item with respect to security ownership of certain of our beneficial owners and management is incorporated herein by reference to the discussions under the headings </w:t>
      </w:r>
      <w:r>
        <w:rPr>
          <w:rFonts w:eastAsia="Times New Roman"/>
          <w:i/>
          <w:iCs/>
          <w:color w:val="000000"/>
          <w:sz w:val="20"/>
          <w:szCs w:val="20"/>
        </w:rPr>
        <w:t>Principal Shareholders</w:t>
      </w:r>
      <w:r>
        <w:rPr>
          <w:rFonts w:eastAsia="Times New Roman"/>
          <w:color w:val="000000"/>
          <w:sz w:val="20"/>
          <w:szCs w:val="20"/>
        </w:rPr>
        <w:t xml:space="preserve"> and </w:t>
      </w:r>
      <w:r>
        <w:rPr>
          <w:rFonts w:eastAsia="Times New Roman"/>
          <w:i/>
          <w:iCs/>
          <w:color w:val="000000"/>
          <w:sz w:val="20"/>
          <w:szCs w:val="20"/>
        </w:rPr>
        <w:t>Shares Owned By Directors</w:t>
      </w:r>
      <w:r>
        <w:rPr>
          <w:rFonts w:eastAsia="Times New Roman"/>
          <w:i/>
          <w:iCs/>
          <w:color w:val="000000"/>
          <w:sz w:val="20"/>
          <w:szCs w:val="20"/>
        </w:rPr>
        <w:t>, Nominees and Executive Officers</w:t>
      </w:r>
      <w:r>
        <w:rPr>
          <w:rFonts w:eastAsia="Times New Roman"/>
          <w:color w:val="000000"/>
          <w:sz w:val="20"/>
          <w:szCs w:val="20"/>
        </w:rPr>
        <w:t xml:space="preserve"> in our 2021 Proxy Statement. </w:t>
      </w:r>
    </w:p>
    <w:tbl>
      <w:tblPr>
        <w:tblW w:w="4849" w:type="pct"/>
        <w:tblCellMar>
          <w:top w:w="15" w:type="dxa"/>
          <w:left w:w="15" w:type="dxa"/>
          <w:bottom w:w="15" w:type="dxa"/>
          <w:right w:w="15" w:type="dxa"/>
        </w:tblCellMar>
        <w:tblLook w:val="04A0" w:firstRow="1" w:lastRow="0" w:firstColumn="1" w:lastColumn="0" w:noHBand="0" w:noVBand="1"/>
      </w:tblPr>
      <w:tblGrid>
        <w:gridCol w:w="71"/>
        <w:gridCol w:w="941"/>
        <w:gridCol w:w="36"/>
        <w:gridCol w:w="67"/>
        <w:gridCol w:w="6904"/>
        <w:gridCol w:w="36"/>
      </w:tblGrid>
      <w:tr w:rsidR="00000000" w14:paraId="20B33602" w14:textId="77777777">
        <w:trPr>
          <w:divId w:val="1521431254"/>
        </w:trPr>
        <w:tc>
          <w:tcPr>
            <w:tcW w:w="50" w:type="pct"/>
            <w:vAlign w:val="center"/>
            <w:hideMark/>
          </w:tcPr>
          <w:p w14:paraId="79160D28" w14:textId="77777777" w:rsidR="00000000" w:rsidRDefault="001A570A">
            <w:pPr>
              <w:ind w:firstLine="450"/>
              <w:rPr>
                <w:rFonts w:eastAsia="Times New Roman"/>
              </w:rPr>
            </w:pPr>
          </w:p>
        </w:tc>
        <w:tc>
          <w:tcPr>
            <w:tcW w:w="596" w:type="pct"/>
            <w:vAlign w:val="center"/>
            <w:hideMark/>
          </w:tcPr>
          <w:p w14:paraId="5E03A1B4" w14:textId="77777777" w:rsidR="00000000" w:rsidRDefault="001A570A">
            <w:pPr>
              <w:rPr>
                <w:rFonts w:eastAsia="Times New Roman"/>
                <w:sz w:val="20"/>
                <w:szCs w:val="20"/>
              </w:rPr>
            </w:pPr>
          </w:p>
        </w:tc>
        <w:tc>
          <w:tcPr>
            <w:tcW w:w="5" w:type="pct"/>
            <w:vAlign w:val="center"/>
            <w:hideMark/>
          </w:tcPr>
          <w:p w14:paraId="4C5F5F11" w14:textId="77777777" w:rsidR="00000000" w:rsidRDefault="001A570A">
            <w:pPr>
              <w:rPr>
                <w:rFonts w:eastAsia="Times New Roman"/>
                <w:sz w:val="20"/>
                <w:szCs w:val="20"/>
              </w:rPr>
            </w:pPr>
          </w:p>
        </w:tc>
        <w:tc>
          <w:tcPr>
            <w:tcW w:w="50" w:type="pct"/>
            <w:vAlign w:val="center"/>
            <w:hideMark/>
          </w:tcPr>
          <w:p w14:paraId="01CEDF81" w14:textId="77777777" w:rsidR="00000000" w:rsidRDefault="001A570A">
            <w:pPr>
              <w:rPr>
                <w:rFonts w:eastAsia="Times New Roman"/>
                <w:sz w:val="20"/>
                <w:szCs w:val="20"/>
              </w:rPr>
            </w:pPr>
          </w:p>
        </w:tc>
        <w:tc>
          <w:tcPr>
            <w:tcW w:w="4293" w:type="pct"/>
            <w:vAlign w:val="center"/>
            <w:hideMark/>
          </w:tcPr>
          <w:p w14:paraId="7861008C" w14:textId="77777777" w:rsidR="00000000" w:rsidRDefault="001A570A">
            <w:pPr>
              <w:rPr>
                <w:rFonts w:eastAsia="Times New Roman"/>
                <w:sz w:val="20"/>
                <w:szCs w:val="20"/>
              </w:rPr>
            </w:pPr>
          </w:p>
        </w:tc>
        <w:tc>
          <w:tcPr>
            <w:tcW w:w="5" w:type="pct"/>
            <w:vAlign w:val="center"/>
            <w:hideMark/>
          </w:tcPr>
          <w:p w14:paraId="3C5EECE7" w14:textId="77777777" w:rsidR="00000000" w:rsidRDefault="001A570A">
            <w:pPr>
              <w:rPr>
                <w:rFonts w:eastAsia="Times New Roman"/>
                <w:sz w:val="20"/>
                <w:szCs w:val="20"/>
              </w:rPr>
            </w:pPr>
          </w:p>
        </w:tc>
      </w:tr>
      <w:tr w:rsidR="00000000" w14:paraId="1DF43479" w14:textId="77777777">
        <w:trPr>
          <w:divId w:val="1521431254"/>
        </w:trPr>
        <w:tc>
          <w:tcPr>
            <w:tcW w:w="0" w:type="auto"/>
            <w:gridSpan w:val="3"/>
            <w:tcMar>
              <w:top w:w="30" w:type="dxa"/>
              <w:left w:w="20" w:type="dxa"/>
              <w:bottom w:w="30" w:type="dxa"/>
              <w:right w:w="20" w:type="dxa"/>
            </w:tcMar>
            <w:hideMark/>
          </w:tcPr>
          <w:p w14:paraId="162BA746" w14:textId="77777777" w:rsidR="00000000" w:rsidRDefault="001A570A">
            <w:pPr>
              <w:rPr>
                <w:rFonts w:eastAsia="Times New Roman"/>
              </w:rPr>
            </w:pPr>
            <w:r>
              <w:rPr>
                <w:rFonts w:eastAsia="Times New Roman"/>
                <w:b/>
                <w:bCs/>
                <w:color w:val="000000"/>
                <w:sz w:val="20"/>
                <w:szCs w:val="20"/>
              </w:rPr>
              <w:t> ITEM 13.</w:t>
            </w:r>
          </w:p>
        </w:tc>
        <w:tc>
          <w:tcPr>
            <w:tcW w:w="0" w:type="auto"/>
            <w:gridSpan w:val="3"/>
            <w:tcMar>
              <w:top w:w="30" w:type="dxa"/>
              <w:left w:w="20" w:type="dxa"/>
              <w:bottom w:w="30" w:type="dxa"/>
              <w:right w:w="20" w:type="dxa"/>
            </w:tcMar>
            <w:hideMark/>
          </w:tcPr>
          <w:p w14:paraId="23BCD2EB" w14:textId="77777777" w:rsidR="00000000" w:rsidRDefault="001A570A">
            <w:pPr>
              <w:rPr>
                <w:rFonts w:eastAsia="Times New Roman"/>
              </w:rPr>
            </w:pPr>
            <w:r>
              <w:rPr>
                <w:rFonts w:eastAsia="Times New Roman"/>
                <w:b/>
                <w:bCs/>
                <w:color w:val="000000"/>
                <w:sz w:val="20"/>
                <w:szCs w:val="20"/>
              </w:rPr>
              <w:t>CERTAIN RELATIONSHIPS AND RELATED TRANSACTIONS, AND DIRECTOR INDEPENDENCE.</w:t>
            </w:r>
          </w:p>
        </w:tc>
      </w:tr>
    </w:tbl>
    <w:p w14:paraId="3C8DDB27" w14:textId="77777777" w:rsidR="00000000" w:rsidRDefault="001A570A">
      <w:pPr>
        <w:ind w:firstLine="450"/>
        <w:divId w:val="1386563981"/>
        <w:rPr>
          <w:rFonts w:eastAsia="Times New Roman"/>
        </w:rPr>
      </w:pPr>
      <w:r>
        <w:rPr>
          <w:rFonts w:eastAsia="Times New Roman"/>
          <w:color w:val="000000"/>
          <w:sz w:val="20"/>
          <w:szCs w:val="20"/>
        </w:rPr>
        <w:t xml:space="preserve">The information required by this Item is incorporated herein by reference to the discussions under the headings </w:t>
      </w:r>
      <w:r>
        <w:rPr>
          <w:rFonts w:eastAsia="Times New Roman"/>
          <w:i/>
          <w:iCs/>
          <w:color w:val="000000"/>
          <w:sz w:val="20"/>
          <w:szCs w:val="20"/>
        </w:rPr>
        <w:t>Director Independence Standards</w:t>
      </w:r>
      <w:r>
        <w:rPr>
          <w:rFonts w:eastAsia="Times New Roman"/>
          <w:color w:val="000000"/>
          <w:sz w:val="20"/>
          <w:szCs w:val="20"/>
        </w:rPr>
        <w:t xml:space="preserve"> and </w:t>
      </w:r>
      <w:r>
        <w:rPr>
          <w:rFonts w:eastAsia="Times New Roman"/>
          <w:i/>
          <w:iCs/>
          <w:color w:val="000000"/>
          <w:sz w:val="20"/>
          <w:szCs w:val="20"/>
        </w:rPr>
        <w:t>Related Person Transaction Policy</w:t>
      </w:r>
      <w:r>
        <w:rPr>
          <w:rFonts w:eastAsia="Times New Roman"/>
          <w:color w:val="000000"/>
          <w:sz w:val="20"/>
          <w:szCs w:val="20"/>
        </w:rPr>
        <w:t xml:space="preserve"> in our 2021 Proxy Statement.</w:t>
      </w:r>
    </w:p>
    <w:tbl>
      <w:tblPr>
        <w:tblW w:w="3297" w:type="pct"/>
        <w:tblCellMar>
          <w:top w:w="15" w:type="dxa"/>
          <w:left w:w="15" w:type="dxa"/>
          <w:bottom w:w="15" w:type="dxa"/>
          <w:right w:w="15" w:type="dxa"/>
        </w:tblCellMar>
        <w:tblLook w:val="04A0" w:firstRow="1" w:lastRow="0" w:firstColumn="1" w:lastColumn="0" w:noHBand="0" w:noVBand="1"/>
      </w:tblPr>
      <w:tblGrid>
        <w:gridCol w:w="49"/>
        <w:gridCol w:w="964"/>
        <w:gridCol w:w="36"/>
        <w:gridCol w:w="40"/>
        <w:gridCol w:w="4352"/>
        <w:gridCol w:w="36"/>
      </w:tblGrid>
      <w:tr w:rsidR="00000000" w14:paraId="7DD79BFB" w14:textId="77777777">
        <w:trPr>
          <w:divId w:val="1024213008"/>
        </w:trPr>
        <w:tc>
          <w:tcPr>
            <w:tcW w:w="50" w:type="pct"/>
            <w:vAlign w:val="center"/>
            <w:hideMark/>
          </w:tcPr>
          <w:p w14:paraId="291D2ECD" w14:textId="77777777" w:rsidR="00000000" w:rsidRDefault="001A570A">
            <w:pPr>
              <w:ind w:firstLine="450"/>
              <w:rPr>
                <w:rFonts w:eastAsia="Times New Roman"/>
              </w:rPr>
            </w:pPr>
          </w:p>
        </w:tc>
        <w:tc>
          <w:tcPr>
            <w:tcW w:w="903" w:type="pct"/>
            <w:vAlign w:val="center"/>
            <w:hideMark/>
          </w:tcPr>
          <w:p w14:paraId="5F993AD3" w14:textId="77777777" w:rsidR="00000000" w:rsidRDefault="001A570A">
            <w:pPr>
              <w:rPr>
                <w:rFonts w:eastAsia="Times New Roman"/>
                <w:sz w:val="20"/>
                <w:szCs w:val="20"/>
              </w:rPr>
            </w:pPr>
          </w:p>
        </w:tc>
        <w:tc>
          <w:tcPr>
            <w:tcW w:w="5" w:type="pct"/>
            <w:vAlign w:val="center"/>
            <w:hideMark/>
          </w:tcPr>
          <w:p w14:paraId="14728E04" w14:textId="77777777" w:rsidR="00000000" w:rsidRDefault="001A570A">
            <w:pPr>
              <w:rPr>
                <w:rFonts w:eastAsia="Times New Roman"/>
                <w:sz w:val="20"/>
                <w:szCs w:val="20"/>
              </w:rPr>
            </w:pPr>
          </w:p>
        </w:tc>
        <w:tc>
          <w:tcPr>
            <w:tcW w:w="50" w:type="pct"/>
            <w:vAlign w:val="center"/>
            <w:hideMark/>
          </w:tcPr>
          <w:p w14:paraId="09BEEF5F" w14:textId="77777777" w:rsidR="00000000" w:rsidRDefault="001A570A">
            <w:pPr>
              <w:rPr>
                <w:rFonts w:eastAsia="Times New Roman"/>
                <w:sz w:val="20"/>
                <w:szCs w:val="20"/>
              </w:rPr>
            </w:pPr>
          </w:p>
        </w:tc>
        <w:tc>
          <w:tcPr>
            <w:tcW w:w="3986" w:type="pct"/>
            <w:vAlign w:val="center"/>
            <w:hideMark/>
          </w:tcPr>
          <w:p w14:paraId="7CF1C0A9" w14:textId="77777777" w:rsidR="00000000" w:rsidRDefault="001A570A">
            <w:pPr>
              <w:rPr>
                <w:rFonts w:eastAsia="Times New Roman"/>
                <w:sz w:val="20"/>
                <w:szCs w:val="20"/>
              </w:rPr>
            </w:pPr>
          </w:p>
        </w:tc>
        <w:tc>
          <w:tcPr>
            <w:tcW w:w="5" w:type="pct"/>
            <w:vAlign w:val="center"/>
            <w:hideMark/>
          </w:tcPr>
          <w:p w14:paraId="61791997" w14:textId="77777777" w:rsidR="00000000" w:rsidRDefault="001A570A">
            <w:pPr>
              <w:rPr>
                <w:rFonts w:eastAsia="Times New Roman"/>
                <w:sz w:val="20"/>
                <w:szCs w:val="20"/>
              </w:rPr>
            </w:pPr>
          </w:p>
        </w:tc>
      </w:tr>
      <w:tr w:rsidR="00000000" w14:paraId="18453B13" w14:textId="77777777">
        <w:trPr>
          <w:divId w:val="1024213008"/>
        </w:trPr>
        <w:tc>
          <w:tcPr>
            <w:tcW w:w="0" w:type="auto"/>
            <w:gridSpan w:val="3"/>
            <w:tcMar>
              <w:top w:w="30" w:type="dxa"/>
              <w:left w:w="20" w:type="dxa"/>
              <w:bottom w:w="30" w:type="dxa"/>
              <w:right w:w="20" w:type="dxa"/>
            </w:tcMar>
            <w:hideMark/>
          </w:tcPr>
          <w:p w14:paraId="5387DC20" w14:textId="77777777" w:rsidR="00000000" w:rsidRDefault="001A570A">
            <w:pPr>
              <w:rPr>
                <w:rFonts w:eastAsia="Times New Roman"/>
              </w:rPr>
            </w:pPr>
            <w:r>
              <w:rPr>
                <w:rFonts w:eastAsia="Times New Roman"/>
                <w:b/>
                <w:bCs/>
                <w:color w:val="000000"/>
                <w:sz w:val="20"/>
                <w:szCs w:val="20"/>
              </w:rPr>
              <w:t> ITEM 14.</w:t>
            </w:r>
          </w:p>
        </w:tc>
        <w:tc>
          <w:tcPr>
            <w:tcW w:w="0" w:type="auto"/>
            <w:gridSpan w:val="3"/>
            <w:tcMar>
              <w:top w:w="30" w:type="dxa"/>
              <w:left w:w="20" w:type="dxa"/>
              <w:bottom w:w="30" w:type="dxa"/>
              <w:right w:w="20" w:type="dxa"/>
            </w:tcMar>
            <w:hideMark/>
          </w:tcPr>
          <w:p w14:paraId="1E149FDA" w14:textId="77777777" w:rsidR="00000000" w:rsidRDefault="001A570A">
            <w:pPr>
              <w:rPr>
                <w:rFonts w:eastAsia="Times New Roman"/>
              </w:rPr>
            </w:pPr>
            <w:r>
              <w:rPr>
                <w:rFonts w:eastAsia="Times New Roman"/>
                <w:b/>
                <w:bCs/>
                <w:color w:val="000000"/>
                <w:sz w:val="20"/>
                <w:szCs w:val="20"/>
              </w:rPr>
              <w:t xml:space="preserve">PRINCIPAL ACCOUNTING FEES </w:t>
            </w:r>
            <w:r>
              <w:rPr>
                <w:rFonts w:eastAsia="Times New Roman"/>
                <w:b/>
                <w:bCs/>
                <w:color w:val="000000"/>
                <w:sz w:val="20"/>
                <w:szCs w:val="20"/>
              </w:rPr>
              <w:t>AND SERVICES.</w:t>
            </w:r>
          </w:p>
        </w:tc>
      </w:tr>
    </w:tbl>
    <w:p w14:paraId="32F80951" w14:textId="77777777" w:rsidR="00000000" w:rsidRDefault="001A570A">
      <w:pPr>
        <w:ind w:firstLine="450"/>
        <w:divId w:val="1011877546"/>
        <w:rPr>
          <w:rFonts w:eastAsia="Times New Roman"/>
        </w:rPr>
      </w:pPr>
      <w:r>
        <w:rPr>
          <w:rFonts w:eastAsia="Times New Roman"/>
          <w:color w:val="000000"/>
          <w:sz w:val="20"/>
          <w:szCs w:val="20"/>
        </w:rPr>
        <w:t xml:space="preserve">The information required by this Item is incorporated herein by reference to the discussion under the heading </w:t>
      </w:r>
      <w:r>
        <w:rPr>
          <w:rFonts w:eastAsia="Times New Roman"/>
          <w:i/>
          <w:iCs/>
          <w:color w:val="000000"/>
          <w:sz w:val="20"/>
          <w:szCs w:val="20"/>
        </w:rPr>
        <w:t>Proposal </w:t>
      </w:r>
      <w:r>
        <w:rPr>
          <w:rFonts w:eastAsia="Times New Roman"/>
          <w:i/>
          <w:iCs/>
          <w:color w:val="000000"/>
          <w:sz w:val="20"/>
          <w:szCs w:val="20"/>
        </w:rPr>
        <w:t>3: Ratification of Appointment of Independent Registered Public Accounting Firm</w:t>
      </w:r>
      <w:r>
        <w:rPr>
          <w:rFonts w:eastAsia="Times New Roman"/>
          <w:color w:val="000000"/>
          <w:sz w:val="20"/>
          <w:szCs w:val="20"/>
        </w:rPr>
        <w:t xml:space="preserve"> in our 2021 Proxy Statement. </w:t>
      </w:r>
    </w:p>
    <w:p w14:paraId="708A31DA" w14:textId="77777777" w:rsidR="00000000" w:rsidRDefault="001A570A">
      <w:pPr>
        <w:ind w:firstLine="450"/>
        <w:jc w:val="center"/>
        <w:divId w:val="1100183705"/>
        <w:rPr>
          <w:rFonts w:eastAsia="Times New Roman"/>
        </w:rPr>
      </w:pPr>
      <w:r>
        <w:rPr>
          <w:rFonts w:eastAsia="Times New Roman"/>
          <w:color w:val="000000"/>
          <w:sz w:val="20"/>
          <w:szCs w:val="20"/>
        </w:rPr>
        <w:t>134</w:t>
      </w:r>
    </w:p>
    <w:p w14:paraId="00A778B4" w14:textId="77777777" w:rsidR="00000000" w:rsidRDefault="001A570A">
      <w:pPr>
        <w:rPr>
          <w:rFonts w:eastAsia="Times New Roman"/>
        </w:rPr>
      </w:pPr>
      <w:r>
        <w:rPr>
          <w:rFonts w:eastAsia="Times New Roman"/>
        </w:rPr>
        <w:pict w14:anchorId="48F7AD03">
          <v:rect id="_x0000_i1162" style="width:0;height:1.5pt" o:hralign="center" o:hrstd="t" o:hr="t" fillcolor="#a0a0a0" stroked="f"/>
        </w:pict>
      </w:r>
    </w:p>
    <w:p w14:paraId="33CE3249" w14:textId="77777777" w:rsidR="00000000" w:rsidRDefault="001A570A">
      <w:pPr>
        <w:ind w:firstLine="450"/>
        <w:divId w:val="842823287"/>
        <w:rPr>
          <w:rFonts w:eastAsia="Times New Roman"/>
        </w:rPr>
      </w:pPr>
    </w:p>
    <w:p w14:paraId="086BEA66" w14:textId="77777777" w:rsidR="00000000" w:rsidRDefault="001A570A">
      <w:pPr>
        <w:ind w:firstLine="450"/>
        <w:jc w:val="center"/>
        <w:divId w:val="1561357444"/>
        <w:rPr>
          <w:rFonts w:eastAsia="Times New Roman"/>
        </w:rPr>
      </w:pPr>
      <w:r>
        <w:rPr>
          <w:rFonts w:eastAsia="Times New Roman"/>
          <w:b/>
          <w:bCs/>
          <w:color w:val="000000"/>
        </w:rPr>
        <w:t>PART IV</w:t>
      </w:r>
      <w:r>
        <w:rPr>
          <w:rFonts w:eastAsia="Times New Roman"/>
          <w:color w:val="000000"/>
          <w:sz w:val="18"/>
          <w:szCs w:val="18"/>
        </w:rPr>
        <w:t> </w:t>
      </w:r>
    </w:p>
    <w:tbl>
      <w:tblPr>
        <w:tblW w:w="4906" w:type="pct"/>
        <w:tblCellMar>
          <w:top w:w="15" w:type="dxa"/>
          <w:left w:w="15" w:type="dxa"/>
          <w:bottom w:w="15" w:type="dxa"/>
          <w:right w:w="15" w:type="dxa"/>
        </w:tblCellMar>
        <w:tblLook w:val="04A0" w:firstRow="1" w:lastRow="0" w:firstColumn="1" w:lastColumn="0" w:noHBand="0" w:noVBand="1"/>
      </w:tblPr>
      <w:tblGrid>
        <w:gridCol w:w="72"/>
        <w:gridCol w:w="941"/>
        <w:gridCol w:w="36"/>
        <w:gridCol w:w="68"/>
        <w:gridCol w:w="6997"/>
        <w:gridCol w:w="36"/>
      </w:tblGrid>
      <w:tr w:rsidR="00000000" w14:paraId="4638E015" w14:textId="77777777">
        <w:trPr>
          <w:divId w:val="1698461996"/>
        </w:trPr>
        <w:tc>
          <w:tcPr>
            <w:tcW w:w="50" w:type="pct"/>
            <w:vAlign w:val="center"/>
            <w:hideMark/>
          </w:tcPr>
          <w:p w14:paraId="2F0BFBCC" w14:textId="77777777" w:rsidR="00000000" w:rsidRDefault="001A570A">
            <w:pPr>
              <w:ind w:firstLine="450"/>
              <w:jc w:val="center"/>
              <w:rPr>
                <w:rFonts w:eastAsia="Times New Roman"/>
              </w:rPr>
            </w:pPr>
          </w:p>
        </w:tc>
        <w:tc>
          <w:tcPr>
            <w:tcW w:w="589" w:type="pct"/>
            <w:vAlign w:val="center"/>
            <w:hideMark/>
          </w:tcPr>
          <w:p w14:paraId="79C78DCC" w14:textId="77777777" w:rsidR="00000000" w:rsidRDefault="001A570A">
            <w:pPr>
              <w:rPr>
                <w:rFonts w:eastAsia="Times New Roman"/>
                <w:sz w:val="20"/>
                <w:szCs w:val="20"/>
              </w:rPr>
            </w:pPr>
          </w:p>
        </w:tc>
        <w:tc>
          <w:tcPr>
            <w:tcW w:w="5" w:type="pct"/>
            <w:vAlign w:val="center"/>
            <w:hideMark/>
          </w:tcPr>
          <w:p w14:paraId="7797B4A5" w14:textId="77777777" w:rsidR="00000000" w:rsidRDefault="001A570A">
            <w:pPr>
              <w:rPr>
                <w:rFonts w:eastAsia="Times New Roman"/>
                <w:sz w:val="20"/>
                <w:szCs w:val="20"/>
              </w:rPr>
            </w:pPr>
          </w:p>
        </w:tc>
        <w:tc>
          <w:tcPr>
            <w:tcW w:w="50" w:type="pct"/>
            <w:vAlign w:val="center"/>
            <w:hideMark/>
          </w:tcPr>
          <w:p w14:paraId="11FA04F9" w14:textId="77777777" w:rsidR="00000000" w:rsidRDefault="001A570A">
            <w:pPr>
              <w:rPr>
                <w:rFonts w:eastAsia="Times New Roman"/>
                <w:sz w:val="20"/>
                <w:szCs w:val="20"/>
              </w:rPr>
            </w:pPr>
          </w:p>
        </w:tc>
        <w:tc>
          <w:tcPr>
            <w:tcW w:w="4300" w:type="pct"/>
            <w:vAlign w:val="center"/>
            <w:hideMark/>
          </w:tcPr>
          <w:p w14:paraId="3F9D6EA4" w14:textId="77777777" w:rsidR="00000000" w:rsidRDefault="001A570A">
            <w:pPr>
              <w:rPr>
                <w:rFonts w:eastAsia="Times New Roman"/>
                <w:sz w:val="20"/>
                <w:szCs w:val="20"/>
              </w:rPr>
            </w:pPr>
          </w:p>
        </w:tc>
        <w:tc>
          <w:tcPr>
            <w:tcW w:w="5" w:type="pct"/>
            <w:vAlign w:val="center"/>
            <w:hideMark/>
          </w:tcPr>
          <w:p w14:paraId="15AA6D89" w14:textId="77777777" w:rsidR="00000000" w:rsidRDefault="001A570A">
            <w:pPr>
              <w:rPr>
                <w:rFonts w:eastAsia="Times New Roman"/>
                <w:sz w:val="20"/>
                <w:szCs w:val="20"/>
              </w:rPr>
            </w:pPr>
          </w:p>
        </w:tc>
      </w:tr>
      <w:tr w:rsidR="00000000" w14:paraId="082118DF" w14:textId="77777777">
        <w:trPr>
          <w:divId w:val="1698461996"/>
        </w:trPr>
        <w:tc>
          <w:tcPr>
            <w:tcW w:w="0" w:type="auto"/>
            <w:gridSpan w:val="3"/>
            <w:tcMar>
              <w:top w:w="30" w:type="dxa"/>
              <w:left w:w="20" w:type="dxa"/>
              <w:bottom w:w="30" w:type="dxa"/>
              <w:right w:w="20" w:type="dxa"/>
            </w:tcMar>
            <w:hideMark/>
          </w:tcPr>
          <w:p w14:paraId="0EF97221" w14:textId="77777777" w:rsidR="00000000" w:rsidRDefault="001A570A">
            <w:pPr>
              <w:rPr>
                <w:rFonts w:eastAsia="Times New Roman"/>
              </w:rPr>
            </w:pPr>
            <w:r>
              <w:rPr>
                <w:rFonts w:eastAsia="Times New Roman"/>
                <w:b/>
                <w:bCs/>
                <w:color w:val="000000"/>
                <w:sz w:val="20"/>
                <w:szCs w:val="20"/>
              </w:rPr>
              <w:t> ITEM 15.</w:t>
            </w:r>
          </w:p>
        </w:tc>
        <w:tc>
          <w:tcPr>
            <w:tcW w:w="0" w:type="auto"/>
            <w:gridSpan w:val="3"/>
            <w:tcMar>
              <w:top w:w="30" w:type="dxa"/>
              <w:left w:w="20" w:type="dxa"/>
              <w:bottom w:w="30" w:type="dxa"/>
              <w:right w:w="20" w:type="dxa"/>
            </w:tcMar>
            <w:hideMark/>
          </w:tcPr>
          <w:p w14:paraId="129C1011" w14:textId="77777777" w:rsidR="00000000" w:rsidRDefault="001A570A">
            <w:pPr>
              <w:rPr>
                <w:rFonts w:eastAsia="Times New Roman"/>
              </w:rPr>
            </w:pPr>
            <w:r>
              <w:rPr>
                <w:rFonts w:eastAsia="Times New Roman"/>
                <w:b/>
                <w:bCs/>
                <w:color w:val="000000"/>
                <w:sz w:val="20"/>
                <w:szCs w:val="20"/>
              </w:rPr>
              <w:t>EXHIBITS, FINANCIAL STATEMENT SCHEDULES.</w:t>
            </w:r>
          </w:p>
        </w:tc>
      </w:tr>
    </w:tbl>
    <w:p w14:paraId="78C3DB6E" w14:textId="77777777" w:rsidR="00000000" w:rsidRDefault="001A570A">
      <w:pPr>
        <w:ind w:firstLine="450"/>
        <w:divId w:val="1094663643"/>
        <w:rPr>
          <w:rFonts w:eastAsia="Times New Roman"/>
        </w:rPr>
      </w:pPr>
      <w:r>
        <w:rPr>
          <w:rFonts w:eastAsia="Times New Roman"/>
          <w:b/>
          <w:bCs/>
          <w:color w:val="000000"/>
          <w:sz w:val="20"/>
          <w:szCs w:val="20"/>
        </w:rPr>
        <w:t>The following documents are filed as a part of this Report:</w:t>
      </w:r>
    </w:p>
    <w:tbl>
      <w:tblPr>
        <w:tblW w:w="4913" w:type="pct"/>
        <w:tblCellMar>
          <w:top w:w="15" w:type="dxa"/>
          <w:left w:w="15" w:type="dxa"/>
          <w:bottom w:w="15" w:type="dxa"/>
          <w:right w:w="15" w:type="dxa"/>
        </w:tblCellMar>
        <w:tblLook w:val="04A0" w:firstRow="1" w:lastRow="0" w:firstColumn="1" w:lastColumn="0" w:noHBand="0" w:noVBand="1"/>
      </w:tblPr>
      <w:tblGrid>
        <w:gridCol w:w="58"/>
        <w:gridCol w:w="7667"/>
        <w:gridCol w:w="38"/>
        <w:gridCol w:w="80"/>
        <w:gridCol w:w="282"/>
        <w:gridCol w:w="36"/>
      </w:tblGrid>
      <w:tr w:rsidR="00000000" w14:paraId="4EBBED96" w14:textId="77777777">
        <w:trPr>
          <w:divId w:val="1603611399"/>
        </w:trPr>
        <w:tc>
          <w:tcPr>
            <w:tcW w:w="50" w:type="pct"/>
            <w:vAlign w:val="center"/>
            <w:hideMark/>
          </w:tcPr>
          <w:p w14:paraId="0CC6028D" w14:textId="77777777" w:rsidR="00000000" w:rsidRDefault="001A570A">
            <w:pPr>
              <w:ind w:firstLine="450"/>
              <w:rPr>
                <w:rFonts w:eastAsia="Times New Roman"/>
              </w:rPr>
            </w:pPr>
          </w:p>
        </w:tc>
        <w:tc>
          <w:tcPr>
            <w:tcW w:w="4711" w:type="pct"/>
            <w:vAlign w:val="center"/>
            <w:hideMark/>
          </w:tcPr>
          <w:p w14:paraId="235C8ACE" w14:textId="77777777" w:rsidR="00000000" w:rsidRDefault="001A570A">
            <w:pPr>
              <w:rPr>
                <w:rFonts w:eastAsia="Times New Roman"/>
                <w:sz w:val="20"/>
                <w:szCs w:val="20"/>
              </w:rPr>
            </w:pPr>
          </w:p>
        </w:tc>
        <w:tc>
          <w:tcPr>
            <w:tcW w:w="5" w:type="pct"/>
            <w:vAlign w:val="center"/>
            <w:hideMark/>
          </w:tcPr>
          <w:p w14:paraId="3045C16D" w14:textId="77777777" w:rsidR="00000000" w:rsidRDefault="001A570A">
            <w:pPr>
              <w:rPr>
                <w:rFonts w:eastAsia="Times New Roman"/>
                <w:sz w:val="20"/>
                <w:szCs w:val="20"/>
              </w:rPr>
            </w:pPr>
          </w:p>
        </w:tc>
        <w:tc>
          <w:tcPr>
            <w:tcW w:w="50" w:type="pct"/>
            <w:vAlign w:val="center"/>
            <w:hideMark/>
          </w:tcPr>
          <w:p w14:paraId="7F1A3C19" w14:textId="77777777" w:rsidR="00000000" w:rsidRDefault="001A570A">
            <w:pPr>
              <w:rPr>
                <w:rFonts w:eastAsia="Times New Roman"/>
                <w:sz w:val="20"/>
                <w:szCs w:val="20"/>
              </w:rPr>
            </w:pPr>
          </w:p>
        </w:tc>
        <w:tc>
          <w:tcPr>
            <w:tcW w:w="178" w:type="pct"/>
            <w:vAlign w:val="center"/>
            <w:hideMark/>
          </w:tcPr>
          <w:p w14:paraId="2C80928E" w14:textId="77777777" w:rsidR="00000000" w:rsidRDefault="001A570A">
            <w:pPr>
              <w:rPr>
                <w:rFonts w:eastAsia="Times New Roman"/>
                <w:sz w:val="20"/>
                <w:szCs w:val="20"/>
              </w:rPr>
            </w:pPr>
          </w:p>
        </w:tc>
        <w:tc>
          <w:tcPr>
            <w:tcW w:w="5" w:type="pct"/>
            <w:vAlign w:val="center"/>
            <w:hideMark/>
          </w:tcPr>
          <w:p w14:paraId="5B8314A5" w14:textId="77777777" w:rsidR="00000000" w:rsidRDefault="001A570A">
            <w:pPr>
              <w:rPr>
                <w:rFonts w:eastAsia="Times New Roman"/>
                <w:sz w:val="20"/>
                <w:szCs w:val="20"/>
              </w:rPr>
            </w:pPr>
          </w:p>
        </w:tc>
      </w:tr>
      <w:tr w:rsidR="00000000" w14:paraId="1A03DD84" w14:textId="77777777">
        <w:trPr>
          <w:divId w:val="1603611399"/>
        </w:trPr>
        <w:tc>
          <w:tcPr>
            <w:tcW w:w="0" w:type="auto"/>
            <w:gridSpan w:val="3"/>
            <w:tcMar>
              <w:top w:w="30" w:type="dxa"/>
              <w:left w:w="20" w:type="dxa"/>
              <w:bottom w:w="30" w:type="dxa"/>
              <w:right w:w="20" w:type="dxa"/>
            </w:tcMar>
            <w:vAlign w:val="bottom"/>
            <w:hideMark/>
          </w:tcPr>
          <w:p w14:paraId="1A965FB2"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5E1FF17" w14:textId="77777777" w:rsidR="00000000" w:rsidRDefault="001A570A">
            <w:pPr>
              <w:jc w:val="center"/>
              <w:rPr>
                <w:rFonts w:eastAsia="Times New Roman"/>
              </w:rPr>
            </w:pPr>
            <w:r>
              <w:rPr>
                <w:rFonts w:eastAsia="Times New Roman"/>
                <w:b/>
                <w:bCs/>
                <w:color w:val="000000"/>
                <w:sz w:val="16"/>
                <w:szCs w:val="16"/>
              </w:rPr>
              <w:t>Page</w:t>
            </w:r>
          </w:p>
        </w:tc>
      </w:tr>
      <w:tr w:rsidR="00000000" w14:paraId="5EFC07B9" w14:textId="77777777">
        <w:trPr>
          <w:divId w:val="1603611399"/>
        </w:trPr>
        <w:tc>
          <w:tcPr>
            <w:tcW w:w="0" w:type="auto"/>
            <w:gridSpan w:val="3"/>
            <w:tcMar>
              <w:top w:w="30" w:type="dxa"/>
              <w:left w:w="155" w:type="dxa"/>
              <w:bottom w:w="30" w:type="dxa"/>
              <w:right w:w="20" w:type="dxa"/>
            </w:tcMar>
            <w:hideMark/>
          </w:tcPr>
          <w:p w14:paraId="2155C15C" w14:textId="77777777" w:rsidR="00000000" w:rsidRDefault="001A570A">
            <w:pPr>
              <w:rPr>
                <w:rFonts w:eastAsia="Times New Roman"/>
              </w:rPr>
            </w:pPr>
            <w:r>
              <w:rPr>
                <w:rFonts w:eastAsia="Times New Roman"/>
                <w:b/>
                <w:bCs/>
                <w:color w:val="000000"/>
                <w:sz w:val="20"/>
                <w:szCs w:val="20"/>
              </w:rPr>
              <w:t>(1)    List of Financial Statements Filed as Part of this Report:</w:t>
            </w:r>
          </w:p>
        </w:tc>
        <w:tc>
          <w:tcPr>
            <w:tcW w:w="0" w:type="auto"/>
            <w:gridSpan w:val="3"/>
            <w:tcBorders>
              <w:top w:val="single" w:sz="8" w:space="0" w:color="000000"/>
            </w:tcBorders>
            <w:tcMar>
              <w:top w:w="0" w:type="dxa"/>
              <w:left w:w="20" w:type="dxa"/>
              <w:bottom w:w="0" w:type="dxa"/>
              <w:right w:w="20" w:type="dxa"/>
            </w:tcMar>
            <w:vAlign w:val="center"/>
            <w:hideMark/>
          </w:tcPr>
          <w:p w14:paraId="71E7A6EF" w14:textId="77777777" w:rsidR="00000000" w:rsidRDefault="001A570A">
            <w:pPr>
              <w:rPr>
                <w:rFonts w:eastAsia="Times New Roman"/>
              </w:rPr>
            </w:pPr>
          </w:p>
        </w:tc>
      </w:tr>
      <w:tr w:rsidR="00000000" w14:paraId="0E66DFAE" w14:textId="77777777">
        <w:trPr>
          <w:divId w:val="1603611399"/>
        </w:trPr>
        <w:tc>
          <w:tcPr>
            <w:tcW w:w="0" w:type="auto"/>
            <w:gridSpan w:val="3"/>
            <w:tcMar>
              <w:top w:w="30" w:type="dxa"/>
              <w:left w:w="605" w:type="dxa"/>
              <w:bottom w:w="30" w:type="dxa"/>
              <w:right w:w="20" w:type="dxa"/>
            </w:tcMar>
            <w:hideMark/>
          </w:tcPr>
          <w:p w14:paraId="05C12970" w14:textId="77777777" w:rsidR="00000000" w:rsidRDefault="001A570A">
            <w:pPr>
              <w:rPr>
                <w:rFonts w:eastAsia="Times New Roman"/>
              </w:rPr>
            </w:pPr>
            <w:r>
              <w:rPr>
                <w:rFonts w:eastAsia="Times New Roman"/>
                <w:color w:val="000000"/>
                <w:sz w:val="20"/>
                <w:szCs w:val="20"/>
              </w:rPr>
              <w:t>The following financial statements and reports of L3Harris Technologies, Inc. and its consolidated subsidiaries are included in Item 8 of this Report at the page numbers referenced below:</w:t>
            </w:r>
          </w:p>
        </w:tc>
        <w:tc>
          <w:tcPr>
            <w:tcW w:w="0" w:type="auto"/>
            <w:gridSpan w:val="3"/>
            <w:tcMar>
              <w:top w:w="0" w:type="dxa"/>
              <w:left w:w="20" w:type="dxa"/>
              <w:bottom w:w="0" w:type="dxa"/>
              <w:right w:w="20" w:type="dxa"/>
            </w:tcMar>
            <w:vAlign w:val="center"/>
            <w:hideMark/>
          </w:tcPr>
          <w:p w14:paraId="5E5F705F" w14:textId="77777777" w:rsidR="00000000" w:rsidRDefault="001A570A">
            <w:pPr>
              <w:rPr>
                <w:rFonts w:eastAsia="Times New Roman"/>
              </w:rPr>
            </w:pPr>
          </w:p>
        </w:tc>
      </w:tr>
      <w:tr w:rsidR="00000000" w14:paraId="78154FE4" w14:textId="77777777">
        <w:trPr>
          <w:divId w:val="1603611399"/>
        </w:trPr>
        <w:tc>
          <w:tcPr>
            <w:tcW w:w="0" w:type="auto"/>
            <w:gridSpan w:val="3"/>
            <w:tcMar>
              <w:top w:w="30" w:type="dxa"/>
              <w:left w:w="20" w:type="dxa"/>
              <w:bottom w:w="30" w:type="dxa"/>
              <w:right w:w="20" w:type="dxa"/>
            </w:tcMar>
            <w:hideMark/>
          </w:tcPr>
          <w:p w14:paraId="1B9FD0A8" w14:textId="77777777" w:rsidR="00000000" w:rsidRDefault="001A570A">
            <w:pPr>
              <w:divId w:val="506404904"/>
              <w:rPr>
                <w:rFonts w:eastAsia="Times New Roman"/>
              </w:rPr>
            </w:pPr>
            <w:hyperlink w:anchor="i4275b480e8e04971b24237f63c242920_70" w:history="1">
              <w:r>
                <w:rPr>
                  <w:rStyle w:val="a3"/>
                  <w:rFonts w:eastAsia="Times New Roman"/>
                  <w:color w:val="000000"/>
                  <w:sz w:val="20"/>
                  <w:szCs w:val="20"/>
                  <w:u w:val="none"/>
                </w:rPr>
                <w:t>Management’s Report on Internal Control Over Financial Reporting</w:t>
              </w:r>
            </w:hyperlink>
          </w:p>
        </w:tc>
        <w:tc>
          <w:tcPr>
            <w:tcW w:w="0" w:type="auto"/>
            <w:gridSpan w:val="3"/>
            <w:tcMar>
              <w:top w:w="30" w:type="dxa"/>
              <w:left w:w="20" w:type="dxa"/>
              <w:bottom w:w="30" w:type="dxa"/>
              <w:right w:w="20" w:type="dxa"/>
            </w:tcMar>
            <w:vAlign w:val="bottom"/>
            <w:hideMark/>
          </w:tcPr>
          <w:p w14:paraId="5D148A95" w14:textId="77777777" w:rsidR="00000000" w:rsidRDefault="001A570A">
            <w:pPr>
              <w:jc w:val="right"/>
              <w:rPr>
                <w:rFonts w:eastAsia="Times New Roman"/>
              </w:rPr>
            </w:pPr>
            <w:hyperlink w:anchor="i4275b480e8e04971b24237f63c242920_70" w:history="1">
              <w:r>
                <w:rPr>
                  <w:rStyle w:val="a3"/>
                  <w:rFonts w:eastAsia="Times New Roman"/>
                  <w:color w:val="000000"/>
                  <w:sz w:val="20"/>
                  <w:szCs w:val="20"/>
                  <w:u w:val="none"/>
                </w:rPr>
                <w:t>71</w:t>
              </w:r>
            </w:hyperlink>
          </w:p>
        </w:tc>
      </w:tr>
      <w:tr w:rsidR="00000000" w14:paraId="5B301B1C" w14:textId="77777777">
        <w:trPr>
          <w:divId w:val="1603611399"/>
        </w:trPr>
        <w:tc>
          <w:tcPr>
            <w:tcW w:w="0" w:type="auto"/>
            <w:gridSpan w:val="3"/>
            <w:tcMar>
              <w:top w:w="30" w:type="dxa"/>
              <w:left w:w="20" w:type="dxa"/>
              <w:bottom w:w="30" w:type="dxa"/>
              <w:right w:w="20" w:type="dxa"/>
            </w:tcMar>
            <w:hideMark/>
          </w:tcPr>
          <w:p w14:paraId="64A6CEE5" w14:textId="77777777" w:rsidR="00000000" w:rsidRDefault="001A570A">
            <w:pPr>
              <w:ind w:hanging="270"/>
              <w:divId w:val="822505114"/>
              <w:rPr>
                <w:rFonts w:eastAsia="Times New Roman"/>
              </w:rPr>
            </w:pPr>
            <w:hyperlink w:anchor="i4275b480e8e04971b24237f63c242920_73" w:history="1">
              <w:r>
                <w:rPr>
                  <w:rStyle w:val="a3"/>
                  <w:rFonts w:eastAsia="Times New Roman"/>
                  <w:color w:val="000000"/>
                  <w:sz w:val="20"/>
                  <w:szCs w:val="20"/>
                  <w:u w:val="none"/>
                </w:rPr>
                <w:t>Report</w:t>
              </w:r>
              <w:r>
                <w:rPr>
                  <w:rStyle w:val="a3"/>
                  <w:rFonts w:eastAsia="Times New Roman"/>
                  <w:color w:val="000000"/>
                  <w:sz w:val="20"/>
                  <w:szCs w:val="20"/>
                  <w:u w:val="none"/>
                </w:rPr>
                <w:t xml:space="preserve"> of Independent Registered Public Accounting Firm on the Consolidated Financial Statements</w:t>
              </w:r>
            </w:hyperlink>
          </w:p>
        </w:tc>
        <w:tc>
          <w:tcPr>
            <w:tcW w:w="0" w:type="auto"/>
            <w:gridSpan w:val="3"/>
            <w:tcMar>
              <w:top w:w="30" w:type="dxa"/>
              <w:left w:w="20" w:type="dxa"/>
              <w:bottom w:w="30" w:type="dxa"/>
              <w:right w:w="20" w:type="dxa"/>
            </w:tcMar>
            <w:vAlign w:val="bottom"/>
            <w:hideMark/>
          </w:tcPr>
          <w:p w14:paraId="6E5C04C6" w14:textId="77777777" w:rsidR="00000000" w:rsidRDefault="001A570A">
            <w:pPr>
              <w:jc w:val="right"/>
              <w:rPr>
                <w:rFonts w:eastAsia="Times New Roman"/>
              </w:rPr>
            </w:pPr>
            <w:hyperlink w:anchor="i4275b480e8e04971b24237f63c242920_73" w:history="1">
              <w:r>
                <w:rPr>
                  <w:rStyle w:val="a3"/>
                  <w:rFonts w:eastAsia="Times New Roman"/>
                  <w:color w:val="000000"/>
                  <w:sz w:val="20"/>
                  <w:szCs w:val="20"/>
                  <w:u w:val="none"/>
                </w:rPr>
                <w:t>72</w:t>
              </w:r>
            </w:hyperlink>
          </w:p>
        </w:tc>
      </w:tr>
      <w:tr w:rsidR="00000000" w14:paraId="6E456EAD" w14:textId="77777777">
        <w:trPr>
          <w:divId w:val="1603611399"/>
        </w:trPr>
        <w:tc>
          <w:tcPr>
            <w:tcW w:w="0" w:type="auto"/>
            <w:gridSpan w:val="3"/>
            <w:tcMar>
              <w:top w:w="30" w:type="dxa"/>
              <w:left w:w="20" w:type="dxa"/>
              <w:bottom w:w="30" w:type="dxa"/>
              <w:right w:w="20" w:type="dxa"/>
            </w:tcMar>
            <w:hideMark/>
          </w:tcPr>
          <w:p w14:paraId="5F8CF2B0" w14:textId="77777777" w:rsidR="00000000" w:rsidRDefault="001A570A">
            <w:pPr>
              <w:ind w:hanging="270"/>
              <w:divId w:val="741173068"/>
              <w:rPr>
                <w:rFonts w:eastAsia="Times New Roman"/>
              </w:rPr>
            </w:pPr>
            <w:hyperlink w:anchor="i4275b480e8e04971b24237f63c242920_76" w:history="1">
              <w:r>
                <w:rPr>
                  <w:rStyle w:val="a3"/>
                  <w:rFonts w:eastAsia="Times New Roman"/>
                  <w:color w:val="000000"/>
                  <w:sz w:val="20"/>
                  <w:szCs w:val="20"/>
                  <w:u w:val="none"/>
                </w:rPr>
                <w:t>Report of Independent Registered Public</w:t>
              </w:r>
              <w:r>
                <w:rPr>
                  <w:rStyle w:val="a3"/>
                  <w:rFonts w:eastAsia="Times New Roman"/>
                  <w:color w:val="000000"/>
                  <w:sz w:val="20"/>
                  <w:szCs w:val="20"/>
                  <w:u w:val="none"/>
                </w:rPr>
                <w:t xml:space="preserve"> Accounting Firm on the Effectiveness of Internal Control Over Financial Reporting</w:t>
              </w:r>
            </w:hyperlink>
          </w:p>
        </w:tc>
        <w:tc>
          <w:tcPr>
            <w:tcW w:w="0" w:type="auto"/>
            <w:gridSpan w:val="3"/>
            <w:tcMar>
              <w:top w:w="30" w:type="dxa"/>
              <w:left w:w="20" w:type="dxa"/>
              <w:bottom w:w="30" w:type="dxa"/>
              <w:right w:w="20" w:type="dxa"/>
            </w:tcMar>
            <w:vAlign w:val="bottom"/>
            <w:hideMark/>
          </w:tcPr>
          <w:p w14:paraId="3D472AE5" w14:textId="77777777" w:rsidR="00000000" w:rsidRDefault="001A570A">
            <w:pPr>
              <w:jc w:val="right"/>
              <w:rPr>
                <w:rFonts w:eastAsia="Times New Roman"/>
              </w:rPr>
            </w:pPr>
            <w:hyperlink w:anchor="i4275b480e8e04971b24237f63c242920_76" w:history="1">
              <w:r>
                <w:rPr>
                  <w:rStyle w:val="a3"/>
                  <w:rFonts w:eastAsia="Times New Roman"/>
                  <w:color w:val="000000"/>
                  <w:sz w:val="20"/>
                  <w:szCs w:val="20"/>
                  <w:u w:val="none"/>
                </w:rPr>
                <w:t>75</w:t>
              </w:r>
            </w:hyperlink>
          </w:p>
        </w:tc>
      </w:tr>
      <w:tr w:rsidR="00000000" w14:paraId="40DD814B" w14:textId="77777777">
        <w:trPr>
          <w:divId w:val="1603611399"/>
        </w:trPr>
        <w:tc>
          <w:tcPr>
            <w:tcW w:w="0" w:type="auto"/>
            <w:gridSpan w:val="3"/>
            <w:tcMar>
              <w:top w:w="30" w:type="dxa"/>
              <w:left w:w="875" w:type="dxa"/>
              <w:bottom w:w="30" w:type="dxa"/>
              <w:right w:w="20" w:type="dxa"/>
            </w:tcMar>
            <w:hideMark/>
          </w:tcPr>
          <w:p w14:paraId="78B3DABB" w14:textId="77777777" w:rsidR="00000000" w:rsidRDefault="001A570A">
            <w:pPr>
              <w:ind w:hanging="270"/>
              <w:rPr>
                <w:rFonts w:eastAsia="Times New Roman"/>
              </w:rPr>
            </w:pPr>
            <w:r>
              <w:rPr>
                <w:rFonts w:eastAsia="Times New Roman"/>
                <w:color w:val="000000"/>
                <w:sz w:val="20"/>
                <w:szCs w:val="20"/>
              </w:rPr>
              <w:t xml:space="preserve">Consolidated Statement of Income — </w:t>
            </w:r>
            <w:r>
              <w:rPr>
                <w:rFonts w:eastAsia="Times New Roman"/>
                <w:color w:val="000000"/>
                <w:sz w:val="20"/>
                <w:szCs w:val="20"/>
              </w:rPr>
              <w:t>Fiscal Year Ended January 1, 2021; Two Quarters Ended January 3, 2020; and Fiscal Years Ended June 28, 2019 and June 29, 2018</w:t>
            </w:r>
          </w:p>
        </w:tc>
        <w:tc>
          <w:tcPr>
            <w:tcW w:w="0" w:type="auto"/>
            <w:gridSpan w:val="3"/>
            <w:tcMar>
              <w:top w:w="30" w:type="dxa"/>
              <w:left w:w="20" w:type="dxa"/>
              <w:bottom w:w="30" w:type="dxa"/>
              <w:right w:w="20" w:type="dxa"/>
            </w:tcMar>
            <w:vAlign w:val="bottom"/>
            <w:hideMark/>
          </w:tcPr>
          <w:p w14:paraId="26DB29C0" w14:textId="77777777" w:rsidR="00000000" w:rsidRDefault="001A570A">
            <w:pPr>
              <w:jc w:val="right"/>
              <w:rPr>
                <w:rFonts w:eastAsia="Times New Roman"/>
              </w:rPr>
            </w:pPr>
            <w:hyperlink w:anchor="i4275b480e8e04971b24237f63c242920_79" w:history="1">
              <w:r>
                <w:rPr>
                  <w:rStyle w:val="a3"/>
                  <w:rFonts w:eastAsia="Times New Roman"/>
                  <w:color w:val="000000"/>
                  <w:sz w:val="20"/>
                  <w:szCs w:val="20"/>
                  <w:u w:val="none"/>
                </w:rPr>
                <w:t>76</w:t>
              </w:r>
            </w:hyperlink>
          </w:p>
        </w:tc>
      </w:tr>
      <w:tr w:rsidR="00000000" w14:paraId="756E01A0" w14:textId="77777777">
        <w:trPr>
          <w:divId w:val="1603611399"/>
        </w:trPr>
        <w:tc>
          <w:tcPr>
            <w:tcW w:w="0" w:type="auto"/>
            <w:gridSpan w:val="3"/>
            <w:tcMar>
              <w:top w:w="30" w:type="dxa"/>
              <w:left w:w="875" w:type="dxa"/>
              <w:bottom w:w="30" w:type="dxa"/>
              <w:right w:w="20" w:type="dxa"/>
            </w:tcMar>
            <w:hideMark/>
          </w:tcPr>
          <w:p w14:paraId="0CB5EC39" w14:textId="77777777" w:rsidR="00000000" w:rsidRDefault="001A570A">
            <w:pPr>
              <w:ind w:hanging="270"/>
              <w:rPr>
                <w:rFonts w:eastAsia="Times New Roman"/>
              </w:rPr>
            </w:pPr>
            <w:r>
              <w:rPr>
                <w:rFonts w:eastAsia="Times New Roman"/>
                <w:color w:val="000000"/>
                <w:sz w:val="20"/>
                <w:szCs w:val="20"/>
              </w:rPr>
              <w:t>Consolidated Statement of Comprehensive Income — Fiscal Year En</w:t>
            </w:r>
            <w:r>
              <w:rPr>
                <w:rFonts w:eastAsia="Times New Roman"/>
                <w:color w:val="000000"/>
                <w:sz w:val="20"/>
                <w:szCs w:val="20"/>
              </w:rPr>
              <w:t>ded January 1, 2021; Two Quarters Ended January 3, 2020; and Fiscal Years Ended June 28, 2019 and June 29, 2018</w:t>
            </w:r>
          </w:p>
        </w:tc>
        <w:tc>
          <w:tcPr>
            <w:tcW w:w="0" w:type="auto"/>
            <w:gridSpan w:val="3"/>
            <w:tcMar>
              <w:top w:w="30" w:type="dxa"/>
              <w:left w:w="20" w:type="dxa"/>
              <w:bottom w:w="30" w:type="dxa"/>
              <w:right w:w="20" w:type="dxa"/>
            </w:tcMar>
            <w:vAlign w:val="bottom"/>
            <w:hideMark/>
          </w:tcPr>
          <w:p w14:paraId="3A33EF3E" w14:textId="77777777" w:rsidR="00000000" w:rsidRDefault="001A570A">
            <w:pPr>
              <w:jc w:val="right"/>
              <w:rPr>
                <w:rFonts w:eastAsia="Times New Roman"/>
              </w:rPr>
            </w:pPr>
            <w:hyperlink w:anchor="i4275b480e8e04971b24237f63c242920_82" w:history="1">
              <w:r>
                <w:rPr>
                  <w:rStyle w:val="a3"/>
                  <w:rFonts w:eastAsia="Times New Roman"/>
                  <w:color w:val="000000"/>
                  <w:sz w:val="20"/>
                  <w:szCs w:val="20"/>
                  <w:u w:val="none"/>
                </w:rPr>
                <w:t>77</w:t>
              </w:r>
            </w:hyperlink>
          </w:p>
        </w:tc>
      </w:tr>
      <w:tr w:rsidR="00000000" w14:paraId="0C148412" w14:textId="77777777">
        <w:trPr>
          <w:divId w:val="1603611399"/>
        </w:trPr>
        <w:tc>
          <w:tcPr>
            <w:tcW w:w="0" w:type="auto"/>
            <w:gridSpan w:val="3"/>
            <w:tcMar>
              <w:top w:w="30" w:type="dxa"/>
              <w:left w:w="605" w:type="dxa"/>
              <w:bottom w:w="30" w:type="dxa"/>
              <w:right w:w="20" w:type="dxa"/>
            </w:tcMar>
            <w:hideMark/>
          </w:tcPr>
          <w:p w14:paraId="18414ABE" w14:textId="77777777" w:rsidR="00000000" w:rsidRDefault="001A570A">
            <w:pPr>
              <w:rPr>
                <w:rFonts w:eastAsia="Times New Roman"/>
              </w:rPr>
            </w:pPr>
            <w:r>
              <w:rPr>
                <w:rFonts w:eastAsia="Times New Roman"/>
                <w:color w:val="000000"/>
                <w:sz w:val="20"/>
                <w:szCs w:val="20"/>
              </w:rPr>
              <w:t xml:space="preserve">Consolidated Balance Sheet — </w:t>
            </w:r>
            <w:r>
              <w:rPr>
                <w:rFonts w:eastAsia="Times New Roman"/>
                <w:color w:val="000000"/>
                <w:sz w:val="20"/>
                <w:szCs w:val="20"/>
              </w:rPr>
              <w:t>January 1, 2021 and January 3, 2020</w:t>
            </w:r>
          </w:p>
        </w:tc>
        <w:tc>
          <w:tcPr>
            <w:tcW w:w="0" w:type="auto"/>
            <w:gridSpan w:val="3"/>
            <w:tcMar>
              <w:top w:w="30" w:type="dxa"/>
              <w:left w:w="20" w:type="dxa"/>
              <w:bottom w:w="30" w:type="dxa"/>
              <w:right w:w="20" w:type="dxa"/>
            </w:tcMar>
            <w:vAlign w:val="bottom"/>
            <w:hideMark/>
          </w:tcPr>
          <w:p w14:paraId="1BDD18FE" w14:textId="77777777" w:rsidR="00000000" w:rsidRDefault="001A570A">
            <w:pPr>
              <w:jc w:val="right"/>
              <w:rPr>
                <w:rFonts w:eastAsia="Times New Roman"/>
              </w:rPr>
            </w:pPr>
            <w:hyperlink w:anchor="i4275b480e8e04971b24237f63c242920_85" w:history="1">
              <w:r>
                <w:rPr>
                  <w:rStyle w:val="a3"/>
                  <w:rFonts w:eastAsia="Times New Roman"/>
                  <w:color w:val="000000"/>
                  <w:sz w:val="20"/>
                  <w:szCs w:val="20"/>
                  <w:u w:val="none"/>
                </w:rPr>
                <w:t>78</w:t>
              </w:r>
            </w:hyperlink>
          </w:p>
        </w:tc>
      </w:tr>
      <w:tr w:rsidR="00000000" w14:paraId="00986CDD" w14:textId="77777777">
        <w:trPr>
          <w:divId w:val="1603611399"/>
        </w:trPr>
        <w:tc>
          <w:tcPr>
            <w:tcW w:w="0" w:type="auto"/>
            <w:gridSpan w:val="3"/>
            <w:tcMar>
              <w:top w:w="30" w:type="dxa"/>
              <w:left w:w="875" w:type="dxa"/>
              <w:bottom w:w="30" w:type="dxa"/>
              <w:right w:w="20" w:type="dxa"/>
            </w:tcMar>
            <w:hideMark/>
          </w:tcPr>
          <w:p w14:paraId="0A1B5812" w14:textId="77777777" w:rsidR="00000000" w:rsidRDefault="001A570A">
            <w:pPr>
              <w:ind w:hanging="270"/>
              <w:rPr>
                <w:rFonts w:eastAsia="Times New Roman"/>
              </w:rPr>
            </w:pPr>
            <w:r>
              <w:rPr>
                <w:rFonts w:eastAsia="Times New Roman"/>
                <w:color w:val="000000"/>
                <w:sz w:val="20"/>
                <w:szCs w:val="20"/>
              </w:rPr>
              <w:t>Consolidated Statement of Cash Flows — Fiscal Year Ended January 1, 2021; Two Quarters ended January 3, 2020; and Fiscal Years Ended June 28, 2019 and Ju</w:t>
            </w:r>
            <w:r>
              <w:rPr>
                <w:rFonts w:eastAsia="Times New Roman"/>
                <w:color w:val="000000"/>
                <w:sz w:val="20"/>
                <w:szCs w:val="20"/>
              </w:rPr>
              <w:t>ne 29, 2018</w:t>
            </w:r>
          </w:p>
        </w:tc>
        <w:tc>
          <w:tcPr>
            <w:tcW w:w="0" w:type="auto"/>
            <w:gridSpan w:val="3"/>
            <w:tcMar>
              <w:top w:w="30" w:type="dxa"/>
              <w:left w:w="20" w:type="dxa"/>
              <w:bottom w:w="30" w:type="dxa"/>
              <w:right w:w="20" w:type="dxa"/>
            </w:tcMar>
            <w:vAlign w:val="bottom"/>
            <w:hideMark/>
          </w:tcPr>
          <w:p w14:paraId="560E607D" w14:textId="77777777" w:rsidR="00000000" w:rsidRDefault="001A570A">
            <w:pPr>
              <w:jc w:val="right"/>
              <w:rPr>
                <w:rFonts w:eastAsia="Times New Roman"/>
              </w:rPr>
            </w:pPr>
            <w:hyperlink w:anchor="i4275b480e8e04971b24237f63c242920_91" w:history="1">
              <w:r>
                <w:rPr>
                  <w:rStyle w:val="a3"/>
                  <w:rFonts w:eastAsia="Times New Roman"/>
                  <w:color w:val="000000"/>
                  <w:sz w:val="20"/>
                  <w:szCs w:val="20"/>
                  <w:u w:val="none"/>
                </w:rPr>
                <w:t>79</w:t>
              </w:r>
            </w:hyperlink>
          </w:p>
        </w:tc>
      </w:tr>
      <w:tr w:rsidR="00000000" w14:paraId="271E7AC2" w14:textId="77777777">
        <w:trPr>
          <w:divId w:val="1603611399"/>
        </w:trPr>
        <w:tc>
          <w:tcPr>
            <w:tcW w:w="0" w:type="auto"/>
            <w:gridSpan w:val="3"/>
            <w:tcMar>
              <w:top w:w="30" w:type="dxa"/>
              <w:left w:w="875" w:type="dxa"/>
              <w:bottom w:w="30" w:type="dxa"/>
              <w:right w:w="20" w:type="dxa"/>
            </w:tcMar>
            <w:hideMark/>
          </w:tcPr>
          <w:p w14:paraId="7294F867" w14:textId="77777777" w:rsidR="00000000" w:rsidRDefault="001A570A">
            <w:pPr>
              <w:ind w:hanging="270"/>
              <w:rPr>
                <w:rFonts w:eastAsia="Times New Roman"/>
              </w:rPr>
            </w:pPr>
            <w:r>
              <w:rPr>
                <w:rFonts w:eastAsia="Times New Roman"/>
                <w:color w:val="000000"/>
                <w:sz w:val="20"/>
                <w:szCs w:val="20"/>
              </w:rPr>
              <w:t xml:space="preserve">Consolidated Statement of Equity — </w:t>
            </w:r>
            <w:r>
              <w:rPr>
                <w:rFonts w:eastAsia="Times New Roman"/>
                <w:color w:val="000000"/>
                <w:sz w:val="20"/>
                <w:szCs w:val="20"/>
              </w:rPr>
              <w:t>Fiscal Year ended January 1, 2021; Two Quarters ended January 3, 2020 and Fiscal Years ended June 28, 2019; June 29, 2018</w:t>
            </w:r>
          </w:p>
        </w:tc>
        <w:tc>
          <w:tcPr>
            <w:tcW w:w="0" w:type="auto"/>
            <w:gridSpan w:val="3"/>
            <w:tcMar>
              <w:top w:w="30" w:type="dxa"/>
              <w:left w:w="20" w:type="dxa"/>
              <w:bottom w:w="30" w:type="dxa"/>
              <w:right w:w="20" w:type="dxa"/>
            </w:tcMar>
            <w:vAlign w:val="bottom"/>
            <w:hideMark/>
          </w:tcPr>
          <w:p w14:paraId="580A885F" w14:textId="77777777" w:rsidR="00000000" w:rsidRDefault="001A570A">
            <w:pPr>
              <w:jc w:val="right"/>
              <w:rPr>
                <w:rFonts w:eastAsia="Times New Roman"/>
              </w:rPr>
            </w:pPr>
            <w:hyperlink w:anchor="i4275b480e8e04971b24237f63c242920_94" w:history="1">
              <w:r>
                <w:rPr>
                  <w:rStyle w:val="a3"/>
                  <w:rFonts w:eastAsia="Times New Roman"/>
                  <w:color w:val="000000"/>
                  <w:sz w:val="20"/>
                  <w:szCs w:val="20"/>
                  <w:u w:val="none"/>
                </w:rPr>
                <w:t>80</w:t>
              </w:r>
            </w:hyperlink>
          </w:p>
        </w:tc>
      </w:tr>
      <w:tr w:rsidR="00000000" w14:paraId="2A5AF9A0" w14:textId="77777777">
        <w:trPr>
          <w:divId w:val="1603611399"/>
        </w:trPr>
        <w:tc>
          <w:tcPr>
            <w:tcW w:w="0" w:type="auto"/>
            <w:gridSpan w:val="3"/>
            <w:tcMar>
              <w:top w:w="30" w:type="dxa"/>
              <w:left w:w="20" w:type="dxa"/>
              <w:bottom w:w="30" w:type="dxa"/>
              <w:right w:w="20" w:type="dxa"/>
            </w:tcMar>
            <w:hideMark/>
          </w:tcPr>
          <w:p w14:paraId="57581A93" w14:textId="77777777" w:rsidR="00000000" w:rsidRDefault="001A570A">
            <w:pPr>
              <w:divId w:val="2129003672"/>
              <w:rPr>
                <w:rFonts w:eastAsia="Times New Roman"/>
              </w:rPr>
            </w:pPr>
            <w:hyperlink w:anchor="i4275b480e8e04971b24237f63c242920_100" w:history="1">
              <w:r>
                <w:rPr>
                  <w:rStyle w:val="a3"/>
                  <w:rFonts w:eastAsia="Times New Roman"/>
                  <w:color w:val="000000"/>
                  <w:sz w:val="20"/>
                  <w:szCs w:val="20"/>
                  <w:u w:val="none"/>
                </w:rPr>
                <w:t>Notes t</w:t>
              </w:r>
              <w:r>
                <w:rPr>
                  <w:rStyle w:val="a3"/>
                  <w:rFonts w:eastAsia="Times New Roman"/>
                  <w:color w:val="000000"/>
                  <w:sz w:val="20"/>
                  <w:szCs w:val="20"/>
                  <w:u w:val="none"/>
                </w:rPr>
                <w:t>o Consolidated Financial Statements</w:t>
              </w:r>
            </w:hyperlink>
          </w:p>
        </w:tc>
        <w:tc>
          <w:tcPr>
            <w:tcW w:w="0" w:type="auto"/>
            <w:gridSpan w:val="3"/>
            <w:tcMar>
              <w:top w:w="30" w:type="dxa"/>
              <w:left w:w="20" w:type="dxa"/>
              <w:bottom w:w="30" w:type="dxa"/>
              <w:right w:w="20" w:type="dxa"/>
            </w:tcMar>
            <w:vAlign w:val="bottom"/>
            <w:hideMark/>
          </w:tcPr>
          <w:p w14:paraId="6A0058C9" w14:textId="77777777" w:rsidR="00000000" w:rsidRDefault="001A570A">
            <w:pPr>
              <w:jc w:val="right"/>
              <w:rPr>
                <w:rFonts w:eastAsia="Times New Roman"/>
              </w:rPr>
            </w:pPr>
            <w:hyperlink w:anchor="i4275b480e8e04971b24237f63c242920_100" w:history="1">
              <w:r>
                <w:rPr>
                  <w:rStyle w:val="a3"/>
                  <w:rFonts w:eastAsia="Times New Roman"/>
                  <w:color w:val="000000"/>
                  <w:sz w:val="20"/>
                  <w:szCs w:val="20"/>
                  <w:u w:val="none"/>
                </w:rPr>
                <w:t>81</w:t>
              </w:r>
            </w:hyperlink>
          </w:p>
        </w:tc>
      </w:tr>
      <w:tr w:rsidR="00000000" w14:paraId="0D5477C6" w14:textId="77777777">
        <w:trPr>
          <w:divId w:val="1603611399"/>
        </w:trPr>
        <w:tc>
          <w:tcPr>
            <w:tcW w:w="0" w:type="auto"/>
            <w:gridSpan w:val="3"/>
            <w:tcMar>
              <w:top w:w="30" w:type="dxa"/>
              <w:left w:w="155" w:type="dxa"/>
              <w:bottom w:w="30" w:type="dxa"/>
              <w:right w:w="20" w:type="dxa"/>
            </w:tcMar>
            <w:hideMark/>
          </w:tcPr>
          <w:p w14:paraId="7F274A76" w14:textId="77777777" w:rsidR="00000000" w:rsidRDefault="001A570A">
            <w:pPr>
              <w:rPr>
                <w:rFonts w:eastAsia="Times New Roman"/>
              </w:rPr>
            </w:pPr>
            <w:r>
              <w:rPr>
                <w:rFonts w:eastAsia="Times New Roman"/>
                <w:b/>
                <w:bCs/>
                <w:color w:val="000000"/>
                <w:sz w:val="20"/>
                <w:szCs w:val="20"/>
              </w:rPr>
              <w:t>(2)    Financial Statement Schedules:</w:t>
            </w:r>
          </w:p>
        </w:tc>
        <w:tc>
          <w:tcPr>
            <w:tcW w:w="0" w:type="auto"/>
            <w:gridSpan w:val="3"/>
            <w:tcMar>
              <w:top w:w="0" w:type="dxa"/>
              <w:left w:w="20" w:type="dxa"/>
              <w:bottom w:w="0" w:type="dxa"/>
              <w:right w:w="20" w:type="dxa"/>
            </w:tcMar>
            <w:vAlign w:val="center"/>
            <w:hideMark/>
          </w:tcPr>
          <w:p w14:paraId="21607AD1" w14:textId="77777777" w:rsidR="00000000" w:rsidRDefault="001A570A">
            <w:pPr>
              <w:rPr>
                <w:rFonts w:eastAsia="Times New Roman"/>
              </w:rPr>
            </w:pPr>
          </w:p>
        </w:tc>
      </w:tr>
      <w:tr w:rsidR="00000000" w14:paraId="6BC7C048" w14:textId="77777777">
        <w:trPr>
          <w:divId w:val="1603611399"/>
        </w:trPr>
        <w:tc>
          <w:tcPr>
            <w:tcW w:w="0" w:type="auto"/>
            <w:gridSpan w:val="3"/>
            <w:tcMar>
              <w:top w:w="30" w:type="dxa"/>
              <w:left w:w="605" w:type="dxa"/>
              <w:bottom w:w="30" w:type="dxa"/>
              <w:right w:w="20" w:type="dxa"/>
            </w:tcMar>
            <w:hideMark/>
          </w:tcPr>
          <w:p w14:paraId="7C83A438" w14:textId="77777777" w:rsidR="00000000" w:rsidRDefault="001A570A">
            <w:pPr>
              <w:rPr>
                <w:rFonts w:eastAsia="Times New Roman"/>
              </w:rPr>
            </w:pPr>
            <w:r>
              <w:rPr>
                <w:rFonts w:eastAsia="Times New Roman"/>
                <w:color w:val="000000"/>
                <w:sz w:val="20"/>
                <w:szCs w:val="20"/>
              </w:rPr>
              <w:t>All schedules are omitted because they are not applicable, the amounts are not significant or the required information is shown in the Consolidated Financial Statements or the Notes thereto.</w:t>
            </w:r>
          </w:p>
        </w:tc>
        <w:tc>
          <w:tcPr>
            <w:tcW w:w="0" w:type="auto"/>
            <w:gridSpan w:val="3"/>
            <w:tcMar>
              <w:top w:w="0" w:type="dxa"/>
              <w:left w:w="20" w:type="dxa"/>
              <w:bottom w:w="0" w:type="dxa"/>
              <w:right w:w="20" w:type="dxa"/>
            </w:tcMar>
            <w:vAlign w:val="center"/>
            <w:hideMark/>
          </w:tcPr>
          <w:p w14:paraId="613FE882" w14:textId="77777777" w:rsidR="00000000" w:rsidRDefault="001A570A">
            <w:pPr>
              <w:rPr>
                <w:rFonts w:eastAsia="Times New Roman"/>
              </w:rPr>
            </w:pPr>
          </w:p>
        </w:tc>
      </w:tr>
    </w:tbl>
    <w:p w14:paraId="69286A10" w14:textId="77777777" w:rsidR="00000000" w:rsidRDefault="001A570A">
      <w:pPr>
        <w:ind w:firstLine="180"/>
        <w:divId w:val="1191451070"/>
        <w:rPr>
          <w:rFonts w:eastAsia="Times New Roman"/>
        </w:rPr>
      </w:pPr>
      <w:r>
        <w:rPr>
          <w:rFonts w:eastAsia="Times New Roman"/>
          <w:b/>
          <w:bCs/>
          <w:color w:val="000000"/>
          <w:sz w:val="20"/>
          <w:szCs w:val="20"/>
        </w:rPr>
        <w:t xml:space="preserve">(3)    Exhibits: </w:t>
      </w:r>
    </w:p>
    <w:p w14:paraId="4E79D4D5" w14:textId="77777777" w:rsidR="00000000" w:rsidRDefault="001A570A">
      <w:pPr>
        <w:ind w:firstLine="450"/>
        <w:divId w:val="785544011"/>
        <w:rPr>
          <w:rFonts w:eastAsia="Times New Roman"/>
        </w:rPr>
      </w:pPr>
      <w:r>
        <w:rPr>
          <w:rFonts w:eastAsia="Times New Roman"/>
          <w:color w:val="000000"/>
          <w:sz w:val="20"/>
          <w:szCs w:val="20"/>
        </w:rPr>
        <w:t>The following exhibits are filed herewith or are incorporated herein by reference to exhibits previously filed with the SEC:</w:t>
      </w:r>
    </w:p>
    <w:p w14:paraId="32E6D43C" w14:textId="77777777" w:rsidR="00000000" w:rsidRDefault="001A570A">
      <w:pPr>
        <w:ind w:hanging="900"/>
        <w:divId w:val="950554948"/>
        <w:rPr>
          <w:rFonts w:eastAsia="Times New Roman"/>
        </w:rPr>
      </w:pPr>
      <w:hyperlink r:id="rId6" w:history="1">
        <w:r>
          <w:rPr>
            <w:rStyle w:val="a3"/>
            <w:rFonts w:eastAsia="Times New Roman"/>
            <w:sz w:val="20"/>
            <w:szCs w:val="20"/>
          </w:rPr>
          <w:t>***(2)(a)</w:t>
        </w:r>
      </w:hyperlink>
      <w:hyperlink r:id="rId7" w:history="1">
        <w:r>
          <w:rPr>
            <w:rStyle w:val="a3"/>
            <w:rFonts w:eastAsia="Times New Roman"/>
            <w:sz w:val="20"/>
            <w:szCs w:val="20"/>
          </w:rPr>
          <w:t xml:space="preserve"> </w:t>
        </w:r>
      </w:hyperlink>
      <w:hyperlink r:id="rId8" w:history="1">
        <w:r>
          <w:rPr>
            <w:rStyle w:val="a3"/>
            <w:rFonts w:eastAsia="Times New Roman"/>
            <w:sz w:val="20"/>
            <w:szCs w:val="20"/>
          </w:rPr>
          <w:t>Agreement and Plan of Merger, dated</w:t>
        </w:r>
        <w:r>
          <w:rPr>
            <w:rStyle w:val="a3"/>
            <w:rFonts w:eastAsia="Times New Roman"/>
            <w:sz w:val="20"/>
            <w:szCs w:val="20"/>
          </w:rPr>
          <w:t xml:space="preserve"> as of October 12, 2018, by and among Harris Corporation, L3 </w:t>
        </w:r>
      </w:hyperlink>
      <w:hyperlink r:id="rId9" w:history="1">
        <w:r>
          <w:rPr>
            <w:rStyle w:val="a3"/>
            <w:rFonts w:eastAsia="Times New Roman"/>
            <w:sz w:val="20"/>
            <w:szCs w:val="20"/>
          </w:rPr>
          <w:t>Technologies</w:t>
        </w:r>
      </w:hyperlink>
      <w:hyperlink r:id="rId10" w:history="1">
        <w:r>
          <w:rPr>
            <w:rStyle w:val="a3"/>
            <w:rFonts w:eastAsia="Times New Roman"/>
            <w:sz w:val="20"/>
            <w:szCs w:val="20"/>
          </w:rPr>
          <w:t>, Inc. and Leopard Merger Sub, Inc., incorporated herein by reference to Exhibit 2.1 to Harris Corporation’s Current Report on Form 8-K filed with the SEC on October 16, 2018. (Commission File Number 1-3863)</w:t>
        </w:r>
      </w:hyperlink>
    </w:p>
    <w:p w14:paraId="5C68C801" w14:textId="77777777" w:rsidR="00000000" w:rsidRDefault="001A570A">
      <w:pPr>
        <w:ind w:hanging="900"/>
        <w:divId w:val="864640318"/>
        <w:rPr>
          <w:rFonts w:eastAsia="Times New Roman"/>
        </w:rPr>
      </w:pPr>
      <w:r>
        <w:rPr>
          <w:rFonts w:eastAsia="Times New Roman"/>
          <w:color w:val="000000"/>
          <w:sz w:val="20"/>
          <w:szCs w:val="20"/>
        </w:rPr>
        <w:t>(</w:t>
      </w:r>
      <w:hyperlink r:id="rId11" w:history="1">
        <w:r>
          <w:rPr>
            <w:rStyle w:val="a3"/>
            <w:rFonts w:eastAsia="Times New Roman"/>
            <w:sz w:val="20"/>
            <w:szCs w:val="20"/>
          </w:rPr>
          <w:t>2)(b) First Amendment to Agreement and Plan of Merger, dated as of June 28, 2019, among L3 Technologies, Inc., Harris Corporation and Leopard Merger Sub Inc., incorporated her</w:t>
        </w:r>
        <w:r>
          <w:rPr>
            <w:rStyle w:val="a3"/>
            <w:rFonts w:eastAsia="Times New Roman"/>
            <w:sz w:val="20"/>
            <w:szCs w:val="20"/>
          </w:rPr>
          <w:t>ein by reference to Exhibit 2.2 to L3Harris Technologies, Inc.’s Current Report on Form 8-K filed with the SEC on July 1, 2019. (Commission File Number 1-3863)</w:t>
        </w:r>
      </w:hyperlink>
    </w:p>
    <w:p w14:paraId="3ACDAFC5" w14:textId="77777777" w:rsidR="00000000" w:rsidRDefault="001A570A">
      <w:pPr>
        <w:ind w:hanging="900"/>
        <w:divId w:val="1009217318"/>
        <w:rPr>
          <w:rFonts w:eastAsia="Times New Roman"/>
        </w:rPr>
      </w:pPr>
      <w:hyperlink r:id="rId12" w:history="1">
        <w:r>
          <w:rPr>
            <w:rStyle w:val="a3"/>
            <w:rFonts w:eastAsia="Times New Roman"/>
            <w:sz w:val="20"/>
            <w:szCs w:val="20"/>
          </w:rPr>
          <w:t>(3)(a</w:t>
        </w:r>
      </w:hyperlink>
      <w:hyperlink r:id="rId13" w:history="1">
        <w:r>
          <w:rPr>
            <w:rStyle w:val="a3"/>
            <w:rFonts w:eastAsia="Times New Roman"/>
            <w:sz w:val="20"/>
            <w:szCs w:val="20"/>
          </w:rPr>
          <w:t>)</w:t>
        </w:r>
      </w:hyperlink>
      <w:hyperlink r:id="rId14" w:history="1">
        <w:r>
          <w:rPr>
            <w:rStyle w:val="a3"/>
            <w:rFonts w:eastAsia="Times New Roman"/>
            <w:sz w:val="20"/>
            <w:szCs w:val="20"/>
          </w:rPr>
          <w:t xml:space="preserve"> </w:t>
        </w:r>
      </w:hyperlink>
      <w:hyperlink r:id="rId15" w:history="1">
        <w:r>
          <w:rPr>
            <w:rStyle w:val="a3"/>
            <w:rFonts w:eastAsia="Times New Roman"/>
            <w:sz w:val="20"/>
            <w:szCs w:val="20"/>
          </w:rPr>
          <w:t>Restated Certificate of Incorporation of L3Harris T</w:t>
        </w:r>
        <w:r>
          <w:rPr>
            <w:rStyle w:val="a3"/>
            <w:rFonts w:eastAsia="Times New Roman"/>
            <w:sz w:val="20"/>
            <w:szCs w:val="20"/>
          </w:rPr>
          <w:t xml:space="preserve">echnologies, Inc. (1995), as amended, incorporated herein by reference to Exhibit 3(a) to </w:t>
        </w:r>
      </w:hyperlink>
      <w:hyperlink r:id="rId16" w:history="1">
        <w:r>
          <w:rPr>
            <w:rStyle w:val="a3"/>
            <w:rFonts w:eastAsia="Times New Roman"/>
            <w:sz w:val="20"/>
            <w:szCs w:val="20"/>
          </w:rPr>
          <w:t>L3Harris Technologies, Inc.</w:t>
        </w:r>
      </w:hyperlink>
      <w:hyperlink r:id="rId17" w:history="1">
        <w:r>
          <w:rPr>
            <w:rStyle w:val="a3"/>
            <w:rFonts w:eastAsia="Times New Roman"/>
            <w:sz w:val="20"/>
            <w:szCs w:val="20"/>
          </w:rPr>
          <w:t>’s Quarterly Report on Form 10-Q filed with the SEC on May 7, 2020. (Commission File Number 1-3863)</w:t>
        </w:r>
      </w:hyperlink>
    </w:p>
    <w:p w14:paraId="7FDCF77F" w14:textId="77777777" w:rsidR="00000000" w:rsidRDefault="001A570A">
      <w:pPr>
        <w:ind w:hanging="900"/>
        <w:divId w:val="1031035078"/>
        <w:rPr>
          <w:rFonts w:eastAsia="Times New Roman"/>
        </w:rPr>
      </w:pPr>
      <w:hyperlink r:id="rId18" w:history="1">
        <w:r>
          <w:rPr>
            <w:rStyle w:val="a3"/>
            <w:rFonts w:eastAsia="Times New Roman"/>
            <w:sz w:val="20"/>
            <w:szCs w:val="20"/>
          </w:rPr>
          <w:t>(3)(b) Amended and Restated By-Laws of L3Harris Technologies, Inc., incorporated herein by reference to Exhibit 3.1 to L3Harris Technologies Inc.’s Current Report on Form 8-K filed with the SEC on April 7, 2020. (Commiss</w:t>
        </w:r>
        <w:r>
          <w:rPr>
            <w:rStyle w:val="a3"/>
            <w:rFonts w:eastAsia="Times New Roman"/>
            <w:sz w:val="20"/>
            <w:szCs w:val="20"/>
          </w:rPr>
          <w:t>ion File Number 1-3863)</w:t>
        </w:r>
      </w:hyperlink>
    </w:p>
    <w:p w14:paraId="5B0FC8A8" w14:textId="77777777" w:rsidR="00000000" w:rsidRDefault="001A570A">
      <w:pPr>
        <w:ind w:hanging="900"/>
        <w:divId w:val="1118526673"/>
        <w:rPr>
          <w:rFonts w:eastAsia="Times New Roman"/>
        </w:rPr>
      </w:pPr>
      <w:hyperlink r:id="rId19" w:history="1">
        <w:r>
          <w:rPr>
            <w:rStyle w:val="a3"/>
            <w:rFonts w:eastAsia="Times New Roman"/>
            <w:sz w:val="20"/>
            <w:szCs w:val="20"/>
          </w:rPr>
          <w:t>(4)(</w:t>
        </w:r>
      </w:hyperlink>
      <w:hyperlink r:id="rId20" w:history="1">
        <w:r>
          <w:rPr>
            <w:rStyle w:val="a3"/>
            <w:rFonts w:eastAsia="Times New Roman"/>
            <w:sz w:val="20"/>
            <w:szCs w:val="20"/>
          </w:rPr>
          <w:t>a</w:t>
        </w:r>
      </w:hyperlink>
      <w:hyperlink r:id="rId21" w:history="1">
        <w:r>
          <w:rPr>
            <w:rStyle w:val="a3"/>
            <w:rFonts w:eastAsia="Times New Roman"/>
            <w:sz w:val="20"/>
            <w:szCs w:val="20"/>
          </w:rPr>
          <w:t>)</w:t>
        </w:r>
      </w:hyperlink>
      <w:hyperlink r:id="rId22" w:history="1">
        <w:r>
          <w:rPr>
            <w:rStyle w:val="a3"/>
            <w:rFonts w:eastAsia="Times New Roman"/>
            <w:sz w:val="20"/>
            <w:szCs w:val="20"/>
          </w:rPr>
          <w:t xml:space="preserve"> </w:t>
        </w:r>
      </w:hyperlink>
      <w:hyperlink r:id="rId23" w:history="1">
        <w:r>
          <w:rPr>
            <w:rStyle w:val="a3"/>
            <w:rFonts w:eastAsia="Times New Roman"/>
            <w:sz w:val="20"/>
            <w:szCs w:val="20"/>
          </w:rPr>
          <w:t>Specimen Stock Certificate for L3Harris Technologies, Inc.’s common stock, incorporated herein by reference to Exhibit 4 to L3Harris Technologi</w:t>
        </w:r>
        <w:r>
          <w:rPr>
            <w:rStyle w:val="a3"/>
            <w:rFonts w:eastAsia="Times New Roman"/>
            <w:sz w:val="20"/>
            <w:szCs w:val="20"/>
          </w:rPr>
          <w:t>es, Inc.’s Current Report on Form 8-K filed with the SEC on July 1, 2019. (Commission File Number 1-3863)</w:t>
        </w:r>
      </w:hyperlink>
    </w:p>
    <w:p w14:paraId="0791C940" w14:textId="77777777" w:rsidR="00000000" w:rsidRDefault="001A570A">
      <w:pPr>
        <w:ind w:hanging="900"/>
        <w:divId w:val="1888224818"/>
        <w:rPr>
          <w:rFonts w:eastAsia="Times New Roman"/>
        </w:rPr>
      </w:pPr>
      <w:hyperlink r:id="rId24" w:history="1">
        <w:r>
          <w:rPr>
            <w:rStyle w:val="a3"/>
            <w:rFonts w:eastAsia="Times New Roman"/>
            <w:sz w:val="20"/>
            <w:szCs w:val="20"/>
          </w:rPr>
          <w:t>(4)(</w:t>
        </w:r>
      </w:hyperlink>
      <w:hyperlink r:id="rId25" w:history="1">
        <w:r>
          <w:rPr>
            <w:rStyle w:val="a3"/>
            <w:rFonts w:eastAsia="Times New Roman"/>
            <w:sz w:val="20"/>
            <w:szCs w:val="20"/>
          </w:rPr>
          <w:t>b</w:t>
        </w:r>
      </w:hyperlink>
      <w:hyperlink r:id="rId26" w:history="1">
        <w:r>
          <w:rPr>
            <w:rStyle w:val="a3"/>
            <w:rFonts w:eastAsia="Times New Roman"/>
            <w:sz w:val="20"/>
            <w:szCs w:val="20"/>
          </w:rPr>
          <w:t>)</w:t>
        </w:r>
      </w:hyperlink>
      <w:hyperlink r:id="rId27" w:history="1">
        <w:r>
          <w:rPr>
            <w:rStyle w:val="a3"/>
            <w:rFonts w:eastAsia="Times New Roman"/>
            <w:sz w:val="20"/>
            <w:szCs w:val="20"/>
          </w:rPr>
          <w:t xml:space="preserve"> </w:t>
        </w:r>
      </w:hyperlink>
      <w:hyperlink r:id="rId28" w:history="1">
        <w:r>
          <w:rPr>
            <w:rStyle w:val="a3"/>
            <w:rFonts w:eastAsia="Times New Roman"/>
            <w:sz w:val="20"/>
            <w:szCs w:val="20"/>
          </w:rPr>
          <w:t>(i)</w:t>
        </w:r>
      </w:hyperlink>
      <w:hyperlink r:id="rId29" w:history="1">
        <w:r>
          <w:rPr>
            <w:rStyle w:val="a3"/>
            <w:rFonts w:eastAsia="Times New Roman"/>
            <w:sz w:val="20"/>
            <w:szCs w:val="20"/>
          </w:rPr>
          <w:t xml:space="preserve"> </w:t>
        </w:r>
      </w:hyperlink>
      <w:hyperlink r:id="rId30" w:history="1">
        <w:r>
          <w:rPr>
            <w:rStyle w:val="a3"/>
            <w:rFonts w:eastAsia="Times New Roman"/>
            <w:sz w:val="20"/>
            <w:szCs w:val="20"/>
          </w:rPr>
          <w:t>Indenture, dated as of May 1, 1996, b</w:t>
        </w:r>
        <w:r>
          <w:rPr>
            <w:rStyle w:val="a3"/>
            <w:rFonts w:eastAsia="Times New Roman"/>
            <w:sz w:val="20"/>
            <w:szCs w:val="20"/>
          </w:rPr>
          <w:t>etween Harris Corporation and The Bank of New York, as Trustee, relating to unlimited amounts of debt securities which may be issued from time to time by Harris Corporation when and as authorized by Harris Corporation’s Board of Directors or a Committee of</w:t>
        </w:r>
        <w:r>
          <w:rPr>
            <w:rStyle w:val="a3"/>
            <w:rFonts w:eastAsia="Times New Roman"/>
            <w:sz w:val="20"/>
            <w:szCs w:val="20"/>
          </w:rPr>
          <w:t xml:space="preserve"> the Board, incorporated herein by reference to Exhibit 4 to Harris Corporation’s Registration Statement on Form S-3, Registration Statement No. 333-03111, filed with the SEC on May 3, 1996.</w:t>
        </w:r>
      </w:hyperlink>
    </w:p>
    <w:p w14:paraId="7EE24528" w14:textId="77777777" w:rsidR="00000000" w:rsidRDefault="001A570A">
      <w:pPr>
        <w:ind w:firstLine="450"/>
        <w:jc w:val="center"/>
        <w:divId w:val="1156069927"/>
        <w:rPr>
          <w:rFonts w:eastAsia="Times New Roman"/>
        </w:rPr>
      </w:pPr>
      <w:r>
        <w:rPr>
          <w:rFonts w:eastAsia="Times New Roman"/>
          <w:color w:val="000000"/>
          <w:sz w:val="20"/>
          <w:szCs w:val="20"/>
        </w:rPr>
        <w:t>135</w:t>
      </w:r>
    </w:p>
    <w:p w14:paraId="4984167A" w14:textId="77777777" w:rsidR="00000000" w:rsidRDefault="001A570A">
      <w:pPr>
        <w:rPr>
          <w:rFonts w:eastAsia="Times New Roman"/>
        </w:rPr>
      </w:pPr>
      <w:r>
        <w:rPr>
          <w:rFonts w:eastAsia="Times New Roman"/>
        </w:rPr>
        <w:pict w14:anchorId="60B52D0C">
          <v:rect id="_x0000_i1163" style="width:0;height:1.5pt" o:hralign="center" o:hrstd="t" o:hr="t" fillcolor="#a0a0a0" stroked="f"/>
        </w:pict>
      </w:r>
    </w:p>
    <w:p w14:paraId="6B5F2567" w14:textId="77777777" w:rsidR="00000000" w:rsidRDefault="001A570A">
      <w:pPr>
        <w:ind w:firstLine="450"/>
        <w:divId w:val="1479105876"/>
        <w:rPr>
          <w:rFonts w:eastAsia="Times New Roman"/>
        </w:rPr>
      </w:pPr>
    </w:p>
    <w:p w14:paraId="3C2ACD84" w14:textId="77777777" w:rsidR="00000000" w:rsidRDefault="001A570A">
      <w:pPr>
        <w:divId w:val="859784458"/>
        <w:rPr>
          <w:rFonts w:eastAsia="Times New Roman"/>
        </w:rPr>
      </w:pPr>
      <w:hyperlink r:id="rId31" w:history="1">
        <w:r>
          <w:rPr>
            <w:rStyle w:val="a3"/>
            <w:rFonts w:eastAsia="Times New Roman"/>
            <w:sz w:val="20"/>
            <w:szCs w:val="20"/>
          </w:rPr>
          <w:t>(</w:t>
        </w:r>
      </w:hyperlink>
      <w:hyperlink r:id="rId32" w:history="1">
        <w:r>
          <w:rPr>
            <w:rStyle w:val="a3"/>
            <w:rFonts w:eastAsia="Times New Roman"/>
            <w:sz w:val="20"/>
            <w:szCs w:val="20"/>
          </w:rPr>
          <w:t>ii)</w:t>
        </w:r>
      </w:hyperlink>
      <w:hyperlink r:id="rId33" w:history="1">
        <w:r>
          <w:rPr>
            <w:rStyle w:val="a3"/>
            <w:rFonts w:eastAsia="Times New Roman"/>
            <w:sz w:val="20"/>
            <w:szCs w:val="20"/>
          </w:rPr>
          <w:t xml:space="preserve"> </w:t>
        </w:r>
      </w:hyperlink>
      <w:hyperlink r:id="rId34" w:history="1">
        <w:r>
          <w:rPr>
            <w:rStyle w:val="a3"/>
            <w:rFonts w:eastAsia="Times New Roman"/>
            <w:sz w:val="20"/>
            <w:szCs w:val="20"/>
          </w:rPr>
          <w:t>Instrument of Resignation from Trustee and Appointment and Acceptance</w:t>
        </w:r>
        <w:r>
          <w:rPr>
            <w:rStyle w:val="a3"/>
            <w:rFonts w:eastAsia="Times New Roman"/>
            <w:sz w:val="20"/>
            <w:szCs w:val="20"/>
          </w:rPr>
          <w:t xml:space="preserve"> of Successor Trustee, dated as of November 1, 2002 (effective November 15, 2002), among Harris Corporation, JP Morgan Chase Bank, as Resigning Trustee, and The Bank of New York, as Successor Trustee, incorporated herein by reference to Exhibit 99.4 to Har</w:t>
        </w:r>
        <w:r>
          <w:rPr>
            <w:rStyle w:val="a3"/>
            <w:rFonts w:eastAsia="Times New Roman"/>
            <w:sz w:val="20"/>
            <w:szCs w:val="20"/>
          </w:rPr>
          <w:t>ris Corporation’s Quarterly Report on Form 10-Q for the fiscal quarter ended September 27, 2002. (Commission File Number 1-3863)</w:t>
        </w:r>
      </w:hyperlink>
    </w:p>
    <w:p w14:paraId="511B0669" w14:textId="77777777" w:rsidR="00000000" w:rsidRDefault="001A570A">
      <w:pPr>
        <w:divId w:val="1050348569"/>
        <w:rPr>
          <w:rFonts w:eastAsia="Times New Roman"/>
        </w:rPr>
      </w:pPr>
      <w:hyperlink r:id="rId35" w:history="1">
        <w:r>
          <w:rPr>
            <w:rStyle w:val="a3"/>
            <w:rFonts w:eastAsia="Times New Roman"/>
            <w:sz w:val="20"/>
            <w:szCs w:val="20"/>
          </w:rPr>
          <w:t>(</w:t>
        </w:r>
      </w:hyperlink>
      <w:hyperlink r:id="rId36" w:history="1">
        <w:r>
          <w:rPr>
            <w:rStyle w:val="a3"/>
            <w:rFonts w:eastAsia="Times New Roman"/>
            <w:sz w:val="20"/>
            <w:szCs w:val="20"/>
          </w:rPr>
          <w:t>iii) </w:t>
        </w:r>
      </w:hyperlink>
      <w:hyperlink r:id="rId37" w:history="1">
        <w:r>
          <w:rPr>
            <w:rStyle w:val="a3"/>
            <w:rFonts w:eastAsia="Times New Roman"/>
            <w:sz w:val="20"/>
            <w:szCs w:val="20"/>
          </w:rPr>
          <w:t>Supplemental Indenture, dated June 2, 2015, among Harris Corporation, Exelis Inc. a</w:t>
        </w:r>
        <w:r>
          <w:rPr>
            <w:rStyle w:val="a3"/>
            <w:rFonts w:eastAsia="Times New Roman"/>
            <w:sz w:val="20"/>
            <w:szCs w:val="20"/>
          </w:rPr>
          <w:t>nd The Bank of New York Mellon (as successor to Chemical Bank), to the Indenture</w:t>
        </w:r>
      </w:hyperlink>
      <w:hyperlink r:id="rId38" w:history="1">
        <w:r>
          <w:rPr>
            <w:rStyle w:val="a3"/>
            <w:rFonts w:eastAsia="Times New Roman"/>
            <w:sz w:val="20"/>
            <w:szCs w:val="20"/>
          </w:rPr>
          <w:t xml:space="preserve"> dated as of May 1, 1996 between Harris Corporation and The Bank of New York (</w:t>
        </w:r>
        <w:r>
          <w:rPr>
            <w:rStyle w:val="a3"/>
            <w:rFonts w:eastAsia="Times New Roman"/>
            <w:sz w:val="20"/>
            <w:szCs w:val="20"/>
          </w:rPr>
          <w:t>as successor to Chemical Bank), incorporated herein by reference to Exhibit 4.2 to Harris Corporation’s Current Report on Form 8-K filed with the SEC on June 2, 2015. (Commission File Number 1-3863)</w:t>
        </w:r>
      </w:hyperlink>
    </w:p>
    <w:p w14:paraId="14D1D299" w14:textId="77777777" w:rsidR="00000000" w:rsidRDefault="001A570A">
      <w:pPr>
        <w:ind w:hanging="900"/>
        <w:divId w:val="875199855"/>
        <w:rPr>
          <w:rFonts w:eastAsia="Times New Roman"/>
        </w:rPr>
      </w:pPr>
      <w:r>
        <w:rPr>
          <w:rFonts w:eastAsia="Times New Roman"/>
          <w:color w:val="000000"/>
          <w:sz w:val="20"/>
          <w:szCs w:val="20"/>
        </w:rPr>
        <w:t>**(4)(c) (i) Indenture, dated as of October 1, 1990, betw</w:t>
      </w:r>
      <w:r>
        <w:rPr>
          <w:rFonts w:eastAsia="Times New Roman"/>
          <w:color w:val="000000"/>
          <w:sz w:val="20"/>
          <w:szCs w:val="20"/>
        </w:rPr>
        <w:t>een Harris Corporation and U.S. Bank National Association (as successor to National City Bank), as Trustee, relating to unlimited amounts of debt securities which may be issued from time to time by Harris Corporation when and as authorized by Harris Corpor</w:t>
      </w:r>
      <w:r>
        <w:rPr>
          <w:rFonts w:eastAsia="Times New Roman"/>
          <w:color w:val="000000"/>
          <w:sz w:val="20"/>
          <w:szCs w:val="20"/>
        </w:rPr>
        <w:t>ation’s Board of Directors or a Committee of the Board, incorporated herein by reference to Exhibit 4 to Harris Corporation’s Registration Statement on Form S-3, Registration Statement No. 33-35315, filed with the SEC on June 8, 1990.</w:t>
      </w:r>
    </w:p>
    <w:p w14:paraId="5088F300" w14:textId="77777777" w:rsidR="00000000" w:rsidRDefault="001A570A">
      <w:pPr>
        <w:divId w:val="781729847"/>
        <w:rPr>
          <w:rFonts w:eastAsia="Times New Roman"/>
        </w:rPr>
      </w:pPr>
      <w:hyperlink r:id="rId39" w:history="1">
        <w:r>
          <w:rPr>
            <w:rStyle w:val="a3"/>
            <w:rFonts w:eastAsia="Times New Roman"/>
            <w:sz w:val="20"/>
            <w:szCs w:val="20"/>
          </w:rPr>
          <w:t>(</w:t>
        </w:r>
      </w:hyperlink>
      <w:hyperlink r:id="rId40" w:history="1">
        <w:r>
          <w:rPr>
            <w:rStyle w:val="a3"/>
            <w:rFonts w:eastAsia="Times New Roman"/>
            <w:sz w:val="20"/>
            <w:szCs w:val="20"/>
          </w:rPr>
          <w:t>ii)</w:t>
        </w:r>
      </w:hyperlink>
      <w:hyperlink r:id="rId41" w:history="1">
        <w:r>
          <w:rPr>
            <w:rStyle w:val="a3"/>
            <w:rFonts w:eastAsia="Times New Roman"/>
            <w:sz w:val="20"/>
            <w:szCs w:val="20"/>
          </w:rPr>
          <w:t xml:space="preserve"> </w:t>
        </w:r>
      </w:hyperlink>
      <w:hyperlink r:id="rId42" w:history="1">
        <w:r>
          <w:rPr>
            <w:rStyle w:val="a3"/>
            <w:rFonts w:eastAsia="Times New Roman"/>
            <w:sz w:val="20"/>
            <w:szCs w:val="20"/>
          </w:rPr>
          <w:t>Supplemental Indenture, dated June 2, 2015, among Harris Corporation, Exelis Inc. and U.S. Bank National Association (as successor to Na</w:t>
        </w:r>
        <w:r>
          <w:rPr>
            <w:rStyle w:val="a3"/>
            <w:rFonts w:eastAsia="Times New Roman"/>
            <w:sz w:val="20"/>
            <w:szCs w:val="20"/>
          </w:rPr>
          <w:t>tional City Bank), to the Indenture dated as of October 1, 1990 between Harris Corporation and U.S. National Association (as successor to National City Bank), incorporated herein by reference to Exhibit 4.1 to Harris Corporation’s Current Report on Form 8-</w:t>
        </w:r>
        <w:r>
          <w:rPr>
            <w:rStyle w:val="a3"/>
            <w:rFonts w:eastAsia="Times New Roman"/>
            <w:sz w:val="20"/>
            <w:szCs w:val="20"/>
          </w:rPr>
          <w:t>K filed with the SEC on June 2, 2015. (Commission File Number 1-3863)</w:t>
        </w:r>
      </w:hyperlink>
    </w:p>
    <w:p w14:paraId="30DF226A" w14:textId="77777777" w:rsidR="00000000" w:rsidRDefault="001A570A">
      <w:pPr>
        <w:ind w:hanging="900"/>
        <w:divId w:val="466166871"/>
        <w:rPr>
          <w:rFonts w:eastAsia="Times New Roman"/>
        </w:rPr>
      </w:pPr>
      <w:hyperlink r:id="rId43" w:history="1">
        <w:r>
          <w:rPr>
            <w:rStyle w:val="a3"/>
            <w:rFonts w:eastAsia="Times New Roman"/>
            <w:sz w:val="20"/>
            <w:szCs w:val="20"/>
          </w:rPr>
          <w:t>(4)(</w:t>
        </w:r>
      </w:hyperlink>
      <w:hyperlink r:id="rId44" w:history="1">
        <w:r>
          <w:rPr>
            <w:rStyle w:val="a3"/>
            <w:rFonts w:eastAsia="Times New Roman"/>
            <w:sz w:val="20"/>
            <w:szCs w:val="20"/>
          </w:rPr>
          <w:t>d</w:t>
        </w:r>
      </w:hyperlink>
      <w:hyperlink r:id="rId45" w:history="1">
        <w:r>
          <w:rPr>
            <w:rStyle w:val="a3"/>
            <w:rFonts w:eastAsia="Times New Roman"/>
            <w:sz w:val="20"/>
            <w:szCs w:val="20"/>
          </w:rPr>
          <w:t>)(i)</w:t>
        </w:r>
      </w:hyperlink>
      <w:hyperlink r:id="rId46" w:history="1">
        <w:r>
          <w:rPr>
            <w:rStyle w:val="a3"/>
            <w:rFonts w:eastAsia="Times New Roman"/>
            <w:sz w:val="20"/>
            <w:szCs w:val="20"/>
          </w:rPr>
          <w:t xml:space="preserve"> </w:t>
        </w:r>
      </w:hyperlink>
      <w:hyperlink r:id="rId47" w:history="1">
        <w:r>
          <w:rPr>
            <w:rStyle w:val="a3"/>
            <w:rFonts w:eastAsia="Times New Roman"/>
            <w:sz w:val="20"/>
            <w:szCs w:val="20"/>
          </w:rPr>
          <w:t>Indenture, dated as of September 3, 2003, between Harris Corporation and The Bank of New York Mellon Trust Company,</w:t>
        </w:r>
        <w:r>
          <w:rPr>
            <w:rStyle w:val="a3"/>
            <w:rFonts w:eastAsia="Times New Roman"/>
            <w:sz w:val="20"/>
            <w:szCs w:val="20"/>
          </w:rPr>
          <w:t xml:space="preserve"> N.A., as successor to The Bank of New York, as Trustee, relating to unlimited amounts of debt securities which may be issued from time to time by Harris Corporation when and as authorized by Harris Corporation’s Board of Directors or a Committee of the Bo</w:t>
        </w:r>
        <w:r>
          <w:rPr>
            <w:rStyle w:val="a3"/>
            <w:rFonts w:eastAsia="Times New Roman"/>
            <w:sz w:val="20"/>
            <w:szCs w:val="20"/>
          </w:rPr>
          <w:t>ard, incorporated herein by reference to Exhibit 4(b) to Harris Corporation’s Registration Statement on Form S-3, Registration Statement No. 333-108486, filed with the SEC on September 3, 2003</w:t>
        </w:r>
      </w:hyperlink>
    </w:p>
    <w:p w14:paraId="7B38070F" w14:textId="77777777" w:rsidR="00000000" w:rsidRDefault="001A570A">
      <w:pPr>
        <w:divId w:val="586497025"/>
        <w:rPr>
          <w:rFonts w:eastAsia="Times New Roman"/>
        </w:rPr>
      </w:pPr>
      <w:hyperlink r:id="rId48" w:history="1">
        <w:r>
          <w:rPr>
            <w:rStyle w:val="a3"/>
            <w:rFonts w:eastAsia="Times New Roman"/>
            <w:sz w:val="20"/>
            <w:szCs w:val="20"/>
          </w:rPr>
          <w:t>(</w:t>
        </w:r>
      </w:hyperlink>
      <w:hyperlink r:id="rId49" w:history="1">
        <w:r>
          <w:rPr>
            <w:rStyle w:val="a3"/>
            <w:rFonts w:eastAsia="Times New Roman"/>
            <w:sz w:val="20"/>
            <w:szCs w:val="20"/>
          </w:rPr>
          <w:t>ii)</w:t>
        </w:r>
      </w:hyperlink>
      <w:hyperlink r:id="rId50" w:history="1">
        <w:r>
          <w:rPr>
            <w:rStyle w:val="a3"/>
            <w:rFonts w:eastAsia="Times New Roman"/>
            <w:sz w:val="20"/>
            <w:szCs w:val="20"/>
          </w:rPr>
          <w:t> Instrument of Resign</w:t>
        </w:r>
        <w:r>
          <w:rPr>
            <w:rStyle w:val="a3"/>
            <w:rFonts w:eastAsia="Times New Roman"/>
            <w:sz w:val="20"/>
            <w:szCs w:val="20"/>
          </w:rPr>
          <w:t>ation of Trustee, Appointment and Acceptance of Successor Trustee, dated as of June 2, 2009, among Harris Corporation, The Bank of New York Mellon (formerly known as The Bank of New York) and The Bank of New York Mellon Trust Company, N.A., as to Indenture</w:t>
        </w:r>
        <w:r>
          <w:rPr>
            <w:rStyle w:val="a3"/>
            <w:rFonts w:eastAsia="Times New Roman"/>
            <w:sz w:val="20"/>
            <w:szCs w:val="20"/>
          </w:rPr>
          <w:t xml:space="preserve"> dated as of September 3, 2003, incorporated herein by reference to Exhibit 4(m) to Harris Corporation’s Registration Statement on Form S-3, Registration Statement No. 333-159688, filed with the SEC on June 3, 2009</w:t>
        </w:r>
      </w:hyperlink>
    </w:p>
    <w:p w14:paraId="2F73C063" w14:textId="77777777" w:rsidR="00000000" w:rsidRDefault="001A570A">
      <w:pPr>
        <w:divId w:val="498078469"/>
        <w:rPr>
          <w:rFonts w:eastAsia="Times New Roman"/>
        </w:rPr>
      </w:pPr>
      <w:hyperlink r:id="rId51" w:history="1">
        <w:r>
          <w:rPr>
            <w:rStyle w:val="a3"/>
            <w:rFonts w:eastAsia="Times New Roman"/>
            <w:sz w:val="20"/>
            <w:szCs w:val="20"/>
          </w:rPr>
          <w:t>(</w:t>
        </w:r>
      </w:hyperlink>
      <w:hyperlink r:id="rId52" w:history="1">
        <w:r>
          <w:rPr>
            <w:rStyle w:val="a3"/>
            <w:rFonts w:eastAsia="Times New Roman"/>
            <w:sz w:val="20"/>
            <w:szCs w:val="20"/>
          </w:rPr>
          <w:t>iii)</w:t>
        </w:r>
      </w:hyperlink>
      <w:hyperlink r:id="rId53" w:history="1">
        <w:r>
          <w:rPr>
            <w:rStyle w:val="a3"/>
            <w:rFonts w:eastAsia="Times New Roman"/>
            <w:sz w:val="20"/>
            <w:szCs w:val="20"/>
          </w:rPr>
          <w:t> Supplemental Indenture, dated June 2, 2015, among Harris Corporation, Exelis Inc. and The Bank of New York Mellon Trust Company, N.A. (as successor to The Bank of New York), to the Indenture dated as of September 3, 2003 between Harris Corporation and T</w:t>
        </w:r>
        <w:r>
          <w:rPr>
            <w:rStyle w:val="a3"/>
            <w:rFonts w:eastAsia="Times New Roman"/>
            <w:sz w:val="20"/>
            <w:szCs w:val="20"/>
          </w:rPr>
          <w:t>he Bank of New York Mellon Trust Company, N.A. (as successor to The Bank of New York), incorporated herein by reference to Exhibit 4.3 to Harris Corporation’s Current Report on Form 8-K filed with the SEC on June 2, 2015. (Commission File Number 1-3863)</w:t>
        </w:r>
      </w:hyperlink>
    </w:p>
    <w:p w14:paraId="06A86C36" w14:textId="77777777" w:rsidR="00000000" w:rsidRDefault="001A570A">
      <w:pPr>
        <w:ind w:hanging="900"/>
        <w:divId w:val="986085310"/>
        <w:rPr>
          <w:rFonts w:eastAsia="Times New Roman"/>
        </w:rPr>
      </w:pPr>
      <w:hyperlink r:id="rId54" w:history="1">
        <w:r>
          <w:rPr>
            <w:rStyle w:val="a3"/>
            <w:rFonts w:eastAsia="Times New Roman"/>
            <w:sz w:val="20"/>
            <w:szCs w:val="20"/>
          </w:rPr>
          <w:t>(4)(</w:t>
        </w:r>
      </w:hyperlink>
      <w:hyperlink r:id="rId55" w:history="1">
        <w:r>
          <w:rPr>
            <w:rStyle w:val="a3"/>
            <w:rFonts w:eastAsia="Times New Roman"/>
            <w:sz w:val="20"/>
            <w:szCs w:val="20"/>
          </w:rPr>
          <w:t>e</w:t>
        </w:r>
      </w:hyperlink>
      <w:hyperlink r:id="rId56" w:history="1">
        <w:r>
          <w:rPr>
            <w:rStyle w:val="a3"/>
            <w:rFonts w:eastAsia="Times New Roman"/>
            <w:sz w:val="20"/>
            <w:szCs w:val="20"/>
          </w:rPr>
          <w:t>)</w:t>
        </w:r>
      </w:hyperlink>
      <w:hyperlink r:id="rId57" w:history="1">
        <w:r>
          <w:rPr>
            <w:rStyle w:val="a3"/>
            <w:rFonts w:eastAsia="Times New Roman"/>
            <w:sz w:val="20"/>
            <w:szCs w:val="20"/>
          </w:rPr>
          <w:t xml:space="preserve"> </w:t>
        </w:r>
      </w:hyperlink>
      <w:hyperlink r:id="rId58" w:history="1">
        <w:r>
          <w:rPr>
            <w:rStyle w:val="a3"/>
            <w:rFonts w:eastAsia="Times New Roman"/>
            <w:sz w:val="20"/>
            <w:szCs w:val="20"/>
          </w:rPr>
          <w:t>(i)</w:t>
        </w:r>
      </w:hyperlink>
      <w:hyperlink r:id="rId59" w:history="1">
        <w:r>
          <w:rPr>
            <w:rStyle w:val="a3"/>
            <w:rFonts w:eastAsia="Times New Roman"/>
            <w:sz w:val="20"/>
            <w:szCs w:val="20"/>
          </w:rPr>
          <w:t xml:space="preserve"> </w:t>
        </w:r>
      </w:hyperlink>
      <w:hyperlink r:id="rId60" w:history="1">
        <w:r>
          <w:rPr>
            <w:rStyle w:val="a3"/>
            <w:rFonts w:eastAsia="Times New Roman"/>
            <w:sz w:val="20"/>
            <w:szCs w:val="20"/>
          </w:rPr>
          <w:t xml:space="preserve">Subordinated </w:t>
        </w:r>
        <w:r>
          <w:rPr>
            <w:rStyle w:val="a3"/>
            <w:rFonts w:eastAsia="Times New Roman"/>
            <w:sz w:val="20"/>
            <w:szCs w:val="20"/>
          </w:rPr>
          <w:t>Indenture, dated as of September 3, 2003, between Harris Corporation and The Bank of New York Mellon Trust Company, N.A., as successor to The Bank of New York, as Trustee, relating to unlimited amounts of debt securities which may be issued from time to ti</w:t>
        </w:r>
        <w:r>
          <w:rPr>
            <w:rStyle w:val="a3"/>
            <w:rFonts w:eastAsia="Times New Roman"/>
            <w:sz w:val="20"/>
            <w:szCs w:val="20"/>
          </w:rPr>
          <w:t>me by Harris Corporation when and as authorized by the Harris Corporation’s Board of Directors or a Committee of the Board, incorporated herein by reference to Exhibit 4(c) to the Harris Corporation’s Registration Statement on Form S-3, Registration Statem</w:t>
        </w:r>
        <w:r>
          <w:rPr>
            <w:rStyle w:val="a3"/>
            <w:rFonts w:eastAsia="Times New Roman"/>
            <w:sz w:val="20"/>
            <w:szCs w:val="20"/>
          </w:rPr>
          <w:t>ent No. 333-108486, filed with the SEC on September 3, 2003</w:t>
        </w:r>
      </w:hyperlink>
    </w:p>
    <w:p w14:paraId="064C09B8" w14:textId="77777777" w:rsidR="00000000" w:rsidRDefault="001A570A">
      <w:pPr>
        <w:divId w:val="1816528827"/>
        <w:rPr>
          <w:rFonts w:eastAsia="Times New Roman"/>
        </w:rPr>
      </w:pPr>
      <w:hyperlink r:id="rId61" w:history="1">
        <w:r>
          <w:rPr>
            <w:rStyle w:val="a3"/>
            <w:rFonts w:eastAsia="Times New Roman"/>
            <w:sz w:val="20"/>
            <w:szCs w:val="20"/>
          </w:rPr>
          <w:t>(</w:t>
        </w:r>
      </w:hyperlink>
      <w:hyperlink r:id="rId62" w:history="1">
        <w:r>
          <w:rPr>
            <w:rStyle w:val="a3"/>
            <w:rFonts w:eastAsia="Times New Roman"/>
            <w:sz w:val="20"/>
            <w:szCs w:val="20"/>
          </w:rPr>
          <w:t>ii)</w:t>
        </w:r>
      </w:hyperlink>
      <w:hyperlink r:id="rId63" w:history="1">
        <w:r>
          <w:rPr>
            <w:rStyle w:val="a3"/>
            <w:rFonts w:eastAsia="Times New Roman"/>
            <w:sz w:val="20"/>
            <w:szCs w:val="20"/>
          </w:rPr>
          <w:t xml:space="preserve"> Instrument of Resignation of Trustee, Appointment and Acceptance of Successor Trustee, dated as of June 2, 2009, among Harris Corporation, The Bank of N</w:t>
        </w:r>
        <w:r>
          <w:rPr>
            <w:rStyle w:val="a3"/>
            <w:rFonts w:eastAsia="Times New Roman"/>
            <w:sz w:val="20"/>
            <w:szCs w:val="20"/>
          </w:rPr>
          <w:t>ew York Mellon (formerly known as The Bank of New York) and The Bank of New York Mellon Trust Company, N.A., as to Subordinated Indenture dated as of September 3, 2003, incorporated herein by reference to Exhibit 4(n) to Harris Corporation’s Registration S</w:t>
        </w:r>
        <w:r>
          <w:rPr>
            <w:rStyle w:val="a3"/>
            <w:rFonts w:eastAsia="Times New Roman"/>
            <w:sz w:val="20"/>
            <w:szCs w:val="20"/>
          </w:rPr>
          <w:t>tatement on Form S-3, Registration Statement No. 333-159688, filed with the SEC on June 3, 2009</w:t>
        </w:r>
      </w:hyperlink>
    </w:p>
    <w:p w14:paraId="2E1D90DE" w14:textId="77777777" w:rsidR="00000000" w:rsidRDefault="001A570A">
      <w:pPr>
        <w:ind w:hanging="900"/>
        <w:divId w:val="330644126"/>
        <w:rPr>
          <w:rFonts w:eastAsia="Times New Roman"/>
        </w:rPr>
      </w:pPr>
      <w:hyperlink r:id="rId64" w:history="1">
        <w:r>
          <w:rPr>
            <w:rStyle w:val="a3"/>
            <w:rFonts w:eastAsia="Times New Roman"/>
            <w:sz w:val="20"/>
            <w:szCs w:val="20"/>
          </w:rPr>
          <w:t>(</w:t>
        </w:r>
      </w:hyperlink>
      <w:hyperlink r:id="rId65" w:history="1">
        <w:r>
          <w:rPr>
            <w:rStyle w:val="a3"/>
            <w:rFonts w:eastAsia="Times New Roman"/>
            <w:sz w:val="20"/>
            <w:szCs w:val="20"/>
          </w:rPr>
          <w:t>4)(</w:t>
        </w:r>
      </w:hyperlink>
      <w:hyperlink r:id="rId66" w:history="1">
        <w:r>
          <w:rPr>
            <w:rStyle w:val="a3"/>
            <w:rFonts w:eastAsia="Times New Roman"/>
            <w:sz w:val="20"/>
            <w:szCs w:val="20"/>
          </w:rPr>
          <w:t>f</w:t>
        </w:r>
      </w:hyperlink>
      <w:hyperlink r:id="rId67" w:history="1">
        <w:r>
          <w:rPr>
            <w:rStyle w:val="a3"/>
            <w:rFonts w:eastAsia="Times New Roman"/>
            <w:sz w:val="20"/>
            <w:szCs w:val="20"/>
          </w:rPr>
          <w:t>)</w:t>
        </w:r>
      </w:hyperlink>
      <w:hyperlink r:id="rId68" w:history="1">
        <w:r>
          <w:rPr>
            <w:rStyle w:val="a3"/>
            <w:rFonts w:eastAsia="Times New Roman"/>
            <w:sz w:val="20"/>
            <w:szCs w:val="20"/>
          </w:rPr>
          <w:t xml:space="preserve"> </w:t>
        </w:r>
      </w:hyperlink>
      <w:hyperlink r:id="rId69" w:history="1">
        <w:r>
          <w:rPr>
            <w:rStyle w:val="a3"/>
            <w:rFonts w:eastAsia="Times New Roman"/>
            <w:sz w:val="20"/>
            <w:szCs w:val="20"/>
          </w:rPr>
          <w:t>Form of Floating Rate Global Note due March 2</w:t>
        </w:r>
      </w:hyperlink>
      <w:hyperlink r:id="rId70" w:history="1">
        <w:r>
          <w:rPr>
            <w:rStyle w:val="a3"/>
            <w:rFonts w:eastAsia="Times New Roman"/>
            <w:sz w:val="20"/>
            <w:szCs w:val="20"/>
          </w:rPr>
          <w:t>023, incorporated herein by reference to Exhibit 4.1 to L3Harris Technologies, Inc.</w:t>
        </w:r>
      </w:hyperlink>
      <w:hyperlink r:id="rId71" w:history="1">
        <w:r>
          <w:rPr>
            <w:rStyle w:val="a3"/>
            <w:rFonts w:eastAsia="Times New Roman"/>
            <w:sz w:val="20"/>
            <w:szCs w:val="20"/>
          </w:rPr>
          <w:t>’</w:t>
        </w:r>
      </w:hyperlink>
      <w:hyperlink r:id="rId72" w:history="1">
        <w:r>
          <w:rPr>
            <w:rStyle w:val="a3"/>
            <w:rFonts w:eastAsia="Times New Roman"/>
            <w:sz w:val="20"/>
            <w:szCs w:val="20"/>
          </w:rPr>
          <w:t xml:space="preserve">s Current Report on Form 8-K filed with the SEC on March 13, 2020. </w:t>
        </w:r>
      </w:hyperlink>
      <w:hyperlink r:id="rId73" w:history="1">
        <w:r>
          <w:rPr>
            <w:rStyle w:val="a3"/>
            <w:rFonts w:eastAsia="Times New Roman"/>
            <w:sz w:val="20"/>
            <w:szCs w:val="20"/>
          </w:rPr>
          <w:t>(Commis</w:t>
        </w:r>
      </w:hyperlink>
      <w:hyperlink r:id="rId74" w:history="1">
        <w:r>
          <w:rPr>
            <w:rStyle w:val="a3"/>
            <w:rFonts w:eastAsia="Times New Roman"/>
            <w:sz w:val="20"/>
            <w:szCs w:val="20"/>
          </w:rPr>
          <w:t>sion File Number 1-3863)</w:t>
        </w:r>
      </w:hyperlink>
    </w:p>
    <w:p w14:paraId="3F4B50E4" w14:textId="77777777" w:rsidR="00000000" w:rsidRDefault="001A570A">
      <w:pPr>
        <w:ind w:hanging="900"/>
        <w:divId w:val="1554387505"/>
        <w:rPr>
          <w:rFonts w:eastAsia="Times New Roman"/>
        </w:rPr>
      </w:pPr>
      <w:hyperlink r:id="rId75" w:history="1">
        <w:r>
          <w:rPr>
            <w:rStyle w:val="a3"/>
            <w:rFonts w:eastAsia="Times New Roman"/>
            <w:sz w:val="20"/>
            <w:szCs w:val="20"/>
          </w:rPr>
          <w:t>(4)(</w:t>
        </w:r>
      </w:hyperlink>
      <w:hyperlink r:id="rId76" w:history="1">
        <w:r>
          <w:rPr>
            <w:rStyle w:val="a3"/>
            <w:rFonts w:eastAsia="Times New Roman"/>
            <w:sz w:val="20"/>
            <w:szCs w:val="20"/>
          </w:rPr>
          <w:t>g</w:t>
        </w:r>
      </w:hyperlink>
      <w:hyperlink r:id="rId77" w:history="1">
        <w:r>
          <w:rPr>
            <w:rStyle w:val="a3"/>
            <w:rFonts w:eastAsia="Times New Roman"/>
            <w:sz w:val="20"/>
            <w:szCs w:val="20"/>
          </w:rPr>
          <w:t xml:space="preserve">) </w:t>
        </w:r>
      </w:hyperlink>
      <w:hyperlink r:id="rId78" w:history="1">
        <w:r>
          <w:rPr>
            <w:rStyle w:val="a3"/>
            <w:rFonts w:eastAsia="Times New Roman"/>
            <w:sz w:val="20"/>
            <w:szCs w:val="20"/>
          </w:rPr>
          <w:t>Form of 3.832% Global Note due 2025, incorporated herein by reference to Exhibit 4.3 to Harris Corporation’s</w:t>
        </w:r>
      </w:hyperlink>
      <w:hyperlink r:id="rId79" w:history="1">
        <w:r>
          <w:rPr>
            <w:rStyle w:val="a3"/>
            <w:rFonts w:eastAsia="Times New Roman"/>
            <w:sz w:val="20"/>
            <w:szCs w:val="20"/>
          </w:rPr>
          <w:t xml:space="preserve"> </w:t>
        </w:r>
      </w:hyperlink>
      <w:hyperlink r:id="rId80" w:history="1">
        <w:r>
          <w:rPr>
            <w:rStyle w:val="a3"/>
            <w:rFonts w:eastAsia="Times New Roman"/>
            <w:sz w:val="20"/>
            <w:szCs w:val="20"/>
          </w:rPr>
          <w:t>Current Report on Form 8-K filed with the SEC on April 27, 2015. (Commission File Number 1-3863)</w:t>
        </w:r>
      </w:hyperlink>
    </w:p>
    <w:p w14:paraId="476B162A" w14:textId="77777777" w:rsidR="00000000" w:rsidRDefault="001A570A">
      <w:pPr>
        <w:ind w:hanging="900"/>
        <w:divId w:val="1579947659"/>
        <w:rPr>
          <w:rFonts w:eastAsia="Times New Roman"/>
        </w:rPr>
      </w:pPr>
      <w:hyperlink r:id="rId81" w:history="1">
        <w:r>
          <w:rPr>
            <w:rStyle w:val="a3"/>
            <w:rFonts w:eastAsia="Times New Roman"/>
            <w:sz w:val="20"/>
            <w:szCs w:val="20"/>
          </w:rPr>
          <w:t>(4)(</w:t>
        </w:r>
      </w:hyperlink>
      <w:hyperlink r:id="rId82" w:history="1">
        <w:r>
          <w:rPr>
            <w:rStyle w:val="a3"/>
            <w:rFonts w:eastAsia="Times New Roman"/>
            <w:sz w:val="20"/>
            <w:szCs w:val="20"/>
          </w:rPr>
          <w:t>h</w:t>
        </w:r>
      </w:hyperlink>
      <w:hyperlink r:id="rId83" w:history="1">
        <w:r>
          <w:rPr>
            <w:rStyle w:val="a3"/>
            <w:rFonts w:eastAsia="Times New Roman"/>
            <w:sz w:val="20"/>
            <w:szCs w:val="20"/>
          </w:rPr>
          <w:t>)</w:t>
        </w:r>
      </w:hyperlink>
      <w:hyperlink r:id="rId84" w:history="1">
        <w:r>
          <w:rPr>
            <w:rStyle w:val="a3"/>
            <w:rFonts w:eastAsia="Times New Roman"/>
            <w:sz w:val="20"/>
            <w:szCs w:val="20"/>
          </w:rPr>
          <w:t xml:space="preserve"> </w:t>
        </w:r>
      </w:hyperlink>
      <w:hyperlink r:id="rId85" w:history="1">
        <w:r>
          <w:rPr>
            <w:rStyle w:val="a3"/>
            <w:rFonts w:eastAsia="Times New Roman"/>
            <w:sz w:val="20"/>
            <w:szCs w:val="20"/>
          </w:rPr>
          <w:t>Form of 4.400% Global Note due 2028, incorporated herein by reference to Exhibit 4.1 to Harris Corporation’s Current Report on Form 8-K filed with the SEC on June 4, 2018. (Commissio</w:t>
        </w:r>
        <w:r>
          <w:rPr>
            <w:rStyle w:val="a3"/>
            <w:rFonts w:eastAsia="Times New Roman"/>
            <w:sz w:val="20"/>
            <w:szCs w:val="20"/>
          </w:rPr>
          <w:t>n File Number 1-3863)</w:t>
        </w:r>
      </w:hyperlink>
    </w:p>
    <w:p w14:paraId="723E3334" w14:textId="77777777" w:rsidR="00000000" w:rsidRDefault="001A570A">
      <w:pPr>
        <w:ind w:firstLine="450"/>
        <w:jc w:val="center"/>
        <w:divId w:val="1717387439"/>
        <w:rPr>
          <w:rFonts w:eastAsia="Times New Roman"/>
        </w:rPr>
      </w:pPr>
      <w:r>
        <w:rPr>
          <w:rFonts w:eastAsia="Times New Roman"/>
          <w:color w:val="000000"/>
          <w:sz w:val="20"/>
          <w:szCs w:val="20"/>
        </w:rPr>
        <w:t>136</w:t>
      </w:r>
    </w:p>
    <w:p w14:paraId="573F4BF3" w14:textId="77777777" w:rsidR="00000000" w:rsidRDefault="001A570A">
      <w:pPr>
        <w:rPr>
          <w:rFonts w:eastAsia="Times New Roman"/>
        </w:rPr>
      </w:pPr>
      <w:r>
        <w:rPr>
          <w:rFonts w:eastAsia="Times New Roman"/>
        </w:rPr>
        <w:pict w14:anchorId="218E00D9">
          <v:rect id="_x0000_i1164" style="width:0;height:1.5pt" o:hralign="center" o:hrstd="t" o:hr="t" fillcolor="#a0a0a0" stroked="f"/>
        </w:pict>
      </w:r>
    </w:p>
    <w:p w14:paraId="32517F12" w14:textId="77777777" w:rsidR="00000000" w:rsidRDefault="001A570A">
      <w:pPr>
        <w:ind w:firstLine="450"/>
        <w:divId w:val="1934699761"/>
        <w:rPr>
          <w:rFonts w:eastAsia="Times New Roman"/>
        </w:rPr>
      </w:pPr>
    </w:p>
    <w:p w14:paraId="7B84AE8D" w14:textId="77777777" w:rsidR="00000000" w:rsidRDefault="001A570A">
      <w:pPr>
        <w:ind w:hanging="900"/>
        <w:divId w:val="1187134790"/>
        <w:rPr>
          <w:rFonts w:eastAsia="Times New Roman"/>
        </w:rPr>
      </w:pPr>
      <w:hyperlink r:id="rId86" w:history="1">
        <w:r>
          <w:rPr>
            <w:rStyle w:val="a3"/>
            <w:rFonts w:eastAsia="Times New Roman"/>
            <w:sz w:val="20"/>
            <w:szCs w:val="20"/>
          </w:rPr>
          <w:t>(4)(</w:t>
        </w:r>
      </w:hyperlink>
      <w:hyperlink r:id="rId87" w:history="1">
        <w:r>
          <w:rPr>
            <w:rStyle w:val="a3"/>
            <w:rFonts w:eastAsia="Times New Roman"/>
            <w:sz w:val="20"/>
            <w:szCs w:val="20"/>
          </w:rPr>
          <w:t>i</w:t>
        </w:r>
      </w:hyperlink>
      <w:hyperlink r:id="rId88" w:history="1">
        <w:r>
          <w:rPr>
            <w:rStyle w:val="a3"/>
            <w:rFonts w:eastAsia="Times New Roman"/>
            <w:sz w:val="20"/>
            <w:szCs w:val="20"/>
          </w:rPr>
          <w:t xml:space="preserve">) </w:t>
        </w:r>
      </w:hyperlink>
      <w:hyperlink r:id="rId89" w:history="1">
        <w:r>
          <w:rPr>
            <w:rStyle w:val="a3"/>
            <w:rFonts w:eastAsia="Times New Roman"/>
            <w:sz w:val="20"/>
            <w:szCs w:val="20"/>
          </w:rPr>
          <w:t>Form of 2.90</w:t>
        </w:r>
      </w:hyperlink>
      <w:hyperlink r:id="rId90" w:history="1">
        <w:r>
          <w:rPr>
            <w:rStyle w:val="a3"/>
            <w:rFonts w:eastAsia="Times New Roman"/>
            <w:sz w:val="20"/>
            <w:szCs w:val="20"/>
          </w:rPr>
          <w:t>% Global Note due 2029, incorporated herein by reference to E</w:t>
        </w:r>
        <w:r>
          <w:rPr>
            <w:rStyle w:val="a3"/>
            <w:rFonts w:eastAsia="Times New Roman"/>
            <w:sz w:val="20"/>
            <w:szCs w:val="20"/>
          </w:rPr>
          <w:t>xhibit 4.1 to L3Harris Technologies, Inc.’s Current Report on Form 8-K filed with the SEC on November 27, 2019. (Commission File Number 1-3863)</w:t>
        </w:r>
      </w:hyperlink>
    </w:p>
    <w:p w14:paraId="2C294F56" w14:textId="77777777" w:rsidR="00000000" w:rsidRDefault="001A570A">
      <w:pPr>
        <w:ind w:hanging="900"/>
        <w:divId w:val="876505152"/>
        <w:rPr>
          <w:rFonts w:eastAsia="Times New Roman"/>
        </w:rPr>
      </w:pPr>
      <w:hyperlink r:id="rId91" w:history="1">
        <w:r>
          <w:rPr>
            <w:rStyle w:val="a3"/>
            <w:rFonts w:eastAsia="Times New Roman"/>
            <w:sz w:val="20"/>
            <w:szCs w:val="20"/>
          </w:rPr>
          <w:t>(</w:t>
        </w:r>
        <w:r>
          <w:rPr>
            <w:rStyle w:val="a3"/>
            <w:rFonts w:eastAsia="Times New Roman"/>
            <w:sz w:val="20"/>
            <w:szCs w:val="20"/>
          </w:rPr>
          <w:t>4)(</w:t>
        </w:r>
      </w:hyperlink>
      <w:hyperlink r:id="rId92" w:history="1">
        <w:r>
          <w:rPr>
            <w:rStyle w:val="a3"/>
            <w:rFonts w:eastAsia="Times New Roman"/>
            <w:sz w:val="20"/>
            <w:szCs w:val="20"/>
          </w:rPr>
          <w:t>j</w:t>
        </w:r>
      </w:hyperlink>
      <w:hyperlink r:id="rId93" w:history="1">
        <w:r>
          <w:rPr>
            <w:rStyle w:val="a3"/>
            <w:rFonts w:eastAsia="Times New Roman"/>
            <w:sz w:val="20"/>
            <w:szCs w:val="20"/>
          </w:rPr>
          <w:t xml:space="preserve">) </w:t>
        </w:r>
      </w:hyperlink>
      <w:hyperlink r:id="rId94" w:history="1">
        <w:r>
          <w:rPr>
            <w:rStyle w:val="a3"/>
            <w:rFonts w:eastAsia="Times New Roman"/>
            <w:sz w:val="20"/>
            <w:szCs w:val="20"/>
          </w:rPr>
          <w:t xml:space="preserve">Form of </w:t>
        </w:r>
      </w:hyperlink>
      <w:hyperlink r:id="rId95" w:history="1">
        <w:r>
          <w:rPr>
            <w:rStyle w:val="a3"/>
            <w:rFonts w:eastAsia="Times New Roman"/>
            <w:sz w:val="20"/>
            <w:szCs w:val="20"/>
          </w:rPr>
          <w:t>1.8</w:t>
        </w:r>
      </w:hyperlink>
      <w:hyperlink r:id="rId96" w:history="1">
        <w:r>
          <w:rPr>
            <w:rStyle w:val="a3"/>
            <w:rFonts w:eastAsia="Times New Roman"/>
            <w:sz w:val="20"/>
            <w:szCs w:val="20"/>
          </w:rPr>
          <w:t>0% Global Note due 20</w:t>
        </w:r>
      </w:hyperlink>
      <w:hyperlink r:id="rId97" w:history="1">
        <w:r>
          <w:rPr>
            <w:rStyle w:val="a3"/>
            <w:rFonts w:eastAsia="Times New Roman"/>
            <w:sz w:val="20"/>
            <w:szCs w:val="20"/>
          </w:rPr>
          <w:t>31</w:t>
        </w:r>
      </w:hyperlink>
      <w:hyperlink r:id="rId98" w:history="1">
        <w:r>
          <w:rPr>
            <w:rStyle w:val="a3"/>
            <w:rFonts w:eastAsia="Times New Roman"/>
            <w:sz w:val="20"/>
            <w:szCs w:val="20"/>
          </w:rPr>
          <w:t>, incorporated herein by reference to Exhi</w:t>
        </w:r>
        <w:r>
          <w:rPr>
            <w:rStyle w:val="a3"/>
            <w:rFonts w:eastAsia="Times New Roman"/>
            <w:sz w:val="20"/>
            <w:szCs w:val="20"/>
          </w:rPr>
          <w:t>bit 4.1 to L3Harris Technologies, Inc.’s Current Report on Form 8-K filed with the SEC on November 2</w:t>
        </w:r>
      </w:hyperlink>
      <w:hyperlink r:id="rId99" w:history="1">
        <w:r>
          <w:rPr>
            <w:rStyle w:val="a3"/>
            <w:rFonts w:eastAsia="Times New Roman"/>
            <w:sz w:val="20"/>
            <w:szCs w:val="20"/>
          </w:rPr>
          <w:t>5</w:t>
        </w:r>
      </w:hyperlink>
      <w:hyperlink r:id="rId100" w:history="1">
        <w:r>
          <w:rPr>
            <w:rStyle w:val="a3"/>
            <w:rFonts w:eastAsia="Times New Roman"/>
            <w:sz w:val="20"/>
            <w:szCs w:val="20"/>
          </w:rPr>
          <w:t>, 20</w:t>
        </w:r>
      </w:hyperlink>
      <w:hyperlink r:id="rId101" w:history="1">
        <w:r>
          <w:rPr>
            <w:rStyle w:val="a3"/>
            <w:rFonts w:eastAsia="Times New Roman"/>
            <w:sz w:val="20"/>
            <w:szCs w:val="20"/>
          </w:rPr>
          <w:t>20</w:t>
        </w:r>
      </w:hyperlink>
      <w:hyperlink r:id="rId102" w:history="1">
        <w:r>
          <w:rPr>
            <w:rStyle w:val="a3"/>
            <w:rFonts w:eastAsia="Times New Roman"/>
            <w:sz w:val="20"/>
            <w:szCs w:val="20"/>
          </w:rPr>
          <w:t>. (Commission File Number 1-3863)</w:t>
        </w:r>
      </w:hyperlink>
    </w:p>
    <w:p w14:paraId="47D55050" w14:textId="77777777" w:rsidR="00000000" w:rsidRDefault="001A570A">
      <w:pPr>
        <w:ind w:hanging="900"/>
        <w:divId w:val="390807416"/>
        <w:rPr>
          <w:rFonts w:eastAsia="Times New Roman"/>
        </w:rPr>
      </w:pPr>
      <w:hyperlink r:id="rId103" w:history="1">
        <w:r>
          <w:rPr>
            <w:rStyle w:val="a3"/>
            <w:rFonts w:eastAsia="Times New Roman"/>
            <w:sz w:val="20"/>
            <w:szCs w:val="20"/>
          </w:rPr>
          <w:t>(4)(</w:t>
        </w:r>
      </w:hyperlink>
      <w:hyperlink r:id="rId104" w:history="1">
        <w:r>
          <w:rPr>
            <w:rStyle w:val="a3"/>
            <w:rFonts w:eastAsia="Times New Roman"/>
            <w:sz w:val="20"/>
            <w:szCs w:val="20"/>
          </w:rPr>
          <w:t>k</w:t>
        </w:r>
      </w:hyperlink>
      <w:hyperlink r:id="rId105" w:history="1">
        <w:r>
          <w:rPr>
            <w:rStyle w:val="a3"/>
            <w:rFonts w:eastAsia="Times New Roman"/>
            <w:sz w:val="20"/>
            <w:szCs w:val="20"/>
          </w:rPr>
          <w:t>)</w:t>
        </w:r>
      </w:hyperlink>
      <w:hyperlink r:id="rId106" w:history="1">
        <w:r>
          <w:rPr>
            <w:rStyle w:val="a3"/>
            <w:rFonts w:eastAsia="Times New Roman"/>
            <w:sz w:val="20"/>
            <w:szCs w:val="20"/>
          </w:rPr>
          <w:t xml:space="preserve"> </w:t>
        </w:r>
      </w:hyperlink>
      <w:hyperlink r:id="rId107" w:history="1">
        <w:r>
          <w:rPr>
            <w:rStyle w:val="a3"/>
            <w:rFonts w:eastAsia="Times New Roman"/>
            <w:sz w:val="20"/>
            <w:szCs w:val="20"/>
          </w:rPr>
          <w:t>Fo</w:t>
        </w:r>
        <w:r>
          <w:rPr>
            <w:rStyle w:val="a3"/>
            <w:rFonts w:eastAsia="Times New Roman"/>
            <w:sz w:val="20"/>
            <w:szCs w:val="20"/>
          </w:rPr>
          <w:t>rm of 4.854% Global Note due 2035, incorporated herein by reference to Exhibit 4.4 to Harris Corporation’s Current Report on Form 8-K filed with the SEC on April 27, 2015. (Commission File Number 1-3863)</w:t>
        </w:r>
      </w:hyperlink>
    </w:p>
    <w:p w14:paraId="5D76DE22" w14:textId="77777777" w:rsidR="00000000" w:rsidRDefault="001A570A">
      <w:pPr>
        <w:ind w:hanging="900"/>
        <w:divId w:val="1785342368"/>
        <w:rPr>
          <w:rFonts w:eastAsia="Times New Roman"/>
        </w:rPr>
      </w:pPr>
      <w:hyperlink r:id="rId108" w:history="1">
        <w:r>
          <w:rPr>
            <w:rStyle w:val="a3"/>
            <w:rFonts w:eastAsia="Times New Roman"/>
            <w:sz w:val="20"/>
            <w:szCs w:val="20"/>
          </w:rPr>
          <w:t>(4)(</w:t>
        </w:r>
      </w:hyperlink>
      <w:hyperlink r:id="rId109" w:history="1">
        <w:r>
          <w:rPr>
            <w:rStyle w:val="a3"/>
            <w:rFonts w:eastAsia="Times New Roman"/>
            <w:sz w:val="20"/>
            <w:szCs w:val="20"/>
          </w:rPr>
          <w:t>l</w:t>
        </w:r>
      </w:hyperlink>
      <w:hyperlink r:id="rId110" w:history="1">
        <w:r>
          <w:rPr>
            <w:rStyle w:val="a3"/>
            <w:rFonts w:eastAsia="Times New Roman"/>
            <w:sz w:val="20"/>
            <w:szCs w:val="20"/>
          </w:rPr>
          <w:t>) Form of 6.15% Global Note due 2040, incorporated herein by reference to Exhibit 4.2 to Harris Corporation’s Current Report on Form 8-K filed with the SEC on</w:t>
        </w:r>
        <w:r>
          <w:rPr>
            <w:rStyle w:val="a3"/>
            <w:rFonts w:eastAsia="Times New Roman"/>
            <w:sz w:val="20"/>
            <w:szCs w:val="20"/>
          </w:rPr>
          <w:t xml:space="preserve"> December 3, 2010. (Commission File Number 1-3863)</w:t>
        </w:r>
      </w:hyperlink>
    </w:p>
    <w:p w14:paraId="3434ACB9" w14:textId="77777777" w:rsidR="00000000" w:rsidRDefault="001A570A">
      <w:pPr>
        <w:ind w:hanging="900"/>
        <w:divId w:val="2050371467"/>
        <w:rPr>
          <w:rFonts w:eastAsia="Times New Roman"/>
        </w:rPr>
      </w:pPr>
      <w:hyperlink r:id="rId111" w:history="1">
        <w:r>
          <w:rPr>
            <w:rStyle w:val="a3"/>
            <w:rFonts w:eastAsia="Times New Roman"/>
            <w:sz w:val="20"/>
            <w:szCs w:val="20"/>
          </w:rPr>
          <w:t>(4)(</w:t>
        </w:r>
      </w:hyperlink>
      <w:hyperlink r:id="rId112" w:history="1">
        <w:r>
          <w:rPr>
            <w:rStyle w:val="a3"/>
            <w:rFonts w:eastAsia="Times New Roman"/>
            <w:sz w:val="20"/>
            <w:szCs w:val="20"/>
          </w:rPr>
          <w:t>m</w:t>
        </w:r>
      </w:hyperlink>
      <w:hyperlink r:id="rId113" w:history="1">
        <w:r>
          <w:rPr>
            <w:rStyle w:val="a3"/>
            <w:rFonts w:eastAsia="Times New Roman"/>
            <w:sz w:val="20"/>
            <w:szCs w:val="20"/>
          </w:rPr>
          <w:t xml:space="preserve">) </w:t>
        </w:r>
      </w:hyperlink>
      <w:hyperlink r:id="rId114" w:history="1">
        <w:r>
          <w:rPr>
            <w:rStyle w:val="a3"/>
            <w:rFonts w:eastAsia="Times New Roman"/>
            <w:sz w:val="20"/>
            <w:szCs w:val="20"/>
          </w:rPr>
          <w:t>Form of 5.054% Global No</w:t>
        </w:r>
        <w:r>
          <w:rPr>
            <w:rStyle w:val="a3"/>
            <w:rFonts w:eastAsia="Times New Roman"/>
            <w:sz w:val="20"/>
            <w:szCs w:val="20"/>
          </w:rPr>
          <w:t>te due 2045, incorporated herein by reference to Exhibit 4.5 to Harris Corporation’s Current Report on Form 8-K filed with the SEC on April 27, 2015. (Commission File Number 1-3863)</w:t>
        </w:r>
      </w:hyperlink>
    </w:p>
    <w:p w14:paraId="63D2FE09" w14:textId="77777777" w:rsidR="00000000" w:rsidRDefault="001A570A">
      <w:pPr>
        <w:ind w:hanging="900"/>
        <w:divId w:val="1884441311"/>
        <w:rPr>
          <w:rFonts w:eastAsia="Times New Roman"/>
        </w:rPr>
      </w:pPr>
      <w:hyperlink r:id="rId115" w:history="1">
        <w:r>
          <w:rPr>
            <w:rStyle w:val="a3"/>
            <w:rFonts w:eastAsia="Times New Roman"/>
            <w:sz w:val="20"/>
            <w:szCs w:val="20"/>
          </w:rPr>
          <w:t>(4)(</w:t>
        </w:r>
      </w:hyperlink>
      <w:hyperlink r:id="rId116" w:history="1">
        <w:r>
          <w:rPr>
            <w:rStyle w:val="a3"/>
            <w:rFonts w:eastAsia="Times New Roman"/>
            <w:sz w:val="20"/>
            <w:szCs w:val="20"/>
          </w:rPr>
          <w:t>n</w:t>
        </w:r>
      </w:hyperlink>
      <w:hyperlink r:id="rId117" w:history="1">
        <w:r>
          <w:rPr>
            <w:rStyle w:val="a3"/>
            <w:rFonts w:eastAsia="Times New Roman"/>
            <w:sz w:val="20"/>
            <w:szCs w:val="20"/>
          </w:rPr>
          <w:t xml:space="preserve">) </w:t>
        </w:r>
      </w:hyperlink>
      <w:hyperlink r:id="rId118" w:history="1">
        <w:r>
          <w:rPr>
            <w:rStyle w:val="a3"/>
            <w:rFonts w:eastAsia="Times New Roman"/>
            <w:sz w:val="20"/>
            <w:szCs w:val="20"/>
          </w:rPr>
          <w:t xml:space="preserve">Registration Rights Agreement, dated as of July 2, 2019, by and among L3Harris Technologies, Inc. (f/k/a Harris Corporation), BofA Securities, Inc. and Morgan Stanley &amp; Co. LLC, incorporated herein </w:t>
        </w:r>
        <w:r>
          <w:rPr>
            <w:rStyle w:val="a3"/>
            <w:rFonts w:eastAsia="Times New Roman"/>
            <w:sz w:val="20"/>
            <w:szCs w:val="20"/>
          </w:rPr>
          <w:t>by reference to Exhibit 4.1 to L3Harris Technologies, Inc.’s Current Report on Form 8-K filed with the SEC on July 3, 2019. (Commission File Number 1-3863)</w:t>
        </w:r>
      </w:hyperlink>
    </w:p>
    <w:p w14:paraId="30688E64" w14:textId="77777777" w:rsidR="00000000" w:rsidRDefault="001A570A">
      <w:pPr>
        <w:ind w:hanging="900"/>
        <w:divId w:val="1537423133"/>
        <w:rPr>
          <w:rFonts w:eastAsia="Times New Roman"/>
        </w:rPr>
      </w:pPr>
      <w:hyperlink r:id="rId119" w:history="1">
        <w:r>
          <w:rPr>
            <w:rStyle w:val="a3"/>
            <w:rFonts w:eastAsia="Times New Roman"/>
            <w:sz w:val="20"/>
            <w:szCs w:val="20"/>
          </w:rPr>
          <w:t>(4)(</w:t>
        </w:r>
      </w:hyperlink>
      <w:hyperlink r:id="rId120" w:history="1">
        <w:r>
          <w:rPr>
            <w:rStyle w:val="a3"/>
            <w:rFonts w:eastAsia="Times New Roman"/>
            <w:sz w:val="20"/>
            <w:szCs w:val="20"/>
          </w:rPr>
          <w:t>o</w:t>
        </w:r>
      </w:hyperlink>
      <w:hyperlink r:id="rId121" w:history="1">
        <w:r>
          <w:rPr>
            <w:rStyle w:val="a3"/>
            <w:rFonts w:eastAsia="Times New Roman"/>
            <w:sz w:val="20"/>
            <w:szCs w:val="20"/>
          </w:rPr>
          <w:t xml:space="preserve">) </w:t>
        </w:r>
      </w:hyperlink>
      <w:hyperlink r:id="rId122" w:history="1">
        <w:r>
          <w:rPr>
            <w:rStyle w:val="a3"/>
            <w:rFonts w:eastAsia="Times New Roman"/>
            <w:sz w:val="20"/>
            <w:szCs w:val="20"/>
          </w:rPr>
          <w:t>Form of New L3Harris 3.850% 2023 Rule 144A Note, incorp</w:t>
        </w:r>
        <w:r>
          <w:rPr>
            <w:rStyle w:val="a3"/>
            <w:rFonts w:eastAsia="Times New Roman"/>
            <w:sz w:val="20"/>
            <w:szCs w:val="20"/>
          </w:rPr>
          <w:t>orated herein by reference to Exhibit 4.4 to L3Harris Technologies, Inc.’s Current Report on Form 8-K filed with the SEC on July 3, 2019. (Commission File Number 1-3863)</w:t>
        </w:r>
      </w:hyperlink>
    </w:p>
    <w:p w14:paraId="362B541E" w14:textId="77777777" w:rsidR="00000000" w:rsidRDefault="001A570A">
      <w:pPr>
        <w:ind w:hanging="900"/>
        <w:divId w:val="1901017903"/>
        <w:rPr>
          <w:rFonts w:eastAsia="Times New Roman"/>
        </w:rPr>
      </w:pPr>
      <w:hyperlink r:id="rId123" w:history="1">
        <w:r>
          <w:rPr>
            <w:rStyle w:val="a3"/>
            <w:rFonts w:eastAsia="Times New Roman"/>
            <w:sz w:val="20"/>
            <w:szCs w:val="20"/>
          </w:rPr>
          <w:t>(4)(</w:t>
        </w:r>
      </w:hyperlink>
      <w:hyperlink r:id="rId124" w:history="1">
        <w:r>
          <w:rPr>
            <w:rStyle w:val="a3"/>
            <w:rFonts w:eastAsia="Times New Roman"/>
            <w:sz w:val="20"/>
            <w:szCs w:val="20"/>
          </w:rPr>
          <w:t>p</w:t>
        </w:r>
      </w:hyperlink>
      <w:hyperlink r:id="rId125" w:history="1">
        <w:r>
          <w:rPr>
            <w:rStyle w:val="a3"/>
            <w:rFonts w:eastAsia="Times New Roman"/>
            <w:sz w:val="20"/>
            <w:szCs w:val="20"/>
          </w:rPr>
          <w:t>) Form of New L3Harris 3.850% 2023 Regulation S Note, incorporat</w:t>
        </w:r>
        <w:r>
          <w:rPr>
            <w:rStyle w:val="a3"/>
            <w:rFonts w:eastAsia="Times New Roman"/>
            <w:sz w:val="20"/>
            <w:szCs w:val="20"/>
          </w:rPr>
          <w:t>ed herein by reference to Exhibit 4.5 to L3Harris Technologies, Inc.’s Current Report on Form 8-K filed with the SEC on July 3, 2019. (Commission File Number 1-3863)</w:t>
        </w:r>
      </w:hyperlink>
    </w:p>
    <w:p w14:paraId="3746C8CF" w14:textId="77777777" w:rsidR="00000000" w:rsidRDefault="001A570A">
      <w:pPr>
        <w:ind w:hanging="900"/>
        <w:divId w:val="434979694"/>
        <w:rPr>
          <w:rFonts w:eastAsia="Times New Roman"/>
        </w:rPr>
      </w:pPr>
      <w:hyperlink r:id="rId126" w:history="1">
        <w:r>
          <w:rPr>
            <w:rStyle w:val="a3"/>
            <w:rFonts w:eastAsia="Times New Roman"/>
            <w:sz w:val="20"/>
            <w:szCs w:val="20"/>
          </w:rPr>
          <w:t>(4)(</w:t>
        </w:r>
      </w:hyperlink>
      <w:hyperlink r:id="rId127" w:history="1">
        <w:r>
          <w:rPr>
            <w:rStyle w:val="a3"/>
            <w:rFonts w:eastAsia="Times New Roman"/>
            <w:sz w:val="20"/>
            <w:szCs w:val="20"/>
          </w:rPr>
          <w:t>q</w:t>
        </w:r>
      </w:hyperlink>
      <w:hyperlink r:id="rId128" w:history="1">
        <w:r>
          <w:rPr>
            <w:rStyle w:val="a3"/>
            <w:rFonts w:eastAsia="Times New Roman"/>
            <w:sz w:val="20"/>
            <w:szCs w:val="20"/>
          </w:rPr>
          <w:t xml:space="preserve">) </w:t>
        </w:r>
      </w:hyperlink>
      <w:hyperlink r:id="rId129" w:history="1">
        <w:r>
          <w:rPr>
            <w:rStyle w:val="a3"/>
            <w:rFonts w:eastAsia="Times New Roman"/>
            <w:sz w:val="20"/>
            <w:szCs w:val="20"/>
          </w:rPr>
          <w:t>Form of New L3Harris 3.950% 2024 Rule 144A Note, incorporated herein by reference to Exhibit 4.6 to L3Harris Technologies, Inc.’s Current Report on Form 8-K filed with the SEC on July 3, 2019. (Commission File Numb</w:t>
        </w:r>
        <w:r>
          <w:rPr>
            <w:rStyle w:val="a3"/>
            <w:rFonts w:eastAsia="Times New Roman"/>
            <w:sz w:val="20"/>
            <w:szCs w:val="20"/>
          </w:rPr>
          <w:t>er 1-3863)</w:t>
        </w:r>
      </w:hyperlink>
    </w:p>
    <w:p w14:paraId="319272BC" w14:textId="77777777" w:rsidR="00000000" w:rsidRDefault="001A570A">
      <w:pPr>
        <w:ind w:hanging="900"/>
        <w:divId w:val="1637838101"/>
        <w:rPr>
          <w:rFonts w:eastAsia="Times New Roman"/>
        </w:rPr>
      </w:pPr>
      <w:hyperlink r:id="rId130" w:history="1">
        <w:r>
          <w:rPr>
            <w:rStyle w:val="a3"/>
            <w:rFonts w:eastAsia="Times New Roman"/>
            <w:sz w:val="20"/>
            <w:szCs w:val="20"/>
          </w:rPr>
          <w:t>(4)(</w:t>
        </w:r>
      </w:hyperlink>
      <w:hyperlink r:id="rId131" w:history="1">
        <w:r>
          <w:rPr>
            <w:rStyle w:val="a3"/>
            <w:rFonts w:eastAsia="Times New Roman"/>
            <w:sz w:val="20"/>
            <w:szCs w:val="20"/>
          </w:rPr>
          <w:t>r</w:t>
        </w:r>
      </w:hyperlink>
      <w:hyperlink r:id="rId132" w:history="1">
        <w:r>
          <w:rPr>
            <w:rStyle w:val="a3"/>
            <w:rFonts w:eastAsia="Times New Roman"/>
            <w:sz w:val="20"/>
            <w:szCs w:val="20"/>
          </w:rPr>
          <w:t xml:space="preserve">) </w:t>
        </w:r>
      </w:hyperlink>
      <w:hyperlink r:id="rId133" w:history="1">
        <w:r>
          <w:rPr>
            <w:rStyle w:val="a3"/>
            <w:rFonts w:eastAsia="Times New Roman"/>
            <w:sz w:val="20"/>
            <w:szCs w:val="20"/>
          </w:rPr>
          <w:t>Form of New L3Harris 3.950% 2024 Regulation S Note, inc</w:t>
        </w:r>
        <w:r>
          <w:rPr>
            <w:rStyle w:val="a3"/>
            <w:rFonts w:eastAsia="Times New Roman"/>
            <w:sz w:val="20"/>
            <w:szCs w:val="20"/>
          </w:rPr>
          <w:t>orporated herein by reference to Exhibit 4.7 to L3Harris Technologies, Inc.’s Current Report on Form 8-K filed with the SEC on July 3, 2019. (Commission File Number 1-3863)</w:t>
        </w:r>
      </w:hyperlink>
    </w:p>
    <w:p w14:paraId="5A485F5A" w14:textId="77777777" w:rsidR="00000000" w:rsidRDefault="001A570A">
      <w:pPr>
        <w:ind w:hanging="900"/>
        <w:divId w:val="1686974620"/>
        <w:rPr>
          <w:rFonts w:eastAsia="Times New Roman"/>
        </w:rPr>
      </w:pPr>
      <w:hyperlink r:id="rId134" w:history="1">
        <w:r>
          <w:rPr>
            <w:rStyle w:val="a3"/>
            <w:rFonts w:eastAsia="Times New Roman"/>
            <w:sz w:val="20"/>
            <w:szCs w:val="20"/>
          </w:rPr>
          <w:t>(4)(</w:t>
        </w:r>
      </w:hyperlink>
      <w:hyperlink r:id="rId135" w:history="1">
        <w:r>
          <w:rPr>
            <w:rStyle w:val="a3"/>
            <w:rFonts w:eastAsia="Times New Roman"/>
            <w:sz w:val="20"/>
            <w:szCs w:val="20"/>
          </w:rPr>
          <w:t>s</w:t>
        </w:r>
      </w:hyperlink>
      <w:hyperlink r:id="rId136" w:history="1">
        <w:r>
          <w:rPr>
            <w:rStyle w:val="a3"/>
            <w:rFonts w:eastAsia="Times New Roman"/>
            <w:sz w:val="20"/>
            <w:szCs w:val="20"/>
          </w:rPr>
          <w:t>) Form of New L3Harris 3.850% 2026 Rule 144A Note, incorporated herein by reference to Exhibit 4.8 to L3Harris Technologies, Inc.’s Current Report on Form 8-K filed with the SEC on July 3, 2019. (Commission File Number 1-3863)</w:t>
        </w:r>
      </w:hyperlink>
    </w:p>
    <w:p w14:paraId="257EDD5C" w14:textId="77777777" w:rsidR="00000000" w:rsidRDefault="001A570A">
      <w:pPr>
        <w:ind w:hanging="900"/>
        <w:divId w:val="1944532942"/>
        <w:rPr>
          <w:rFonts w:eastAsia="Times New Roman"/>
        </w:rPr>
      </w:pPr>
      <w:hyperlink r:id="rId137" w:history="1">
        <w:r>
          <w:rPr>
            <w:rStyle w:val="a3"/>
            <w:rFonts w:eastAsia="Times New Roman"/>
            <w:sz w:val="20"/>
            <w:szCs w:val="20"/>
          </w:rPr>
          <w:t>(4)(</w:t>
        </w:r>
      </w:hyperlink>
      <w:hyperlink r:id="rId138" w:history="1">
        <w:r>
          <w:rPr>
            <w:rStyle w:val="a3"/>
            <w:rFonts w:eastAsia="Times New Roman"/>
            <w:sz w:val="20"/>
            <w:szCs w:val="20"/>
          </w:rPr>
          <w:t>t</w:t>
        </w:r>
      </w:hyperlink>
      <w:hyperlink r:id="rId139" w:history="1">
        <w:r>
          <w:rPr>
            <w:rStyle w:val="a3"/>
            <w:rFonts w:eastAsia="Times New Roman"/>
            <w:sz w:val="20"/>
            <w:szCs w:val="20"/>
          </w:rPr>
          <w:t>)</w:t>
        </w:r>
      </w:hyperlink>
      <w:hyperlink r:id="rId140" w:history="1">
        <w:r>
          <w:rPr>
            <w:rStyle w:val="a3"/>
            <w:rFonts w:eastAsia="Times New Roman"/>
            <w:sz w:val="20"/>
            <w:szCs w:val="20"/>
          </w:rPr>
          <w:t xml:space="preserve"> </w:t>
        </w:r>
      </w:hyperlink>
      <w:hyperlink r:id="rId141" w:history="1">
        <w:r>
          <w:rPr>
            <w:rStyle w:val="a3"/>
            <w:rFonts w:eastAsia="Times New Roman"/>
            <w:sz w:val="20"/>
            <w:szCs w:val="20"/>
          </w:rPr>
          <w:t>Form of New L3Harris 3.850% 2026 Regulation S Note, incorporated herein by reference to Exhibit 4.9 to L3Harris Technologies, Inc.’</w:t>
        </w:r>
        <w:r>
          <w:rPr>
            <w:rStyle w:val="a3"/>
            <w:rFonts w:eastAsia="Times New Roman"/>
            <w:sz w:val="20"/>
            <w:szCs w:val="20"/>
          </w:rPr>
          <w:t>s Current Report on Form 8-K filed with the SEC on July 3, 2019. (Commission File Number 1-3863)</w:t>
        </w:r>
      </w:hyperlink>
    </w:p>
    <w:p w14:paraId="0EFEC7D9" w14:textId="77777777" w:rsidR="00000000" w:rsidRDefault="001A570A">
      <w:pPr>
        <w:ind w:hanging="900"/>
        <w:divId w:val="1633822919"/>
        <w:rPr>
          <w:rFonts w:eastAsia="Times New Roman"/>
        </w:rPr>
      </w:pPr>
      <w:hyperlink r:id="rId142" w:history="1">
        <w:r>
          <w:rPr>
            <w:rStyle w:val="a3"/>
            <w:rFonts w:eastAsia="Times New Roman"/>
            <w:sz w:val="20"/>
            <w:szCs w:val="20"/>
          </w:rPr>
          <w:t>(4)(</w:t>
        </w:r>
      </w:hyperlink>
      <w:hyperlink r:id="rId143" w:history="1">
        <w:r>
          <w:rPr>
            <w:rStyle w:val="a3"/>
            <w:rFonts w:eastAsia="Times New Roman"/>
            <w:sz w:val="20"/>
            <w:szCs w:val="20"/>
          </w:rPr>
          <w:t>u</w:t>
        </w:r>
      </w:hyperlink>
      <w:hyperlink r:id="rId144" w:history="1">
        <w:r>
          <w:rPr>
            <w:rStyle w:val="a3"/>
            <w:rFonts w:eastAsia="Times New Roman"/>
            <w:sz w:val="20"/>
            <w:szCs w:val="20"/>
          </w:rPr>
          <w:t xml:space="preserve">) </w:t>
        </w:r>
        <w:r>
          <w:rPr>
            <w:rStyle w:val="a3"/>
            <w:rFonts w:eastAsia="Times New Roman"/>
            <w:sz w:val="20"/>
            <w:szCs w:val="20"/>
          </w:rPr>
          <w:t>Form of New L3Harris 4.400% 2028 Rule 144A Note, incorporated herein by reference to Exhibit 4.10 to L3Harris Technologies, Inc.’s Current Report on Form 8-K filed with the SEC on July 3, 2019. (Commission File Number 1-3863)</w:t>
        </w:r>
      </w:hyperlink>
    </w:p>
    <w:p w14:paraId="5F4596DD" w14:textId="77777777" w:rsidR="00000000" w:rsidRDefault="001A570A">
      <w:pPr>
        <w:ind w:hanging="900"/>
        <w:divId w:val="2140566888"/>
        <w:rPr>
          <w:rFonts w:eastAsia="Times New Roman"/>
        </w:rPr>
      </w:pPr>
      <w:hyperlink r:id="rId145" w:history="1">
        <w:r>
          <w:rPr>
            <w:rStyle w:val="a3"/>
            <w:rFonts w:eastAsia="Times New Roman"/>
            <w:sz w:val="20"/>
            <w:szCs w:val="20"/>
          </w:rPr>
          <w:t>(4)(</w:t>
        </w:r>
      </w:hyperlink>
      <w:hyperlink r:id="rId146" w:history="1">
        <w:r>
          <w:rPr>
            <w:rStyle w:val="a3"/>
            <w:rFonts w:eastAsia="Times New Roman"/>
            <w:sz w:val="20"/>
            <w:szCs w:val="20"/>
          </w:rPr>
          <w:t>v</w:t>
        </w:r>
      </w:hyperlink>
      <w:hyperlink r:id="rId147" w:history="1">
        <w:r>
          <w:rPr>
            <w:rStyle w:val="a3"/>
            <w:rFonts w:eastAsia="Times New Roman"/>
            <w:sz w:val="20"/>
            <w:szCs w:val="20"/>
          </w:rPr>
          <w:t>) For</w:t>
        </w:r>
        <w:r>
          <w:rPr>
            <w:rStyle w:val="a3"/>
            <w:rFonts w:eastAsia="Times New Roman"/>
            <w:sz w:val="20"/>
            <w:szCs w:val="20"/>
          </w:rPr>
          <w:t>m of New L3Harris 4.400% 2028 Regulation S Note, incorporated herein by reference to Exhibit 4.11 to L3Harris Technologies, Inc.’s Current Report on Form 8-K filed with the SEC on July 3, 2019. (Commission File Number 1-3863)</w:t>
        </w:r>
      </w:hyperlink>
    </w:p>
    <w:p w14:paraId="0BB97D9F" w14:textId="77777777" w:rsidR="00000000" w:rsidRDefault="001A570A">
      <w:pPr>
        <w:ind w:hanging="900"/>
        <w:divId w:val="1038626110"/>
        <w:rPr>
          <w:rFonts w:eastAsia="Times New Roman"/>
        </w:rPr>
      </w:pPr>
      <w:r>
        <w:rPr>
          <w:rFonts w:eastAsia="Times New Roman"/>
          <w:color w:val="000000"/>
          <w:sz w:val="20"/>
          <w:szCs w:val="20"/>
        </w:rPr>
        <w:t>(4)(w) Pursuant to Regulation </w:t>
      </w:r>
      <w:r>
        <w:rPr>
          <w:rFonts w:eastAsia="Times New Roman"/>
          <w:color w:val="000000"/>
          <w:sz w:val="20"/>
          <w:szCs w:val="20"/>
        </w:rPr>
        <w:t>S-K, Item 601(b)(4)(iii)(A), L3Harris Technologies, Inc. by this filing agrees, upon request, to furnish to the SEC a copy of other instruments defining the rights of holders of long-term debt of L3Harris Technologies, Inc. or L3 Technologies, Inc.</w:t>
      </w:r>
    </w:p>
    <w:p w14:paraId="6614EE5D" w14:textId="77777777" w:rsidR="00000000" w:rsidRDefault="001A570A">
      <w:pPr>
        <w:ind w:hanging="900"/>
        <w:divId w:val="664358689"/>
        <w:rPr>
          <w:rFonts w:eastAsia="Times New Roman"/>
        </w:rPr>
      </w:pPr>
      <w:hyperlink r:id="rId148" w:history="1">
        <w:r>
          <w:rPr>
            <w:rStyle w:val="a3"/>
            <w:rFonts w:eastAsia="Times New Roman"/>
            <w:sz w:val="20"/>
            <w:szCs w:val="20"/>
          </w:rPr>
          <w:t>(4)(</w:t>
        </w:r>
      </w:hyperlink>
      <w:hyperlink r:id="rId149" w:history="1">
        <w:r>
          <w:rPr>
            <w:rStyle w:val="a3"/>
            <w:rFonts w:eastAsia="Times New Roman"/>
            <w:sz w:val="20"/>
            <w:szCs w:val="20"/>
          </w:rPr>
          <w:t>x</w:t>
        </w:r>
      </w:hyperlink>
      <w:hyperlink r:id="rId150" w:history="1">
        <w:r>
          <w:rPr>
            <w:rStyle w:val="a3"/>
            <w:rFonts w:eastAsia="Times New Roman"/>
            <w:sz w:val="20"/>
            <w:szCs w:val="20"/>
          </w:rPr>
          <w:t xml:space="preserve">) </w:t>
        </w:r>
      </w:hyperlink>
      <w:hyperlink r:id="rId151" w:history="1">
        <w:r>
          <w:rPr>
            <w:rStyle w:val="a3"/>
            <w:rFonts w:eastAsia="Times New Roman"/>
            <w:sz w:val="20"/>
            <w:szCs w:val="20"/>
          </w:rPr>
          <w:t>Descr</w:t>
        </w:r>
        <w:r>
          <w:rPr>
            <w:rStyle w:val="a3"/>
            <w:rFonts w:eastAsia="Times New Roman"/>
            <w:sz w:val="20"/>
            <w:szCs w:val="20"/>
          </w:rPr>
          <w:t>iption of L3Harris Technologies, Inc.’s Securities, incorporated by reference to Exhibit (4)(z) to L3Harris Technologies, Inc.’s Annual Report on Form 10-K for the fiscal year ended June 28, 2019. (Commission File Number 1-3863)</w:t>
        </w:r>
      </w:hyperlink>
      <w:hyperlink r:id="rId152" w:history="1">
        <w:r>
          <w:rPr>
            <w:rStyle w:val="a3"/>
            <w:rFonts w:eastAsia="Times New Roman"/>
            <w:sz w:val="20"/>
            <w:szCs w:val="20"/>
          </w:rPr>
          <w:t xml:space="preserve"> </w:t>
        </w:r>
      </w:hyperlink>
    </w:p>
    <w:p w14:paraId="4C094911" w14:textId="77777777" w:rsidR="00000000" w:rsidRDefault="001A570A">
      <w:pPr>
        <w:ind w:hanging="900"/>
        <w:divId w:val="1270746812"/>
        <w:rPr>
          <w:rFonts w:eastAsia="Times New Roman"/>
        </w:rPr>
      </w:pPr>
      <w:hyperlink r:id="rId153" w:history="1">
        <w:r>
          <w:rPr>
            <w:rStyle w:val="a3"/>
            <w:rFonts w:eastAsia="Times New Roman"/>
            <w:sz w:val="20"/>
            <w:szCs w:val="20"/>
          </w:rPr>
          <w:t xml:space="preserve">*(10)(a) </w:t>
        </w:r>
      </w:hyperlink>
      <w:hyperlink r:id="rId154" w:history="1">
        <w:r>
          <w:rPr>
            <w:rStyle w:val="a3"/>
            <w:rFonts w:eastAsia="Times New Roman"/>
            <w:sz w:val="20"/>
            <w:szCs w:val="20"/>
          </w:rPr>
          <w:t>Form of</w:t>
        </w:r>
      </w:hyperlink>
      <w:hyperlink r:id="rId155" w:history="1">
        <w:r>
          <w:rPr>
            <w:rStyle w:val="a3"/>
            <w:rFonts w:eastAsia="Times New Roman"/>
            <w:sz w:val="20"/>
            <w:szCs w:val="20"/>
          </w:rPr>
          <w:t xml:space="preserve"> </w:t>
        </w:r>
      </w:hyperlink>
      <w:hyperlink r:id="rId156" w:history="1">
        <w:r>
          <w:rPr>
            <w:rStyle w:val="a3"/>
            <w:rFonts w:eastAsia="Times New Roman"/>
            <w:sz w:val="20"/>
            <w:szCs w:val="20"/>
          </w:rPr>
          <w:t>Director and Officer Indemnification Agreement, for use on or after June 29, 2019, incorporated herein by reference to Exhibit 10.5 to L3Harris Technologies, Inc.’s Current Report on Form 8-K filed with the SEC on July 1, 2019. (Commission File Number 1-38</w:t>
        </w:r>
        <w:r>
          <w:rPr>
            <w:rStyle w:val="a3"/>
            <w:rFonts w:eastAsia="Times New Roman"/>
            <w:sz w:val="20"/>
            <w:szCs w:val="20"/>
          </w:rPr>
          <w:t>63)</w:t>
        </w:r>
      </w:hyperlink>
      <w:r>
        <w:rPr>
          <w:rFonts w:eastAsia="Times New Roman"/>
          <w:color w:val="000000"/>
          <w:sz w:val="20"/>
          <w:szCs w:val="20"/>
        </w:rPr>
        <w:t xml:space="preserve"> </w:t>
      </w:r>
    </w:p>
    <w:p w14:paraId="1B44DE81" w14:textId="77777777" w:rsidR="00000000" w:rsidRDefault="001A570A">
      <w:pPr>
        <w:ind w:hanging="900"/>
        <w:divId w:val="1065226964"/>
        <w:rPr>
          <w:rFonts w:eastAsia="Times New Roman"/>
        </w:rPr>
      </w:pPr>
      <w:hyperlink r:id="rId157" w:history="1">
        <w:r>
          <w:rPr>
            <w:rStyle w:val="a3"/>
            <w:rFonts w:eastAsia="Times New Roman"/>
            <w:sz w:val="20"/>
            <w:szCs w:val="20"/>
          </w:rPr>
          <w:t>*(10)(b)</w:t>
        </w:r>
      </w:hyperlink>
      <w:hyperlink r:id="rId158" w:history="1">
        <w:r>
          <w:rPr>
            <w:rStyle w:val="a3"/>
            <w:rFonts w:eastAsia="Times New Roman"/>
            <w:sz w:val="20"/>
            <w:szCs w:val="20"/>
          </w:rPr>
          <w:t xml:space="preserve"> </w:t>
        </w:r>
      </w:hyperlink>
      <w:hyperlink r:id="rId159" w:history="1">
        <w:r>
          <w:rPr>
            <w:rStyle w:val="a3"/>
            <w:rFonts w:eastAsia="Times New Roman"/>
            <w:sz w:val="20"/>
            <w:szCs w:val="20"/>
          </w:rPr>
          <w:t>For</w:t>
        </w:r>
        <w:r>
          <w:rPr>
            <w:rStyle w:val="a3"/>
            <w:rFonts w:eastAsia="Times New Roman"/>
            <w:sz w:val="20"/>
            <w:szCs w:val="20"/>
          </w:rPr>
          <w:t xml:space="preserve">m of Executive Change in Control Severance Agreement, effective as of, and for use after, April 22, 2010, incorporated herein by reference to Exhibit 10(o) to Harris Corporation’s Quarterly Report on Form 10-Q for the fiscal quarter ended October 1, 2010. </w:t>
        </w:r>
        <w:r>
          <w:rPr>
            <w:rStyle w:val="a3"/>
            <w:rFonts w:eastAsia="Times New Roman"/>
            <w:sz w:val="20"/>
            <w:szCs w:val="20"/>
          </w:rPr>
          <w:t>(Commission File Number 1-3863)</w:t>
        </w:r>
      </w:hyperlink>
    </w:p>
    <w:p w14:paraId="3C18BFB9" w14:textId="77777777" w:rsidR="00000000" w:rsidRDefault="001A570A">
      <w:pPr>
        <w:ind w:firstLine="450"/>
        <w:jc w:val="center"/>
        <w:divId w:val="1280988533"/>
        <w:rPr>
          <w:rFonts w:eastAsia="Times New Roman"/>
        </w:rPr>
      </w:pPr>
      <w:r>
        <w:rPr>
          <w:rFonts w:eastAsia="Times New Roman"/>
          <w:color w:val="000000"/>
          <w:sz w:val="20"/>
          <w:szCs w:val="20"/>
        </w:rPr>
        <w:t>137</w:t>
      </w:r>
    </w:p>
    <w:p w14:paraId="1C7FF347" w14:textId="77777777" w:rsidR="00000000" w:rsidRDefault="001A570A">
      <w:pPr>
        <w:rPr>
          <w:rFonts w:eastAsia="Times New Roman"/>
        </w:rPr>
      </w:pPr>
      <w:r>
        <w:rPr>
          <w:rFonts w:eastAsia="Times New Roman"/>
        </w:rPr>
        <w:pict w14:anchorId="5FC3565A">
          <v:rect id="_x0000_i1165" style="width:0;height:1.5pt" o:hralign="center" o:hrstd="t" o:hr="t" fillcolor="#a0a0a0" stroked="f"/>
        </w:pict>
      </w:r>
    </w:p>
    <w:p w14:paraId="73A4A0D0" w14:textId="77777777" w:rsidR="00000000" w:rsidRDefault="001A570A">
      <w:pPr>
        <w:ind w:firstLine="450"/>
        <w:divId w:val="1104763789"/>
        <w:rPr>
          <w:rFonts w:eastAsia="Times New Roman"/>
        </w:rPr>
      </w:pPr>
    </w:p>
    <w:p w14:paraId="0DBA4A58" w14:textId="77777777" w:rsidR="00000000" w:rsidRDefault="001A570A">
      <w:pPr>
        <w:ind w:hanging="900"/>
        <w:divId w:val="1133402675"/>
        <w:rPr>
          <w:rFonts w:eastAsia="Times New Roman"/>
        </w:rPr>
      </w:pPr>
      <w:hyperlink r:id="rId160" w:history="1">
        <w:r>
          <w:rPr>
            <w:rStyle w:val="a3"/>
            <w:rFonts w:eastAsia="Times New Roman"/>
            <w:sz w:val="20"/>
            <w:szCs w:val="20"/>
          </w:rPr>
          <w:t>*(10)</w:t>
        </w:r>
      </w:hyperlink>
      <w:hyperlink r:id="rId161" w:history="1">
        <w:r>
          <w:rPr>
            <w:rStyle w:val="a3"/>
            <w:rFonts w:eastAsia="Times New Roman"/>
            <w:sz w:val="20"/>
            <w:szCs w:val="20"/>
          </w:rPr>
          <w:t>(</w:t>
        </w:r>
      </w:hyperlink>
      <w:hyperlink r:id="rId162" w:history="1">
        <w:r>
          <w:rPr>
            <w:rStyle w:val="a3"/>
            <w:rFonts w:eastAsia="Times New Roman"/>
            <w:sz w:val="20"/>
            <w:szCs w:val="20"/>
          </w:rPr>
          <w:t>c)</w:t>
        </w:r>
      </w:hyperlink>
      <w:hyperlink r:id="rId163" w:history="1">
        <w:r>
          <w:rPr>
            <w:rStyle w:val="a3"/>
            <w:rFonts w:eastAsia="Times New Roman"/>
            <w:sz w:val="20"/>
            <w:szCs w:val="20"/>
          </w:rPr>
          <w:t xml:space="preserve"> </w:t>
        </w:r>
      </w:hyperlink>
      <w:hyperlink r:id="rId164" w:history="1">
        <w:r>
          <w:rPr>
            <w:rStyle w:val="a3"/>
            <w:rFonts w:eastAsia="Times New Roman"/>
            <w:sz w:val="20"/>
            <w:szCs w:val="20"/>
          </w:rPr>
          <w:t>L3Harris Technologies, Inc. Exe</w:t>
        </w:r>
        <w:r>
          <w:rPr>
            <w:rStyle w:val="a3"/>
            <w:rFonts w:eastAsia="Times New Roman"/>
            <w:sz w:val="20"/>
            <w:szCs w:val="20"/>
          </w:rPr>
          <w:t>cutive Change in Control Severance Plan, effective as of March 1, 202</w:t>
        </w:r>
      </w:hyperlink>
      <w:hyperlink r:id="rId165" w:history="1">
        <w:r>
          <w:rPr>
            <w:rStyle w:val="a3"/>
            <w:rFonts w:eastAsia="Times New Roman"/>
            <w:sz w:val="20"/>
            <w:szCs w:val="20"/>
          </w:rPr>
          <w:t>0, incorporated herein by reference to Exhibit 10.1 to L3Harris Technologies</w:t>
        </w:r>
      </w:hyperlink>
      <w:hyperlink r:id="rId166" w:history="1">
        <w:r>
          <w:rPr>
            <w:rStyle w:val="a3"/>
            <w:rFonts w:eastAsia="Times New Roman"/>
            <w:sz w:val="20"/>
            <w:szCs w:val="20"/>
          </w:rPr>
          <w:t>,</w:t>
        </w:r>
      </w:hyperlink>
      <w:hyperlink r:id="rId167" w:history="1">
        <w:r>
          <w:rPr>
            <w:rStyle w:val="a3"/>
            <w:rFonts w:eastAsia="Times New Roman"/>
            <w:sz w:val="20"/>
            <w:szCs w:val="20"/>
          </w:rPr>
          <w:t xml:space="preserve"> Inc.</w:t>
        </w:r>
      </w:hyperlink>
      <w:hyperlink r:id="rId168" w:history="1">
        <w:r>
          <w:rPr>
            <w:rStyle w:val="a3"/>
            <w:rFonts w:eastAsia="Times New Roman"/>
            <w:sz w:val="20"/>
            <w:szCs w:val="20"/>
          </w:rPr>
          <w:t>’</w:t>
        </w:r>
      </w:hyperlink>
      <w:hyperlink r:id="rId169" w:history="1">
        <w:r>
          <w:rPr>
            <w:rStyle w:val="a3"/>
            <w:rFonts w:eastAsia="Times New Roman"/>
            <w:sz w:val="20"/>
            <w:szCs w:val="20"/>
          </w:rPr>
          <w:t>s</w:t>
        </w:r>
      </w:hyperlink>
      <w:hyperlink r:id="rId170" w:history="1">
        <w:r>
          <w:rPr>
            <w:rStyle w:val="a3"/>
            <w:rFonts w:eastAsia="Times New Roman"/>
            <w:sz w:val="20"/>
            <w:szCs w:val="20"/>
          </w:rPr>
          <w:t xml:space="preserve"> Current Report on Form 8-K filed with the SEC on March 4, 2020. (Com</w:t>
        </w:r>
        <w:r>
          <w:rPr>
            <w:rStyle w:val="a3"/>
            <w:rFonts w:eastAsia="Times New Roman"/>
            <w:sz w:val="20"/>
            <w:szCs w:val="20"/>
          </w:rPr>
          <w:t>mission File</w:t>
        </w:r>
      </w:hyperlink>
      <w:hyperlink r:id="rId171" w:history="1">
        <w:r>
          <w:rPr>
            <w:rStyle w:val="a3"/>
            <w:rFonts w:eastAsia="Times New Roman"/>
            <w:sz w:val="20"/>
            <w:szCs w:val="20"/>
          </w:rPr>
          <w:t xml:space="preserve"> Number</w:t>
        </w:r>
      </w:hyperlink>
      <w:hyperlink r:id="rId172" w:history="1">
        <w:r>
          <w:rPr>
            <w:rStyle w:val="a3"/>
            <w:rFonts w:eastAsia="Times New Roman"/>
            <w:sz w:val="20"/>
            <w:szCs w:val="20"/>
          </w:rPr>
          <w:t xml:space="preserve"> 1-</w:t>
        </w:r>
      </w:hyperlink>
      <w:hyperlink r:id="rId173" w:history="1">
        <w:r>
          <w:rPr>
            <w:rStyle w:val="a3"/>
            <w:rFonts w:eastAsia="Times New Roman"/>
            <w:sz w:val="20"/>
            <w:szCs w:val="20"/>
          </w:rPr>
          <w:t>3</w:t>
        </w:r>
      </w:hyperlink>
      <w:hyperlink r:id="rId174" w:history="1">
        <w:r>
          <w:rPr>
            <w:rStyle w:val="a3"/>
            <w:rFonts w:eastAsia="Times New Roman"/>
            <w:sz w:val="20"/>
            <w:szCs w:val="20"/>
          </w:rPr>
          <w:t>863</w:t>
        </w:r>
      </w:hyperlink>
      <w:hyperlink r:id="rId175" w:history="1">
        <w:r>
          <w:rPr>
            <w:rStyle w:val="a3"/>
            <w:rFonts w:eastAsia="Times New Roman"/>
            <w:sz w:val="20"/>
            <w:szCs w:val="20"/>
          </w:rPr>
          <w:t>)</w:t>
        </w:r>
      </w:hyperlink>
    </w:p>
    <w:p w14:paraId="3EC2D255" w14:textId="77777777" w:rsidR="00000000" w:rsidRDefault="001A570A">
      <w:pPr>
        <w:ind w:hanging="900"/>
        <w:divId w:val="1869296353"/>
        <w:rPr>
          <w:rFonts w:eastAsia="Times New Roman"/>
        </w:rPr>
      </w:pPr>
      <w:hyperlink r:id="rId176" w:history="1">
        <w:r>
          <w:rPr>
            <w:rStyle w:val="a3"/>
            <w:rFonts w:eastAsia="Times New Roman"/>
            <w:sz w:val="20"/>
            <w:szCs w:val="20"/>
          </w:rPr>
          <w:t>*(10)(</w:t>
        </w:r>
      </w:hyperlink>
      <w:hyperlink r:id="rId177" w:history="1">
        <w:r>
          <w:rPr>
            <w:rStyle w:val="a3"/>
            <w:rFonts w:eastAsia="Times New Roman"/>
            <w:sz w:val="20"/>
            <w:szCs w:val="20"/>
          </w:rPr>
          <w:t>d</w:t>
        </w:r>
      </w:hyperlink>
      <w:hyperlink r:id="rId178" w:history="1">
        <w:r>
          <w:rPr>
            <w:rStyle w:val="a3"/>
            <w:rFonts w:eastAsia="Times New Roman"/>
            <w:sz w:val="20"/>
            <w:szCs w:val="20"/>
          </w:rPr>
          <w:t>)</w:t>
        </w:r>
      </w:hyperlink>
      <w:hyperlink r:id="rId179" w:history="1">
        <w:r>
          <w:rPr>
            <w:rStyle w:val="a3"/>
            <w:rFonts w:eastAsia="Times New Roman"/>
            <w:sz w:val="20"/>
            <w:szCs w:val="20"/>
          </w:rPr>
          <w:t xml:space="preserve"> </w:t>
        </w:r>
      </w:hyperlink>
      <w:hyperlink r:id="rId180" w:history="1">
        <w:r>
          <w:rPr>
            <w:rStyle w:val="a3"/>
            <w:rFonts w:eastAsia="Times New Roman"/>
            <w:sz w:val="20"/>
            <w:szCs w:val="20"/>
          </w:rPr>
          <w:t xml:space="preserve">L3Harris Technologies, Inc. </w:t>
        </w:r>
      </w:hyperlink>
      <w:hyperlink r:id="rId181" w:history="1">
        <w:r>
          <w:rPr>
            <w:rStyle w:val="a3"/>
            <w:rFonts w:eastAsia="Times New Roman"/>
            <w:sz w:val="20"/>
            <w:szCs w:val="20"/>
          </w:rPr>
          <w:t>Seve</w:t>
        </w:r>
        <w:r>
          <w:rPr>
            <w:rStyle w:val="a3"/>
            <w:rFonts w:eastAsia="Times New Roman"/>
            <w:sz w:val="20"/>
            <w:szCs w:val="20"/>
          </w:rPr>
          <w:t xml:space="preserve">rance </w:t>
        </w:r>
      </w:hyperlink>
      <w:hyperlink r:id="rId182" w:history="1">
        <w:r>
          <w:rPr>
            <w:rStyle w:val="a3"/>
            <w:rFonts w:eastAsia="Times New Roman"/>
            <w:sz w:val="20"/>
            <w:szCs w:val="20"/>
          </w:rPr>
          <w:t xml:space="preserve">Pay </w:t>
        </w:r>
      </w:hyperlink>
      <w:hyperlink r:id="rId183" w:history="1">
        <w:r>
          <w:rPr>
            <w:rStyle w:val="a3"/>
            <w:rFonts w:eastAsia="Times New Roman"/>
            <w:sz w:val="20"/>
            <w:szCs w:val="20"/>
          </w:rPr>
          <w:t>Plan, effective as of March 1, 2020, incorporated herein by reference to Exhibit 10.</w:t>
        </w:r>
      </w:hyperlink>
      <w:hyperlink r:id="rId184" w:history="1">
        <w:r>
          <w:rPr>
            <w:rStyle w:val="a3"/>
            <w:rFonts w:eastAsia="Times New Roman"/>
            <w:sz w:val="20"/>
            <w:szCs w:val="20"/>
          </w:rPr>
          <w:t>2</w:t>
        </w:r>
      </w:hyperlink>
      <w:hyperlink r:id="rId185" w:history="1">
        <w:r>
          <w:rPr>
            <w:rStyle w:val="a3"/>
            <w:rFonts w:eastAsia="Times New Roman"/>
            <w:sz w:val="20"/>
            <w:szCs w:val="20"/>
          </w:rPr>
          <w:t xml:space="preserve"> to L3Harris Technologies, Inc.’s Current Report on Form 8-K filed with the SEC on March 4, 2020. (Commission File Number 1-3863)</w:t>
        </w:r>
      </w:hyperlink>
    </w:p>
    <w:p w14:paraId="530BE1D7" w14:textId="77777777" w:rsidR="00000000" w:rsidRDefault="001A570A">
      <w:pPr>
        <w:ind w:hanging="900"/>
        <w:divId w:val="1942833445"/>
        <w:rPr>
          <w:rFonts w:eastAsia="Times New Roman"/>
        </w:rPr>
      </w:pPr>
      <w:hyperlink r:id="rId186" w:history="1">
        <w:r>
          <w:rPr>
            <w:rStyle w:val="a3"/>
            <w:rFonts w:eastAsia="Times New Roman"/>
            <w:sz w:val="20"/>
            <w:szCs w:val="20"/>
          </w:rPr>
          <w:t>*(10)</w:t>
        </w:r>
      </w:hyperlink>
      <w:hyperlink r:id="rId187" w:history="1">
        <w:r>
          <w:rPr>
            <w:rStyle w:val="a3"/>
            <w:rFonts w:eastAsia="Times New Roman"/>
            <w:sz w:val="20"/>
            <w:szCs w:val="20"/>
          </w:rPr>
          <w:t>(</w:t>
        </w:r>
      </w:hyperlink>
      <w:hyperlink r:id="rId188" w:history="1">
        <w:r>
          <w:rPr>
            <w:rStyle w:val="a3"/>
            <w:rFonts w:eastAsia="Times New Roman"/>
            <w:sz w:val="20"/>
            <w:szCs w:val="20"/>
          </w:rPr>
          <w:t>e</w:t>
        </w:r>
      </w:hyperlink>
      <w:hyperlink r:id="rId189" w:history="1">
        <w:r>
          <w:rPr>
            <w:rStyle w:val="a3"/>
            <w:rFonts w:eastAsia="Times New Roman"/>
            <w:sz w:val="20"/>
            <w:szCs w:val="20"/>
          </w:rPr>
          <w:t>)</w:t>
        </w:r>
      </w:hyperlink>
      <w:hyperlink r:id="rId190" w:history="1">
        <w:r>
          <w:rPr>
            <w:rStyle w:val="a3"/>
            <w:rFonts w:eastAsia="Times New Roman"/>
            <w:sz w:val="20"/>
            <w:szCs w:val="20"/>
          </w:rPr>
          <w:t xml:space="preserve"> </w:t>
        </w:r>
      </w:hyperlink>
      <w:hyperlink r:id="rId191" w:history="1">
        <w:r>
          <w:rPr>
            <w:rStyle w:val="a3"/>
            <w:rFonts w:eastAsia="Times New Roman"/>
            <w:sz w:val="20"/>
            <w:szCs w:val="20"/>
          </w:rPr>
          <w:t>L3Harris Technologies, Inc. Annual Incentive Plan (Amended and Restated Effective as of August 28, 2020), incorporated herein by refere</w:t>
        </w:r>
        <w:r>
          <w:rPr>
            <w:rStyle w:val="a3"/>
            <w:rFonts w:eastAsia="Times New Roman"/>
            <w:sz w:val="20"/>
            <w:szCs w:val="20"/>
          </w:rPr>
          <w:t>nce to Exhibit 10.1 to L3Harris Technologies, Inc.’s Current Report on Form 8-K filed with the SEC on September 1, 2020. (Commission File Number 1-3863)</w:t>
        </w:r>
      </w:hyperlink>
    </w:p>
    <w:p w14:paraId="09E3E294" w14:textId="77777777" w:rsidR="00000000" w:rsidRDefault="001A570A">
      <w:pPr>
        <w:ind w:hanging="900"/>
        <w:divId w:val="749347166"/>
        <w:rPr>
          <w:rFonts w:eastAsia="Times New Roman"/>
        </w:rPr>
      </w:pPr>
      <w:hyperlink r:id="rId192" w:history="1">
        <w:r>
          <w:rPr>
            <w:rStyle w:val="a3"/>
            <w:rFonts w:eastAsia="Times New Roman"/>
            <w:sz w:val="20"/>
            <w:szCs w:val="20"/>
          </w:rPr>
          <w:t>*(10</w:t>
        </w:r>
        <w:r>
          <w:rPr>
            <w:rStyle w:val="a3"/>
            <w:rFonts w:eastAsia="Times New Roman"/>
            <w:sz w:val="20"/>
            <w:szCs w:val="20"/>
          </w:rPr>
          <w:t>)(</w:t>
        </w:r>
      </w:hyperlink>
      <w:hyperlink r:id="rId193" w:history="1">
        <w:r>
          <w:rPr>
            <w:rStyle w:val="a3"/>
            <w:rFonts w:eastAsia="Times New Roman"/>
            <w:sz w:val="20"/>
            <w:szCs w:val="20"/>
          </w:rPr>
          <w:t>f</w:t>
        </w:r>
      </w:hyperlink>
      <w:hyperlink r:id="rId194" w:history="1">
        <w:r>
          <w:rPr>
            <w:rStyle w:val="a3"/>
            <w:rFonts w:eastAsia="Times New Roman"/>
            <w:sz w:val="20"/>
            <w:szCs w:val="20"/>
          </w:rPr>
          <w:t>)</w:t>
        </w:r>
      </w:hyperlink>
      <w:hyperlink r:id="rId195" w:history="1">
        <w:r>
          <w:rPr>
            <w:rStyle w:val="a3"/>
            <w:rFonts w:eastAsia="Times New Roman"/>
            <w:sz w:val="20"/>
            <w:szCs w:val="20"/>
          </w:rPr>
          <w:t xml:space="preserve"> </w:t>
        </w:r>
      </w:hyperlink>
      <w:hyperlink r:id="rId196" w:history="1">
        <w:r>
          <w:rPr>
            <w:rStyle w:val="a3"/>
            <w:rFonts w:eastAsia="Times New Roman"/>
            <w:sz w:val="20"/>
            <w:szCs w:val="20"/>
          </w:rPr>
          <w:t>(i)</w:t>
        </w:r>
      </w:hyperlink>
      <w:hyperlink r:id="rId197" w:history="1">
        <w:r>
          <w:rPr>
            <w:rStyle w:val="a3"/>
            <w:rFonts w:eastAsia="Times New Roman"/>
            <w:sz w:val="20"/>
            <w:szCs w:val="20"/>
          </w:rPr>
          <w:t xml:space="preserve"> </w:t>
        </w:r>
      </w:hyperlink>
      <w:hyperlink r:id="rId198" w:history="1">
        <w:r>
          <w:rPr>
            <w:rStyle w:val="a3"/>
            <w:rFonts w:eastAsia="Times New Roman"/>
            <w:sz w:val="20"/>
            <w:szCs w:val="20"/>
          </w:rPr>
          <w:t>2005 Equity Incentive Plan (As Amended and Restated Effec</w:t>
        </w:r>
        <w:r>
          <w:rPr>
            <w:rStyle w:val="a3"/>
            <w:rFonts w:eastAsia="Times New Roman"/>
            <w:sz w:val="20"/>
            <w:szCs w:val="20"/>
          </w:rPr>
          <w:t>tive August 27, 2010), incorporated herein by reference to Exhibit 10.4 to Harris Corporation’s Current Report on Form 8-K filed with the SEC on September 2, 2010. (Commission File Number 1-3863)</w:t>
        </w:r>
      </w:hyperlink>
    </w:p>
    <w:p w14:paraId="067809B5" w14:textId="77777777" w:rsidR="00000000" w:rsidRDefault="001A570A">
      <w:pPr>
        <w:divId w:val="497891011"/>
        <w:rPr>
          <w:rFonts w:eastAsia="Times New Roman"/>
        </w:rPr>
      </w:pPr>
      <w:hyperlink r:id="rId199" w:history="1">
        <w:r>
          <w:rPr>
            <w:rStyle w:val="a3"/>
            <w:rFonts w:eastAsia="Times New Roman"/>
            <w:sz w:val="20"/>
            <w:szCs w:val="20"/>
          </w:rPr>
          <w:t>(ii</w:t>
        </w:r>
      </w:hyperlink>
      <w:hyperlink r:id="rId200" w:history="1">
        <w:r>
          <w:rPr>
            <w:rStyle w:val="a3"/>
            <w:rFonts w:eastAsia="Times New Roman"/>
            <w:sz w:val="20"/>
            <w:szCs w:val="20"/>
          </w:rPr>
          <w:t>)</w:t>
        </w:r>
      </w:hyperlink>
      <w:hyperlink r:id="rId201" w:history="1">
        <w:r>
          <w:rPr>
            <w:rStyle w:val="a3"/>
            <w:rFonts w:eastAsia="Times New Roman"/>
            <w:sz w:val="20"/>
            <w:szCs w:val="20"/>
          </w:rPr>
          <w:t xml:space="preserve"> </w:t>
        </w:r>
      </w:hyperlink>
      <w:hyperlink r:id="rId202" w:history="1">
        <w:r>
          <w:rPr>
            <w:rStyle w:val="a3"/>
            <w:rFonts w:eastAsia="Times New Roman"/>
            <w:sz w:val="20"/>
            <w:szCs w:val="20"/>
          </w:rPr>
          <w:t>Form of Stock Option Award Agreement Terms and Conditions (as of July 3, 2010) for grants under the 2005 Equity Incentive Plan (As Amended and Restated Effective August 27</w:t>
        </w:r>
        <w:r>
          <w:rPr>
            <w:rStyle w:val="a3"/>
            <w:rFonts w:eastAsia="Times New Roman"/>
            <w:sz w:val="20"/>
            <w:szCs w:val="20"/>
          </w:rPr>
          <w:t>, 2010), incorporated herein by reference to Exhibit 10(c) to Harris Corporation’s Quarterly Report on Form 10-Q for the fiscal quarter ended October 1, 2010. (Commission File Number 1-3863)</w:t>
        </w:r>
      </w:hyperlink>
    </w:p>
    <w:p w14:paraId="4619123C" w14:textId="77777777" w:rsidR="00000000" w:rsidRDefault="001A570A">
      <w:pPr>
        <w:divId w:val="1987660131"/>
        <w:rPr>
          <w:rFonts w:eastAsia="Times New Roman"/>
        </w:rPr>
      </w:pPr>
      <w:hyperlink r:id="rId203" w:history="1">
        <w:r>
          <w:rPr>
            <w:rStyle w:val="a3"/>
            <w:rFonts w:eastAsia="Times New Roman"/>
            <w:sz w:val="20"/>
            <w:szCs w:val="20"/>
          </w:rPr>
          <w:t>(iii)</w:t>
        </w:r>
      </w:hyperlink>
      <w:hyperlink r:id="rId204" w:history="1">
        <w:r>
          <w:rPr>
            <w:rStyle w:val="a3"/>
            <w:rFonts w:eastAsia="Times New Roman"/>
            <w:sz w:val="20"/>
            <w:szCs w:val="20"/>
          </w:rPr>
          <w:t xml:space="preserve"> </w:t>
        </w:r>
      </w:hyperlink>
      <w:hyperlink r:id="rId205" w:history="1">
        <w:r>
          <w:rPr>
            <w:rStyle w:val="a3"/>
            <w:rFonts w:eastAsia="Times New Roman"/>
            <w:sz w:val="20"/>
            <w:szCs w:val="20"/>
          </w:rPr>
          <w:t>Form of Stock Option Award Agreem</w:t>
        </w:r>
        <w:r>
          <w:rPr>
            <w:rStyle w:val="a3"/>
            <w:rFonts w:eastAsia="Times New Roman"/>
            <w:sz w:val="20"/>
            <w:szCs w:val="20"/>
          </w:rPr>
          <w:t xml:space="preserve">ent Terms and Conditions (as of August 26, 2011) for grants under the 2005 Equity Incentive Plan (As Amended and Restated Effective August 27, 2010), incorporated herein by reference to Exhibit 10.1 to Harris Corporation’s Current Report on Form 8-K filed </w:t>
        </w:r>
        <w:r>
          <w:rPr>
            <w:rStyle w:val="a3"/>
            <w:rFonts w:eastAsia="Times New Roman"/>
            <w:sz w:val="20"/>
            <w:szCs w:val="20"/>
          </w:rPr>
          <w:t>with the SEC on August 31, 2011. (Commission File Number 1-3863)</w:t>
        </w:r>
      </w:hyperlink>
    </w:p>
    <w:p w14:paraId="4ADD6B73" w14:textId="77777777" w:rsidR="00000000" w:rsidRDefault="001A570A">
      <w:pPr>
        <w:divId w:val="1937251181"/>
        <w:rPr>
          <w:rFonts w:eastAsia="Times New Roman"/>
        </w:rPr>
      </w:pPr>
      <w:hyperlink r:id="rId206" w:history="1">
        <w:r>
          <w:rPr>
            <w:rStyle w:val="a3"/>
            <w:rFonts w:eastAsia="Times New Roman"/>
            <w:sz w:val="20"/>
            <w:szCs w:val="20"/>
          </w:rPr>
          <w:t>(iv)</w:t>
        </w:r>
      </w:hyperlink>
      <w:hyperlink r:id="rId207" w:history="1">
        <w:r>
          <w:rPr>
            <w:rStyle w:val="a3"/>
            <w:rFonts w:eastAsia="Times New Roman"/>
            <w:sz w:val="20"/>
            <w:szCs w:val="20"/>
          </w:rPr>
          <w:t xml:space="preserve"> </w:t>
        </w:r>
      </w:hyperlink>
      <w:hyperlink r:id="rId208" w:history="1">
        <w:r>
          <w:rPr>
            <w:rStyle w:val="a3"/>
            <w:rFonts w:eastAsia="Times New Roman"/>
            <w:sz w:val="20"/>
            <w:szCs w:val="20"/>
          </w:rPr>
          <w:t>Form of Stock Option Award Agreement Terms and Conditions (as of June 29, 2013) for grants under the 2005 Equity Incentive Plan (As Amended and R</w:t>
        </w:r>
        <w:r>
          <w:rPr>
            <w:rStyle w:val="a3"/>
            <w:rFonts w:eastAsia="Times New Roman"/>
            <w:sz w:val="20"/>
            <w:szCs w:val="20"/>
          </w:rPr>
          <w:t>estated Effective August 27, 2010), incorporated herein by reference to Exhibit 10(a) to Harris Corporation’s Quarterly Report on Form 10-Q for the fiscal quarter ended September 27, 2013. (Commission File Number 1-3863)</w:t>
        </w:r>
      </w:hyperlink>
    </w:p>
    <w:p w14:paraId="2B700AF2" w14:textId="77777777" w:rsidR="00000000" w:rsidRDefault="001A570A">
      <w:pPr>
        <w:divId w:val="863325902"/>
        <w:rPr>
          <w:rFonts w:eastAsia="Times New Roman"/>
        </w:rPr>
      </w:pPr>
      <w:hyperlink r:id="rId209" w:history="1">
        <w:r>
          <w:rPr>
            <w:rStyle w:val="a3"/>
            <w:rFonts w:eastAsia="Times New Roman"/>
            <w:sz w:val="20"/>
            <w:szCs w:val="20"/>
          </w:rPr>
          <w:t>(v)</w:t>
        </w:r>
      </w:hyperlink>
      <w:hyperlink r:id="rId210" w:history="1">
        <w:r>
          <w:rPr>
            <w:rStyle w:val="a3"/>
            <w:rFonts w:eastAsia="Times New Roman"/>
            <w:sz w:val="20"/>
            <w:szCs w:val="20"/>
          </w:rPr>
          <w:t xml:space="preserve"> </w:t>
        </w:r>
      </w:hyperlink>
      <w:hyperlink r:id="rId211" w:history="1">
        <w:r>
          <w:rPr>
            <w:rStyle w:val="a3"/>
            <w:rFonts w:eastAsia="Times New Roman"/>
            <w:sz w:val="20"/>
            <w:szCs w:val="20"/>
          </w:rPr>
          <w:t>Form of Performance Stock Option Award Agreement Terms and Conditions (as of May 27, 2015) for grants under the 2005 Equity Incentive Plan (As Amended and Restated Effective August 27, 2010), incorporated herein by reference to Exhibit 10(e)(x</w:t>
        </w:r>
        <w:r>
          <w:rPr>
            <w:rStyle w:val="a3"/>
            <w:rFonts w:eastAsia="Times New Roman"/>
            <w:sz w:val="20"/>
            <w:szCs w:val="20"/>
          </w:rPr>
          <w:t>i) to Harris Corporation’s Annual Report on Form 10-K for the fiscal year ended July 3, 2015. (Commission File Number 1-3863)</w:t>
        </w:r>
      </w:hyperlink>
    </w:p>
    <w:p w14:paraId="0460BC89" w14:textId="77777777" w:rsidR="00000000" w:rsidRDefault="001A570A">
      <w:pPr>
        <w:ind w:hanging="900"/>
        <w:divId w:val="1220095752"/>
        <w:rPr>
          <w:rFonts w:eastAsia="Times New Roman"/>
        </w:rPr>
      </w:pPr>
      <w:hyperlink r:id="rId212" w:history="1">
        <w:r>
          <w:rPr>
            <w:rStyle w:val="a3"/>
            <w:rFonts w:eastAsia="Times New Roman"/>
            <w:sz w:val="20"/>
            <w:szCs w:val="20"/>
          </w:rPr>
          <w:t>*(10)(</w:t>
        </w:r>
      </w:hyperlink>
      <w:hyperlink r:id="rId213" w:history="1">
        <w:r>
          <w:rPr>
            <w:rStyle w:val="a3"/>
            <w:rFonts w:eastAsia="Times New Roman"/>
            <w:sz w:val="20"/>
            <w:szCs w:val="20"/>
          </w:rPr>
          <w:t>g</w:t>
        </w:r>
      </w:hyperlink>
      <w:hyperlink r:id="rId214" w:history="1">
        <w:r>
          <w:rPr>
            <w:rStyle w:val="a3"/>
            <w:rFonts w:eastAsia="Times New Roman"/>
            <w:sz w:val="20"/>
            <w:szCs w:val="20"/>
          </w:rPr>
          <w:t>)</w:t>
        </w:r>
      </w:hyperlink>
      <w:hyperlink r:id="rId215" w:history="1">
        <w:r>
          <w:rPr>
            <w:rStyle w:val="a3"/>
            <w:rFonts w:eastAsia="Times New Roman"/>
            <w:sz w:val="20"/>
            <w:szCs w:val="20"/>
          </w:rPr>
          <w:t xml:space="preserve"> </w:t>
        </w:r>
      </w:hyperlink>
      <w:hyperlink r:id="rId216" w:history="1">
        <w:r>
          <w:rPr>
            <w:rStyle w:val="a3"/>
            <w:rFonts w:eastAsia="Times New Roman"/>
            <w:sz w:val="20"/>
            <w:szCs w:val="20"/>
          </w:rPr>
          <w:t>(i)</w:t>
        </w:r>
      </w:hyperlink>
      <w:hyperlink r:id="rId217" w:history="1">
        <w:r>
          <w:rPr>
            <w:rStyle w:val="a3"/>
            <w:rFonts w:eastAsia="Times New Roman"/>
            <w:sz w:val="20"/>
            <w:szCs w:val="20"/>
          </w:rPr>
          <w:t xml:space="preserve"> </w:t>
        </w:r>
      </w:hyperlink>
      <w:hyperlink r:id="rId218" w:history="1">
        <w:r>
          <w:rPr>
            <w:rStyle w:val="a3"/>
            <w:rFonts w:eastAsia="Times New Roman"/>
            <w:sz w:val="20"/>
            <w:szCs w:val="20"/>
          </w:rPr>
          <w:t>2015 Equity Incentive Plan, incorporated herein by reference to Exhibit 10.1 to Harris Corporation’s Current Report on Form 8-K filed with the SEC on October 28, 2015. (Commission File Number 1-386</w:t>
        </w:r>
        <w:r>
          <w:rPr>
            <w:rStyle w:val="a3"/>
            <w:rFonts w:eastAsia="Times New Roman"/>
            <w:sz w:val="20"/>
            <w:szCs w:val="20"/>
          </w:rPr>
          <w:t>3)</w:t>
        </w:r>
      </w:hyperlink>
    </w:p>
    <w:p w14:paraId="0E2D8659" w14:textId="77777777" w:rsidR="00000000" w:rsidRDefault="001A570A">
      <w:pPr>
        <w:divId w:val="1339579714"/>
        <w:rPr>
          <w:rFonts w:eastAsia="Times New Roman"/>
        </w:rPr>
      </w:pPr>
      <w:hyperlink r:id="rId219" w:history="1">
        <w:r>
          <w:rPr>
            <w:rStyle w:val="a3"/>
            <w:rFonts w:eastAsia="Times New Roman"/>
            <w:sz w:val="20"/>
            <w:szCs w:val="20"/>
          </w:rPr>
          <w:t>(ii)</w:t>
        </w:r>
      </w:hyperlink>
      <w:hyperlink r:id="rId220" w:history="1">
        <w:r>
          <w:rPr>
            <w:rStyle w:val="a3"/>
            <w:rFonts w:eastAsia="Times New Roman"/>
            <w:sz w:val="20"/>
            <w:szCs w:val="20"/>
          </w:rPr>
          <w:t xml:space="preserve"> </w:t>
        </w:r>
      </w:hyperlink>
      <w:hyperlink r:id="rId221" w:history="1">
        <w:r>
          <w:rPr>
            <w:rStyle w:val="a3"/>
            <w:rFonts w:eastAsia="Times New Roman"/>
            <w:sz w:val="20"/>
            <w:szCs w:val="20"/>
          </w:rPr>
          <w:t xml:space="preserve">2015 Equity Incentive Plan Stock Option Award Agreement Terms and Conditions (as of October 23, 2015), incorporated herein by reference to Exhibit 10(f) to Harris Corporation’s Quarterly Report on Form 10-Q </w:t>
        </w:r>
        <w:r>
          <w:rPr>
            <w:rStyle w:val="a3"/>
            <w:rFonts w:eastAsia="Times New Roman"/>
            <w:sz w:val="20"/>
            <w:szCs w:val="20"/>
          </w:rPr>
          <w:t>for the fiscal quarter ended January 1, 2016. (Commission File Number 1-3863)</w:t>
        </w:r>
      </w:hyperlink>
    </w:p>
    <w:p w14:paraId="0387CF1D" w14:textId="77777777" w:rsidR="00000000" w:rsidRDefault="001A570A">
      <w:pPr>
        <w:divId w:val="1533692615"/>
        <w:rPr>
          <w:rFonts w:eastAsia="Times New Roman"/>
        </w:rPr>
      </w:pPr>
      <w:hyperlink r:id="rId222" w:history="1">
        <w:r>
          <w:rPr>
            <w:rStyle w:val="a3"/>
            <w:rFonts w:eastAsia="Times New Roman"/>
            <w:sz w:val="20"/>
            <w:szCs w:val="20"/>
          </w:rPr>
          <w:t>(iii)</w:t>
        </w:r>
      </w:hyperlink>
      <w:hyperlink r:id="rId223" w:history="1">
        <w:r>
          <w:rPr>
            <w:rStyle w:val="a3"/>
            <w:rFonts w:eastAsia="Times New Roman"/>
            <w:sz w:val="20"/>
            <w:szCs w:val="20"/>
          </w:rPr>
          <w:t xml:space="preserve"> </w:t>
        </w:r>
      </w:hyperlink>
      <w:hyperlink r:id="rId224" w:history="1">
        <w:r>
          <w:rPr>
            <w:rStyle w:val="a3"/>
            <w:rFonts w:eastAsia="Times New Roman"/>
            <w:sz w:val="20"/>
            <w:szCs w:val="20"/>
          </w:rPr>
          <w:t>Performance Unit Award Agreement Terms and Conditions (August 1, 2019 CEO-COO Award), incorporated he</w:t>
        </w:r>
        <w:r>
          <w:rPr>
            <w:rStyle w:val="a3"/>
            <w:rFonts w:eastAsia="Times New Roman"/>
            <w:sz w:val="20"/>
            <w:szCs w:val="20"/>
          </w:rPr>
          <w:t>rein by reference to Exhibit 10.3 to L3Harris Technologies, Inc.’s Quarterly Report on Form 10-Q for the fiscal quarter ended September 27, 2019. (Commission File Number 1-3863)</w:t>
        </w:r>
      </w:hyperlink>
      <w:r>
        <w:rPr>
          <w:rFonts w:eastAsia="Times New Roman"/>
          <w:color w:val="000000"/>
          <w:sz w:val="20"/>
          <w:szCs w:val="20"/>
        </w:rPr>
        <w:t xml:space="preserve"> </w:t>
      </w:r>
    </w:p>
    <w:p w14:paraId="0C2149A7" w14:textId="77777777" w:rsidR="00000000" w:rsidRDefault="001A570A">
      <w:pPr>
        <w:divId w:val="1298219184"/>
        <w:rPr>
          <w:rFonts w:eastAsia="Times New Roman"/>
        </w:rPr>
      </w:pPr>
      <w:hyperlink r:id="rId225" w:history="1">
        <w:r>
          <w:rPr>
            <w:rStyle w:val="a3"/>
            <w:rFonts w:eastAsia="Times New Roman"/>
            <w:sz w:val="20"/>
            <w:szCs w:val="20"/>
          </w:rPr>
          <w:t>(iv)</w:t>
        </w:r>
      </w:hyperlink>
      <w:hyperlink r:id="rId226" w:history="1">
        <w:r>
          <w:rPr>
            <w:rStyle w:val="a3"/>
            <w:rFonts w:eastAsia="Times New Roman"/>
            <w:sz w:val="20"/>
            <w:szCs w:val="20"/>
          </w:rPr>
          <w:t xml:space="preserve"> </w:t>
        </w:r>
      </w:hyperlink>
      <w:hyperlink r:id="rId227" w:history="1">
        <w:r>
          <w:rPr>
            <w:rStyle w:val="a3"/>
            <w:rFonts w:eastAsia="Times New Roman"/>
            <w:sz w:val="20"/>
            <w:szCs w:val="20"/>
          </w:rPr>
          <w:t>Performance Unit Award Agreement Terms and Conditions (August 1, 2019 Momentum Award), incorporated herein by reference to Exhibit 10.4 to L3Harris Technologies, Inc.’s Quarterly Report on Form 10-Q for the fiscal quarter ended September 27, 2019. (Commiss</w:t>
        </w:r>
        <w:r>
          <w:rPr>
            <w:rStyle w:val="a3"/>
            <w:rFonts w:eastAsia="Times New Roman"/>
            <w:sz w:val="20"/>
            <w:szCs w:val="20"/>
          </w:rPr>
          <w:t>ion File Number 1-3863)</w:t>
        </w:r>
      </w:hyperlink>
    </w:p>
    <w:p w14:paraId="74135565" w14:textId="77777777" w:rsidR="00000000" w:rsidRDefault="001A570A">
      <w:pPr>
        <w:divId w:val="1115711292"/>
        <w:rPr>
          <w:rFonts w:eastAsia="Times New Roman"/>
        </w:rPr>
      </w:pPr>
      <w:hyperlink r:id="rId228" w:history="1">
        <w:r>
          <w:rPr>
            <w:rStyle w:val="a3"/>
            <w:rFonts w:eastAsia="Times New Roman"/>
            <w:sz w:val="20"/>
            <w:szCs w:val="20"/>
          </w:rPr>
          <w:t>(v)</w:t>
        </w:r>
      </w:hyperlink>
      <w:hyperlink r:id="rId229" w:history="1">
        <w:r>
          <w:rPr>
            <w:rStyle w:val="a3"/>
            <w:rFonts w:eastAsia="Times New Roman"/>
            <w:sz w:val="20"/>
            <w:szCs w:val="20"/>
          </w:rPr>
          <w:t xml:space="preserve"> Performanc</w:t>
        </w:r>
        <w:r>
          <w:rPr>
            <w:rStyle w:val="a3"/>
            <w:rFonts w:eastAsia="Times New Roman"/>
            <w:sz w:val="20"/>
            <w:szCs w:val="20"/>
          </w:rPr>
          <w:t>e Stock Option Award Agreement Terms and Conditions (August 1, 2019 CEO-COO Award), incorporated herein by reference to Exhibit 10.5 to L3Harris Technologies, Inc.’s Quarterly Report on Form 10-Q for the fiscal quarter ended September 27, 2019. (Commission</w:t>
        </w:r>
        <w:r>
          <w:rPr>
            <w:rStyle w:val="a3"/>
            <w:rFonts w:eastAsia="Times New Roman"/>
            <w:sz w:val="20"/>
            <w:szCs w:val="20"/>
          </w:rPr>
          <w:t xml:space="preserve"> File Number 1-3863)</w:t>
        </w:r>
      </w:hyperlink>
    </w:p>
    <w:p w14:paraId="24BFF9B5" w14:textId="77777777" w:rsidR="00000000" w:rsidRDefault="001A570A">
      <w:pPr>
        <w:divId w:val="494688861"/>
        <w:rPr>
          <w:rFonts w:eastAsia="Times New Roman"/>
        </w:rPr>
      </w:pPr>
      <w:hyperlink r:id="rId230" w:history="1">
        <w:r>
          <w:rPr>
            <w:rStyle w:val="a3"/>
            <w:rFonts w:eastAsia="Times New Roman"/>
            <w:sz w:val="20"/>
            <w:szCs w:val="20"/>
          </w:rPr>
          <w:t>(vi)</w:t>
        </w:r>
      </w:hyperlink>
      <w:hyperlink r:id="rId231" w:history="1">
        <w:r>
          <w:rPr>
            <w:rStyle w:val="a3"/>
            <w:rFonts w:eastAsia="Times New Roman"/>
            <w:sz w:val="20"/>
            <w:szCs w:val="20"/>
          </w:rPr>
          <w:t xml:space="preserve"> </w:t>
        </w:r>
      </w:hyperlink>
      <w:hyperlink r:id="rId232" w:history="1">
        <w:r>
          <w:rPr>
            <w:rStyle w:val="a3"/>
            <w:rFonts w:eastAsia="Times New Roman"/>
            <w:sz w:val="20"/>
            <w:szCs w:val="20"/>
          </w:rPr>
          <w:t>Performance Stock Option Award Agreement Terms and Conditions (August 1, 2019 Momentum Award), incorporated herein by reference to Exhibit 10.6 to L3Harris Techno</w:t>
        </w:r>
        <w:r>
          <w:rPr>
            <w:rStyle w:val="a3"/>
            <w:rFonts w:eastAsia="Times New Roman"/>
            <w:sz w:val="20"/>
            <w:szCs w:val="20"/>
          </w:rPr>
          <w:t>logies, Inc.’s Quarterly Report on Form 10-Q for the fiscal quarter ended September 27, 2019. (Commission File Number 1-3863)</w:t>
        </w:r>
      </w:hyperlink>
    </w:p>
    <w:p w14:paraId="73DB4B86" w14:textId="77777777" w:rsidR="00000000" w:rsidRDefault="001A570A">
      <w:pPr>
        <w:divId w:val="962006081"/>
        <w:rPr>
          <w:rFonts w:eastAsia="Times New Roman"/>
        </w:rPr>
      </w:pPr>
      <w:hyperlink r:id="rId233" w:history="1">
        <w:r>
          <w:rPr>
            <w:rStyle w:val="a3"/>
            <w:rFonts w:eastAsia="Times New Roman"/>
            <w:sz w:val="20"/>
            <w:szCs w:val="20"/>
          </w:rPr>
          <w:t>(vii)</w:t>
        </w:r>
      </w:hyperlink>
      <w:hyperlink r:id="rId234" w:history="1">
        <w:r>
          <w:rPr>
            <w:rStyle w:val="a3"/>
            <w:rFonts w:eastAsia="Times New Roman"/>
            <w:sz w:val="20"/>
            <w:szCs w:val="20"/>
          </w:rPr>
          <w:t xml:space="preserve"> </w:t>
        </w:r>
      </w:hyperlink>
      <w:hyperlink r:id="rId235" w:history="1">
        <w:r>
          <w:rPr>
            <w:rStyle w:val="a3"/>
            <w:rFonts w:eastAsia="Times New Roman"/>
            <w:sz w:val="20"/>
            <w:szCs w:val="20"/>
          </w:rPr>
          <w:t>Performance Stock Option Award Agreement Terms and Condi</w:t>
        </w:r>
        <w:r>
          <w:rPr>
            <w:rStyle w:val="a3"/>
            <w:rFonts w:eastAsia="Times New Roman"/>
            <w:sz w:val="20"/>
            <w:szCs w:val="20"/>
          </w:rPr>
          <w:t xml:space="preserve">tions (August 1, 2019 Integration Award), incorporated herein by reference to Exhibit 10.7 to L3Harris Technologies, Inc.’s Quarterly Report on Form 10-Q for the fiscal quarter ended September 27, 2019. (Commission File Number 1-3863) </w:t>
        </w:r>
      </w:hyperlink>
    </w:p>
    <w:p w14:paraId="3EED4B6A" w14:textId="77777777" w:rsidR="00000000" w:rsidRDefault="001A570A">
      <w:pPr>
        <w:divId w:val="466704952"/>
        <w:rPr>
          <w:rFonts w:eastAsia="Times New Roman"/>
        </w:rPr>
      </w:pPr>
      <w:hyperlink r:id="rId236" w:history="1">
        <w:r>
          <w:rPr>
            <w:rStyle w:val="a3"/>
            <w:rFonts w:eastAsia="Times New Roman"/>
            <w:sz w:val="20"/>
            <w:szCs w:val="20"/>
          </w:rPr>
          <w:t>(viii)</w:t>
        </w:r>
      </w:hyperlink>
      <w:hyperlink r:id="rId237" w:history="1">
        <w:r>
          <w:rPr>
            <w:rStyle w:val="a3"/>
            <w:rFonts w:eastAsia="Times New Roman"/>
            <w:sz w:val="20"/>
            <w:szCs w:val="20"/>
          </w:rPr>
          <w:t xml:space="preserve"> </w:t>
        </w:r>
      </w:hyperlink>
      <w:hyperlink r:id="rId238" w:history="1">
        <w:r>
          <w:rPr>
            <w:rStyle w:val="a3"/>
            <w:rFonts w:eastAsia="Times New Roman"/>
            <w:sz w:val="20"/>
            <w:szCs w:val="20"/>
          </w:rPr>
          <w:t>Restricted Unit Award Agreement Terms and Conditions (August 1, 2019 Integration/Retention/Fiscal Transition Period Award), incorporated herein by reference to Exhibit 10.8 to L3Harris Technologies, In</w:t>
        </w:r>
        <w:r>
          <w:rPr>
            <w:rStyle w:val="a3"/>
            <w:rFonts w:eastAsia="Times New Roman"/>
            <w:sz w:val="20"/>
            <w:szCs w:val="20"/>
          </w:rPr>
          <w:t xml:space="preserve">c.’s Quarterly Report on Form 10-Q for the fiscal quarter ended September 27, 2019. (Commission File Number 1-3863) </w:t>
        </w:r>
      </w:hyperlink>
    </w:p>
    <w:p w14:paraId="3073058A" w14:textId="77777777" w:rsidR="00000000" w:rsidRDefault="001A570A">
      <w:pPr>
        <w:ind w:firstLine="450"/>
        <w:jc w:val="center"/>
        <w:divId w:val="1027176200"/>
        <w:rPr>
          <w:rFonts w:eastAsia="Times New Roman"/>
        </w:rPr>
      </w:pPr>
      <w:r>
        <w:rPr>
          <w:rFonts w:eastAsia="Times New Roman"/>
          <w:color w:val="000000"/>
          <w:sz w:val="20"/>
          <w:szCs w:val="20"/>
        </w:rPr>
        <w:t>138</w:t>
      </w:r>
    </w:p>
    <w:p w14:paraId="47A8456A" w14:textId="77777777" w:rsidR="00000000" w:rsidRDefault="001A570A">
      <w:pPr>
        <w:rPr>
          <w:rFonts w:eastAsia="Times New Roman"/>
        </w:rPr>
      </w:pPr>
      <w:r>
        <w:rPr>
          <w:rFonts w:eastAsia="Times New Roman"/>
        </w:rPr>
        <w:pict w14:anchorId="63D4AC82">
          <v:rect id="_x0000_i1166" style="width:0;height:1.5pt" o:hralign="center" o:hrstd="t" o:hr="t" fillcolor="#a0a0a0" stroked="f"/>
        </w:pict>
      </w:r>
    </w:p>
    <w:p w14:paraId="1D7BDBE3" w14:textId="77777777" w:rsidR="00000000" w:rsidRDefault="001A570A">
      <w:pPr>
        <w:ind w:firstLine="450"/>
        <w:divId w:val="177350026"/>
        <w:rPr>
          <w:rFonts w:eastAsia="Times New Roman"/>
        </w:rPr>
      </w:pPr>
    </w:p>
    <w:p w14:paraId="33AF47EA" w14:textId="77777777" w:rsidR="00000000" w:rsidRDefault="001A570A">
      <w:pPr>
        <w:divId w:val="776945420"/>
        <w:rPr>
          <w:rFonts w:eastAsia="Times New Roman"/>
        </w:rPr>
      </w:pPr>
      <w:hyperlink r:id="rId239" w:history="1">
        <w:r>
          <w:rPr>
            <w:rStyle w:val="a3"/>
            <w:rFonts w:eastAsia="Times New Roman"/>
            <w:sz w:val="20"/>
            <w:szCs w:val="20"/>
          </w:rPr>
          <w:t>(ix)</w:t>
        </w:r>
      </w:hyperlink>
      <w:hyperlink r:id="rId240" w:history="1">
        <w:r>
          <w:rPr>
            <w:rStyle w:val="a3"/>
            <w:rFonts w:eastAsia="Times New Roman"/>
            <w:sz w:val="20"/>
            <w:szCs w:val="20"/>
          </w:rPr>
          <w:t xml:space="preserve"> </w:t>
        </w:r>
      </w:hyperlink>
      <w:hyperlink r:id="rId241" w:history="1">
        <w:r>
          <w:rPr>
            <w:rStyle w:val="a3"/>
            <w:rFonts w:eastAsia="Times New Roman"/>
            <w:sz w:val="20"/>
            <w:szCs w:val="20"/>
          </w:rPr>
          <w:t>Restricted Unit Award Agreement Terms and Conditions (New Hire/Other Award as of August 1, 2019), incorporated herein by reference to Exhibit 10.9 to L3Harris Technologies, Inc.’s Quarterly Report on Form 10-Q for the fiscal quarter ended September 27, 201</w:t>
        </w:r>
        <w:r>
          <w:rPr>
            <w:rStyle w:val="a3"/>
            <w:rFonts w:eastAsia="Times New Roman"/>
            <w:sz w:val="20"/>
            <w:szCs w:val="20"/>
          </w:rPr>
          <w:t xml:space="preserve">9. (Commission File Number 1-3863) </w:t>
        </w:r>
      </w:hyperlink>
    </w:p>
    <w:p w14:paraId="6666BB8A" w14:textId="77777777" w:rsidR="00000000" w:rsidRDefault="001A570A">
      <w:pPr>
        <w:divId w:val="1150054867"/>
        <w:rPr>
          <w:rFonts w:eastAsia="Times New Roman"/>
        </w:rPr>
      </w:pPr>
      <w:hyperlink r:id="rId242" w:history="1">
        <w:r>
          <w:rPr>
            <w:rStyle w:val="a3"/>
            <w:rFonts w:eastAsia="Times New Roman"/>
            <w:sz w:val="20"/>
            <w:szCs w:val="20"/>
          </w:rPr>
          <w:t>(x)</w:t>
        </w:r>
      </w:hyperlink>
      <w:hyperlink r:id="rId243" w:history="1">
        <w:r>
          <w:rPr>
            <w:rStyle w:val="a3"/>
            <w:rFonts w:eastAsia="Times New Roman"/>
            <w:sz w:val="20"/>
            <w:szCs w:val="20"/>
          </w:rPr>
          <w:t xml:space="preserve"> </w:t>
        </w:r>
      </w:hyperlink>
      <w:hyperlink r:id="rId244" w:history="1">
        <w:r>
          <w:rPr>
            <w:rStyle w:val="a3"/>
            <w:rFonts w:eastAsia="Times New Roman"/>
            <w:sz w:val="20"/>
            <w:szCs w:val="20"/>
          </w:rPr>
          <w:t>Non-Employee Director Share Unit Agreement Terms and Conditions (as of June 29, 2019)</w:t>
        </w:r>
      </w:hyperlink>
      <w:hyperlink r:id="rId245" w:history="1">
        <w:r>
          <w:rPr>
            <w:rStyle w:val="a3"/>
            <w:rFonts w:eastAsia="Times New Roman"/>
            <w:sz w:val="20"/>
            <w:szCs w:val="20"/>
          </w:rPr>
          <w:t>, incorporated herein by reference to Exhibit 10</w:t>
        </w:r>
      </w:hyperlink>
      <w:hyperlink r:id="rId246" w:history="1">
        <w:r>
          <w:rPr>
            <w:rStyle w:val="a3"/>
            <w:rFonts w:eastAsia="Times New Roman"/>
            <w:sz w:val="20"/>
            <w:szCs w:val="20"/>
          </w:rPr>
          <w:t>(f)(x)</w:t>
        </w:r>
      </w:hyperlink>
      <w:hyperlink r:id="rId247" w:history="1">
        <w:r>
          <w:rPr>
            <w:rStyle w:val="a3"/>
            <w:rFonts w:eastAsia="Times New Roman"/>
            <w:sz w:val="20"/>
            <w:szCs w:val="20"/>
          </w:rPr>
          <w:t xml:space="preserve"> to L3Harris Technologies, Inc.</w:t>
        </w:r>
      </w:hyperlink>
      <w:hyperlink r:id="rId248" w:history="1">
        <w:r>
          <w:rPr>
            <w:rStyle w:val="a3"/>
            <w:rFonts w:eastAsia="Times New Roman"/>
            <w:sz w:val="20"/>
            <w:szCs w:val="20"/>
          </w:rPr>
          <w:t>’</w:t>
        </w:r>
      </w:hyperlink>
      <w:hyperlink r:id="rId249" w:history="1">
        <w:r>
          <w:rPr>
            <w:rStyle w:val="a3"/>
            <w:rFonts w:eastAsia="Times New Roman"/>
            <w:sz w:val="20"/>
            <w:szCs w:val="20"/>
          </w:rPr>
          <w:t xml:space="preserve">s </w:t>
        </w:r>
      </w:hyperlink>
      <w:hyperlink r:id="rId250" w:history="1">
        <w:r>
          <w:rPr>
            <w:rStyle w:val="a3"/>
            <w:rFonts w:eastAsia="Times New Roman"/>
            <w:sz w:val="20"/>
            <w:szCs w:val="20"/>
          </w:rPr>
          <w:t>Transition</w:t>
        </w:r>
      </w:hyperlink>
      <w:hyperlink r:id="rId251" w:history="1">
        <w:r>
          <w:rPr>
            <w:rStyle w:val="a3"/>
            <w:rFonts w:eastAsia="Times New Roman"/>
            <w:sz w:val="20"/>
            <w:szCs w:val="20"/>
          </w:rPr>
          <w:t xml:space="preserve"> Report on Form 10-KT for the fiscal year ended January 3, 2020. (Commission File Number 1-3863)</w:t>
        </w:r>
      </w:hyperlink>
    </w:p>
    <w:p w14:paraId="0E358DAE" w14:textId="77777777" w:rsidR="00000000" w:rsidRDefault="001A570A">
      <w:pPr>
        <w:divId w:val="1289818103"/>
        <w:rPr>
          <w:rFonts w:eastAsia="Times New Roman"/>
        </w:rPr>
      </w:pPr>
      <w:hyperlink r:id="rId252" w:history="1">
        <w:r>
          <w:rPr>
            <w:rStyle w:val="a3"/>
            <w:rFonts w:eastAsia="Times New Roman"/>
            <w:sz w:val="20"/>
            <w:szCs w:val="20"/>
          </w:rPr>
          <w:t>(xi)</w:t>
        </w:r>
      </w:hyperlink>
      <w:hyperlink r:id="rId253" w:history="1">
        <w:r>
          <w:rPr>
            <w:rStyle w:val="a3"/>
            <w:rFonts w:eastAsia="Times New Roman"/>
            <w:sz w:val="20"/>
            <w:szCs w:val="20"/>
          </w:rPr>
          <w:t xml:space="preserve"> L3Harris Technologies, Inc. Restricted Unit Award Agreement Terms and Conditions (as of February 5, 202</w:t>
        </w:r>
      </w:hyperlink>
      <w:hyperlink r:id="rId254" w:history="1">
        <w:r>
          <w:rPr>
            <w:rStyle w:val="a3"/>
            <w:rFonts w:eastAsia="Times New Roman"/>
            <w:sz w:val="20"/>
            <w:szCs w:val="20"/>
          </w:rPr>
          <w:t>0), incorporated herein by reference to Exhibit 10.3 to L3Harris Technologies, Inc.</w:t>
        </w:r>
      </w:hyperlink>
      <w:hyperlink r:id="rId255" w:history="1">
        <w:r>
          <w:rPr>
            <w:rStyle w:val="a3"/>
            <w:rFonts w:eastAsia="Times New Roman"/>
            <w:sz w:val="20"/>
            <w:szCs w:val="20"/>
          </w:rPr>
          <w:t>’</w:t>
        </w:r>
      </w:hyperlink>
      <w:hyperlink r:id="rId256" w:history="1">
        <w:r>
          <w:rPr>
            <w:rStyle w:val="a3"/>
            <w:rFonts w:eastAsia="Times New Roman"/>
            <w:sz w:val="20"/>
            <w:szCs w:val="20"/>
          </w:rPr>
          <w:t>s Quarterly Report on Form 10-Q for the fiscal</w:t>
        </w:r>
      </w:hyperlink>
      <w:hyperlink r:id="rId257" w:history="1">
        <w:r>
          <w:rPr>
            <w:rStyle w:val="a3"/>
            <w:rFonts w:eastAsia="Times New Roman"/>
            <w:sz w:val="20"/>
            <w:szCs w:val="20"/>
          </w:rPr>
          <w:t xml:space="preserve"> </w:t>
        </w:r>
        <w:r>
          <w:rPr>
            <w:rStyle w:val="a3"/>
            <w:rFonts w:eastAsia="Times New Roman"/>
            <w:sz w:val="20"/>
            <w:szCs w:val="20"/>
          </w:rPr>
          <w:t>quarter ended April 3, 2020. (Commission File Number 1-3863)</w:t>
        </w:r>
      </w:hyperlink>
    </w:p>
    <w:p w14:paraId="3788F8F2" w14:textId="77777777" w:rsidR="00000000" w:rsidRDefault="001A570A">
      <w:pPr>
        <w:divId w:val="103117203"/>
        <w:rPr>
          <w:rFonts w:eastAsia="Times New Roman"/>
        </w:rPr>
      </w:pPr>
      <w:hyperlink r:id="rId258" w:history="1">
        <w:r>
          <w:rPr>
            <w:rStyle w:val="a3"/>
            <w:rFonts w:eastAsia="Times New Roman"/>
            <w:sz w:val="20"/>
            <w:szCs w:val="20"/>
          </w:rPr>
          <w:t>(x</w:t>
        </w:r>
      </w:hyperlink>
      <w:hyperlink r:id="rId259" w:history="1">
        <w:r>
          <w:rPr>
            <w:rStyle w:val="a3"/>
            <w:rFonts w:eastAsia="Times New Roman"/>
            <w:sz w:val="20"/>
            <w:szCs w:val="20"/>
          </w:rPr>
          <w:t>i</w:t>
        </w:r>
      </w:hyperlink>
      <w:hyperlink r:id="rId260" w:history="1">
        <w:r>
          <w:rPr>
            <w:rStyle w:val="a3"/>
            <w:rFonts w:eastAsia="Times New Roman"/>
            <w:sz w:val="20"/>
            <w:szCs w:val="20"/>
          </w:rPr>
          <w:t>i)</w:t>
        </w:r>
      </w:hyperlink>
      <w:hyperlink r:id="rId261" w:history="1">
        <w:r>
          <w:rPr>
            <w:rStyle w:val="a3"/>
            <w:rFonts w:eastAsia="Times New Roman"/>
            <w:sz w:val="20"/>
            <w:szCs w:val="20"/>
          </w:rPr>
          <w:t xml:space="preserve"> L3Harris </w:t>
        </w:r>
        <w:r>
          <w:rPr>
            <w:rStyle w:val="a3"/>
            <w:rFonts w:eastAsia="Times New Roman"/>
            <w:sz w:val="20"/>
            <w:szCs w:val="20"/>
          </w:rPr>
          <w:t xml:space="preserve">Technologies, Inc. </w:t>
        </w:r>
      </w:hyperlink>
      <w:hyperlink r:id="rId262" w:history="1">
        <w:r>
          <w:rPr>
            <w:rStyle w:val="a3"/>
            <w:rFonts w:eastAsia="Times New Roman"/>
            <w:sz w:val="20"/>
            <w:szCs w:val="20"/>
          </w:rPr>
          <w:t>Performance</w:t>
        </w:r>
      </w:hyperlink>
      <w:hyperlink r:id="rId263" w:history="1">
        <w:r>
          <w:rPr>
            <w:rStyle w:val="a3"/>
            <w:rFonts w:eastAsia="Times New Roman"/>
            <w:sz w:val="20"/>
            <w:szCs w:val="20"/>
          </w:rPr>
          <w:t xml:space="preserve"> Unit Aw</w:t>
        </w:r>
        <w:r>
          <w:rPr>
            <w:rStyle w:val="a3"/>
            <w:rFonts w:eastAsia="Times New Roman"/>
            <w:sz w:val="20"/>
            <w:szCs w:val="20"/>
          </w:rPr>
          <w:t xml:space="preserve">ard Agreement Terms and Conditions (as of February </w:t>
        </w:r>
      </w:hyperlink>
      <w:hyperlink r:id="rId264" w:history="1">
        <w:r>
          <w:rPr>
            <w:rStyle w:val="a3"/>
            <w:rFonts w:eastAsia="Times New Roman"/>
            <w:sz w:val="20"/>
            <w:szCs w:val="20"/>
          </w:rPr>
          <w:t>28</w:t>
        </w:r>
      </w:hyperlink>
      <w:hyperlink r:id="rId265" w:history="1">
        <w:r>
          <w:rPr>
            <w:rStyle w:val="a3"/>
            <w:rFonts w:eastAsia="Times New Roman"/>
            <w:sz w:val="20"/>
            <w:szCs w:val="20"/>
          </w:rPr>
          <w:t>, 2020), incorporated herein by reference to Exhibit 10.</w:t>
        </w:r>
      </w:hyperlink>
      <w:hyperlink r:id="rId266" w:history="1">
        <w:r>
          <w:rPr>
            <w:rStyle w:val="a3"/>
            <w:rFonts w:eastAsia="Times New Roman"/>
            <w:sz w:val="20"/>
            <w:szCs w:val="20"/>
          </w:rPr>
          <w:t>4</w:t>
        </w:r>
      </w:hyperlink>
      <w:hyperlink r:id="rId267" w:history="1">
        <w:r>
          <w:rPr>
            <w:rStyle w:val="a3"/>
            <w:rFonts w:eastAsia="Times New Roman"/>
            <w:sz w:val="20"/>
            <w:szCs w:val="20"/>
          </w:rPr>
          <w:t xml:space="preserve"> to L3Harris Technologies, Inc.’s Quarterly Report on Form 10-Q for the fiscal quarter ended April 3, 2020. (Commission File Number 1-3863)</w:t>
        </w:r>
      </w:hyperlink>
    </w:p>
    <w:p w14:paraId="1CC32040" w14:textId="77777777" w:rsidR="00000000" w:rsidRDefault="001A570A">
      <w:pPr>
        <w:divId w:val="905183546"/>
        <w:rPr>
          <w:rFonts w:eastAsia="Times New Roman"/>
        </w:rPr>
      </w:pPr>
      <w:hyperlink r:id="rId268" w:history="1">
        <w:r>
          <w:rPr>
            <w:rStyle w:val="a3"/>
            <w:rFonts w:eastAsia="Times New Roman"/>
            <w:sz w:val="20"/>
            <w:szCs w:val="20"/>
          </w:rPr>
          <w:t>(xi</w:t>
        </w:r>
      </w:hyperlink>
      <w:hyperlink r:id="rId269" w:history="1">
        <w:r>
          <w:rPr>
            <w:rStyle w:val="a3"/>
            <w:rFonts w:eastAsia="Times New Roman"/>
            <w:sz w:val="20"/>
            <w:szCs w:val="20"/>
          </w:rPr>
          <w:t>i</w:t>
        </w:r>
      </w:hyperlink>
      <w:hyperlink r:id="rId270" w:history="1">
        <w:r>
          <w:rPr>
            <w:rStyle w:val="a3"/>
            <w:rFonts w:eastAsia="Times New Roman"/>
            <w:sz w:val="20"/>
            <w:szCs w:val="20"/>
          </w:rPr>
          <w:t>i)</w:t>
        </w:r>
      </w:hyperlink>
      <w:hyperlink r:id="rId271" w:history="1">
        <w:r>
          <w:rPr>
            <w:rStyle w:val="a3"/>
            <w:rFonts w:eastAsia="Times New Roman"/>
            <w:sz w:val="20"/>
            <w:szCs w:val="20"/>
          </w:rPr>
          <w:t xml:space="preserve"> L3Harris Technologies, Inc. </w:t>
        </w:r>
      </w:hyperlink>
      <w:hyperlink r:id="rId272" w:history="1">
        <w:r>
          <w:rPr>
            <w:rStyle w:val="a3"/>
            <w:rFonts w:eastAsia="Times New Roman"/>
            <w:sz w:val="20"/>
            <w:szCs w:val="20"/>
          </w:rPr>
          <w:t>Stock Option</w:t>
        </w:r>
      </w:hyperlink>
      <w:hyperlink r:id="rId273" w:history="1">
        <w:r>
          <w:rPr>
            <w:rStyle w:val="a3"/>
            <w:rFonts w:eastAsia="Times New Roman"/>
            <w:sz w:val="20"/>
            <w:szCs w:val="20"/>
          </w:rPr>
          <w:t xml:space="preserve"> Award Agreement Terms and Conditions (as of February 28, 2020), incorporated herein by reference to Exhibit 10.</w:t>
        </w:r>
      </w:hyperlink>
      <w:hyperlink r:id="rId274" w:history="1">
        <w:r>
          <w:rPr>
            <w:rStyle w:val="a3"/>
            <w:rFonts w:eastAsia="Times New Roman"/>
            <w:sz w:val="20"/>
            <w:szCs w:val="20"/>
          </w:rPr>
          <w:t>5</w:t>
        </w:r>
      </w:hyperlink>
      <w:hyperlink r:id="rId275" w:history="1">
        <w:r>
          <w:rPr>
            <w:rStyle w:val="a3"/>
            <w:rFonts w:eastAsia="Times New Roman"/>
            <w:sz w:val="20"/>
            <w:szCs w:val="20"/>
          </w:rPr>
          <w:t xml:space="preserve"> to L3Harris Technologies, Inc.’s Qua</w:t>
        </w:r>
        <w:r>
          <w:rPr>
            <w:rStyle w:val="a3"/>
            <w:rFonts w:eastAsia="Times New Roman"/>
            <w:sz w:val="20"/>
            <w:szCs w:val="20"/>
          </w:rPr>
          <w:t>rterly Report on Form 10-Q for the fiscal quarter ended April 3, 2020. (Commission File Number 1-3863)</w:t>
        </w:r>
      </w:hyperlink>
    </w:p>
    <w:p w14:paraId="04B903E8" w14:textId="77777777" w:rsidR="00000000" w:rsidRDefault="001A570A">
      <w:pPr>
        <w:ind w:hanging="900"/>
        <w:divId w:val="373121005"/>
        <w:rPr>
          <w:rFonts w:eastAsia="Times New Roman"/>
        </w:rPr>
      </w:pPr>
      <w:hyperlink r:id="rId276" w:history="1">
        <w:r>
          <w:rPr>
            <w:rStyle w:val="a3"/>
            <w:rFonts w:eastAsia="Times New Roman"/>
            <w:sz w:val="20"/>
            <w:szCs w:val="20"/>
          </w:rPr>
          <w:t>*(10)(h)</w:t>
        </w:r>
      </w:hyperlink>
      <w:hyperlink r:id="rId277" w:history="1">
        <w:r>
          <w:rPr>
            <w:rStyle w:val="a3"/>
            <w:rFonts w:eastAsia="Times New Roman"/>
            <w:sz w:val="20"/>
            <w:szCs w:val="20"/>
          </w:rPr>
          <w:t xml:space="preserve"> </w:t>
        </w:r>
      </w:hyperlink>
      <w:hyperlink r:id="rId278" w:history="1">
        <w:r>
          <w:rPr>
            <w:rStyle w:val="a3"/>
            <w:rFonts w:eastAsia="Times New Roman"/>
            <w:sz w:val="20"/>
            <w:szCs w:val="20"/>
          </w:rPr>
          <w:t>L3Harris Technologies, Inc. 2015 Equity Incentive Plan (Amended and Resta</w:t>
        </w:r>
        <w:r>
          <w:rPr>
            <w:rStyle w:val="a3"/>
            <w:rFonts w:eastAsia="Times New Roman"/>
            <w:sz w:val="20"/>
            <w:szCs w:val="20"/>
          </w:rPr>
          <w:t>ted Effective as of August 28, 2020), incorporated herein by reference to Exhibit 10.2 to L3Harris Technologies, Inc.</w:t>
        </w:r>
      </w:hyperlink>
      <w:hyperlink r:id="rId279" w:history="1">
        <w:r>
          <w:rPr>
            <w:rStyle w:val="a3"/>
            <w:rFonts w:eastAsia="Times New Roman"/>
            <w:sz w:val="20"/>
            <w:szCs w:val="20"/>
          </w:rPr>
          <w:t>’</w:t>
        </w:r>
      </w:hyperlink>
      <w:hyperlink r:id="rId280" w:history="1">
        <w:r>
          <w:rPr>
            <w:rStyle w:val="a3"/>
            <w:rFonts w:eastAsia="Times New Roman"/>
            <w:sz w:val="20"/>
            <w:szCs w:val="20"/>
          </w:rPr>
          <w:t>s Current Report on Form 8-K filed with the SEC on September 1, 2020. (Commission File Number 1-3863)</w:t>
        </w:r>
      </w:hyperlink>
    </w:p>
    <w:p w14:paraId="48D787CA" w14:textId="77777777" w:rsidR="00000000" w:rsidRDefault="001A570A">
      <w:pPr>
        <w:ind w:hanging="900"/>
        <w:divId w:val="661280902"/>
        <w:rPr>
          <w:rFonts w:eastAsia="Times New Roman"/>
        </w:rPr>
      </w:pPr>
      <w:hyperlink r:id="rId281" w:history="1">
        <w:r>
          <w:rPr>
            <w:rStyle w:val="a3"/>
            <w:rFonts w:eastAsia="Times New Roman"/>
            <w:sz w:val="20"/>
            <w:szCs w:val="20"/>
          </w:rPr>
          <w:t>*10(</w:t>
        </w:r>
      </w:hyperlink>
      <w:hyperlink r:id="rId282" w:history="1">
        <w:r>
          <w:rPr>
            <w:rStyle w:val="a3"/>
            <w:rFonts w:eastAsia="Times New Roman"/>
            <w:sz w:val="20"/>
            <w:szCs w:val="20"/>
          </w:rPr>
          <w:t>i</w:t>
        </w:r>
      </w:hyperlink>
      <w:hyperlink r:id="rId283" w:history="1">
        <w:r>
          <w:rPr>
            <w:rStyle w:val="a3"/>
            <w:rFonts w:eastAsia="Times New Roman"/>
            <w:sz w:val="20"/>
            <w:szCs w:val="20"/>
          </w:rPr>
          <w:t>)</w:t>
        </w:r>
      </w:hyperlink>
      <w:hyperlink r:id="rId284" w:history="1">
        <w:r>
          <w:rPr>
            <w:rStyle w:val="a3"/>
            <w:rFonts w:eastAsia="Times New Roman"/>
            <w:sz w:val="20"/>
            <w:szCs w:val="20"/>
          </w:rPr>
          <w:t xml:space="preserve"> </w:t>
        </w:r>
      </w:hyperlink>
      <w:hyperlink r:id="rId285" w:history="1">
        <w:r>
          <w:rPr>
            <w:rStyle w:val="a3"/>
            <w:rFonts w:eastAsia="Times New Roman"/>
            <w:sz w:val="20"/>
            <w:szCs w:val="20"/>
          </w:rPr>
          <w:t>(i)</w:t>
        </w:r>
      </w:hyperlink>
      <w:hyperlink r:id="rId286" w:history="1">
        <w:r>
          <w:rPr>
            <w:rStyle w:val="a3"/>
            <w:rFonts w:eastAsia="Times New Roman"/>
            <w:sz w:val="20"/>
            <w:szCs w:val="20"/>
          </w:rPr>
          <w:t xml:space="preserve"> </w:t>
        </w:r>
      </w:hyperlink>
      <w:hyperlink r:id="rId287" w:history="1">
        <w:r>
          <w:rPr>
            <w:rStyle w:val="a3"/>
            <w:rFonts w:eastAsia="Times New Roman"/>
            <w:sz w:val="20"/>
            <w:szCs w:val="20"/>
          </w:rPr>
          <w:t>L3Harris Retirement Savings Plan (Amended and Restated Effective Jan</w:t>
        </w:r>
        <w:r>
          <w:rPr>
            <w:rStyle w:val="a3"/>
            <w:rFonts w:eastAsia="Times New Roman"/>
            <w:sz w:val="20"/>
            <w:szCs w:val="20"/>
          </w:rPr>
          <w:t>uary 1, 2020)</w:t>
        </w:r>
      </w:hyperlink>
      <w:hyperlink r:id="rId288" w:history="1">
        <w:r>
          <w:rPr>
            <w:rStyle w:val="a3"/>
            <w:rFonts w:eastAsia="Times New Roman"/>
            <w:sz w:val="20"/>
            <w:szCs w:val="20"/>
          </w:rPr>
          <w:t>, incorporated herein by</w:t>
        </w:r>
      </w:hyperlink>
      <w:hyperlink r:id="rId289" w:history="1">
        <w:r>
          <w:rPr>
            <w:rStyle w:val="a3"/>
            <w:rFonts w:eastAsia="Times New Roman"/>
            <w:sz w:val="20"/>
            <w:szCs w:val="20"/>
          </w:rPr>
          <w:t xml:space="preserve"> </w:t>
        </w:r>
        <w:r>
          <w:rPr>
            <w:rStyle w:val="a3"/>
            <w:rFonts w:eastAsia="Times New Roman"/>
            <w:sz w:val="20"/>
            <w:szCs w:val="20"/>
          </w:rPr>
          <w:t>reference to Exhibit 10</w:t>
        </w:r>
      </w:hyperlink>
      <w:hyperlink r:id="rId290" w:history="1">
        <w:r>
          <w:rPr>
            <w:rStyle w:val="a3"/>
            <w:rFonts w:eastAsia="Times New Roman"/>
            <w:sz w:val="20"/>
            <w:szCs w:val="20"/>
          </w:rPr>
          <w:t>(g)</w:t>
        </w:r>
      </w:hyperlink>
      <w:hyperlink r:id="rId291" w:history="1">
        <w:r>
          <w:rPr>
            <w:rStyle w:val="a3"/>
            <w:rFonts w:eastAsia="Times New Roman"/>
            <w:sz w:val="20"/>
            <w:szCs w:val="20"/>
          </w:rPr>
          <w:t xml:space="preserve"> to L3Harris Technologies, Inc.’s </w:t>
        </w:r>
      </w:hyperlink>
      <w:hyperlink r:id="rId292" w:history="1">
        <w:r>
          <w:rPr>
            <w:rStyle w:val="a3"/>
            <w:rFonts w:eastAsia="Times New Roman"/>
            <w:sz w:val="20"/>
            <w:szCs w:val="20"/>
          </w:rPr>
          <w:t>Tran</w:t>
        </w:r>
        <w:r>
          <w:rPr>
            <w:rStyle w:val="a3"/>
            <w:rFonts w:eastAsia="Times New Roman"/>
            <w:sz w:val="20"/>
            <w:szCs w:val="20"/>
          </w:rPr>
          <w:t>sition</w:t>
        </w:r>
      </w:hyperlink>
      <w:hyperlink r:id="rId293" w:history="1">
        <w:r>
          <w:rPr>
            <w:rStyle w:val="a3"/>
            <w:rFonts w:eastAsia="Times New Roman"/>
            <w:sz w:val="20"/>
            <w:szCs w:val="20"/>
          </w:rPr>
          <w:t xml:space="preserve"> Report on Form 10-KT for the fiscal year ended January 3, 2020. (Commission File Number 1-3863</w:t>
        </w:r>
      </w:hyperlink>
      <w:hyperlink r:id="rId294" w:history="1">
        <w:r>
          <w:rPr>
            <w:rStyle w:val="a3"/>
            <w:rFonts w:eastAsia="Times New Roman"/>
            <w:sz w:val="20"/>
            <w:szCs w:val="20"/>
          </w:rPr>
          <w:t>)</w:t>
        </w:r>
      </w:hyperlink>
    </w:p>
    <w:p w14:paraId="0F81262E" w14:textId="77777777" w:rsidR="00000000" w:rsidRDefault="001A570A">
      <w:pPr>
        <w:divId w:val="988636671"/>
        <w:rPr>
          <w:rFonts w:eastAsia="Times New Roman"/>
        </w:rPr>
      </w:pPr>
      <w:hyperlink r:id="rId295" w:history="1">
        <w:r>
          <w:rPr>
            <w:rStyle w:val="a3"/>
            <w:rFonts w:eastAsia="Times New Roman"/>
            <w:sz w:val="20"/>
            <w:szCs w:val="20"/>
          </w:rPr>
          <w:t>(ii)</w:t>
        </w:r>
      </w:hyperlink>
      <w:hyperlink r:id="rId296" w:history="1">
        <w:r>
          <w:rPr>
            <w:rStyle w:val="a3"/>
            <w:rFonts w:eastAsia="Times New Roman"/>
            <w:sz w:val="20"/>
            <w:szCs w:val="20"/>
          </w:rPr>
          <w:t xml:space="preserve"> </w:t>
        </w:r>
      </w:hyperlink>
      <w:hyperlink r:id="rId297" w:history="1">
        <w:r>
          <w:rPr>
            <w:rStyle w:val="a3"/>
            <w:rFonts w:eastAsia="Times New Roman"/>
            <w:sz w:val="20"/>
            <w:szCs w:val="20"/>
          </w:rPr>
          <w:t xml:space="preserve">Amendment One to the L3Harris Retirement Savings Plan (amended and restated as of January 1, 2020), dated February </w:t>
        </w:r>
        <w:r>
          <w:rPr>
            <w:rStyle w:val="a3"/>
            <w:rFonts w:eastAsia="Times New Roman"/>
            <w:sz w:val="20"/>
            <w:szCs w:val="20"/>
          </w:rPr>
          <w:t>19, 2020 and effective February 1, 2020, incorporated herein by reference to Exhibit 10.6 to L3Harris Technologies, Inc.</w:t>
        </w:r>
      </w:hyperlink>
      <w:hyperlink r:id="rId298" w:history="1">
        <w:r>
          <w:rPr>
            <w:rStyle w:val="a3"/>
            <w:rFonts w:eastAsia="Times New Roman"/>
            <w:sz w:val="20"/>
            <w:szCs w:val="20"/>
          </w:rPr>
          <w:t>’</w:t>
        </w:r>
      </w:hyperlink>
      <w:hyperlink r:id="rId299" w:history="1">
        <w:r>
          <w:rPr>
            <w:rStyle w:val="a3"/>
            <w:rFonts w:eastAsia="Times New Roman"/>
            <w:sz w:val="20"/>
            <w:szCs w:val="20"/>
          </w:rPr>
          <w:t>s Quarterly Report on Form 10-Q for the fis</w:t>
        </w:r>
      </w:hyperlink>
      <w:hyperlink r:id="rId300" w:history="1">
        <w:r>
          <w:rPr>
            <w:rStyle w:val="a3"/>
            <w:rFonts w:eastAsia="Times New Roman"/>
            <w:sz w:val="20"/>
            <w:szCs w:val="20"/>
          </w:rPr>
          <w:t>cal quarter ended Apr</w:t>
        </w:r>
        <w:r>
          <w:rPr>
            <w:rStyle w:val="a3"/>
            <w:rFonts w:eastAsia="Times New Roman"/>
            <w:sz w:val="20"/>
            <w:szCs w:val="20"/>
          </w:rPr>
          <w:t>il 3, 2020. (</w:t>
        </w:r>
      </w:hyperlink>
      <w:hyperlink r:id="rId301" w:history="1">
        <w:r>
          <w:rPr>
            <w:rStyle w:val="a3"/>
            <w:rFonts w:eastAsia="Times New Roman"/>
            <w:sz w:val="20"/>
            <w:szCs w:val="20"/>
          </w:rPr>
          <w:t>Commission File Number 1-3863)</w:t>
        </w:r>
      </w:hyperlink>
    </w:p>
    <w:p w14:paraId="68A2655C" w14:textId="77777777" w:rsidR="00000000" w:rsidRDefault="001A570A">
      <w:pPr>
        <w:divId w:val="9186478"/>
        <w:rPr>
          <w:rFonts w:eastAsia="Times New Roman"/>
        </w:rPr>
      </w:pPr>
      <w:hyperlink r:id="rId302" w:history="1">
        <w:r>
          <w:rPr>
            <w:rStyle w:val="a3"/>
            <w:rFonts w:eastAsia="Times New Roman"/>
            <w:sz w:val="20"/>
            <w:szCs w:val="20"/>
          </w:rPr>
          <w:t>(i</w:t>
        </w:r>
      </w:hyperlink>
      <w:hyperlink r:id="rId303" w:history="1">
        <w:r>
          <w:rPr>
            <w:rStyle w:val="a3"/>
            <w:rFonts w:eastAsia="Times New Roman"/>
            <w:sz w:val="20"/>
            <w:szCs w:val="20"/>
          </w:rPr>
          <w:t>i</w:t>
        </w:r>
      </w:hyperlink>
      <w:hyperlink r:id="rId304" w:history="1">
        <w:r>
          <w:rPr>
            <w:rStyle w:val="a3"/>
            <w:rFonts w:eastAsia="Times New Roman"/>
            <w:sz w:val="20"/>
            <w:szCs w:val="20"/>
          </w:rPr>
          <w:t>i)</w:t>
        </w:r>
      </w:hyperlink>
      <w:hyperlink r:id="rId305" w:history="1">
        <w:r>
          <w:rPr>
            <w:rStyle w:val="a3"/>
            <w:rFonts w:eastAsia="Times New Roman"/>
            <w:sz w:val="20"/>
            <w:szCs w:val="20"/>
          </w:rPr>
          <w:t xml:space="preserve"> Amendment </w:t>
        </w:r>
      </w:hyperlink>
      <w:hyperlink r:id="rId306" w:history="1">
        <w:r>
          <w:rPr>
            <w:rStyle w:val="a3"/>
            <w:rFonts w:eastAsia="Times New Roman"/>
            <w:sz w:val="20"/>
            <w:szCs w:val="20"/>
          </w:rPr>
          <w:t>Two</w:t>
        </w:r>
      </w:hyperlink>
      <w:hyperlink r:id="rId307" w:history="1">
        <w:r>
          <w:rPr>
            <w:rStyle w:val="a3"/>
            <w:rFonts w:eastAsia="Times New Roman"/>
            <w:sz w:val="20"/>
            <w:szCs w:val="20"/>
          </w:rPr>
          <w:t xml:space="preserve"> to the L3Harris Retirement Savings Plan (amended and restated as of January 1, 2020), dated February </w:t>
        </w:r>
      </w:hyperlink>
      <w:hyperlink r:id="rId308" w:history="1">
        <w:r>
          <w:rPr>
            <w:rStyle w:val="a3"/>
            <w:rFonts w:eastAsia="Times New Roman"/>
            <w:sz w:val="20"/>
            <w:szCs w:val="20"/>
          </w:rPr>
          <w:t>28</w:t>
        </w:r>
      </w:hyperlink>
      <w:hyperlink r:id="rId309" w:history="1">
        <w:r>
          <w:rPr>
            <w:rStyle w:val="a3"/>
            <w:rFonts w:eastAsia="Times New Roman"/>
            <w:sz w:val="20"/>
            <w:szCs w:val="20"/>
          </w:rPr>
          <w:t xml:space="preserve">, 2020 and effective </w:t>
        </w:r>
      </w:hyperlink>
      <w:hyperlink r:id="rId310" w:history="1">
        <w:r>
          <w:rPr>
            <w:rStyle w:val="a3"/>
            <w:rFonts w:eastAsia="Times New Roman"/>
            <w:sz w:val="20"/>
            <w:szCs w:val="20"/>
          </w:rPr>
          <w:t>March</w:t>
        </w:r>
      </w:hyperlink>
      <w:hyperlink r:id="rId311" w:history="1">
        <w:r>
          <w:rPr>
            <w:rStyle w:val="a3"/>
            <w:rFonts w:eastAsia="Times New Roman"/>
            <w:sz w:val="20"/>
            <w:szCs w:val="20"/>
          </w:rPr>
          <w:t xml:space="preserve"> 1, 2020, incorporated herein by reference to Exhibit 10.</w:t>
        </w:r>
      </w:hyperlink>
      <w:hyperlink r:id="rId312" w:history="1">
        <w:r>
          <w:rPr>
            <w:rStyle w:val="a3"/>
            <w:rFonts w:eastAsia="Times New Roman"/>
            <w:sz w:val="20"/>
            <w:szCs w:val="20"/>
          </w:rPr>
          <w:t>7</w:t>
        </w:r>
      </w:hyperlink>
      <w:hyperlink r:id="rId313" w:history="1">
        <w:r>
          <w:rPr>
            <w:rStyle w:val="a3"/>
            <w:rFonts w:eastAsia="Times New Roman"/>
            <w:sz w:val="20"/>
            <w:szCs w:val="20"/>
          </w:rPr>
          <w:t xml:space="preserve"> to L3Harris Technologies, Inc.’s Quarterly Report on Form 10-Q for the f</w:t>
        </w:r>
        <w:r>
          <w:rPr>
            <w:rStyle w:val="a3"/>
            <w:rFonts w:eastAsia="Times New Roman"/>
            <w:sz w:val="20"/>
            <w:szCs w:val="20"/>
          </w:rPr>
          <w:t>iscal quarter ended April 3, 2020. (Commission File Number 1-3863)</w:t>
        </w:r>
      </w:hyperlink>
    </w:p>
    <w:p w14:paraId="39177288" w14:textId="77777777" w:rsidR="00000000" w:rsidRDefault="001A570A">
      <w:pPr>
        <w:divId w:val="344746188"/>
        <w:rPr>
          <w:rFonts w:eastAsia="Times New Roman"/>
        </w:rPr>
      </w:pPr>
      <w:hyperlink r:id="rId314" w:history="1">
        <w:r>
          <w:rPr>
            <w:rStyle w:val="a3"/>
            <w:rFonts w:eastAsia="Times New Roman"/>
            <w:sz w:val="20"/>
            <w:szCs w:val="20"/>
          </w:rPr>
          <w:t>(i</w:t>
        </w:r>
      </w:hyperlink>
      <w:hyperlink r:id="rId315" w:history="1">
        <w:r>
          <w:rPr>
            <w:rStyle w:val="a3"/>
            <w:rFonts w:eastAsia="Times New Roman"/>
            <w:sz w:val="20"/>
            <w:szCs w:val="20"/>
          </w:rPr>
          <w:t>v</w:t>
        </w:r>
      </w:hyperlink>
      <w:hyperlink r:id="rId316" w:history="1">
        <w:r>
          <w:rPr>
            <w:rStyle w:val="a3"/>
            <w:rFonts w:eastAsia="Times New Roman"/>
            <w:sz w:val="20"/>
            <w:szCs w:val="20"/>
          </w:rPr>
          <w:t>)</w:t>
        </w:r>
      </w:hyperlink>
      <w:hyperlink r:id="rId317" w:history="1">
        <w:r>
          <w:rPr>
            <w:rStyle w:val="a3"/>
            <w:rFonts w:eastAsia="Times New Roman"/>
            <w:sz w:val="20"/>
            <w:szCs w:val="20"/>
          </w:rPr>
          <w:t xml:space="preserve"> Amendment T</w:t>
        </w:r>
      </w:hyperlink>
      <w:hyperlink r:id="rId318" w:history="1">
        <w:r>
          <w:rPr>
            <w:rStyle w:val="a3"/>
            <w:rFonts w:eastAsia="Times New Roman"/>
            <w:sz w:val="20"/>
            <w:szCs w:val="20"/>
          </w:rPr>
          <w:t>hree</w:t>
        </w:r>
      </w:hyperlink>
      <w:hyperlink r:id="rId319" w:history="1">
        <w:r>
          <w:rPr>
            <w:rStyle w:val="a3"/>
            <w:rFonts w:eastAsia="Times New Roman"/>
            <w:sz w:val="20"/>
            <w:szCs w:val="20"/>
          </w:rPr>
          <w:t xml:space="preserve"> to the L3Harris Retirement Savings Pla</w:t>
        </w:r>
        <w:r>
          <w:rPr>
            <w:rStyle w:val="a3"/>
            <w:rFonts w:eastAsia="Times New Roman"/>
            <w:sz w:val="20"/>
            <w:szCs w:val="20"/>
          </w:rPr>
          <w:t xml:space="preserve">n (amended and restated as of January 1, 2020), dated </w:t>
        </w:r>
      </w:hyperlink>
      <w:hyperlink r:id="rId320" w:history="1">
        <w:r>
          <w:rPr>
            <w:rStyle w:val="a3"/>
            <w:rFonts w:eastAsia="Times New Roman"/>
            <w:sz w:val="20"/>
            <w:szCs w:val="20"/>
          </w:rPr>
          <w:t>May 1</w:t>
        </w:r>
      </w:hyperlink>
      <w:hyperlink r:id="rId321" w:history="1">
        <w:r>
          <w:rPr>
            <w:rStyle w:val="a3"/>
            <w:rFonts w:eastAsia="Times New Roman"/>
            <w:sz w:val="20"/>
            <w:szCs w:val="20"/>
          </w:rPr>
          <w:t>, 2020</w:t>
        </w:r>
      </w:hyperlink>
      <w:hyperlink r:id="rId322" w:history="1">
        <w:r>
          <w:rPr>
            <w:rStyle w:val="a3"/>
            <w:rFonts w:eastAsia="Times New Roman"/>
            <w:sz w:val="20"/>
            <w:szCs w:val="20"/>
          </w:rPr>
          <w:t>, incorporated herein by reference to Exhibit 10.</w:t>
        </w:r>
      </w:hyperlink>
      <w:hyperlink r:id="rId323" w:history="1">
        <w:r>
          <w:rPr>
            <w:rStyle w:val="a3"/>
            <w:rFonts w:eastAsia="Times New Roman"/>
            <w:sz w:val="20"/>
            <w:szCs w:val="20"/>
          </w:rPr>
          <w:t>1</w:t>
        </w:r>
      </w:hyperlink>
      <w:hyperlink r:id="rId324" w:history="1">
        <w:r>
          <w:rPr>
            <w:rStyle w:val="a3"/>
            <w:rFonts w:eastAsia="Times New Roman"/>
            <w:sz w:val="20"/>
            <w:szCs w:val="20"/>
          </w:rPr>
          <w:t xml:space="preserve"> to L3Harris Technologies, Inc.’</w:t>
        </w:r>
        <w:r>
          <w:rPr>
            <w:rStyle w:val="a3"/>
            <w:rFonts w:eastAsia="Times New Roman"/>
            <w:sz w:val="20"/>
            <w:szCs w:val="20"/>
          </w:rPr>
          <w:t xml:space="preserve">s Quarterly Report on Form 10-Q for the fiscal quarter ended </w:t>
        </w:r>
      </w:hyperlink>
      <w:hyperlink r:id="rId325" w:history="1">
        <w:r>
          <w:rPr>
            <w:rStyle w:val="a3"/>
            <w:rFonts w:eastAsia="Times New Roman"/>
            <w:sz w:val="20"/>
            <w:szCs w:val="20"/>
          </w:rPr>
          <w:t>July</w:t>
        </w:r>
      </w:hyperlink>
      <w:hyperlink r:id="rId326" w:history="1">
        <w:r>
          <w:rPr>
            <w:rStyle w:val="a3"/>
            <w:rFonts w:eastAsia="Times New Roman"/>
            <w:sz w:val="20"/>
            <w:szCs w:val="20"/>
          </w:rPr>
          <w:t xml:space="preserve"> 3, 2020. (Commission File Number 1-3863)</w:t>
        </w:r>
      </w:hyperlink>
    </w:p>
    <w:p w14:paraId="5391ABC3" w14:textId="77777777" w:rsidR="00000000" w:rsidRDefault="001A570A">
      <w:pPr>
        <w:divId w:val="169490721"/>
        <w:rPr>
          <w:rFonts w:eastAsia="Times New Roman"/>
        </w:rPr>
      </w:pPr>
      <w:hyperlink r:id="rId327" w:history="1">
        <w:r>
          <w:rPr>
            <w:rStyle w:val="a3"/>
            <w:rFonts w:eastAsia="Times New Roman"/>
            <w:sz w:val="20"/>
            <w:szCs w:val="20"/>
          </w:rPr>
          <w:t>(</w:t>
        </w:r>
      </w:hyperlink>
      <w:hyperlink r:id="rId328" w:history="1">
        <w:r>
          <w:rPr>
            <w:rStyle w:val="a3"/>
            <w:rFonts w:eastAsia="Times New Roman"/>
            <w:sz w:val="20"/>
            <w:szCs w:val="20"/>
          </w:rPr>
          <w:t>v)</w:t>
        </w:r>
      </w:hyperlink>
      <w:hyperlink r:id="rId329" w:history="1">
        <w:r>
          <w:rPr>
            <w:rStyle w:val="a3"/>
            <w:rFonts w:eastAsia="Times New Roman"/>
            <w:sz w:val="20"/>
            <w:szCs w:val="20"/>
          </w:rPr>
          <w:t xml:space="preserve"> Amendment </w:t>
        </w:r>
      </w:hyperlink>
      <w:hyperlink r:id="rId330" w:history="1">
        <w:r>
          <w:rPr>
            <w:rStyle w:val="a3"/>
            <w:rFonts w:eastAsia="Times New Roman"/>
            <w:sz w:val="20"/>
            <w:szCs w:val="20"/>
          </w:rPr>
          <w:t>Four</w:t>
        </w:r>
      </w:hyperlink>
      <w:hyperlink r:id="rId331" w:history="1">
        <w:r>
          <w:rPr>
            <w:rStyle w:val="a3"/>
            <w:rFonts w:eastAsia="Times New Roman"/>
            <w:sz w:val="20"/>
            <w:szCs w:val="20"/>
          </w:rPr>
          <w:t xml:space="preserve"> to the L3Harris Retirement Savings Plan (amended and restated as of January 1, 2020), dated </w:t>
        </w:r>
      </w:hyperlink>
      <w:hyperlink r:id="rId332" w:history="1">
        <w:r>
          <w:rPr>
            <w:rStyle w:val="a3"/>
            <w:rFonts w:eastAsia="Times New Roman"/>
            <w:sz w:val="20"/>
            <w:szCs w:val="20"/>
          </w:rPr>
          <w:t>July 8</w:t>
        </w:r>
      </w:hyperlink>
      <w:hyperlink r:id="rId333" w:history="1">
        <w:r>
          <w:rPr>
            <w:rStyle w:val="a3"/>
            <w:rFonts w:eastAsia="Times New Roman"/>
            <w:sz w:val="20"/>
            <w:szCs w:val="20"/>
          </w:rPr>
          <w:t>, 2020, incorporated herein by reference to Exhibit 10.</w:t>
        </w:r>
      </w:hyperlink>
      <w:hyperlink r:id="rId334" w:history="1">
        <w:r>
          <w:rPr>
            <w:rStyle w:val="a3"/>
            <w:rFonts w:eastAsia="Times New Roman"/>
            <w:sz w:val="20"/>
            <w:szCs w:val="20"/>
          </w:rPr>
          <w:t>2</w:t>
        </w:r>
      </w:hyperlink>
      <w:hyperlink r:id="rId335" w:history="1">
        <w:r>
          <w:rPr>
            <w:rStyle w:val="a3"/>
            <w:rFonts w:eastAsia="Times New Roman"/>
            <w:sz w:val="20"/>
            <w:szCs w:val="20"/>
          </w:rPr>
          <w:t xml:space="preserve"> to L3Harris Technologies, Inc.’s Quarterly Report on Form 10-Q for the fiscal </w:t>
        </w:r>
        <w:r>
          <w:rPr>
            <w:rStyle w:val="a3"/>
            <w:rFonts w:eastAsia="Times New Roman"/>
            <w:sz w:val="20"/>
            <w:szCs w:val="20"/>
          </w:rPr>
          <w:t>quarter ended July 3, 2020. (Commission File Number 1-3863)</w:t>
        </w:r>
      </w:hyperlink>
    </w:p>
    <w:p w14:paraId="1677484F" w14:textId="77777777" w:rsidR="00000000" w:rsidRDefault="001A570A">
      <w:pPr>
        <w:ind w:hanging="900"/>
        <w:divId w:val="1169909727"/>
        <w:rPr>
          <w:rFonts w:eastAsia="Times New Roman"/>
        </w:rPr>
      </w:pPr>
      <w:hyperlink r:id="rId336" w:history="1">
        <w:r>
          <w:rPr>
            <w:rStyle w:val="a3"/>
            <w:rFonts w:eastAsia="Times New Roman"/>
            <w:sz w:val="20"/>
            <w:szCs w:val="20"/>
          </w:rPr>
          <w:t>*(10)(</w:t>
        </w:r>
      </w:hyperlink>
      <w:hyperlink r:id="rId337" w:history="1">
        <w:r>
          <w:rPr>
            <w:rStyle w:val="a3"/>
            <w:rFonts w:eastAsia="Times New Roman"/>
            <w:sz w:val="20"/>
            <w:szCs w:val="20"/>
          </w:rPr>
          <w:t>j</w:t>
        </w:r>
      </w:hyperlink>
      <w:hyperlink r:id="rId338" w:history="1">
        <w:r>
          <w:rPr>
            <w:rStyle w:val="a3"/>
            <w:rFonts w:eastAsia="Times New Roman"/>
            <w:sz w:val="20"/>
            <w:szCs w:val="20"/>
          </w:rPr>
          <w:t>)</w:t>
        </w:r>
      </w:hyperlink>
      <w:hyperlink r:id="rId339" w:history="1">
        <w:r>
          <w:rPr>
            <w:rStyle w:val="a3"/>
            <w:rFonts w:eastAsia="Times New Roman"/>
            <w:sz w:val="20"/>
            <w:szCs w:val="20"/>
          </w:rPr>
          <w:t xml:space="preserve"> </w:t>
        </w:r>
      </w:hyperlink>
      <w:hyperlink r:id="rId340" w:history="1">
        <w:r>
          <w:rPr>
            <w:rStyle w:val="a3"/>
            <w:rFonts w:eastAsia="Times New Roman"/>
            <w:sz w:val="20"/>
            <w:szCs w:val="20"/>
          </w:rPr>
          <w:t>L3Harris Excess Retirement Savings Plan, as amended and restated effective January 1, 2020</w:t>
        </w:r>
      </w:hyperlink>
      <w:hyperlink r:id="rId341" w:history="1">
        <w:r>
          <w:rPr>
            <w:rStyle w:val="a3"/>
            <w:rFonts w:eastAsia="Times New Roman"/>
            <w:sz w:val="20"/>
            <w:szCs w:val="20"/>
          </w:rPr>
          <w:t>, incorporated herein by</w:t>
        </w:r>
        <w:r>
          <w:rPr>
            <w:rStyle w:val="a3"/>
            <w:rFonts w:eastAsia="Times New Roman"/>
            <w:sz w:val="20"/>
            <w:szCs w:val="20"/>
          </w:rPr>
          <w:t xml:space="preserve"> reference to Exhibit 10</w:t>
        </w:r>
      </w:hyperlink>
      <w:hyperlink r:id="rId342" w:history="1">
        <w:r>
          <w:rPr>
            <w:rStyle w:val="a3"/>
            <w:rFonts w:eastAsia="Times New Roman"/>
            <w:sz w:val="20"/>
            <w:szCs w:val="20"/>
          </w:rPr>
          <w:t>(h)</w:t>
        </w:r>
      </w:hyperlink>
      <w:hyperlink r:id="rId343" w:history="1">
        <w:r>
          <w:rPr>
            <w:rStyle w:val="a3"/>
            <w:rFonts w:eastAsia="Times New Roman"/>
            <w:sz w:val="20"/>
            <w:szCs w:val="20"/>
          </w:rPr>
          <w:t xml:space="preserve"> to L3Harri</w:t>
        </w:r>
        <w:r>
          <w:rPr>
            <w:rStyle w:val="a3"/>
            <w:rFonts w:eastAsia="Times New Roman"/>
            <w:sz w:val="20"/>
            <w:szCs w:val="20"/>
          </w:rPr>
          <w:t xml:space="preserve">s Technologies, Inc.’s </w:t>
        </w:r>
      </w:hyperlink>
      <w:hyperlink r:id="rId344" w:history="1">
        <w:r>
          <w:rPr>
            <w:rStyle w:val="a3"/>
            <w:rFonts w:eastAsia="Times New Roman"/>
            <w:sz w:val="20"/>
            <w:szCs w:val="20"/>
          </w:rPr>
          <w:t>Transition</w:t>
        </w:r>
      </w:hyperlink>
      <w:hyperlink r:id="rId345" w:history="1">
        <w:r>
          <w:rPr>
            <w:rStyle w:val="a3"/>
            <w:rFonts w:eastAsia="Times New Roman"/>
            <w:sz w:val="20"/>
            <w:szCs w:val="20"/>
          </w:rPr>
          <w:t xml:space="preserve"> Repo</w:t>
        </w:r>
        <w:r>
          <w:rPr>
            <w:rStyle w:val="a3"/>
            <w:rFonts w:eastAsia="Times New Roman"/>
            <w:sz w:val="20"/>
            <w:szCs w:val="20"/>
          </w:rPr>
          <w:t>rt on Form 10-KT for the fiscal year ended January 3, 2020. (Commission File Number 1-3863)</w:t>
        </w:r>
      </w:hyperlink>
      <w:r>
        <w:rPr>
          <w:rFonts w:eastAsia="Times New Roman"/>
          <w:color w:val="000000"/>
          <w:sz w:val="20"/>
          <w:szCs w:val="20"/>
        </w:rPr>
        <w:t xml:space="preserve"> </w:t>
      </w:r>
    </w:p>
    <w:p w14:paraId="791DCAD3" w14:textId="77777777" w:rsidR="00000000" w:rsidRDefault="001A570A">
      <w:pPr>
        <w:ind w:hanging="900"/>
        <w:divId w:val="150219029"/>
        <w:rPr>
          <w:rFonts w:eastAsia="Times New Roman"/>
        </w:rPr>
      </w:pPr>
      <w:hyperlink r:id="rId346" w:history="1">
        <w:r>
          <w:rPr>
            <w:rStyle w:val="a3"/>
            <w:rFonts w:eastAsia="Times New Roman"/>
            <w:sz w:val="20"/>
            <w:szCs w:val="20"/>
          </w:rPr>
          <w:t>*(10)</w:t>
        </w:r>
      </w:hyperlink>
      <w:hyperlink r:id="rId347" w:history="1">
        <w:r>
          <w:rPr>
            <w:rStyle w:val="a3"/>
            <w:rFonts w:eastAsia="Times New Roman"/>
            <w:sz w:val="20"/>
            <w:szCs w:val="20"/>
          </w:rPr>
          <w:t>(</w:t>
        </w:r>
      </w:hyperlink>
      <w:hyperlink r:id="rId348" w:history="1">
        <w:r>
          <w:rPr>
            <w:rStyle w:val="a3"/>
            <w:rFonts w:eastAsia="Times New Roman"/>
            <w:sz w:val="20"/>
            <w:szCs w:val="20"/>
          </w:rPr>
          <w:t>k</w:t>
        </w:r>
      </w:hyperlink>
      <w:hyperlink r:id="rId349" w:history="1">
        <w:r>
          <w:rPr>
            <w:rStyle w:val="a3"/>
            <w:rFonts w:eastAsia="Times New Roman"/>
            <w:sz w:val="20"/>
            <w:szCs w:val="20"/>
          </w:rPr>
          <w:t>)</w:t>
        </w:r>
      </w:hyperlink>
      <w:hyperlink r:id="rId350" w:history="1">
        <w:r>
          <w:rPr>
            <w:rStyle w:val="a3"/>
            <w:rFonts w:eastAsia="Times New Roman"/>
            <w:sz w:val="20"/>
            <w:szCs w:val="20"/>
          </w:rPr>
          <w:t xml:space="preserve"> </w:t>
        </w:r>
      </w:hyperlink>
      <w:hyperlink r:id="rId351" w:history="1">
        <w:r>
          <w:rPr>
            <w:rStyle w:val="a3"/>
            <w:rFonts w:eastAsia="Times New Roman"/>
            <w:sz w:val="20"/>
            <w:szCs w:val="20"/>
          </w:rPr>
          <w:t>L3Harris Technologies, Inc. 2019 Non-Employee Director D</w:t>
        </w:r>
      </w:hyperlink>
      <w:hyperlink r:id="rId352" w:history="1">
        <w:r>
          <w:rPr>
            <w:rStyle w:val="a3"/>
            <w:rFonts w:eastAsia="Times New Roman"/>
            <w:sz w:val="20"/>
            <w:szCs w:val="20"/>
          </w:rPr>
          <w:t>eferred Compensation Plan</w:t>
        </w:r>
      </w:hyperlink>
      <w:hyperlink r:id="rId353" w:history="1">
        <w:r>
          <w:rPr>
            <w:rStyle w:val="a3"/>
            <w:rFonts w:eastAsia="Times New Roman"/>
            <w:sz w:val="20"/>
            <w:szCs w:val="20"/>
          </w:rPr>
          <w:t>, incorporate</w:t>
        </w:r>
        <w:r>
          <w:rPr>
            <w:rStyle w:val="a3"/>
            <w:rFonts w:eastAsia="Times New Roman"/>
            <w:sz w:val="20"/>
            <w:szCs w:val="20"/>
          </w:rPr>
          <w:t>d herein by reference to Exhibit 10</w:t>
        </w:r>
      </w:hyperlink>
      <w:hyperlink r:id="rId354" w:history="1">
        <w:r>
          <w:rPr>
            <w:rStyle w:val="a3"/>
            <w:rFonts w:eastAsia="Times New Roman"/>
            <w:sz w:val="20"/>
            <w:szCs w:val="20"/>
          </w:rPr>
          <w:t>(j)</w:t>
        </w:r>
      </w:hyperlink>
      <w:hyperlink r:id="rId355" w:history="1">
        <w:r>
          <w:rPr>
            <w:rStyle w:val="a3"/>
            <w:rFonts w:eastAsia="Times New Roman"/>
            <w:sz w:val="20"/>
            <w:szCs w:val="20"/>
          </w:rPr>
          <w:t xml:space="preserve"> to L3Harris Technologies, Inc.’s </w:t>
        </w:r>
      </w:hyperlink>
      <w:hyperlink r:id="rId356" w:history="1">
        <w:r>
          <w:rPr>
            <w:rStyle w:val="a3"/>
            <w:rFonts w:eastAsia="Times New Roman"/>
            <w:sz w:val="20"/>
            <w:szCs w:val="20"/>
          </w:rPr>
          <w:t>Transition</w:t>
        </w:r>
      </w:hyperlink>
      <w:hyperlink r:id="rId357" w:history="1">
        <w:r>
          <w:rPr>
            <w:rStyle w:val="a3"/>
            <w:rFonts w:eastAsia="Times New Roman"/>
            <w:sz w:val="20"/>
            <w:szCs w:val="20"/>
          </w:rPr>
          <w:t xml:space="preserve"> Report on Form 10-KT for the fiscal year ended January 3, 2020. (Commission File Number 1-3863)</w:t>
        </w:r>
      </w:hyperlink>
    </w:p>
    <w:p w14:paraId="06FAEF7A" w14:textId="77777777" w:rsidR="00000000" w:rsidRDefault="001A570A">
      <w:pPr>
        <w:ind w:hanging="900"/>
        <w:divId w:val="447548030"/>
        <w:rPr>
          <w:rFonts w:eastAsia="Times New Roman"/>
        </w:rPr>
      </w:pPr>
      <w:hyperlink r:id="rId358" w:history="1">
        <w:r>
          <w:rPr>
            <w:rStyle w:val="a3"/>
            <w:rFonts w:eastAsia="Times New Roman"/>
            <w:sz w:val="20"/>
            <w:szCs w:val="20"/>
          </w:rPr>
          <w:t>*(10)(</w:t>
        </w:r>
      </w:hyperlink>
      <w:hyperlink r:id="rId359" w:history="1">
        <w:r>
          <w:rPr>
            <w:rStyle w:val="a3"/>
            <w:rFonts w:eastAsia="Times New Roman"/>
            <w:sz w:val="20"/>
            <w:szCs w:val="20"/>
          </w:rPr>
          <w:t>l</w:t>
        </w:r>
      </w:hyperlink>
      <w:hyperlink r:id="rId360" w:history="1">
        <w:r>
          <w:rPr>
            <w:rStyle w:val="a3"/>
            <w:rFonts w:eastAsia="Times New Roman"/>
            <w:sz w:val="20"/>
            <w:szCs w:val="20"/>
          </w:rPr>
          <w:t>)</w:t>
        </w:r>
      </w:hyperlink>
      <w:hyperlink r:id="rId361" w:history="1">
        <w:r>
          <w:rPr>
            <w:rStyle w:val="a3"/>
            <w:rFonts w:eastAsia="Times New Roman"/>
            <w:sz w:val="20"/>
            <w:szCs w:val="20"/>
          </w:rPr>
          <w:t xml:space="preserve"> </w:t>
        </w:r>
      </w:hyperlink>
      <w:hyperlink r:id="rId362" w:history="1">
        <w:r>
          <w:rPr>
            <w:rStyle w:val="a3"/>
            <w:rFonts w:eastAsia="Times New Roman"/>
            <w:sz w:val="20"/>
            <w:szCs w:val="20"/>
          </w:rPr>
          <w:t>(i)</w:t>
        </w:r>
      </w:hyperlink>
      <w:hyperlink r:id="rId363" w:history="1">
        <w:r>
          <w:rPr>
            <w:rStyle w:val="a3"/>
            <w:rFonts w:eastAsia="Times New Roman"/>
            <w:sz w:val="20"/>
            <w:szCs w:val="20"/>
          </w:rPr>
          <w:t xml:space="preserve"> </w:t>
        </w:r>
      </w:hyperlink>
      <w:hyperlink r:id="rId364" w:history="1">
        <w:r>
          <w:rPr>
            <w:rStyle w:val="a3"/>
            <w:rFonts w:eastAsia="Times New Roman"/>
            <w:sz w:val="20"/>
            <w:szCs w:val="20"/>
          </w:rPr>
          <w:t>Amended and Restated Master Trust Agreement and Declaration of Trust, made as of December 2, 2003, by and between Harris Corporation and The Northern Trust Company, incorporated herein by reference to Exhibit</w:t>
        </w:r>
        <w:r>
          <w:rPr>
            <w:rStyle w:val="a3"/>
            <w:rFonts w:eastAsia="Times New Roman"/>
            <w:sz w:val="20"/>
            <w:szCs w:val="20"/>
          </w:rPr>
          <w:t> 10(c) to Harris Corporation’s Quarterly Report on Form 10-Q for the fiscal quarter ended January 2, 2004. (Commission File Number 1-3863)</w:t>
        </w:r>
      </w:hyperlink>
    </w:p>
    <w:p w14:paraId="63C1C14F" w14:textId="77777777" w:rsidR="00000000" w:rsidRDefault="001A570A">
      <w:pPr>
        <w:divId w:val="513963682"/>
        <w:rPr>
          <w:rFonts w:eastAsia="Times New Roman"/>
        </w:rPr>
      </w:pPr>
      <w:hyperlink r:id="rId365" w:history="1">
        <w:r>
          <w:rPr>
            <w:rStyle w:val="a3"/>
            <w:rFonts w:eastAsia="Times New Roman"/>
            <w:sz w:val="20"/>
            <w:szCs w:val="20"/>
          </w:rPr>
          <w:t>(ii)</w:t>
        </w:r>
      </w:hyperlink>
      <w:hyperlink r:id="rId366" w:history="1">
        <w:r>
          <w:rPr>
            <w:rStyle w:val="a3"/>
            <w:rFonts w:eastAsia="Times New Roman"/>
            <w:sz w:val="20"/>
            <w:szCs w:val="20"/>
          </w:rPr>
          <w:t xml:space="preserve"> </w:t>
        </w:r>
      </w:hyperlink>
      <w:hyperlink r:id="rId367" w:history="1">
        <w:r>
          <w:rPr>
            <w:rStyle w:val="a3"/>
            <w:rFonts w:eastAsia="Times New Roman"/>
            <w:sz w:val="20"/>
            <w:szCs w:val="20"/>
          </w:rPr>
          <w:t>Amendment to the Harris Corporation Master Trust, dated May 21, 2009, incorporated herein by reference to Exhibit 10(m)(ii) to Harris Corporation’s Annual Report on Form 10-K for the fiscal year ended July 3, 2009. (Commission File Number 1-3863)</w:t>
        </w:r>
      </w:hyperlink>
    </w:p>
    <w:p w14:paraId="1B21D110" w14:textId="77777777" w:rsidR="00000000" w:rsidRDefault="001A570A">
      <w:pPr>
        <w:divId w:val="1608853375"/>
        <w:rPr>
          <w:rFonts w:eastAsia="Times New Roman"/>
        </w:rPr>
      </w:pPr>
      <w:hyperlink r:id="rId368" w:history="1">
        <w:r>
          <w:rPr>
            <w:rStyle w:val="a3"/>
            <w:rFonts w:eastAsia="Times New Roman"/>
            <w:sz w:val="20"/>
            <w:szCs w:val="20"/>
          </w:rPr>
          <w:t>(iii)</w:t>
        </w:r>
      </w:hyperlink>
      <w:hyperlink r:id="rId369" w:history="1">
        <w:r>
          <w:rPr>
            <w:rStyle w:val="a3"/>
            <w:rFonts w:eastAsia="Times New Roman"/>
            <w:sz w:val="20"/>
            <w:szCs w:val="20"/>
          </w:rPr>
          <w:t xml:space="preserve"> </w:t>
        </w:r>
      </w:hyperlink>
      <w:hyperlink r:id="rId370" w:history="1">
        <w:r>
          <w:rPr>
            <w:rStyle w:val="a3"/>
            <w:rFonts w:eastAsia="Times New Roman"/>
            <w:sz w:val="20"/>
            <w:szCs w:val="20"/>
          </w:rPr>
          <w:t>Amendment to the Harris Corporation Master Trust, dated December 8, 2009 and effective December 31, 2009, incorporated herein by reference to Exhibit 4(e)(iii) to Harris Corporation’s Registration Statement on</w:t>
        </w:r>
        <w:r>
          <w:rPr>
            <w:rStyle w:val="a3"/>
            <w:rFonts w:eastAsia="Times New Roman"/>
            <w:sz w:val="20"/>
            <w:szCs w:val="20"/>
          </w:rPr>
          <w:t xml:space="preserve"> Form S-8, Registration Statement No. 333-163647, filed with the SEC on December 10, 2009</w:t>
        </w:r>
      </w:hyperlink>
    </w:p>
    <w:p w14:paraId="7B5E12B9" w14:textId="77777777" w:rsidR="00000000" w:rsidRDefault="001A570A">
      <w:pPr>
        <w:ind w:firstLine="450"/>
        <w:jc w:val="center"/>
        <w:divId w:val="1106195273"/>
        <w:rPr>
          <w:rFonts w:eastAsia="Times New Roman"/>
        </w:rPr>
      </w:pPr>
      <w:r>
        <w:rPr>
          <w:rFonts w:eastAsia="Times New Roman"/>
          <w:color w:val="000000"/>
          <w:sz w:val="20"/>
          <w:szCs w:val="20"/>
        </w:rPr>
        <w:t>139</w:t>
      </w:r>
    </w:p>
    <w:p w14:paraId="63014116" w14:textId="77777777" w:rsidR="00000000" w:rsidRDefault="001A570A">
      <w:pPr>
        <w:rPr>
          <w:rFonts w:eastAsia="Times New Roman"/>
        </w:rPr>
      </w:pPr>
      <w:r>
        <w:rPr>
          <w:rFonts w:eastAsia="Times New Roman"/>
        </w:rPr>
        <w:pict w14:anchorId="70EAF40E">
          <v:rect id="_x0000_i1167" style="width:0;height:1.5pt" o:hralign="center" o:hrstd="t" o:hr="t" fillcolor="#a0a0a0" stroked="f"/>
        </w:pict>
      </w:r>
    </w:p>
    <w:p w14:paraId="422AC8D3" w14:textId="77777777" w:rsidR="00000000" w:rsidRDefault="001A570A">
      <w:pPr>
        <w:ind w:firstLine="450"/>
        <w:divId w:val="1028917603"/>
        <w:rPr>
          <w:rFonts w:eastAsia="Times New Roman"/>
        </w:rPr>
      </w:pPr>
    </w:p>
    <w:p w14:paraId="7E672CB4" w14:textId="77777777" w:rsidR="00000000" w:rsidRDefault="001A570A">
      <w:pPr>
        <w:divId w:val="1836801278"/>
        <w:rPr>
          <w:rFonts w:eastAsia="Times New Roman"/>
        </w:rPr>
      </w:pPr>
      <w:hyperlink r:id="rId371" w:history="1">
        <w:r>
          <w:rPr>
            <w:rStyle w:val="a3"/>
            <w:rFonts w:eastAsia="Times New Roman"/>
            <w:sz w:val="20"/>
            <w:szCs w:val="20"/>
          </w:rPr>
          <w:t>(iv)</w:t>
        </w:r>
      </w:hyperlink>
      <w:hyperlink r:id="rId372" w:history="1">
        <w:r>
          <w:rPr>
            <w:rStyle w:val="a3"/>
            <w:rFonts w:eastAsia="Times New Roman"/>
            <w:sz w:val="20"/>
            <w:szCs w:val="20"/>
          </w:rPr>
          <w:t xml:space="preserve"> </w:t>
        </w:r>
      </w:hyperlink>
      <w:hyperlink r:id="rId373" w:history="1">
        <w:r>
          <w:rPr>
            <w:rStyle w:val="a3"/>
            <w:rFonts w:eastAsia="Times New Roman"/>
            <w:sz w:val="20"/>
            <w:szCs w:val="20"/>
          </w:rPr>
          <w:t>Amendment to the Harris Corporation Master Trust, dated a</w:t>
        </w:r>
        <w:r>
          <w:rPr>
            <w:rStyle w:val="a3"/>
            <w:rFonts w:eastAsia="Times New Roman"/>
            <w:sz w:val="20"/>
            <w:szCs w:val="20"/>
          </w:rPr>
          <w:t>nd effective May 3, 2010, incorporated herein by reference to Exhibit 4(e)(iv) to Harris Corporation’s Registration Statement on Form S-8, Registration Statement No. 333-222821, filed with the SEC on February 1, 2018</w:t>
        </w:r>
      </w:hyperlink>
    </w:p>
    <w:p w14:paraId="572ADE5D" w14:textId="77777777" w:rsidR="00000000" w:rsidRDefault="001A570A">
      <w:pPr>
        <w:ind w:hanging="900"/>
        <w:divId w:val="643896937"/>
        <w:rPr>
          <w:rFonts w:eastAsia="Times New Roman"/>
        </w:rPr>
      </w:pPr>
      <w:hyperlink r:id="rId374" w:history="1">
        <w:r>
          <w:rPr>
            <w:rStyle w:val="a3"/>
            <w:rFonts w:eastAsia="Times New Roman"/>
            <w:sz w:val="20"/>
            <w:szCs w:val="20"/>
          </w:rPr>
          <w:t>*(10)(</w:t>
        </w:r>
      </w:hyperlink>
      <w:hyperlink r:id="rId375" w:history="1">
        <w:r>
          <w:rPr>
            <w:rStyle w:val="a3"/>
            <w:rFonts w:eastAsia="Times New Roman"/>
            <w:sz w:val="20"/>
            <w:szCs w:val="20"/>
          </w:rPr>
          <w:t>m</w:t>
        </w:r>
      </w:hyperlink>
      <w:hyperlink r:id="rId376" w:history="1">
        <w:r>
          <w:rPr>
            <w:rStyle w:val="a3"/>
            <w:rFonts w:eastAsia="Times New Roman"/>
            <w:sz w:val="20"/>
            <w:szCs w:val="20"/>
          </w:rPr>
          <w:t>)</w:t>
        </w:r>
      </w:hyperlink>
      <w:hyperlink r:id="rId377" w:history="1">
        <w:r>
          <w:rPr>
            <w:rStyle w:val="a3"/>
            <w:rFonts w:eastAsia="Times New Roman"/>
            <w:sz w:val="20"/>
            <w:szCs w:val="20"/>
          </w:rPr>
          <w:t xml:space="preserve"> </w:t>
        </w:r>
      </w:hyperlink>
      <w:hyperlink r:id="rId378" w:history="1">
        <w:r>
          <w:rPr>
            <w:rStyle w:val="a3"/>
            <w:rFonts w:eastAsia="Times New Roman"/>
            <w:sz w:val="20"/>
            <w:szCs w:val="20"/>
          </w:rPr>
          <w:t>(i)</w:t>
        </w:r>
      </w:hyperlink>
      <w:hyperlink r:id="rId379" w:history="1">
        <w:r>
          <w:rPr>
            <w:rStyle w:val="a3"/>
            <w:rFonts w:eastAsia="Times New Roman"/>
            <w:sz w:val="20"/>
            <w:szCs w:val="20"/>
          </w:rPr>
          <w:t>Master Rabbi Trust Agreement, amended and restated as of December 2, 2003, by and between Harris Corporation and The Northern Trust Company, incorporated herein by reference to Exhibit 10(d) to H</w:t>
        </w:r>
        <w:r>
          <w:rPr>
            <w:rStyle w:val="a3"/>
            <w:rFonts w:eastAsia="Times New Roman"/>
            <w:sz w:val="20"/>
            <w:szCs w:val="20"/>
          </w:rPr>
          <w:t>arris Corporation’s Quarterly Report on Form 10-Q for the fiscal quarter ended January 2, 2004. (Commission File Number 1-3863)</w:t>
        </w:r>
      </w:hyperlink>
    </w:p>
    <w:p w14:paraId="22A1820F" w14:textId="77777777" w:rsidR="00000000" w:rsidRDefault="001A570A">
      <w:pPr>
        <w:divId w:val="1430465298"/>
        <w:rPr>
          <w:rFonts w:eastAsia="Times New Roman"/>
        </w:rPr>
      </w:pPr>
      <w:hyperlink r:id="rId380" w:history="1">
        <w:r>
          <w:rPr>
            <w:rStyle w:val="a3"/>
            <w:rFonts w:eastAsia="Times New Roman"/>
            <w:sz w:val="20"/>
            <w:szCs w:val="20"/>
          </w:rPr>
          <w:t>(ii)</w:t>
        </w:r>
      </w:hyperlink>
      <w:hyperlink r:id="rId381" w:history="1">
        <w:r>
          <w:rPr>
            <w:rStyle w:val="a3"/>
            <w:rFonts w:eastAsia="Times New Roman"/>
            <w:sz w:val="20"/>
            <w:szCs w:val="20"/>
          </w:rPr>
          <w:t xml:space="preserve"> </w:t>
        </w:r>
      </w:hyperlink>
      <w:hyperlink r:id="rId382" w:history="1">
        <w:r>
          <w:rPr>
            <w:rStyle w:val="a3"/>
            <w:rFonts w:eastAsia="Times New Roman"/>
            <w:sz w:val="20"/>
            <w:szCs w:val="20"/>
          </w:rPr>
          <w:t>First Amendment to the Harris Corporation Master Rabbi Trust Agreement, dated September 24, 2004, incorporated herein by reference to Exhibit 10(b) to Harri</w:t>
        </w:r>
        <w:r>
          <w:rPr>
            <w:rStyle w:val="a3"/>
            <w:rFonts w:eastAsia="Times New Roman"/>
            <w:sz w:val="20"/>
            <w:szCs w:val="20"/>
          </w:rPr>
          <w:t>s Corporation’s Quarterly Report on Form 10-Q for the fiscal quarter ended October 1, 2004. (Commission File Number 1-3863)</w:t>
        </w:r>
      </w:hyperlink>
    </w:p>
    <w:p w14:paraId="29073EFC" w14:textId="77777777" w:rsidR="00000000" w:rsidRDefault="001A570A">
      <w:pPr>
        <w:divId w:val="1416822872"/>
        <w:rPr>
          <w:rFonts w:eastAsia="Times New Roman"/>
        </w:rPr>
      </w:pPr>
      <w:hyperlink r:id="rId383" w:history="1">
        <w:r>
          <w:rPr>
            <w:rStyle w:val="a3"/>
            <w:rFonts w:eastAsia="Times New Roman"/>
            <w:sz w:val="20"/>
            <w:szCs w:val="20"/>
          </w:rPr>
          <w:t>(iii)</w:t>
        </w:r>
      </w:hyperlink>
      <w:hyperlink r:id="rId384" w:history="1">
        <w:r>
          <w:rPr>
            <w:rStyle w:val="a3"/>
            <w:rFonts w:eastAsia="Times New Roman"/>
            <w:sz w:val="20"/>
            <w:szCs w:val="20"/>
          </w:rPr>
          <w:t xml:space="preserve"> </w:t>
        </w:r>
      </w:hyperlink>
      <w:hyperlink r:id="rId385" w:history="1">
        <w:r>
          <w:rPr>
            <w:rStyle w:val="a3"/>
            <w:rFonts w:eastAsia="Times New Roman"/>
            <w:sz w:val="20"/>
            <w:szCs w:val="20"/>
          </w:rPr>
          <w:t xml:space="preserve">Second Amendment to the Harris Corporation Master Rabbi Trust Agreement, dated as </w:t>
        </w:r>
        <w:r>
          <w:rPr>
            <w:rStyle w:val="a3"/>
            <w:rFonts w:eastAsia="Times New Roman"/>
            <w:sz w:val="20"/>
            <w:szCs w:val="20"/>
          </w:rPr>
          <w:t>of December 8, 2004, incorporated herein by reference to Exhibit 10.5 to Harris Corporation’s Current Report on Form 8-K filed with the SEC on December 8, 2004. (Commission File Number 1-3863)</w:t>
        </w:r>
      </w:hyperlink>
    </w:p>
    <w:p w14:paraId="1608129B" w14:textId="77777777" w:rsidR="00000000" w:rsidRDefault="001A570A">
      <w:pPr>
        <w:divId w:val="664016210"/>
        <w:rPr>
          <w:rFonts w:eastAsia="Times New Roman"/>
        </w:rPr>
      </w:pPr>
      <w:hyperlink r:id="rId386" w:history="1">
        <w:r>
          <w:rPr>
            <w:rStyle w:val="a3"/>
            <w:rFonts w:eastAsia="Times New Roman"/>
            <w:sz w:val="20"/>
            <w:szCs w:val="20"/>
          </w:rPr>
          <w:t>(iv)</w:t>
        </w:r>
      </w:hyperlink>
      <w:hyperlink r:id="rId387" w:history="1">
        <w:r>
          <w:rPr>
            <w:rStyle w:val="a3"/>
            <w:rFonts w:eastAsia="Times New Roman"/>
            <w:sz w:val="20"/>
            <w:szCs w:val="20"/>
          </w:rPr>
          <w:t xml:space="preserve"> </w:t>
        </w:r>
      </w:hyperlink>
      <w:hyperlink r:id="rId388" w:history="1">
        <w:r>
          <w:rPr>
            <w:rStyle w:val="a3"/>
            <w:rFonts w:eastAsia="Times New Roman"/>
            <w:sz w:val="20"/>
            <w:szCs w:val="20"/>
          </w:rPr>
          <w:t>Third Amend</w:t>
        </w:r>
        <w:r>
          <w:rPr>
            <w:rStyle w:val="a3"/>
            <w:rFonts w:eastAsia="Times New Roman"/>
            <w:sz w:val="20"/>
            <w:szCs w:val="20"/>
          </w:rPr>
          <w:t>ment to the Harris Corporation Master Rabbi Trust Agreement, dated January 15, 2009 and effective January 1, 2009, incorporated herein by reference to Exhibit 10(i) to Harris Corporation’s Quarterly Report on Form 10-Q for the fiscal quarter ended January </w:t>
        </w:r>
        <w:r>
          <w:rPr>
            <w:rStyle w:val="a3"/>
            <w:rFonts w:eastAsia="Times New Roman"/>
            <w:sz w:val="20"/>
            <w:szCs w:val="20"/>
          </w:rPr>
          <w:t>2, 2009. (Commission File Number 1-3863)</w:t>
        </w:r>
      </w:hyperlink>
    </w:p>
    <w:p w14:paraId="4EBE7B9B" w14:textId="77777777" w:rsidR="00000000" w:rsidRDefault="001A570A">
      <w:pPr>
        <w:divId w:val="1802065822"/>
        <w:rPr>
          <w:rFonts w:eastAsia="Times New Roman"/>
        </w:rPr>
      </w:pPr>
      <w:hyperlink r:id="rId389" w:history="1">
        <w:r>
          <w:rPr>
            <w:rStyle w:val="a3"/>
            <w:rFonts w:eastAsia="Times New Roman"/>
            <w:sz w:val="20"/>
            <w:szCs w:val="20"/>
          </w:rPr>
          <w:t>(v)</w:t>
        </w:r>
      </w:hyperlink>
      <w:hyperlink r:id="rId390" w:history="1">
        <w:r>
          <w:rPr>
            <w:rStyle w:val="a3"/>
            <w:rFonts w:eastAsia="Times New Roman"/>
            <w:sz w:val="20"/>
            <w:szCs w:val="20"/>
          </w:rPr>
          <w:t> </w:t>
        </w:r>
      </w:hyperlink>
      <w:hyperlink r:id="rId391" w:history="1">
        <w:r>
          <w:rPr>
            <w:rStyle w:val="a3"/>
            <w:rFonts w:eastAsia="Times New Roman"/>
            <w:sz w:val="20"/>
            <w:szCs w:val="20"/>
          </w:rPr>
          <w:t>Fourth Amendment to the Harris Corporation Master Rabbi T</w:t>
        </w:r>
        <w:r>
          <w:rPr>
            <w:rStyle w:val="a3"/>
            <w:rFonts w:eastAsia="Times New Roman"/>
            <w:sz w:val="20"/>
            <w:szCs w:val="20"/>
          </w:rPr>
          <w:t>rust Agreement, dated October 27, 2010 and effective as of August 28, 2010, incorporated herein by reference to Exhibit 10(n) to Harris Corporation’s Quarterly Report on Form 10-Q for the fiscal quarter ended October 1, 2010. (Commission File Number 1-3863</w:t>
        </w:r>
        <w:r>
          <w:rPr>
            <w:rStyle w:val="a3"/>
            <w:rFonts w:eastAsia="Times New Roman"/>
            <w:sz w:val="20"/>
            <w:szCs w:val="20"/>
          </w:rPr>
          <w:t>)</w:t>
        </w:r>
      </w:hyperlink>
    </w:p>
    <w:p w14:paraId="7C98C518" w14:textId="77777777" w:rsidR="00000000" w:rsidRDefault="001A570A">
      <w:pPr>
        <w:divId w:val="1792938787"/>
        <w:rPr>
          <w:rFonts w:eastAsia="Times New Roman"/>
        </w:rPr>
      </w:pPr>
      <w:hyperlink r:id="rId392" w:history="1">
        <w:r>
          <w:rPr>
            <w:rStyle w:val="a3"/>
            <w:rFonts w:eastAsia="Times New Roman"/>
            <w:sz w:val="20"/>
            <w:szCs w:val="20"/>
          </w:rPr>
          <w:t>(vi)</w:t>
        </w:r>
      </w:hyperlink>
      <w:hyperlink r:id="rId393" w:history="1">
        <w:r>
          <w:rPr>
            <w:rStyle w:val="a3"/>
            <w:rFonts w:eastAsia="Times New Roman"/>
            <w:sz w:val="20"/>
            <w:szCs w:val="20"/>
          </w:rPr>
          <w:t xml:space="preserve"> </w:t>
        </w:r>
      </w:hyperlink>
      <w:hyperlink r:id="rId394" w:history="1">
        <w:r>
          <w:rPr>
            <w:rStyle w:val="a3"/>
            <w:rFonts w:eastAsia="Times New Roman"/>
            <w:sz w:val="20"/>
            <w:szCs w:val="20"/>
          </w:rPr>
          <w:t>Fifth Amendment to the Harris Corporation Master Rabbi Trust Agreement, dated and effective as of February 28, 2019, incorporated herein by reference to Exhibit 10 to Harris Corporation’s Quarterly Repo</w:t>
        </w:r>
        <w:r>
          <w:rPr>
            <w:rStyle w:val="a3"/>
            <w:rFonts w:eastAsia="Times New Roman"/>
            <w:sz w:val="20"/>
            <w:szCs w:val="20"/>
          </w:rPr>
          <w:t>rt on Form 10-Q for the fiscal quarter ended March 29, 2019. (Commission File Number 1-3863)</w:t>
        </w:r>
      </w:hyperlink>
    </w:p>
    <w:p w14:paraId="0BCE171E" w14:textId="77777777" w:rsidR="00000000" w:rsidRDefault="001A570A">
      <w:pPr>
        <w:ind w:hanging="900"/>
        <w:divId w:val="586888207"/>
        <w:rPr>
          <w:rFonts w:eastAsia="Times New Roman"/>
        </w:rPr>
      </w:pPr>
      <w:hyperlink r:id="rId395" w:history="1">
        <w:r>
          <w:rPr>
            <w:rStyle w:val="a3"/>
            <w:rFonts w:eastAsia="Times New Roman"/>
            <w:sz w:val="20"/>
            <w:szCs w:val="20"/>
          </w:rPr>
          <w:t>(10)(</w:t>
        </w:r>
      </w:hyperlink>
      <w:hyperlink r:id="rId396" w:history="1">
        <w:r>
          <w:rPr>
            <w:rStyle w:val="a3"/>
            <w:rFonts w:eastAsia="Times New Roman"/>
            <w:sz w:val="20"/>
            <w:szCs w:val="20"/>
          </w:rPr>
          <w:t>n</w:t>
        </w:r>
      </w:hyperlink>
      <w:hyperlink r:id="rId397" w:history="1">
        <w:r>
          <w:rPr>
            <w:rStyle w:val="a3"/>
            <w:rFonts w:eastAsia="Times New Roman"/>
            <w:sz w:val="20"/>
            <w:szCs w:val="20"/>
          </w:rPr>
          <w:t>)</w:t>
        </w:r>
      </w:hyperlink>
      <w:hyperlink r:id="rId398" w:history="1">
        <w:r>
          <w:rPr>
            <w:rStyle w:val="a3"/>
            <w:rFonts w:eastAsia="Times New Roman"/>
            <w:sz w:val="20"/>
            <w:szCs w:val="20"/>
          </w:rPr>
          <w:t xml:space="preserve"> </w:t>
        </w:r>
      </w:hyperlink>
      <w:hyperlink r:id="rId399" w:history="1">
        <w:r>
          <w:rPr>
            <w:rStyle w:val="a3"/>
            <w:rFonts w:eastAsia="Times New Roman"/>
            <w:sz w:val="20"/>
            <w:szCs w:val="20"/>
          </w:rPr>
          <w:t>Commercial Paper Issuing and Paying Agent Agreement, dated as of March 30, 2005, between Citibank, N.A. and Har</w:t>
        </w:r>
        <w:r>
          <w:rPr>
            <w:rStyle w:val="a3"/>
            <w:rFonts w:eastAsia="Times New Roman"/>
            <w:sz w:val="20"/>
            <w:szCs w:val="20"/>
          </w:rPr>
          <w:t>ris Corporation, incorporated herein by reference to Exhibit 99.2 to Harris Corporation’s Current Report on Form 8-K filed with the SEC on April 5, 2005. (Commission File Number 1-3863)</w:t>
        </w:r>
      </w:hyperlink>
    </w:p>
    <w:p w14:paraId="7C5994DD" w14:textId="77777777" w:rsidR="00000000" w:rsidRDefault="001A570A">
      <w:pPr>
        <w:ind w:hanging="900"/>
        <w:divId w:val="923301436"/>
        <w:rPr>
          <w:rFonts w:eastAsia="Times New Roman"/>
        </w:rPr>
      </w:pPr>
      <w:hyperlink r:id="rId400" w:history="1">
        <w:r>
          <w:rPr>
            <w:rStyle w:val="a3"/>
            <w:rFonts w:eastAsia="Times New Roman"/>
            <w:sz w:val="20"/>
            <w:szCs w:val="20"/>
          </w:rPr>
          <w:t>(10)(</w:t>
        </w:r>
      </w:hyperlink>
      <w:hyperlink r:id="rId401" w:history="1">
        <w:r>
          <w:rPr>
            <w:rStyle w:val="a3"/>
            <w:rFonts w:eastAsia="Times New Roman"/>
            <w:sz w:val="20"/>
            <w:szCs w:val="20"/>
          </w:rPr>
          <w:t>o</w:t>
        </w:r>
      </w:hyperlink>
      <w:hyperlink r:id="rId402" w:history="1">
        <w:r>
          <w:rPr>
            <w:rStyle w:val="a3"/>
            <w:rFonts w:eastAsia="Times New Roman"/>
            <w:sz w:val="20"/>
            <w:szCs w:val="20"/>
          </w:rPr>
          <w:t>)</w:t>
        </w:r>
      </w:hyperlink>
      <w:hyperlink r:id="rId403" w:history="1">
        <w:r>
          <w:rPr>
            <w:rStyle w:val="a3"/>
            <w:rFonts w:eastAsia="Times New Roman"/>
            <w:sz w:val="20"/>
            <w:szCs w:val="20"/>
          </w:rPr>
          <w:t xml:space="preserve"> </w:t>
        </w:r>
      </w:hyperlink>
      <w:hyperlink r:id="rId404" w:history="1">
        <w:r>
          <w:rPr>
            <w:rStyle w:val="a3"/>
            <w:rFonts w:eastAsia="Times New Roman"/>
            <w:sz w:val="20"/>
            <w:szCs w:val="20"/>
          </w:rPr>
          <w:t>Commercial Paper Dealer Agreement, dated as of June 12, 2007, between Citigroup Global Markets Inc. and Harris Corporation, incorporated herein by reference to Exhibit 10.1 to Harris Corporation’s Current Report on Form 8-K filed with t</w:t>
        </w:r>
        <w:r>
          <w:rPr>
            <w:rStyle w:val="a3"/>
            <w:rFonts w:eastAsia="Times New Roman"/>
            <w:sz w:val="20"/>
            <w:szCs w:val="20"/>
          </w:rPr>
          <w:t>he SEC on June 18, 2007. (Commission File Number 1-3863)</w:t>
        </w:r>
      </w:hyperlink>
    </w:p>
    <w:p w14:paraId="13B0E09E" w14:textId="77777777" w:rsidR="00000000" w:rsidRDefault="001A570A">
      <w:pPr>
        <w:ind w:hanging="900"/>
        <w:divId w:val="122426040"/>
        <w:rPr>
          <w:rFonts w:eastAsia="Times New Roman"/>
        </w:rPr>
      </w:pPr>
      <w:hyperlink r:id="rId405" w:history="1">
        <w:r>
          <w:rPr>
            <w:rStyle w:val="a3"/>
            <w:rFonts w:eastAsia="Times New Roman"/>
            <w:sz w:val="20"/>
            <w:szCs w:val="20"/>
          </w:rPr>
          <w:t>(10)(</w:t>
        </w:r>
      </w:hyperlink>
      <w:hyperlink r:id="rId406" w:history="1">
        <w:r>
          <w:rPr>
            <w:rStyle w:val="a3"/>
            <w:rFonts w:eastAsia="Times New Roman"/>
            <w:sz w:val="20"/>
            <w:szCs w:val="20"/>
          </w:rPr>
          <w:t>p</w:t>
        </w:r>
      </w:hyperlink>
      <w:hyperlink r:id="rId407" w:history="1">
        <w:r>
          <w:rPr>
            <w:rStyle w:val="a3"/>
            <w:rFonts w:eastAsia="Times New Roman"/>
            <w:sz w:val="20"/>
            <w:szCs w:val="20"/>
          </w:rPr>
          <w:t>)</w:t>
        </w:r>
      </w:hyperlink>
      <w:hyperlink r:id="rId408" w:history="1">
        <w:r>
          <w:rPr>
            <w:rStyle w:val="a3"/>
            <w:rFonts w:eastAsia="Times New Roman"/>
            <w:sz w:val="20"/>
            <w:szCs w:val="20"/>
          </w:rPr>
          <w:t xml:space="preserve"> </w:t>
        </w:r>
      </w:hyperlink>
      <w:hyperlink r:id="rId409" w:history="1">
        <w:r>
          <w:rPr>
            <w:rStyle w:val="a3"/>
            <w:rFonts w:eastAsia="Times New Roman"/>
            <w:sz w:val="20"/>
            <w:szCs w:val="20"/>
          </w:rPr>
          <w:t xml:space="preserve">Commercial Paper Dealer Agreement, dated June 13, 2007, between Banc of America Securities LLC and Harris Corporation, incorporated herein by reference to Exhibit 10.2 to Harris Corporation’s Current Report on Form 8-K filed with the SEC on June 18, 2007. </w:t>
        </w:r>
        <w:r>
          <w:rPr>
            <w:rStyle w:val="a3"/>
            <w:rFonts w:eastAsia="Times New Roman"/>
            <w:sz w:val="20"/>
            <w:szCs w:val="20"/>
          </w:rPr>
          <w:t>(Commission File Number 1-3863)</w:t>
        </w:r>
      </w:hyperlink>
    </w:p>
    <w:p w14:paraId="03A5CA78" w14:textId="77777777" w:rsidR="00000000" w:rsidRDefault="001A570A">
      <w:pPr>
        <w:ind w:hanging="900"/>
        <w:divId w:val="641274726"/>
        <w:rPr>
          <w:rFonts w:eastAsia="Times New Roman"/>
        </w:rPr>
      </w:pPr>
      <w:hyperlink r:id="rId410" w:history="1">
        <w:r>
          <w:rPr>
            <w:rStyle w:val="a3"/>
            <w:rFonts w:eastAsia="Times New Roman"/>
            <w:sz w:val="20"/>
            <w:szCs w:val="20"/>
          </w:rPr>
          <w:t>(10)(</w:t>
        </w:r>
      </w:hyperlink>
      <w:hyperlink r:id="rId411" w:history="1">
        <w:r>
          <w:rPr>
            <w:rStyle w:val="a3"/>
            <w:rFonts w:eastAsia="Times New Roman"/>
            <w:sz w:val="20"/>
            <w:szCs w:val="20"/>
          </w:rPr>
          <w:t>q</w:t>
        </w:r>
      </w:hyperlink>
      <w:hyperlink r:id="rId412" w:history="1">
        <w:r>
          <w:rPr>
            <w:rStyle w:val="a3"/>
            <w:rFonts w:eastAsia="Times New Roman"/>
            <w:sz w:val="20"/>
            <w:szCs w:val="20"/>
          </w:rPr>
          <w:t>)</w:t>
        </w:r>
      </w:hyperlink>
      <w:hyperlink r:id="rId413" w:history="1">
        <w:r>
          <w:rPr>
            <w:rStyle w:val="a3"/>
            <w:rFonts w:eastAsia="Times New Roman"/>
            <w:sz w:val="20"/>
            <w:szCs w:val="20"/>
          </w:rPr>
          <w:t xml:space="preserve"> </w:t>
        </w:r>
      </w:hyperlink>
      <w:hyperlink r:id="rId414" w:history="1">
        <w:r>
          <w:rPr>
            <w:rStyle w:val="a3"/>
            <w:rFonts w:eastAsia="Times New Roman"/>
            <w:sz w:val="20"/>
            <w:szCs w:val="20"/>
          </w:rPr>
          <w:t xml:space="preserve">Commercial Paper Dealer Agreement, </w:t>
        </w:r>
        <w:r>
          <w:rPr>
            <w:rStyle w:val="a3"/>
            <w:rFonts w:eastAsia="Times New Roman"/>
            <w:sz w:val="20"/>
            <w:szCs w:val="20"/>
          </w:rPr>
          <w:t>dated as of June 14, 2007, between SunTrust Capital Markets, Inc. and Harris Corporation, incorporated herein by reference to Exhibit 10.3 to Harris Corporation’s Current Report on Form 8-K filed with the SEC on June 18, 2007. (Commission File Number 1-386</w:t>
        </w:r>
        <w:r>
          <w:rPr>
            <w:rStyle w:val="a3"/>
            <w:rFonts w:eastAsia="Times New Roman"/>
            <w:sz w:val="20"/>
            <w:szCs w:val="20"/>
          </w:rPr>
          <w:t>3)</w:t>
        </w:r>
      </w:hyperlink>
    </w:p>
    <w:p w14:paraId="0A55127F" w14:textId="77777777" w:rsidR="00000000" w:rsidRDefault="001A570A">
      <w:pPr>
        <w:ind w:hanging="900"/>
        <w:divId w:val="756250915"/>
        <w:rPr>
          <w:rFonts w:eastAsia="Times New Roman"/>
        </w:rPr>
      </w:pPr>
      <w:hyperlink r:id="rId415" w:history="1">
        <w:r>
          <w:rPr>
            <w:rStyle w:val="a3"/>
            <w:rFonts w:eastAsia="Times New Roman"/>
            <w:sz w:val="20"/>
            <w:szCs w:val="20"/>
          </w:rPr>
          <w:t>*(10)</w:t>
        </w:r>
      </w:hyperlink>
      <w:hyperlink r:id="rId416" w:history="1">
        <w:r>
          <w:rPr>
            <w:rStyle w:val="a3"/>
            <w:rFonts w:eastAsia="Times New Roman"/>
            <w:sz w:val="20"/>
            <w:szCs w:val="20"/>
          </w:rPr>
          <w:t>(</w:t>
        </w:r>
      </w:hyperlink>
      <w:hyperlink r:id="rId417" w:history="1">
        <w:r>
          <w:rPr>
            <w:rStyle w:val="a3"/>
            <w:rFonts w:eastAsia="Times New Roman"/>
            <w:sz w:val="20"/>
            <w:szCs w:val="20"/>
          </w:rPr>
          <w:t>r)</w:t>
        </w:r>
      </w:hyperlink>
      <w:hyperlink r:id="rId418" w:history="1">
        <w:r>
          <w:rPr>
            <w:rStyle w:val="a3"/>
            <w:rFonts w:eastAsia="Times New Roman"/>
            <w:sz w:val="20"/>
            <w:szCs w:val="20"/>
          </w:rPr>
          <w:t xml:space="preserve"> </w:t>
        </w:r>
      </w:hyperlink>
      <w:hyperlink r:id="rId419" w:history="1">
        <w:r>
          <w:rPr>
            <w:rStyle w:val="a3"/>
            <w:rFonts w:eastAsia="Times New Roman"/>
            <w:sz w:val="20"/>
            <w:szCs w:val="20"/>
          </w:rPr>
          <w:t>(i)</w:t>
        </w:r>
      </w:hyperlink>
      <w:hyperlink r:id="rId420" w:history="1">
        <w:r>
          <w:rPr>
            <w:rStyle w:val="a3"/>
            <w:rFonts w:eastAsia="Times New Roman"/>
            <w:sz w:val="20"/>
            <w:szCs w:val="20"/>
          </w:rPr>
          <w:t xml:space="preserve"> </w:t>
        </w:r>
      </w:hyperlink>
      <w:hyperlink r:id="rId421" w:history="1">
        <w:r>
          <w:rPr>
            <w:rStyle w:val="a3"/>
            <w:rFonts w:eastAsia="Times New Roman"/>
            <w:sz w:val="20"/>
            <w:szCs w:val="20"/>
          </w:rPr>
          <w:t>Employment Agreement, dated October 8, 2011 and effective November 1, 2011, by and between Harris Corporation and Wil</w:t>
        </w:r>
        <w:r>
          <w:rPr>
            <w:rStyle w:val="a3"/>
            <w:rFonts w:eastAsia="Times New Roman"/>
            <w:sz w:val="20"/>
            <w:szCs w:val="20"/>
          </w:rPr>
          <w:t>liam M. Brown, incorporated herein by reference to Exhibit 10.1 to Harris Corporation’s Current Report on Form 8-K filed with the SEC on October 11, 2011. (Commission File Number 1-3863)</w:t>
        </w:r>
      </w:hyperlink>
    </w:p>
    <w:p w14:paraId="7CB34EC0" w14:textId="77777777" w:rsidR="00000000" w:rsidRDefault="001A570A">
      <w:pPr>
        <w:divId w:val="1612281729"/>
        <w:rPr>
          <w:rFonts w:eastAsia="Times New Roman"/>
        </w:rPr>
      </w:pPr>
      <w:hyperlink r:id="rId422" w:history="1">
        <w:r>
          <w:rPr>
            <w:rStyle w:val="a3"/>
            <w:rFonts w:eastAsia="Times New Roman"/>
            <w:sz w:val="20"/>
            <w:szCs w:val="20"/>
          </w:rPr>
          <w:t>(ii)</w:t>
        </w:r>
      </w:hyperlink>
      <w:hyperlink r:id="rId423" w:history="1">
        <w:r>
          <w:rPr>
            <w:rStyle w:val="a3"/>
            <w:rFonts w:eastAsia="Times New Roman"/>
            <w:sz w:val="20"/>
            <w:szCs w:val="20"/>
          </w:rPr>
          <w:t>Employment Agreement Amendment, dated October 12, 2018, by and between Harris Corporation and William M. Brown, incorporated herein by reference</w:t>
        </w:r>
        <w:r>
          <w:rPr>
            <w:rStyle w:val="a3"/>
            <w:rFonts w:eastAsia="Times New Roman"/>
            <w:sz w:val="20"/>
            <w:szCs w:val="20"/>
          </w:rPr>
          <w:t xml:space="preserve"> to Exhibit 10.1 to Harris Corporation’s Quarterly Report on Form 10-Q for the fiscal quarter ended December 28, 2018. (Commission File Number 1-3863)</w:t>
        </w:r>
      </w:hyperlink>
    </w:p>
    <w:p w14:paraId="05E119EF" w14:textId="77777777" w:rsidR="00000000" w:rsidRDefault="001A570A">
      <w:pPr>
        <w:ind w:hanging="900"/>
        <w:divId w:val="1193615536"/>
        <w:rPr>
          <w:rFonts w:eastAsia="Times New Roman"/>
        </w:rPr>
      </w:pPr>
      <w:hyperlink r:id="rId424" w:history="1">
        <w:r>
          <w:rPr>
            <w:rStyle w:val="a3"/>
            <w:rFonts w:eastAsia="Times New Roman"/>
            <w:sz w:val="20"/>
            <w:szCs w:val="20"/>
          </w:rPr>
          <w:t>*(10)</w:t>
        </w:r>
      </w:hyperlink>
      <w:hyperlink r:id="rId425" w:history="1">
        <w:r>
          <w:rPr>
            <w:rStyle w:val="a3"/>
            <w:rFonts w:eastAsia="Times New Roman"/>
            <w:sz w:val="20"/>
            <w:szCs w:val="20"/>
          </w:rPr>
          <w:t>(</w:t>
        </w:r>
      </w:hyperlink>
      <w:hyperlink r:id="rId426" w:history="1">
        <w:r>
          <w:rPr>
            <w:rStyle w:val="a3"/>
            <w:rFonts w:eastAsia="Times New Roman"/>
            <w:sz w:val="20"/>
            <w:szCs w:val="20"/>
          </w:rPr>
          <w:t>s</w:t>
        </w:r>
      </w:hyperlink>
      <w:hyperlink r:id="rId427" w:history="1">
        <w:r>
          <w:rPr>
            <w:rStyle w:val="a3"/>
            <w:rFonts w:eastAsia="Times New Roman"/>
            <w:sz w:val="20"/>
            <w:szCs w:val="20"/>
          </w:rPr>
          <w:t>)</w:t>
        </w:r>
      </w:hyperlink>
      <w:hyperlink r:id="rId428" w:history="1">
        <w:r>
          <w:rPr>
            <w:rStyle w:val="a3"/>
            <w:rFonts w:eastAsia="Times New Roman"/>
            <w:sz w:val="20"/>
            <w:szCs w:val="20"/>
          </w:rPr>
          <w:t xml:space="preserve"> </w:t>
        </w:r>
      </w:hyperlink>
      <w:hyperlink r:id="rId429" w:history="1">
        <w:r>
          <w:rPr>
            <w:rStyle w:val="a3"/>
            <w:rFonts w:eastAsia="Times New Roman"/>
            <w:sz w:val="20"/>
            <w:szCs w:val="20"/>
          </w:rPr>
          <w:t>Letter Agreement with Christopher E.</w:t>
        </w:r>
        <w:r>
          <w:rPr>
            <w:rStyle w:val="a3"/>
            <w:rFonts w:eastAsia="Times New Roman"/>
            <w:sz w:val="20"/>
            <w:szCs w:val="20"/>
          </w:rPr>
          <w:t xml:space="preserve"> Kubasik, dated as of November 5, 2018, incorporated herein by reference to Exhibit 10.4 to L3Harris Technologies, Inc.’s Current Report on Form 8-K filed with the SEC on July 1, 2019. (Commission File Number 1-3863)</w:t>
        </w:r>
      </w:hyperlink>
    </w:p>
    <w:p w14:paraId="27AC94CE" w14:textId="77777777" w:rsidR="00000000" w:rsidRDefault="001A570A">
      <w:pPr>
        <w:ind w:hanging="900"/>
        <w:divId w:val="32509073"/>
        <w:rPr>
          <w:rFonts w:eastAsia="Times New Roman"/>
        </w:rPr>
      </w:pPr>
      <w:hyperlink r:id="rId430" w:history="1">
        <w:r>
          <w:rPr>
            <w:rStyle w:val="a3"/>
            <w:rFonts w:eastAsia="Times New Roman"/>
            <w:sz w:val="20"/>
            <w:szCs w:val="20"/>
          </w:rPr>
          <w:t>*(10)(</w:t>
        </w:r>
      </w:hyperlink>
      <w:hyperlink r:id="rId431" w:history="1">
        <w:r>
          <w:rPr>
            <w:rStyle w:val="a3"/>
            <w:rFonts w:eastAsia="Times New Roman"/>
            <w:sz w:val="20"/>
            <w:szCs w:val="20"/>
          </w:rPr>
          <w:t>t</w:t>
        </w:r>
      </w:hyperlink>
      <w:hyperlink r:id="rId432" w:history="1">
        <w:r>
          <w:rPr>
            <w:rStyle w:val="a3"/>
            <w:rFonts w:eastAsia="Times New Roman"/>
            <w:sz w:val="20"/>
            <w:szCs w:val="20"/>
          </w:rPr>
          <w:t>)</w:t>
        </w:r>
      </w:hyperlink>
      <w:hyperlink r:id="rId433" w:history="1">
        <w:r>
          <w:rPr>
            <w:rStyle w:val="a3"/>
            <w:rFonts w:eastAsia="Times New Roman"/>
            <w:sz w:val="20"/>
            <w:szCs w:val="20"/>
          </w:rPr>
          <w:t xml:space="preserve"> </w:t>
        </w:r>
      </w:hyperlink>
      <w:hyperlink r:id="rId434" w:history="1">
        <w:r>
          <w:rPr>
            <w:rStyle w:val="a3"/>
            <w:rFonts w:eastAsia="Times New Roman"/>
            <w:sz w:val="20"/>
            <w:szCs w:val="20"/>
          </w:rPr>
          <w:t xml:space="preserve">Offer Letter Agreement with Jesus Malave Jr., dated as of June 6, 2019, incorporated herein by reference to Exhibit 10.3 to L3Harris Technologies, Inc.’s </w:t>
        </w:r>
        <w:r>
          <w:rPr>
            <w:rStyle w:val="a3"/>
            <w:rFonts w:eastAsia="Times New Roman"/>
            <w:sz w:val="20"/>
            <w:szCs w:val="20"/>
          </w:rPr>
          <w:t>Current Report on Form 8-K filed with the SEC on July 1, 2019. (Commission File Number 1-3863)</w:t>
        </w:r>
      </w:hyperlink>
    </w:p>
    <w:p w14:paraId="22D57868" w14:textId="77777777" w:rsidR="00000000" w:rsidRDefault="001A570A">
      <w:pPr>
        <w:ind w:hanging="900"/>
        <w:divId w:val="336421397"/>
        <w:rPr>
          <w:rFonts w:eastAsia="Times New Roman"/>
        </w:rPr>
      </w:pPr>
      <w:hyperlink r:id="rId435" w:history="1">
        <w:r>
          <w:rPr>
            <w:rStyle w:val="a3"/>
            <w:rFonts w:eastAsia="Times New Roman"/>
            <w:sz w:val="20"/>
            <w:szCs w:val="20"/>
          </w:rPr>
          <w:t>*(10)(</w:t>
        </w:r>
      </w:hyperlink>
      <w:hyperlink r:id="rId436" w:history="1">
        <w:r>
          <w:rPr>
            <w:rStyle w:val="a3"/>
            <w:rFonts w:eastAsia="Times New Roman"/>
            <w:sz w:val="20"/>
            <w:szCs w:val="20"/>
          </w:rPr>
          <w:t>u</w:t>
        </w:r>
      </w:hyperlink>
      <w:hyperlink r:id="rId437" w:history="1">
        <w:r>
          <w:rPr>
            <w:rStyle w:val="a3"/>
            <w:rFonts w:eastAsia="Times New Roman"/>
            <w:sz w:val="20"/>
            <w:szCs w:val="20"/>
          </w:rPr>
          <w:t>)</w:t>
        </w:r>
      </w:hyperlink>
      <w:hyperlink r:id="rId438" w:history="1">
        <w:r>
          <w:rPr>
            <w:rStyle w:val="a3"/>
            <w:rFonts w:eastAsia="Times New Roman"/>
            <w:sz w:val="20"/>
            <w:szCs w:val="20"/>
          </w:rPr>
          <w:t xml:space="preserve"> </w:t>
        </w:r>
      </w:hyperlink>
      <w:hyperlink r:id="rId439" w:history="1">
        <w:r>
          <w:rPr>
            <w:rStyle w:val="a3"/>
            <w:rFonts w:eastAsia="Times New Roman"/>
            <w:sz w:val="20"/>
            <w:szCs w:val="20"/>
          </w:rPr>
          <w:t>Offer Letter Agreement, dated March 6, 2015, between Harris Corporation and Todd Taylor, incorporated herein by reference to Exhibit 10(e) to Harris Corporation’s Quarterl</w:t>
        </w:r>
        <w:r>
          <w:rPr>
            <w:rStyle w:val="a3"/>
            <w:rFonts w:eastAsia="Times New Roman"/>
            <w:sz w:val="20"/>
            <w:szCs w:val="20"/>
          </w:rPr>
          <w:t>y Report on Form 10-Q for the fiscal quarter ended April 3, 2015. (Commission File Number 1-3863)</w:t>
        </w:r>
      </w:hyperlink>
    </w:p>
    <w:p w14:paraId="7278F1E3" w14:textId="77777777" w:rsidR="00000000" w:rsidRDefault="001A570A">
      <w:pPr>
        <w:ind w:firstLine="450"/>
        <w:jc w:val="center"/>
        <w:divId w:val="1669557065"/>
        <w:rPr>
          <w:rFonts w:eastAsia="Times New Roman"/>
        </w:rPr>
      </w:pPr>
      <w:r>
        <w:rPr>
          <w:rFonts w:eastAsia="Times New Roman"/>
          <w:color w:val="000000"/>
          <w:sz w:val="20"/>
          <w:szCs w:val="20"/>
        </w:rPr>
        <w:t>140</w:t>
      </w:r>
    </w:p>
    <w:p w14:paraId="24E495F1" w14:textId="77777777" w:rsidR="00000000" w:rsidRDefault="001A570A">
      <w:pPr>
        <w:rPr>
          <w:rFonts w:eastAsia="Times New Roman"/>
        </w:rPr>
      </w:pPr>
      <w:r>
        <w:rPr>
          <w:rFonts w:eastAsia="Times New Roman"/>
        </w:rPr>
        <w:pict w14:anchorId="00A1AE75">
          <v:rect id="_x0000_i1168" style="width:0;height:1.5pt" o:hralign="center" o:hrstd="t" o:hr="t" fillcolor="#a0a0a0" stroked="f"/>
        </w:pict>
      </w:r>
    </w:p>
    <w:p w14:paraId="7058F76B" w14:textId="77777777" w:rsidR="00000000" w:rsidRDefault="001A570A">
      <w:pPr>
        <w:ind w:firstLine="450"/>
        <w:divId w:val="681512257"/>
        <w:rPr>
          <w:rFonts w:eastAsia="Times New Roman"/>
        </w:rPr>
      </w:pPr>
    </w:p>
    <w:p w14:paraId="2018BEE8" w14:textId="77777777" w:rsidR="00000000" w:rsidRDefault="001A570A">
      <w:pPr>
        <w:ind w:hanging="900"/>
        <w:divId w:val="1095050413"/>
        <w:rPr>
          <w:rFonts w:eastAsia="Times New Roman"/>
        </w:rPr>
      </w:pPr>
      <w:hyperlink r:id="rId440" w:history="1">
        <w:r>
          <w:rPr>
            <w:rStyle w:val="a3"/>
            <w:rFonts w:eastAsia="Times New Roman"/>
            <w:sz w:val="20"/>
            <w:szCs w:val="20"/>
          </w:rPr>
          <w:t>*(10)(</w:t>
        </w:r>
      </w:hyperlink>
      <w:hyperlink r:id="rId441" w:history="1">
        <w:r>
          <w:rPr>
            <w:rStyle w:val="a3"/>
            <w:rFonts w:eastAsia="Times New Roman"/>
            <w:sz w:val="20"/>
            <w:szCs w:val="20"/>
          </w:rPr>
          <w:t>v</w:t>
        </w:r>
      </w:hyperlink>
      <w:hyperlink r:id="rId442" w:history="1">
        <w:r>
          <w:rPr>
            <w:rStyle w:val="a3"/>
            <w:rFonts w:eastAsia="Times New Roman"/>
            <w:sz w:val="20"/>
            <w:szCs w:val="20"/>
          </w:rPr>
          <w:t>)</w:t>
        </w:r>
      </w:hyperlink>
      <w:hyperlink r:id="rId443" w:history="1">
        <w:r>
          <w:rPr>
            <w:rStyle w:val="a3"/>
            <w:rFonts w:eastAsia="Times New Roman"/>
            <w:sz w:val="20"/>
            <w:szCs w:val="20"/>
          </w:rPr>
          <w:t xml:space="preserve"> </w:t>
        </w:r>
      </w:hyperlink>
      <w:hyperlink r:id="rId444" w:history="1">
        <w:r>
          <w:rPr>
            <w:rStyle w:val="a3"/>
            <w:rFonts w:eastAsia="Times New Roman"/>
            <w:sz w:val="20"/>
            <w:szCs w:val="20"/>
          </w:rPr>
          <w:t>Summary of Annual Compensation of Non-Employee Directors of L3Harris Technologies, Inc., effective as of June 29, 2019, incorporated herein by reference to Exhibit 10.2 to L3Harris Technologies, Inc.’s Current Report on Form 8-K fi</w:t>
        </w:r>
        <w:r>
          <w:rPr>
            <w:rStyle w:val="a3"/>
            <w:rFonts w:eastAsia="Times New Roman"/>
            <w:sz w:val="20"/>
            <w:szCs w:val="20"/>
          </w:rPr>
          <w:t>led with the SEC on July 1, 2019. (Commission File Number 1-3863)</w:t>
        </w:r>
      </w:hyperlink>
      <w:r>
        <w:rPr>
          <w:rFonts w:eastAsia="Times New Roman"/>
          <w:color w:val="000000"/>
          <w:sz w:val="20"/>
          <w:szCs w:val="20"/>
        </w:rPr>
        <w:t xml:space="preserve"> </w:t>
      </w:r>
    </w:p>
    <w:p w14:paraId="706087A5" w14:textId="77777777" w:rsidR="00000000" w:rsidRDefault="001A570A">
      <w:pPr>
        <w:ind w:hanging="900"/>
        <w:divId w:val="317418178"/>
        <w:rPr>
          <w:rFonts w:eastAsia="Times New Roman"/>
        </w:rPr>
      </w:pPr>
      <w:hyperlink r:id="rId445" w:history="1">
        <w:r>
          <w:rPr>
            <w:rStyle w:val="a3"/>
            <w:rFonts w:eastAsia="Times New Roman"/>
            <w:sz w:val="20"/>
            <w:szCs w:val="20"/>
          </w:rPr>
          <w:t>***</w:t>
        </w:r>
      </w:hyperlink>
      <w:hyperlink r:id="rId446" w:history="1">
        <w:r>
          <w:rPr>
            <w:rStyle w:val="a3"/>
            <w:rFonts w:eastAsia="Times New Roman"/>
            <w:sz w:val="20"/>
            <w:szCs w:val="20"/>
          </w:rPr>
          <w:t>(10)(</w:t>
        </w:r>
      </w:hyperlink>
      <w:hyperlink r:id="rId447" w:history="1">
        <w:r>
          <w:rPr>
            <w:rStyle w:val="a3"/>
            <w:rFonts w:eastAsia="Times New Roman"/>
            <w:sz w:val="20"/>
            <w:szCs w:val="20"/>
          </w:rPr>
          <w:t>w</w:t>
        </w:r>
      </w:hyperlink>
      <w:hyperlink r:id="rId448" w:history="1">
        <w:r>
          <w:rPr>
            <w:rStyle w:val="a3"/>
            <w:rFonts w:eastAsia="Times New Roman"/>
            <w:sz w:val="20"/>
            <w:szCs w:val="20"/>
          </w:rPr>
          <w:t>)</w:t>
        </w:r>
      </w:hyperlink>
      <w:hyperlink r:id="rId449" w:history="1">
        <w:r>
          <w:rPr>
            <w:rStyle w:val="a3"/>
            <w:rFonts w:eastAsia="Times New Roman"/>
            <w:sz w:val="20"/>
            <w:szCs w:val="20"/>
          </w:rPr>
          <w:t xml:space="preserve"> </w:t>
        </w:r>
      </w:hyperlink>
      <w:hyperlink r:id="rId450" w:history="1">
        <w:r>
          <w:rPr>
            <w:rStyle w:val="a3"/>
            <w:rFonts w:eastAsia="Times New Roman"/>
            <w:sz w:val="20"/>
            <w:szCs w:val="20"/>
          </w:rPr>
          <w:t>Revolving Credit Agreement, dated June 28, 2</w:t>
        </w:r>
        <w:r>
          <w:rPr>
            <w:rStyle w:val="a3"/>
            <w:rFonts w:eastAsia="Times New Roman"/>
            <w:sz w:val="20"/>
            <w:szCs w:val="20"/>
          </w:rPr>
          <w:t>019, among Harris Corporation and certain of its Subsidiaries from time to time, as the Borrowers, the Lenders from time to time party thereto, JPMorgan Chase Bank, N.A., as Administrative Agent, L/C Issuer and Swingline Lender, Citibank, N.A., Bank of Ame</w:t>
        </w:r>
        <w:r>
          <w:rPr>
            <w:rStyle w:val="a3"/>
            <w:rFonts w:eastAsia="Times New Roman"/>
            <w:sz w:val="20"/>
            <w:szCs w:val="20"/>
          </w:rPr>
          <w:t xml:space="preserve">rica, N.A., Morgan Stanley MUFG Loan Partners, LLC and Wells Fargo Bank, National Association, as Co-Syndication Agents and JPMorgan Chase Bank, N.A., Citibank, N.A., Bank of America Securities, Inc., Morgan Stanley MUFG Loan Partners, LLC and Wells Fargo </w:t>
        </w:r>
        <w:r>
          <w:rPr>
            <w:rStyle w:val="a3"/>
            <w:rFonts w:eastAsia="Times New Roman"/>
            <w:sz w:val="20"/>
            <w:szCs w:val="20"/>
          </w:rPr>
          <w:t>Securities, LLC, as Joint Lead Arrangers and Joint Bookrunners, incorporated herein by reference to Exhibit 10.1 to L3Harris Technologies, Inc.’s Current Report on Form 8-K filed with the SEC on July 1, 2019. (Commission File Number 1-3863)</w:t>
        </w:r>
      </w:hyperlink>
      <w:r>
        <w:rPr>
          <w:rFonts w:eastAsia="Times New Roman"/>
          <w:color w:val="000000"/>
          <w:sz w:val="20"/>
          <w:szCs w:val="20"/>
        </w:rPr>
        <w:t xml:space="preserve"> </w:t>
      </w:r>
    </w:p>
    <w:p w14:paraId="4240BC14" w14:textId="77777777" w:rsidR="00000000" w:rsidRDefault="001A570A">
      <w:pPr>
        <w:ind w:hanging="900"/>
        <w:divId w:val="978262724"/>
        <w:rPr>
          <w:rFonts w:eastAsia="Times New Roman"/>
        </w:rPr>
      </w:pPr>
      <w:hyperlink r:id="rId451" w:history="1">
        <w:r>
          <w:rPr>
            <w:rStyle w:val="a3"/>
            <w:rFonts w:eastAsia="Times New Roman"/>
            <w:sz w:val="20"/>
            <w:szCs w:val="20"/>
          </w:rPr>
          <w:t>*(10)(</w:t>
        </w:r>
      </w:hyperlink>
      <w:hyperlink r:id="rId452" w:history="1">
        <w:r>
          <w:rPr>
            <w:rStyle w:val="a3"/>
            <w:rFonts w:eastAsia="Times New Roman"/>
            <w:sz w:val="20"/>
            <w:szCs w:val="20"/>
          </w:rPr>
          <w:t>x</w:t>
        </w:r>
      </w:hyperlink>
      <w:hyperlink r:id="rId453" w:history="1">
        <w:r>
          <w:rPr>
            <w:rStyle w:val="a3"/>
            <w:rFonts w:eastAsia="Times New Roman"/>
            <w:sz w:val="20"/>
            <w:szCs w:val="20"/>
          </w:rPr>
          <w:t xml:space="preserve">) </w:t>
        </w:r>
      </w:hyperlink>
      <w:hyperlink r:id="rId454" w:history="1">
        <w:r>
          <w:rPr>
            <w:rStyle w:val="a3"/>
            <w:rFonts w:eastAsia="Times New Roman"/>
            <w:sz w:val="20"/>
            <w:szCs w:val="20"/>
          </w:rPr>
          <w:t>(i) L3Harris Salaried Pens</w:t>
        </w:r>
        <w:r>
          <w:rPr>
            <w:rStyle w:val="a3"/>
            <w:rFonts w:eastAsia="Times New Roman"/>
            <w:sz w:val="20"/>
            <w:szCs w:val="20"/>
          </w:rPr>
          <w:t>ion Plan (as amended and restated as of August 31, 2020)</w:t>
        </w:r>
      </w:hyperlink>
    </w:p>
    <w:p w14:paraId="487C1DE9" w14:textId="77777777" w:rsidR="00000000" w:rsidRDefault="001A570A">
      <w:pPr>
        <w:divId w:val="1706977829"/>
        <w:rPr>
          <w:rFonts w:eastAsia="Times New Roman"/>
        </w:rPr>
      </w:pPr>
      <w:hyperlink r:id="rId455" w:history="1">
        <w:r>
          <w:rPr>
            <w:rStyle w:val="a3"/>
            <w:rFonts w:eastAsia="Times New Roman"/>
            <w:sz w:val="20"/>
            <w:szCs w:val="20"/>
          </w:rPr>
          <w:t>(ii) Amendment Number One to the L3Harris Salaried Pension Plan, dated December 22, 2020</w:t>
        </w:r>
      </w:hyperlink>
    </w:p>
    <w:p w14:paraId="5C945AE5" w14:textId="77777777" w:rsidR="00000000" w:rsidRDefault="001A570A">
      <w:pPr>
        <w:ind w:hanging="900"/>
        <w:divId w:val="633826878"/>
        <w:rPr>
          <w:rFonts w:eastAsia="Times New Roman"/>
        </w:rPr>
      </w:pPr>
      <w:hyperlink r:id="rId456" w:history="1">
        <w:r>
          <w:rPr>
            <w:rStyle w:val="a3"/>
            <w:rFonts w:eastAsia="Times New Roman"/>
            <w:sz w:val="20"/>
            <w:szCs w:val="20"/>
          </w:rPr>
          <w:t>*(10)(</w:t>
        </w:r>
      </w:hyperlink>
      <w:hyperlink r:id="rId457" w:history="1">
        <w:r>
          <w:rPr>
            <w:rStyle w:val="a3"/>
            <w:rFonts w:eastAsia="Times New Roman"/>
            <w:sz w:val="20"/>
            <w:szCs w:val="20"/>
          </w:rPr>
          <w:t>y</w:t>
        </w:r>
      </w:hyperlink>
      <w:hyperlink r:id="rId458" w:history="1">
        <w:r>
          <w:rPr>
            <w:rStyle w:val="a3"/>
            <w:rFonts w:eastAsia="Times New Roman"/>
            <w:sz w:val="20"/>
            <w:szCs w:val="20"/>
          </w:rPr>
          <w:t>) (i) L3Harris Link Simulation and Training Pension Plan (restated effective as of August 31, 2020)</w:t>
        </w:r>
      </w:hyperlink>
    </w:p>
    <w:p w14:paraId="426FE892" w14:textId="77777777" w:rsidR="00000000" w:rsidRDefault="001A570A">
      <w:pPr>
        <w:divId w:val="1513373247"/>
        <w:rPr>
          <w:rFonts w:eastAsia="Times New Roman"/>
        </w:rPr>
      </w:pPr>
      <w:hyperlink r:id="rId459" w:history="1">
        <w:r>
          <w:rPr>
            <w:rStyle w:val="a3"/>
            <w:rFonts w:eastAsia="Times New Roman"/>
            <w:sz w:val="20"/>
            <w:szCs w:val="20"/>
          </w:rPr>
          <w:t>(ii) Amendment Number One to the L3Harris Link Sim</w:t>
        </w:r>
        <w:r>
          <w:rPr>
            <w:rStyle w:val="a3"/>
            <w:rFonts w:eastAsia="Times New Roman"/>
            <w:sz w:val="20"/>
            <w:szCs w:val="20"/>
          </w:rPr>
          <w:t xml:space="preserve">ulation and Training Pension Plan, dated December </w:t>
        </w:r>
      </w:hyperlink>
      <w:hyperlink r:id="rId460" w:history="1">
        <w:r>
          <w:rPr>
            <w:rStyle w:val="a3"/>
            <w:rFonts w:eastAsia="Times New Roman"/>
            <w:sz w:val="20"/>
            <w:szCs w:val="20"/>
          </w:rPr>
          <w:t>22</w:t>
        </w:r>
      </w:hyperlink>
      <w:hyperlink r:id="rId461" w:history="1">
        <w:r>
          <w:rPr>
            <w:rStyle w:val="a3"/>
            <w:rFonts w:eastAsia="Times New Roman"/>
            <w:sz w:val="20"/>
            <w:szCs w:val="20"/>
          </w:rPr>
          <w:t>, 2020</w:t>
        </w:r>
      </w:hyperlink>
    </w:p>
    <w:p w14:paraId="5A39F9A9" w14:textId="77777777" w:rsidR="00000000" w:rsidRDefault="001A570A">
      <w:pPr>
        <w:ind w:hanging="900"/>
        <w:divId w:val="277875567"/>
        <w:rPr>
          <w:rFonts w:eastAsia="Times New Roman"/>
        </w:rPr>
      </w:pPr>
      <w:hyperlink r:id="rId462" w:history="1">
        <w:r>
          <w:rPr>
            <w:rStyle w:val="a3"/>
            <w:rFonts w:eastAsia="Times New Roman"/>
            <w:sz w:val="20"/>
            <w:szCs w:val="20"/>
          </w:rPr>
          <w:t>*(10)(</w:t>
        </w:r>
      </w:hyperlink>
      <w:hyperlink r:id="rId463" w:history="1">
        <w:r>
          <w:rPr>
            <w:rStyle w:val="a3"/>
            <w:rFonts w:eastAsia="Times New Roman"/>
            <w:sz w:val="20"/>
            <w:szCs w:val="20"/>
          </w:rPr>
          <w:t>z</w:t>
        </w:r>
      </w:hyperlink>
      <w:hyperlink r:id="rId464" w:history="1">
        <w:r>
          <w:rPr>
            <w:rStyle w:val="a3"/>
            <w:rFonts w:eastAsia="Times New Roman"/>
            <w:sz w:val="20"/>
            <w:szCs w:val="20"/>
          </w:rPr>
          <w:t>) L</w:t>
        </w:r>
      </w:hyperlink>
      <w:hyperlink r:id="rId465" w:history="1">
        <w:r>
          <w:rPr>
            <w:rStyle w:val="a3"/>
            <w:rFonts w:eastAsia="Times New Roman"/>
            <w:sz w:val="20"/>
            <w:szCs w:val="20"/>
          </w:rPr>
          <w:t>3Harris Supplemental Executive Retirement Plan (r</w:t>
        </w:r>
      </w:hyperlink>
      <w:hyperlink r:id="rId466" w:history="1">
        <w:r>
          <w:rPr>
            <w:rStyle w:val="a3"/>
            <w:rFonts w:eastAsia="Times New Roman"/>
            <w:sz w:val="20"/>
            <w:szCs w:val="20"/>
          </w:rPr>
          <w:t>estated January 2, 2020)</w:t>
        </w:r>
      </w:hyperlink>
    </w:p>
    <w:p w14:paraId="7D2BB350" w14:textId="77777777" w:rsidR="00000000" w:rsidRDefault="001A570A">
      <w:pPr>
        <w:ind w:hanging="900"/>
        <w:divId w:val="1009792771"/>
        <w:rPr>
          <w:rFonts w:eastAsia="Times New Roman"/>
        </w:rPr>
      </w:pPr>
      <w:hyperlink r:id="rId467" w:history="1">
        <w:r>
          <w:rPr>
            <w:rStyle w:val="a3"/>
            <w:rFonts w:eastAsia="Times New Roman"/>
            <w:sz w:val="20"/>
            <w:szCs w:val="20"/>
          </w:rPr>
          <w:t>(21) </w:t>
        </w:r>
      </w:hyperlink>
      <w:hyperlink r:id="rId468" w:history="1">
        <w:r>
          <w:rPr>
            <w:rStyle w:val="a3"/>
            <w:rFonts w:eastAsia="Times New Roman"/>
            <w:sz w:val="20"/>
            <w:szCs w:val="20"/>
          </w:rPr>
          <w:t xml:space="preserve"> </w:t>
        </w:r>
      </w:hyperlink>
      <w:hyperlink r:id="rId469" w:history="1">
        <w:r>
          <w:rPr>
            <w:rStyle w:val="a3"/>
            <w:rFonts w:eastAsia="Times New Roman"/>
            <w:sz w:val="20"/>
            <w:szCs w:val="20"/>
          </w:rPr>
          <w:t> </w:t>
        </w:r>
      </w:hyperlink>
      <w:hyperlink r:id="rId470" w:history="1">
        <w:r>
          <w:rPr>
            <w:rStyle w:val="a3"/>
            <w:rFonts w:eastAsia="Times New Roman"/>
            <w:sz w:val="20"/>
            <w:szCs w:val="20"/>
          </w:rPr>
          <w:t xml:space="preserve"> </w:t>
        </w:r>
      </w:hyperlink>
      <w:hyperlink r:id="rId471" w:history="1">
        <w:r>
          <w:rPr>
            <w:rStyle w:val="a3"/>
            <w:rFonts w:eastAsia="Times New Roman"/>
            <w:sz w:val="20"/>
            <w:szCs w:val="20"/>
          </w:rPr>
          <w:t>Subsidiaries of the Registrant.</w:t>
        </w:r>
      </w:hyperlink>
    </w:p>
    <w:p w14:paraId="108B0BFC" w14:textId="77777777" w:rsidR="00000000" w:rsidRDefault="001A570A">
      <w:pPr>
        <w:ind w:hanging="900"/>
        <w:divId w:val="290016870"/>
        <w:rPr>
          <w:rFonts w:eastAsia="Times New Roman"/>
        </w:rPr>
      </w:pPr>
      <w:hyperlink r:id="rId472" w:history="1">
        <w:r>
          <w:rPr>
            <w:rStyle w:val="a3"/>
            <w:rFonts w:eastAsia="Times New Roman"/>
            <w:sz w:val="20"/>
            <w:szCs w:val="20"/>
          </w:rPr>
          <w:t>(23) </w:t>
        </w:r>
      </w:hyperlink>
      <w:hyperlink r:id="rId473" w:history="1">
        <w:r>
          <w:rPr>
            <w:rStyle w:val="a3"/>
            <w:rFonts w:eastAsia="Times New Roman"/>
            <w:sz w:val="20"/>
            <w:szCs w:val="20"/>
          </w:rPr>
          <w:t xml:space="preserve"> </w:t>
        </w:r>
      </w:hyperlink>
      <w:hyperlink r:id="rId474" w:history="1">
        <w:r>
          <w:rPr>
            <w:rStyle w:val="a3"/>
            <w:rFonts w:eastAsia="Times New Roman"/>
            <w:sz w:val="20"/>
            <w:szCs w:val="20"/>
          </w:rPr>
          <w:t> </w:t>
        </w:r>
      </w:hyperlink>
      <w:hyperlink r:id="rId475" w:history="1">
        <w:r>
          <w:rPr>
            <w:rStyle w:val="a3"/>
            <w:rFonts w:eastAsia="Times New Roman"/>
            <w:sz w:val="20"/>
            <w:szCs w:val="20"/>
          </w:rPr>
          <w:t xml:space="preserve"> </w:t>
        </w:r>
      </w:hyperlink>
      <w:hyperlink r:id="rId476" w:history="1">
        <w:r>
          <w:rPr>
            <w:rStyle w:val="a3"/>
            <w:rFonts w:eastAsia="Times New Roman"/>
            <w:sz w:val="20"/>
            <w:szCs w:val="20"/>
          </w:rPr>
          <w:t>Consent of Ernst &amp; Young LLP, Independent Registered Public Accounting Firm.</w:t>
        </w:r>
      </w:hyperlink>
    </w:p>
    <w:p w14:paraId="41578934" w14:textId="77777777" w:rsidR="00000000" w:rsidRDefault="001A570A">
      <w:pPr>
        <w:ind w:hanging="900"/>
        <w:divId w:val="849684653"/>
        <w:rPr>
          <w:rFonts w:eastAsia="Times New Roman"/>
        </w:rPr>
      </w:pPr>
      <w:hyperlink r:id="rId477" w:history="1">
        <w:r>
          <w:rPr>
            <w:rStyle w:val="a3"/>
            <w:rFonts w:eastAsia="Times New Roman"/>
            <w:sz w:val="20"/>
            <w:szCs w:val="20"/>
          </w:rPr>
          <w:t>(24) </w:t>
        </w:r>
      </w:hyperlink>
      <w:hyperlink r:id="rId478" w:history="1">
        <w:r>
          <w:rPr>
            <w:rStyle w:val="a3"/>
            <w:rFonts w:eastAsia="Times New Roman"/>
            <w:sz w:val="20"/>
            <w:szCs w:val="20"/>
          </w:rPr>
          <w:t xml:space="preserve"> </w:t>
        </w:r>
      </w:hyperlink>
      <w:hyperlink r:id="rId479" w:history="1">
        <w:r>
          <w:rPr>
            <w:rStyle w:val="a3"/>
            <w:rFonts w:eastAsia="Times New Roman"/>
            <w:sz w:val="20"/>
            <w:szCs w:val="20"/>
          </w:rPr>
          <w:t> Power of Attorney.</w:t>
        </w:r>
      </w:hyperlink>
    </w:p>
    <w:p w14:paraId="563774BE" w14:textId="77777777" w:rsidR="00000000" w:rsidRDefault="001A570A">
      <w:pPr>
        <w:ind w:hanging="900"/>
        <w:divId w:val="275479875"/>
        <w:rPr>
          <w:rFonts w:eastAsia="Times New Roman"/>
        </w:rPr>
      </w:pPr>
      <w:hyperlink r:id="rId480" w:history="1">
        <w:r>
          <w:rPr>
            <w:rStyle w:val="a3"/>
            <w:rFonts w:eastAsia="Times New Roman"/>
            <w:sz w:val="20"/>
            <w:szCs w:val="20"/>
          </w:rPr>
          <w:t>(31.1) </w:t>
        </w:r>
      </w:hyperlink>
      <w:hyperlink r:id="rId481" w:history="1">
        <w:r>
          <w:rPr>
            <w:rStyle w:val="a3"/>
            <w:rFonts w:eastAsia="Times New Roman"/>
            <w:sz w:val="20"/>
            <w:szCs w:val="20"/>
          </w:rPr>
          <w:t xml:space="preserve"> </w:t>
        </w:r>
      </w:hyperlink>
      <w:hyperlink r:id="rId482" w:history="1">
        <w:r>
          <w:rPr>
            <w:rStyle w:val="a3"/>
            <w:rFonts w:eastAsia="Times New Roman"/>
            <w:sz w:val="20"/>
            <w:szCs w:val="20"/>
          </w:rPr>
          <w:t> </w:t>
        </w:r>
      </w:hyperlink>
      <w:hyperlink r:id="rId483" w:history="1">
        <w:r>
          <w:rPr>
            <w:rStyle w:val="a3"/>
            <w:rFonts w:eastAsia="Times New Roman"/>
            <w:sz w:val="20"/>
            <w:szCs w:val="20"/>
          </w:rPr>
          <w:t xml:space="preserve"> </w:t>
        </w:r>
      </w:hyperlink>
      <w:hyperlink r:id="rId484" w:history="1">
        <w:r>
          <w:rPr>
            <w:rStyle w:val="a3"/>
            <w:rFonts w:eastAsia="Times New Roman"/>
            <w:sz w:val="20"/>
            <w:szCs w:val="20"/>
          </w:rPr>
          <w:t>Rule 13a-14(a)/15d-14(a) Certification of Chief Executive Officer.</w:t>
        </w:r>
      </w:hyperlink>
    </w:p>
    <w:p w14:paraId="28868999" w14:textId="77777777" w:rsidR="00000000" w:rsidRDefault="001A570A">
      <w:pPr>
        <w:ind w:hanging="900"/>
        <w:divId w:val="248076618"/>
        <w:rPr>
          <w:rFonts w:eastAsia="Times New Roman"/>
        </w:rPr>
      </w:pPr>
      <w:hyperlink r:id="rId485" w:history="1">
        <w:r>
          <w:rPr>
            <w:rStyle w:val="a3"/>
            <w:rFonts w:eastAsia="Times New Roman"/>
            <w:sz w:val="20"/>
            <w:szCs w:val="20"/>
          </w:rPr>
          <w:t>(31.2) </w:t>
        </w:r>
      </w:hyperlink>
      <w:hyperlink r:id="rId486" w:history="1">
        <w:r>
          <w:rPr>
            <w:rStyle w:val="a3"/>
            <w:rFonts w:eastAsia="Times New Roman"/>
            <w:sz w:val="20"/>
            <w:szCs w:val="20"/>
          </w:rPr>
          <w:t xml:space="preserve"> </w:t>
        </w:r>
      </w:hyperlink>
      <w:hyperlink r:id="rId487" w:history="1">
        <w:r>
          <w:rPr>
            <w:rStyle w:val="a3"/>
            <w:rFonts w:eastAsia="Times New Roman"/>
            <w:sz w:val="20"/>
            <w:szCs w:val="20"/>
          </w:rPr>
          <w:t> </w:t>
        </w:r>
      </w:hyperlink>
      <w:hyperlink r:id="rId488" w:history="1">
        <w:r>
          <w:rPr>
            <w:rStyle w:val="a3"/>
            <w:rFonts w:eastAsia="Times New Roman"/>
            <w:sz w:val="20"/>
            <w:szCs w:val="20"/>
          </w:rPr>
          <w:t xml:space="preserve"> </w:t>
        </w:r>
      </w:hyperlink>
      <w:hyperlink r:id="rId489" w:history="1">
        <w:r>
          <w:rPr>
            <w:rStyle w:val="a3"/>
            <w:rFonts w:eastAsia="Times New Roman"/>
            <w:sz w:val="20"/>
            <w:szCs w:val="20"/>
          </w:rPr>
          <w:t>Rule </w:t>
        </w:r>
        <w:r>
          <w:rPr>
            <w:rStyle w:val="a3"/>
            <w:rFonts w:eastAsia="Times New Roman"/>
            <w:sz w:val="20"/>
            <w:szCs w:val="20"/>
          </w:rPr>
          <w:t>13a-14(a)/15d-14(a) Certification of Chief Financial Officer.</w:t>
        </w:r>
      </w:hyperlink>
    </w:p>
    <w:p w14:paraId="4C596DA0" w14:textId="77777777" w:rsidR="00000000" w:rsidRDefault="001A570A">
      <w:pPr>
        <w:ind w:hanging="900"/>
        <w:divId w:val="115175828"/>
        <w:rPr>
          <w:rFonts w:eastAsia="Times New Roman"/>
        </w:rPr>
      </w:pPr>
      <w:hyperlink r:id="rId490" w:history="1">
        <w:r>
          <w:rPr>
            <w:rStyle w:val="a3"/>
            <w:rFonts w:eastAsia="Times New Roman"/>
            <w:sz w:val="20"/>
            <w:szCs w:val="20"/>
          </w:rPr>
          <w:t>(32.1)</w:t>
        </w:r>
      </w:hyperlink>
      <w:hyperlink r:id="rId491" w:history="1">
        <w:r>
          <w:rPr>
            <w:rStyle w:val="a3"/>
            <w:rFonts w:eastAsia="Times New Roman"/>
            <w:sz w:val="20"/>
            <w:szCs w:val="20"/>
          </w:rPr>
          <w:t xml:space="preserve"> </w:t>
        </w:r>
      </w:hyperlink>
      <w:hyperlink r:id="rId492" w:history="1">
        <w:r>
          <w:rPr>
            <w:rStyle w:val="a3"/>
            <w:rFonts w:eastAsia="Times New Roman"/>
            <w:sz w:val="20"/>
            <w:szCs w:val="20"/>
          </w:rPr>
          <w:t>  </w:t>
        </w:r>
      </w:hyperlink>
      <w:hyperlink r:id="rId493" w:history="1">
        <w:r>
          <w:rPr>
            <w:rStyle w:val="a3"/>
            <w:rFonts w:eastAsia="Times New Roman"/>
            <w:sz w:val="20"/>
            <w:szCs w:val="20"/>
          </w:rPr>
          <w:t xml:space="preserve"> </w:t>
        </w:r>
      </w:hyperlink>
      <w:hyperlink r:id="rId494" w:history="1">
        <w:r>
          <w:rPr>
            <w:rStyle w:val="a3"/>
            <w:rFonts w:eastAsia="Times New Roman"/>
            <w:sz w:val="20"/>
            <w:szCs w:val="20"/>
          </w:rPr>
          <w:t>Section 1350 Certification of Chief Executive Officer.</w:t>
        </w:r>
      </w:hyperlink>
    </w:p>
    <w:p w14:paraId="1DCF7210" w14:textId="77777777" w:rsidR="00000000" w:rsidRDefault="001A570A">
      <w:pPr>
        <w:ind w:hanging="900"/>
        <w:divId w:val="1983461211"/>
        <w:rPr>
          <w:rFonts w:eastAsia="Times New Roman"/>
        </w:rPr>
      </w:pPr>
      <w:hyperlink r:id="rId495" w:history="1">
        <w:r>
          <w:rPr>
            <w:rStyle w:val="a3"/>
            <w:rFonts w:eastAsia="Times New Roman"/>
            <w:sz w:val="20"/>
            <w:szCs w:val="20"/>
          </w:rPr>
          <w:t>(32.2) </w:t>
        </w:r>
      </w:hyperlink>
      <w:hyperlink r:id="rId496" w:history="1">
        <w:r>
          <w:rPr>
            <w:rStyle w:val="a3"/>
            <w:rFonts w:eastAsia="Times New Roman"/>
            <w:sz w:val="20"/>
            <w:szCs w:val="20"/>
          </w:rPr>
          <w:t xml:space="preserve"> </w:t>
        </w:r>
      </w:hyperlink>
      <w:hyperlink r:id="rId497" w:history="1">
        <w:r>
          <w:rPr>
            <w:rStyle w:val="a3"/>
            <w:rFonts w:eastAsia="Times New Roman"/>
            <w:sz w:val="20"/>
            <w:szCs w:val="20"/>
          </w:rPr>
          <w:t> </w:t>
        </w:r>
      </w:hyperlink>
      <w:hyperlink r:id="rId498" w:history="1">
        <w:r>
          <w:rPr>
            <w:rStyle w:val="a3"/>
            <w:rFonts w:eastAsia="Times New Roman"/>
            <w:sz w:val="20"/>
            <w:szCs w:val="20"/>
          </w:rPr>
          <w:t xml:space="preserve"> </w:t>
        </w:r>
      </w:hyperlink>
      <w:hyperlink r:id="rId499" w:history="1">
        <w:r>
          <w:rPr>
            <w:rStyle w:val="a3"/>
            <w:rFonts w:eastAsia="Times New Roman"/>
            <w:sz w:val="20"/>
            <w:szCs w:val="20"/>
          </w:rPr>
          <w:t>S</w:t>
        </w:r>
        <w:r>
          <w:rPr>
            <w:rStyle w:val="a3"/>
            <w:rFonts w:eastAsia="Times New Roman"/>
            <w:sz w:val="20"/>
            <w:szCs w:val="20"/>
          </w:rPr>
          <w:t>ection 1350 Certification of Chief Financial Officer.</w:t>
        </w:r>
      </w:hyperlink>
    </w:p>
    <w:p w14:paraId="3A57889C" w14:textId="77777777" w:rsidR="00000000" w:rsidRDefault="001A570A">
      <w:pPr>
        <w:ind w:hanging="900"/>
        <w:divId w:val="835416407"/>
        <w:rPr>
          <w:rFonts w:eastAsia="Times New Roman"/>
        </w:rPr>
      </w:pPr>
      <w:r>
        <w:rPr>
          <w:rFonts w:eastAsia="Times New Roman"/>
          <w:color w:val="000000"/>
          <w:sz w:val="20"/>
          <w:szCs w:val="20"/>
        </w:rPr>
        <w:t>(101) The financial information from L3Harris Technologies, Inc.’s Annual Report on Form 10-K for the period from January 4, 2020 to January 1, 2021 formatted in Inline XBRL (Extensible Business Reporti</w:t>
      </w:r>
      <w:r>
        <w:rPr>
          <w:rFonts w:eastAsia="Times New Roman"/>
          <w:color w:val="000000"/>
          <w:sz w:val="20"/>
          <w:szCs w:val="20"/>
        </w:rPr>
        <w:t>ng Language) includes: (i) the Consolidated Balance Sheet, (ii) the Consolidated Statement of Operations, (iii) the Consolidated Statement of Comprehensive Income, (iv) the Consolidated Statement of Changes in Stockholders Equity, (v) the Consolidated Stat</w:t>
      </w:r>
      <w:r>
        <w:rPr>
          <w:rFonts w:eastAsia="Times New Roman"/>
          <w:color w:val="000000"/>
          <w:sz w:val="20"/>
          <w:szCs w:val="20"/>
        </w:rPr>
        <w:t>ement of Cash Flows, and (vi) the Notes to the Consolidated Financial Statements.</w:t>
      </w:r>
    </w:p>
    <w:p w14:paraId="4B20965F" w14:textId="77777777" w:rsidR="00000000" w:rsidRDefault="001A570A">
      <w:pPr>
        <w:ind w:hanging="900"/>
        <w:divId w:val="879980773"/>
        <w:rPr>
          <w:rFonts w:eastAsia="Times New Roman"/>
        </w:rPr>
      </w:pPr>
      <w:r>
        <w:rPr>
          <w:rFonts w:eastAsia="Times New Roman"/>
          <w:color w:val="000000"/>
          <w:sz w:val="20"/>
          <w:szCs w:val="20"/>
        </w:rPr>
        <w:t xml:space="preserve">(104) </w:t>
      </w:r>
      <w:r>
        <w:rPr>
          <w:rFonts w:eastAsia="Times New Roman"/>
          <w:color w:val="000000"/>
          <w:sz w:val="20"/>
          <w:szCs w:val="20"/>
        </w:rPr>
        <w:t>Cover Page Interactive Data File formatted in Inline XBRL and contained in Exhibit 101.</w:t>
      </w:r>
    </w:p>
    <w:p w14:paraId="3C35A237" w14:textId="77777777" w:rsidR="00000000" w:rsidRDefault="001A570A">
      <w:pPr>
        <w:divId w:val="1016926416"/>
        <w:rPr>
          <w:rFonts w:eastAsia="Times New Roman"/>
        </w:rPr>
      </w:pPr>
      <w:r>
        <w:rPr>
          <w:rFonts w:eastAsia="Times New Roman"/>
          <w:color w:val="000000"/>
          <w:sz w:val="16"/>
          <w:szCs w:val="16"/>
        </w:rPr>
        <w:t>_______________</w:t>
      </w:r>
    </w:p>
    <w:p w14:paraId="709CDA70" w14:textId="77777777" w:rsidR="00000000" w:rsidRDefault="001A570A">
      <w:pPr>
        <w:divId w:val="123500332"/>
        <w:rPr>
          <w:rFonts w:eastAsia="Times New Roman"/>
        </w:rPr>
      </w:pPr>
      <w:r>
        <w:rPr>
          <w:rFonts w:eastAsia="Times New Roman"/>
          <w:color w:val="000000"/>
          <w:sz w:val="16"/>
          <w:szCs w:val="16"/>
        </w:rPr>
        <w:t>*    Management contract or compensatory plan or arrangement.</w:t>
      </w:r>
    </w:p>
    <w:p w14:paraId="4C74FF4F" w14:textId="77777777" w:rsidR="00000000" w:rsidRDefault="001A570A">
      <w:pPr>
        <w:divId w:val="279804205"/>
        <w:rPr>
          <w:rFonts w:eastAsia="Times New Roman"/>
        </w:rPr>
      </w:pPr>
      <w:r>
        <w:rPr>
          <w:rFonts w:eastAsia="Times New Roman"/>
          <w:color w:val="000000"/>
          <w:sz w:val="16"/>
          <w:szCs w:val="16"/>
        </w:rPr>
        <w:t>**    Paper filing.</w:t>
      </w:r>
    </w:p>
    <w:p w14:paraId="3F736705" w14:textId="77777777" w:rsidR="00000000" w:rsidRDefault="001A570A">
      <w:pPr>
        <w:ind w:hanging="720"/>
        <w:divId w:val="1549678902"/>
        <w:rPr>
          <w:rFonts w:eastAsia="Times New Roman"/>
        </w:rPr>
      </w:pPr>
      <w:r>
        <w:rPr>
          <w:rFonts w:eastAsia="Times New Roman"/>
          <w:color w:val="000000"/>
          <w:sz w:val="16"/>
          <w:szCs w:val="16"/>
        </w:rPr>
        <w:t>***    Schedules have been omitted pursuant to Item 601(a)(5) of Regul</w:t>
      </w:r>
      <w:r>
        <w:rPr>
          <w:rFonts w:eastAsia="Times New Roman"/>
          <w:color w:val="000000"/>
          <w:sz w:val="16"/>
          <w:szCs w:val="16"/>
        </w:rPr>
        <w:t>ation S-K. L3Harris Technologies, Inc. hereby undertakes to furnish supplementally copies of any of the omitted schedules upon request by the SEC.</w:t>
      </w:r>
    </w:p>
    <w:tbl>
      <w:tblPr>
        <w:tblW w:w="4885" w:type="pct"/>
        <w:tblCellMar>
          <w:top w:w="15" w:type="dxa"/>
          <w:left w:w="15" w:type="dxa"/>
          <w:bottom w:w="15" w:type="dxa"/>
          <w:right w:w="15" w:type="dxa"/>
        </w:tblCellMar>
        <w:tblLook w:val="04A0" w:firstRow="1" w:lastRow="0" w:firstColumn="1" w:lastColumn="0" w:noHBand="0" w:noVBand="1"/>
      </w:tblPr>
      <w:tblGrid>
        <w:gridCol w:w="73"/>
        <w:gridCol w:w="928"/>
        <w:gridCol w:w="36"/>
        <w:gridCol w:w="67"/>
        <w:gridCol w:w="6975"/>
        <w:gridCol w:w="36"/>
      </w:tblGrid>
      <w:tr w:rsidR="00000000" w14:paraId="40193DBC" w14:textId="77777777">
        <w:trPr>
          <w:divId w:val="1110584526"/>
        </w:trPr>
        <w:tc>
          <w:tcPr>
            <w:tcW w:w="50" w:type="pct"/>
            <w:vAlign w:val="center"/>
            <w:hideMark/>
          </w:tcPr>
          <w:p w14:paraId="4944052E" w14:textId="77777777" w:rsidR="00000000" w:rsidRDefault="001A570A">
            <w:pPr>
              <w:ind w:hanging="720"/>
              <w:rPr>
                <w:rFonts w:eastAsia="Times New Roman"/>
              </w:rPr>
            </w:pPr>
          </w:p>
        </w:tc>
        <w:tc>
          <w:tcPr>
            <w:tcW w:w="584" w:type="pct"/>
            <w:vAlign w:val="center"/>
            <w:hideMark/>
          </w:tcPr>
          <w:p w14:paraId="518791CC" w14:textId="77777777" w:rsidR="00000000" w:rsidRDefault="001A570A">
            <w:pPr>
              <w:rPr>
                <w:rFonts w:eastAsia="Times New Roman"/>
                <w:sz w:val="20"/>
                <w:szCs w:val="20"/>
              </w:rPr>
            </w:pPr>
          </w:p>
        </w:tc>
        <w:tc>
          <w:tcPr>
            <w:tcW w:w="5" w:type="pct"/>
            <w:vAlign w:val="center"/>
            <w:hideMark/>
          </w:tcPr>
          <w:p w14:paraId="58F12203" w14:textId="77777777" w:rsidR="00000000" w:rsidRDefault="001A570A">
            <w:pPr>
              <w:rPr>
                <w:rFonts w:eastAsia="Times New Roman"/>
                <w:sz w:val="20"/>
                <w:szCs w:val="20"/>
              </w:rPr>
            </w:pPr>
          </w:p>
        </w:tc>
        <w:tc>
          <w:tcPr>
            <w:tcW w:w="50" w:type="pct"/>
            <w:vAlign w:val="center"/>
            <w:hideMark/>
          </w:tcPr>
          <w:p w14:paraId="35B2C44D" w14:textId="77777777" w:rsidR="00000000" w:rsidRDefault="001A570A">
            <w:pPr>
              <w:rPr>
                <w:rFonts w:eastAsia="Times New Roman"/>
                <w:sz w:val="20"/>
                <w:szCs w:val="20"/>
              </w:rPr>
            </w:pPr>
          </w:p>
        </w:tc>
        <w:tc>
          <w:tcPr>
            <w:tcW w:w="4305" w:type="pct"/>
            <w:vAlign w:val="center"/>
            <w:hideMark/>
          </w:tcPr>
          <w:p w14:paraId="26219770" w14:textId="77777777" w:rsidR="00000000" w:rsidRDefault="001A570A">
            <w:pPr>
              <w:rPr>
                <w:rFonts w:eastAsia="Times New Roman"/>
                <w:sz w:val="20"/>
                <w:szCs w:val="20"/>
              </w:rPr>
            </w:pPr>
          </w:p>
        </w:tc>
        <w:tc>
          <w:tcPr>
            <w:tcW w:w="5" w:type="pct"/>
            <w:vAlign w:val="center"/>
            <w:hideMark/>
          </w:tcPr>
          <w:p w14:paraId="71BB78E1" w14:textId="77777777" w:rsidR="00000000" w:rsidRDefault="001A570A">
            <w:pPr>
              <w:rPr>
                <w:rFonts w:eastAsia="Times New Roman"/>
                <w:sz w:val="20"/>
                <w:szCs w:val="20"/>
              </w:rPr>
            </w:pPr>
          </w:p>
        </w:tc>
      </w:tr>
      <w:tr w:rsidR="00000000" w14:paraId="6B52F208" w14:textId="77777777">
        <w:trPr>
          <w:divId w:val="1110584526"/>
        </w:trPr>
        <w:tc>
          <w:tcPr>
            <w:tcW w:w="0" w:type="auto"/>
            <w:gridSpan w:val="3"/>
            <w:tcMar>
              <w:top w:w="30" w:type="dxa"/>
              <w:left w:w="20" w:type="dxa"/>
              <w:bottom w:w="30" w:type="dxa"/>
              <w:right w:w="20" w:type="dxa"/>
            </w:tcMar>
            <w:vAlign w:val="bottom"/>
            <w:hideMark/>
          </w:tcPr>
          <w:p w14:paraId="236221A7" w14:textId="77777777" w:rsidR="00000000" w:rsidRDefault="001A570A">
            <w:pPr>
              <w:rPr>
                <w:rFonts w:eastAsia="Times New Roman"/>
              </w:rPr>
            </w:pPr>
            <w:r>
              <w:rPr>
                <w:rFonts w:eastAsia="Times New Roman"/>
                <w:b/>
                <w:bCs/>
                <w:color w:val="000000"/>
                <w:sz w:val="20"/>
                <w:szCs w:val="20"/>
              </w:rPr>
              <w:t> ITEM 16.</w:t>
            </w:r>
          </w:p>
        </w:tc>
        <w:tc>
          <w:tcPr>
            <w:tcW w:w="0" w:type="auto"/>
            <w:gridSpan w:val="3"/>
            <w:tcMar>
              <w:top w:w="30" w:type="dxa"/>
              <w:left w:w="20" w:type="dxa"/>
              <w:bottom w:w="30" w:type="dxa"/>
              <w:right w:w="20" w:type="dxa"/>
            </w:tcMar>
            <w:vAlign w:val="bottom"/>
            <w:hideMark/>
          </w:tcPr>
          <w:p w14:paraId="06B1BAAB" w14:textId="77777777" w:rsidR="00000000" w:rsidRDefault="001A570A">
            <w:pPr>
              <w:rPr>
                <w:rFonts w:eastAsia="Times New Roman"/>
              </w:rPr>
            </w:pPr>
            <w:r>
              <w:rPr>
                <w:rFonts w:eastAsia="Times New Roman"/>
                <w:b/>
                <w:bCs/>
                <w:color w:val="000000"/>
                <w:sz w:val="20"/>
                <w:szCs w:val="20"/>
              </w:rPr>
              <w:t>FORM 10-K SUMMARY.</w:t>
            </w:r>
          </w:p>
        </w:tc>
      </w:tr>
    </w:tbl>
    <w:p w14:paraId="681C1AC9" w14:textId="77777777" w:rsidR="00000000" w:rsidRDefault="001A570A">
      <w:pPr>
        <w:ind w:firstLine="450"/>
        <w:divId w:val="1610578477"/>
        <w:rPr>
          <w:rFonts w:eastAsia="Times New Roman"/>
        </w:rPr>
      </w:pPr>
      <w:r>
        <w:rPr>
          <w:rFonts w:eastAsia="Times New Roman"/>
          <w:color w:val="000000"/>
          <w:sz w:val="20"/>
          <w:szCs w:val="20"/>
        </w:rPr>
        <w:t>None.</w:t>
      </w:r>
    </w:p>
    <w:p w14:paraId="193C70DB" w14:textId="77777777" w:rsidR="00000000" w:rsidRDefault="001A570A">
      <w:pPr>
        <w:ind w:firstLine="450"/>
        <w:jc w:val="center"/>
        <w:divId w:val="1309819472"/>
        <w:rPr>
          <w:rFonts w:eastAsia="Times New Roman"/>
        </w:rPr>
      </w:pPr>
      <w:r>
        <w:rPr>
          <w:rFonts w:eastAsia="Times New Roman"/>
          <w:color w:val="000000"/>
          <w:sz w:val="20"/>
          <w:szCs w:val="20"/>
        </w:rPr>
        <w:t>141</w:t>
      </w:r>
    </w:p>
    <w:p w14:paraId="3EC2413F" w14:textId="77777777" w:rsidR="00000000" w:rsidRDefault="001A570A">
      <w:pPr>
        <w:rPr>
          <w:rFonts w:eastAsia="Times New Roman"/>
        </w:rPr>
      </w:pPr>
      <w:r>
        <w:rPr>
          <w:rFonts w:eastAsia="Times New Roman"/>
        </w:rPr>
        <w:pict w14:anchorId="55AE6B3C">
          <v:rect id="_x0000_i1169" style="width:0;height:1.5pt" o:hralign="center" o:hrstd="t" o:hr="t" fillcolor="#a0a0a0" stroked="f"/>
        </w:pict>
      </w:r>
    </w:p>
    <w:p w14:paraId="3D4DF6DD" w14:textId="77777777" w:rsidR="00000000" w:rsidRDefault="001A570A">
      <w:pPr>
        <w:ind w:firstLine="450"/>
        <w:divId w:val="1759474065"/>
        <w:rPr>
          <w:rFonts w:eastAsia="Times New Roman"/>
        </w:rPr>
      </w:pPr>
    </w:p>
    <w:p w14:paraId="7304421E" w14:textId="77777777" w:rsidR="00000000" w:rsidRDefault="001A570A">
      <w:pPr>
        <w:ind w:firstLine="450"/>
        <w:jc w:val="center"/>
        <w:divId w:val="1617639425"/>
        <w:rPr>
          <w:rFonts w:eastAsia="Times New Roman"/>
        </w:rPr>
      </w:pPr>
      <w:r>
        <w:rPr>
          <w:rFonts w:eastAsia="Times New Roman"/>
          <w:b/>
          <w:bCs/>
          <w:color w:val="000000"/>
          <w:sz w:val="20"/>
          <w:szCs w:val="20"/>
        </w:rPr>
        <w:t>SIGNATURES</w:t>
      </w:r>
    </w:p>
    <w:p w14:paraId="05695DD5" w14:textId="77777777" w:rsidR="00000000" w:rsidRDefault="001A570A">
      <w:pPr>
        <w:ind w:firstLine="450"/>
        <w:divId w:val="641346558"/>
        <w:rPr>
          <w:rFonts w:eastAsia="Times New Roman"/>
        </w:rPr>
      </w:pPr>
      <w:r>
        <w:rPr>
          <w:rFonts w:eastAsia="Times New Roman"/>
          <w:b/>
          <w:bCs/>
          <w:color w:val="000000"/>
          <w:sz w:val="20"/>
          <w:szCs w:val="20"/>
        </w:rPr>
        <w:t>Pursuant to the requirements of Section 13 or 15(d) of the Securities Exchange Act of 1934, the registrant has duly caused this report to be signed on its behalf by the undersigned, thereunto duly authorized</w:t>
      </w:r>
      <w:r>
        <w:rPr>
          <w:rFonts w:eastAsia="Times New Roman"/>
          <w:b/>
          <w:bCs/>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63"/>
        <w:gridCol w:w="3090"/>
        <w:gridCol w:w="36"/>
        <w:gridCol w:w="36"/>
        <w:gridCol w:w="167"/>
        <w:gridCol w:w="36"/>
        <w:gridCol w:w="81"/>
        <w:gridCol w:w="240"/>
        <w:gridCol w:w="37"/>
        <w:gridCol w:w="37"/>
        <w:gridCol w:w="1160"/>
        <w:gridCol w:w="37"/>
        <w:gridCol w:w="63"/>
        <w:gridCol w:w="3041"/>
        <w:gridCol w:w="37"/>
      </w:tblGrid>
      <w:tr w:rsidR="00000000" w14:paraId="42D5ED1F" w14:textId="77777777">
        <w:trPr>
          <w:divId w:val="1745758608"/>
        </w:trPr>
        <w:tc>
          <w:tcPr>
            <w:tcW w:w="50" w:type="pct"/>
            <w:vAlign w:val="center"/>
            <w:hideMark/>
          </w:tcPr>
          <w:p w14:paraId="36415B45" w14:textId="77777777" w:rsidR="00000000" w:rsidRDefault="001A570A">
            <w:pPr>
              <w:ind w:firstLine="450"/>
              <w:rPr>
                <w:rFonts w:eastAsia="Times New Roman"/>
              </w:rPr>
            </w:pPr>
          </w:p>
        </w:tc>
        <w:tc>
          <w:tcPr>
            <w:tcW w:w="1904" w:type="pct"/>
            <w:vAlign w:val="center"/>
            <w:hideMark/>
          </w:tcPr>
          <w:p w14:paraId="045723F6" w14:textId="77777777" w:rsidR="00000000" w:rsidRDefault="001A570A">
            <w:pPr>
              <w:rPr>
                <w:rFonts w:eastAsia="Times New Roman"/>
                <w:sz w:val="20"/>
                <w:szCs w:val="20"/>
              </w:rPr>
            </w:pPr>
          </w:p>
        </w:tc>
        <w:tc>
          <w:tcPr>
            <w:tcW w:w="5" w:type="pct"/>
            <w:vAlign w:val="center"/>
            <w:hideMark/>
          </w:tcPr>
          <w:p w14:paraId="1E0B4932" w14:textId="77777777" w:rsidR="00000000" w:rsidRDefault="001A570A">
            <w:pPr>
              <w:rPr>
                <w:rFonts w:eastAsia="Times New Roman"/>
                <w:sz w:val="20"/>
                <w:szCs w:val="20"/>
              </w:rPr>
            </w:pPr>
          </w:p>
        </w:tc>
        <w:tc>
          <w:tcPr>
            <w:tcW w:w="5" w:type="pct"/>
            <w:vAlign w:val="center"/>
            <w:hideMark/>
          </w:tcPr>
          <w:p w14:paraId="3203B8D0" w14:textId="77777777" w:rsidR="00000000" w:rsidRDefault="001A570A">
            <w:pPr>
              <w:rPr>
                <w:rFonts w:eastAsia="Times New Roman"/>
                <w:sz w:val="20"/>
                <w:szCs w:val="20"/>
              </w:rPr>
            </w:pPr>
          </w:p>
        </w:tc>
        <w:tc>
          <w:tcPr>
            <w:tcW w:w="114" w:type="pct"/>
            <w:vAlign w:val="center"/>
            <w:hideMark/>
          </w:tcPr>
          <w:p w14:paraId="53D5DF80" w14:textId="77777777" w:rsidR="00000000" w:rsidRDefault="001A570A">
            <w:pPr>
              <w:rPr>
                <w:rFonts w:eastAsia="Times New Roman"/>
                <w:sz w:val="20"/>
                <w:szCs w:val="20"/>
              </w:rPr>
            </w:pPr>
          </w:p>
        </w:tc>
        <w:tc>
          <w:tcPr>
            <w:tcW w:w="5" w:type="pct"/>
            <w:vAlign w:val="center"/>
            <w:hideMark/>
          </w:tcPr>
          <w:p w14:paraId="4EEC0678" w14:textId="77777777" w:rsidR="00000000" w:rsidRDefault="001A570A">
            <w:pPr>
              <w:rPr>
                <w:rFonts w:eastAsia="Times New Roman"/>
                <w:sz w:val="20"/>
                <w:szCs w:val="20"/>
              </w:rPr>
            </w:pPr>
          </w:p>
        </w:tc>
        <w:tc>
          <w:tcPr>
            <w:tcW w:w="50" w:type="pct"/>
            <w:vAlign w:val="center"/>
            <w:hideMark/>
          </w:tcPr>
          <w:p w14:paraId="4FC102AF" w14:textId="77777777" w:rsidR="00000000" w:rsidRDefault="001A570A">
            <w:pPr>
              <w:rPr>
                <w:rFonts w:eastAsia="Times New Roman"/>
                <w:sz w:val="20"/>
                <w:szCs w:val="20"/>
              </w:rPr>
            </w:pPr>
          </w:p>
        </w:tc>
        <w:tc>
          <w:tcPr>
            <w:tcW w:w="149" w:type="pct"/>
            <w:vAlign w:val="center"/>
            <w:hideMark/>
          </w:tcPr>
          <w:p w14:paraId="3A90CC4A" w14:textId="77777777" w:rsidR="00000000" w:rsidRDefault="001A570A">
            <w:pPr>
              <w:rPr>
                <w:rFonts w:eastAsia="Times New Roman"/>
                <w:sz w:val="20"/>
                <w:szCs w:val="20"/>
              </w:rPr>
            </w:pPr>
          </w:p>
        </w:tc>
        <w:tc>
          <w:tcPr>
            <w:tcW w:w="5" w:type="pct"/>
            <w:vAlign w:val="center"/>
            <w:hideMark/>
          </w:tcPr>
          <w:p w14:paraId="5FFA0F1E" w14:textId="77777777" w:rsidR="00000000" w:rsidRDefault="001A570A">
            <w:pPr>
              <w:rPr>
                <w:rFonts w:eastAsia="Times New Roman"/>
                <w:sz w:val="20"/>
                <w:szCs w:val="20"/>
              </w:rPr>
            </w:pPr>
          </w:p>
        </w:tc>
        <w:tc>
          <w:tcPr>
            <w:tcW w:w="50" w:type="pct"/>
            <w:vAlign w:val="center"/>
            <w:hideMark/>
          </w:tcPr>
          <w:p w14:paraId="1722E2BE" w14:textId="77777777" w:rsidR="00000000" w:rsidRDefault="001A570A">
            <w:pPr>
              <w:rPr>
                <w:rFonts w:eastAsia="Times New Roman"/>
                <w:sz w:val="20"/>
                <w:szCs w:val="20"/>
              </w:rPr>
            </w:pPr>
          </w:p>
        </w:tc>
        <w:tc>
          <w:tcPr>
            <w:tcW w:w="727" w:type="pct"/>
            <w:vAlign w:val="center"/>
            <w:hideMark/>
          </w:tcPr>
          <w:p w14:paraId="30615BA1" w14:textId="77777777" w:rsidR="00000000" w:rsidRDefault="001A570A">
            <w:pPr>
              <w:rPr>
                <w:rFonts w:eastAsia="Times New Roman"/>
                <w:sz w:val="20"/>
                <w:szCs w:val="20"/>
              </w:rPr>
            </w:pPr>
          </w:p>
        </w:tc>
        <w:tc>
          <w:tcPr>
            <w:tcW w:w="5" w:type="pct"/>
            <w:vAlign w:val="center"/>
            <w:hideMark/>
          </w:tcPr>
          <w:p w14:paraId="220509B4" w14:textId="77777777" w:rsidR="00000000" w:rsidRDefault="001A570A">
            <w:pPr>
              <w:rPr>
                <w:rFonts w:eastAsia="Times New Roman"/>
                <w:sz w:val="20"/>
                <w:szCs w:val="20"/>
              </w:rPr>
            </w:pPr>
          </w:p>
        </w:tc>
        <w:tc>
          <w:tcPr>
            <w:tcW w:w="50" w:type="pct"/>
            <w:vAlign w:val="center"/>
            <w:hideMark/>
          </w:tcPr>
          <w:p w14:paraId="36520C8B" w14:textId="77777777" w:rsidR="00000000" w:rsidRDefault="001A570A">
            <w:pPr>
              <w:rPr>
                <w:rFonts w:eastAsia="Times New Roman"/>
                <w:sz w:val="20"/>
                <w:szCs w:val="20"/>
              </w:rPr>
            </w:pPr>
          </w:p>
        </w:tc>
        <w:tc>
          <w:tcPr>
            <w:tcW w:w="1874" w:type="pct"/>
            <w:vAlign w:val="center"/>
            <w:hideMark/>
          </w:tcPr>
          <w:p w14:paraId="04B7F549" w14:textId="77777777" w:rsidR="00000000" w:rsidRDefault="001A570A">
            <w:pPr>
              <w:rPr>
                <w:rFonts w:eastAsia="Times New Roman"/>
                <w:sz w:val="20"/>
                <w:szCs w:val="20"/>
              </w:rPr>
            </w:pPr>
          </w:p>
        </w:tc>
        <w:tc>
          <w:tcPr>
            <w:tcW w:w="5" w:type="pct"/>
            <w:vAlign w:val="center"/>
            <w:hideMark/>
          </w:tcPr>
          <w:p w14:paraId="20499B42" w14:textId="77777777" w:rsidR="00000000" w:rsidRDefault="001A570A">
            <w:pPr>
              <w:rPr>
                <w:rFonts w:eastAsia="Times New Roman"/>
                <w:sz w:val="20"/>
                <w:szCs w:val="20"/>
              </w:rPr>
            </w:pPr>
          </w:p>
        </w:tc>
      </w:tr>
      <w:tr w:rsidR="00000000" w14:paraId="7718FF3D" w14:textId="77777777">
        <w:trPr>
          <w:divId w:val="1745758608"/>
        </w:trPr>
        <w:tc>
          <w:tcPr>
            <w:tcW w:w="0" w:type="auto"/>
            <w:gridSpan w:val="3"/>
            <w:tcMar>
              <w:top w:w="30" w:type="dxa"/>
              <w:left w:w="20" w:type="dxa"/>
              <w:bottom w:w="30" w:type="dxa"/>
              <w:right w:w="20" w:type="dxa"/>
            </w:tcMar>
            <w:vAlign w:val="bottom"/>
            <w:hideMark/>
          </w:tcPr>
          <w:p w14:paraId="23F6964E"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5F0F239" w14:textId="77777777" w:rsidR="00000000" w:rsidRDefault="001A570A">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47893DE9" w14:textId="77777777" w:rsidR="00000000" w:rsidRDefault="001A570A">
            <w:pPr>
              <w:rPr>
                <w:rFonts w:eastAsia="Times New Roman"/>
              </w:rPr>
            </w:pPr>
            <w:r>
              <w:rPr>
                <w:rFonts w:eastAsia="Times New Roman"/>
                <w:b/>
                <w:bCs/>
                <w:color w:val="000000"/>
                <w:sz w:val="20"/>
                <w:szCs w:val="20"/>
              </w:rPr>
              <w:t>L3HARRIS TECHNOLOGIES, INC.</w:t>
            </w:r>
          </w:p>
        </w:tc>
      </w:tr>
      <w:tr w:rsidR="00000000" w14:paraId="01E8E16E" w14:textId="77777777">
        <w:trPr>
          <w:divId w:val="1745758608"/>
        </w:trPr>
        <w:tc>
          <w:tcPr>
            <w:tcW w:w="0" w:type="auto"/>
            <w:gridSpan w:val="3"/>
            <w:tcMar>
              <w:top w:w="0" w:type="dxa"/>
              <w:left w:w="20" w:type="dxa"/>
              <w:bottom w:w="0" w:type="dxa"/>
              <w:right w:w="20" w:type="dxa"/>
            </w:tcMar>
            <w:vAlign w:val="center"/>
            <w:hideMark/>
          </w:tcPr>
          <w:p w14:paraId="1504C112"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726F9764" w14:textId="77777777" w:rsidR="00000000" w:rsidRDefault="001A570A">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3E0FDEF3" w14:textId="77777777" w:rsidR="00000000" w:rsidRDefault="001A570A">
            <w:pPr>
              <w:rPr>
                <w:rFonts w:eastAsia="Times New Roman"/>
              </w:rPr>
            </w:pPr>
            <w:r>
              <w:rPr>
                <w:rFonts w:eastAsia="Times New Roman"/>
                <w:color w:val="000000"/>
                <w:sz w:val="16"/>
                <w:szCs w:val="16"/>
              </w:rPr>
              <w:t>(Registrant)</w:t>
            </w:r>
          </w:p>
        </w:tc>
      </w:tr>
      <w:tr w:rsidR="00000000" w14:paraId="527D6182" w14:textId="77777777">
        <w:trPr>
          <w:divId w:val="1745758608"/>
        </w:trPr>
        <w:tc>
          <w:tcPr>
            <w:tcW w:w="0" w:type="auto"/>
            <w:gridSpan w:val="3"/>
            <w:tcMar>
              <w:top w:w="30" w:type="dxa"/>
              <w:left w:w="20" w:type="dxa"/>
              <w:bottom w:w="30" w:type="dxa"/>
              <w:right w:w="20" w:type="dxa"/>
            </w:tcMar>
            <w:vAlign w:val="bottom"/>
            <w:hideMark/>
          </w:tcPr>
          <w:p w14:paraId="5E1CE192" w14:textId="77777777" w:rsidR="00000000" w:rsidRDefault="001A570A">
            <w:pPr>
              <w:rPr>
                <w:rFonts w:eastAsia="Times New Roman"/>
              </w:rPr>
            </w:pPr>
            <w:r>
              <w:rPr>
                <w:rFonts w:eastAsia="Times New Roman"/>
                <w:color w:val="000000"/>
                <w:sz w:val="20"/>
                <w:szCs w:val="20"/>
              </w:rPr>
              <w:t>Date: March 1, 2021</w:t>
            </w:r>
          </w:p>
        </w:tc>
        <w:tc>
          <w:tcPr>
            <w:tcW w:w="0" w:type="auto"/>
            <w:gridSpan w:val="3"/>
            <w:tcMar>
              <w:top w:w="30" w:type="dxa"/>
              <w:left w:w="20" w:type="dxa"/>
              <w:bottom w:w="30" w:type="dxa"/>
              <w:right w:w="20" w:type="dxa"/>
            </w:tcMar>
            <w:vAlign w:val="bottom"/>
            <w:hideMark/>
          </w:tcPr>
          <w:p w14:paraId="1506891E"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6C6FDAB" w14:textId="77777777" w:rsidR="00000000" w:rsidRDefault="001A570A">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AFE64B0"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C696610" w14:textId="77777777" w:rsidR="00000000" w:rsidRDefault="001A570A">
            <w:pPr>
              <w:jc w:val="center"/>
              <w:rPr>
                <w:rFonts w:eastAsia="Times New Roman"/>
              </w:rPr>
            </w:pPr>
            <w:r>
              <w:rPr>
                <w:rFonts w:eastAsia="Times New Roman"/>
                <w:color w:val="000000"/>
                <w:sz w:val="20"/>
                <w:szCs w:val="20"/>
              </w:rPr>
              <w:t>/</w:t>
            </w:r>
            <w:r>
              <w:rPr>
                <w:rFonts w:eastAsia="Times New Roman"/>
                <w:color w:val="000000"/>
                <w:sz w:val="16"/>
                <w:szCs w:val="16"/>
              </w:rPr>
              <w:t>S</w:t>
            </w:r>
            <w:r>
              <w:rPr>
                <w:rFonts w:eastAsia="Times New Roman"/>
                <w:color w:val="000000"/>
                <w:sz w:val="20"/>
                <w:szCs w:val="20"/>
              </w:rPr>
              <w:t>/    W</w:t>
            </w:r>
            <w:r>
              <w:rPr>
                <w:rFonts w:eastAsia="Times New Roman"/>
                <w:color w:val="000000"/>
                <w:sz w:val="16"/>
                <w:szCs w:val="16"/>
              </w:rPr>
              <w:t>ILLIAM</w:t>
            </w:r>
            <w:r>
              <w:rPr>
                <w:rFonts w:eastAsia="Times New Roman"/>
                <w:color w:val="000000"/>
                <w:sz w:val="20"/>
                <w:szCs w:val="20"/>
              </w:rPr>
              <w:t xml:space="preserve"> M. B</w:t>
            </w:r>
            <w:r>
              <w:rPr>
                <w:rFonts w:eastAsia="Times New Roman"/>
                <w:color w:val="000000"/>
                <w:sz w:val="16"/>
                <w:szCs w:val="16"/>
              </w:rPr>
              <w:t>ROWN</w:t>
            </w:r>
          </w:p>
        </w:tc>
      </w:tr>
      <w:tr w:rsidR="00000000" w14:paraId="4BABA060" w14:textId="77777777">
        <w:trPr>
          <w:divId w:val="1745758608"/>
        </w:trPr>
        <w:tc>
          <w:tcPr>
            <w:tcW w:w="0" w:type="auto"/>
            <w:gridSpan w:val="3"/>
            <w:tcMar>
              <w:top w:w="0" w:type="dxa"/>
              <w:left w:w="20" w:type="dxa"/>
              <w:bottom w:w="0" w:type="dxa"/>
              <w:right w:w="20" w:type="dxa"/>
            </w:tcMar>
            <w:vAlign w:val="center"/>
            <w:hideMark/>
          </w:tcPr>
          <w:p w14:paraId="2F128F12"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6076D05"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5EE3D99"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6FBDD5E5"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0C39EB0" w14:textId="77777777" w:rsidR="00000000" w:rsidRDefault="001A570A">
            <w:pPr>
              <w:jc w:val="center"/>
              <w:rPr>
                <w:rFonts w:eastAsia="Times New Roman"/>
              </w:rPr>
            </w:pPr>
            <w:r>
              <w:rPr>
                <w:rFonts w:eastAsia="Times New Roman"/>
                <w:color w:val="000000"/>
                <w:sz w:val="16"/>
                <w:szCs w:val="16"/>
              </w:rPr>
              <w:t>William M. Brown</w:t>
            </w:r>
          </w:p>
        </w:tc>
      </w:tr>
      <w:tr w:rsidR="00000000" w14:paraId="707053EA" w14:textId="77777777">
        <w:trPr>
          <w:divId w:val="1745758608"/>
        </w:trPr>
        <w:tc>
          <w:tcPr>
            <w:tcW w:w="0" w:type="auto"/>
            <w:gridSpan w:val="3"/>
            <w:tcMar>
              <w:top w:w="0" w:type="dxa"/>
              <w:left w:w="20" w:type="dxa"/>
              <w:bottom w:w="0" w:type="dxa"/>
              <w:right w:w="20" w:type="dxa"/>
            </w:tcMar>
            <w:vAlign w:val="center"/>
            <w:hideMark/>
          </w:tcPr>
          <w:p w14:paraId="123465EF" w14:textId="77777777" w:rsidR="00000000" w:rsidRDefault="001A570A">
            <w:pPr>
              <w:jc w:val="center"/>
              <w:rPr>
                <w:rFonts w:eastAsia="Times New Roman"/>
              </w:rPr>
            </w:pPr>
          </w:p>
        </w:tc>
        <w:tc>
          <w:tcPr>
            <w:tcW w:w="0" w:type="auto"/>
            <w:gridSpan w:val="3"/>
            <w:tcMar>
              <w:top w:w="30" w:type="dxa"/>
              <w:left w:w="20" w:type="dxa"/>
              <w:bottom w:w="30" w:type="dxa"/>
              <w:right w:w="20" w:type="dxa"/>
            </w:tcMar>
            <w:vAlign w:val="bottom"/>
            <w:hideMark/>
          </w:tcPr>
          <w:p w14:paraId="7F373A3E"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C2541D"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2E218C1E"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8091B7C" w14:textId="77777777" w:rsidR="00000000" w:rsidRDefault="001A570A">
            <w:pPr>
              <w:jc w:val="center"/>
              <w:rPr>
                <w:rFonts w:eastAsia="Times New Roman"/>
              </w:rPr>
            </w:pPr>
            <w:r>
              <w:rPr>
                <w:rFonts w:eastAsia="Times New Roman"/>
                <w:color w:val="000000"/>
                <w:sz w:val="16"/>
                <w:szCs w:val="16"/>
              </w:rPr>
              <w:t>Chairman and Chief Executive Officer</w:t>
            </w:r>
          </w:p>
        </w:tc>
      </w:tr>
    </w:tbl>
    <w:p w14:paraId="2050191E" w14:textId="77777777" w:rsidR="00000000" w:rsidRDefault="001A570A">
      <w:pPr>
        <w:ind w:firstLine="450"/>
        <w:divId w:val="336929394"/>
        <w:rPr>
          <w:rFonts w:eastAsia="Times New Roman"/>
        </w:rPr>
      </w:pPr>
      <w:r>
        <w:rPr>
          <w:rFonts w:eastAsia="Times New Roman"/>
          <w:b/>
          <w:bCs/>
          <w:color w:val="000000"/>
          <w:sz w:val="20"/>
          <w:szCs w:val="20"/>
        </w:rPr>
        <w:t>Pursua</w:t>
      </w:r>
      <w:r>
        <w:rPr>
          <w:rFonts w:eastAsia="Times New Roman"/>
          <w:b/>
          <w:bCs/>
          <w:color w:val="000000"/>
          <w:sz w:val="20"/>
          <w:szCs w:val="20"/>
        </w:rPr>
        <w:t>nt to the requirements of the Securities Exchange Act of 1934, this report has been signed below by the following persons on behalf of the registrant and in the capacities and on the dates indicated.</w:t>
      </w:r>
    </w:p>
    <w:tbl>
      <w:tblPr>
        <w:tblW w:w="4899" w:type="pct"/>
        <w:tblCellMar>
          <w:top w:w="15" w:type="dxa"/>
          <w:left w:w="15" w:type="dxa"/>
          <w:bottom w:w="15" w:type="dxa"/>
          <w:right w:w="15" w:type="dxa"/>
        </w:tblCellMar>
        <w:tblLook w:val="04A0" w:firstRow="1" w:lastRow="0" w:firstColumn="1" w:lastColumn="0" w:noHBand="0" w:noVBand="1"/>
      </w:tblPr>
      <w:tblGrid>
        <w:gridCol w:w="82"/>
        <w:gridCol w:w="339"/>
        <w:gridCol w:w="39"/>
        <w:gridCol w:w="55"/>
        <w:gridCol w:w="874"/>
        <w:gridCol w:w="37"/>
        <w:gridCol w:w="55"/>
        <w:gridCol w:w="1986"/>
        <w:gridCol w:w="37"/>
        <w:gridCol w:w="36"/>
        <w:gridCol w:w="36"/>
        <w:gridCol w:w="36"/>
        <w:gridCol w:w="39"/>
        <w:gridCol w:w="3225"/>
        <w:gridCol w:w="37"/>
        <w:gridCol w:w="36"/>
        <w:gridCol w:w="36"/>
        <w:gridCol w:w="36"/>
        <w:gridCol w:w="40"/>
        <w:gridCol w:w="1041"/>
        <w:gridCol w:w="36"/>
      </w:tblGrid>
      <w:tr w:rsidR="00000000" w14:paraId="578DE1A8" w14:textId="77777777">
        <w:trPr>
          <w:divId w:val="1776437040"/>
        </w:trPr>
        <w:tc>
          <w:tcPr>
            <w:tcW w:w="50" w:type="pct"/>
            <w:vAlign w:val="center"/>
            <w:hideMark/>
          </w:tcPr>
          <w:p w14:paraId="3BE056F6" w14:textId="77777777" w:rsidR="00000000" w:rsidRDefault="001A570A">
            <w:pPr>
              <w:ind w:firstLine="450"/>
              <w:rPr>
                <w:rFonts w:eastAsia="Times New Roman"/>
              </w:rPr>
            </w:pPr>
          </w:p>
        </w:tc>
        <w:tc>
          <w:tcPr>
            <w:tcW w:w="208" w:type="pct"/>
            <w:vAlign w:val="center"/>
            <w:hideMark/>
          </w:tcPr>
          <w:p w14:paraId="2874E4A6" w14:textId="77777777" w:rsidR="00000000" w:rsidRDefault="001A570A">
            <w:pPr>
              <w:rPr>
                <w:rFonts w:eastAsia="Times New Roman"/>
                <w:sz w:val="20"/>
                <w:szCs w:val="20"/>
              </w:rPr>
            </w:pPr>
          </w:p>
        </w:tc>
        <w:tc>
          <w:tcPr>
            <w:tcW w:w="5" w:type="pct"/>
            <w:vAlign w:val="center"/>
            <w:hideMark/>
          </w:tcPr>
          <w:p w14:paraId="27748082" w14:textId="77777777" w:rsidR="00000000" w:rsidRDefault="001A570A">
            <w:pPr>
              <w:rPr>
                <w:rFonts w:eastAsia="Times New Roman"/>
                <w:sz w:val="20"/>
                <w:szCs w:val="20"/>
              </w:rPr>
            </w:pPr>
          </w:p>
        </w:tc>
        <w:tc>
          <w:tcPr>
            <w:tcW w:w="50" w:type="pct"/>
            <w:vAlign w:val="center"/>
            <w:hideMark/>
          </w:tcPr>
          <w:p w14:paraId="3B72CAA7" w14:textId="77777777" w:rsidR="00000000" w:rsidRDefault="001A570A">
            <w:pPr>
              <w:rPr>
                <w:rFonts w:eastAsia="Times New Roman"/>
                <w:sz w:val="20"/>
                <w:szCs w:val="20"/>
              </w:rPr>
            </w:pPr>
          </w:p>
        </w:tc>
        <w:tc>
          <w:tcPr>
            <w:tcW w:w="553" w:type="pct"/>
            <w:vAlign w:val="center"/>
            <w:hideMark/>
          </w:tcPr>
          <w:p w14:paraId="3DD530D3" w14:textId="77777777" w:rsidR="00000000" w:rsidRDefault="001A570A">
            <w:pPr>
              <w:rPr>
                <w:rFonts w:eastAsia="Times New Roman"/>
                <w:sz w:val="20"/>
                <w:szCs w:val="20"/>
              </w:rPr>
            </w:pPr>
          </w:p>
        </w:tc>
        <w:tc>
          <w:tcPr>
            <w:tcW w:w="5" w:type="pct"/>
            <w:vAlign w:val="center"/>
            <w:hideMark/>
          </w:tcPr>
          <w:p w14:paraId="36BEE56C" w14:textId="77777777" w:rsidR="00000000" w:rsidRDefault="001A570A">
            <w:pPr>
              <w:rPr>
                <w:rFonts w:eastAsia="Times New Roman"/>
                <w:sz w:val="20"/>
                <w:szCs w:val="20"/>
              </w:rPr>
            </w:pPr>
          </w:p>
        </w:tc>
        <w:tc>
          <w:tcPr>
            <w:tcW w:w="50" w:type="pct"/>
            <w:vAlign w:val="center"/>
            <w:hideMark/>
          </w:tcPr>
          <w:p w14:paraId="547420BF" w14:textId="77777777" w:rsidR="00000000" w:rsidRDefault="001A570A">
            <w:pPr>
              <w:rPr>
                <w:rFonts w:eastAsia="Times New Roman"/>
                <w:sz w:val="20"/>
                <w:szCs w:val="20"/>
              </w:rPr>
            </w:pPr>
          </w:p>
        </w:tc>
        <w:tc>
          <w:tcPr>
            <w:tcW w:w="1235" w:type="pct"/>
            <w:vAlign w:val="center"/>
            <w:hideMark/>
          </w:tcPr>
          <w:p w14:paraId="0619284A" w14:textId="77777777" w:rsidR="00000000" w:rsidRDefault="001A570A">
            <w:pPr>
              <w:rPr>
                <w:rFonts w:eastAsia="Times New Roman"/>
                <w:sz w:val="20"/>
                <w:szCs w:val="20"/>
              </w:rPr>
            </w:pPr>
          </w:p>
        </w:tc>
        <w:tc>
          <w:tcPr>
            <w:tcW w:w="5" w:type="pct"/>
            <w:vAlign w:val="center"/>
            <w:hideMark/>
          </w:tcPr>
          <w:p w14:paraId="0E2B5DC0" w14:textId="77777777" w:rsidR="00000000" w:rsidRDefault="001A570A">
            <w:pPr>
              <w:rPr>
                <w:rFonts w:eastAsia="Times New Roman"/>
                <w:sz w:val="20"/>
                <w:szCs w:val="20"/>
              </w:rPr>
            </w:pPr>
          </w:p>
        </w:tc>
        <w:tc>
          <w:tcPr>
            <w:tcW w:w="5" w:type="pct"/>
            <w:vAlign w:val="center"/>
            <w:hideMark/>
          </w:tcPr>
          <w:p w14:paraId="30B85170" w14:textId="77777777" w:rsidR="00000000" w:rsidRDefault="001A570A">
            <w:pPr>
              <w:rPr>
                <w:rFonts w:eastAsia="Times New Roman"/>
                <w:sz w:val="20"/>
                <w:szCs w:val="20"/>
              </w:rPr>
            </w:pPr>
          </w:p>
        </w:tc>
        <w:tc>
          <w:tcPr>
            <w:tcW w:w="26" w:type="pct"/>
            <w:vAlign w:val="center"/>
            <w:hideMark/>
          </w:tcPr>
          <w:p w14:paraId="2A19027E" w14:textId="77777777" w:rsidR="00000000" w:rsidRDefault="001A570A">
            <w:pPr>
              <w:rPr>
                <w:rFonts w:eastAsia="Times New Roman"/>
                <w:sz w:val="20"/>
                <w:szCs w:val="20"/>
              </w:rPr>
            </w:pPr>
          </w:p>
        </w:tc>
        <w:tc>
          <w:tcPr>
            <w:tcW w:w="5" w:type="pct"/>
            <w:vAlign w:val="center"/>
            <w:hideMark/>
          </w:tcPr>
          <w:p w14:paraId="1C815638" w14:textId="77777777" w:rsidR="00000000" w:rsidRDefault="001A570A">
            <w:pPr>
              <w:rPr>
                <w:rFonts w:eastAsia="Times New Roman"/>
                <w:sz w:val="20"/>
                <w:szCs w:val="20"/>
              </w:rPr>
            </w:pPr>
          </w:p>
        </w:tc>
        <w:tc>
          <w:tcPr>
            <w:tcW w:w="50" w:type="pct"/>
            <w:vAlign w:val="center"/>
            <w:hideMark/>
          </w:tcPr>
          <w:p w14:paraId="28D56FE5" w14:textId="77777777" w:rsidR="00000000" w:rsidRDefault="001A570A">
            <w:pPr>
              <w:rPr>
                <w:rFonts w:eastAsia="Times New Roman"/>
                <w:sz w:val="20"/>
                <w:szCs w:val="20"/>
              </w:rPr>
            </w:pPr>
          </w:p>
        </w:tc>
        <w:tc>
          <w:tcPr>
            <w:tcW w:w="1997" w:type="pct"/>
            <w:vAlign w:val="center"/>
            <w:hideMark/>
          </w:tcPr>
          <w:p w14:paraId="1F327DF5" w14:textId="77777777" w:rsidR="00000000" w:rsidRDefault="001A570A">
            <w:pPr>
              <w:rPr>
                <w:rFonts w:eastAsia="Times New Roman"/>
                <w:sz w:val="20"/>
                <w:szCs w:val="20"/>
              </w:rPr>
            </w:pPr>
          </w:p>
        </w:tc>
        <w:tc>
          <w:tcPr>
            <w:tcW w:w="5" w:type="pct"/>
            <w:vAlign w:val="center"/>
            <w:hideMark/>
          </w:tcPr>
          <w:p w14:paraId="6F16EAB4" w14:textId="77777777" w:rsidR="00000000" w:rsidRDefault="001A570A">
            <w:pPr>
              <w:rPr>
                <w:rFonts w:eastAsia="Times New Roman"/>
                <w:sz w:val="20"/>
                <w:szCs w:val="20"/>
              </w:rPr>
            </w:pPr>
          </w:p>
        </w:tc>
        <w:tc>
          <w:tcPr>
            <w:tcW w:w="5" w:type="pct"/>
            <w:vAlign w:val="center"/>
            <w:hideMark/>
          </w:tcPr>
          <w:p w14:paraId="5D36FF43" w14:textId="77777777" w:rsidR="00000000" w:rsidRDefault="001A570A">
            <w:pPr>
              <w:rPr>
                <w:rFonts w:eastAsia="Times New Roman"/>
                <w:sz w:val="20"/>
                <w:szCs w:val="20"/>
              </w:rPr>
            </w:pPr>
          </w:p>
        </w:tc>
        <w:tc>
          <w:tcPr>
            <w:tcW w:w="26" w:type="pct"/>
            <w:vAlign w:val="center"/>
            <w:hideMark/>
          </w:tcPr>
          <w:p w14:paraId="21EBA18E" w14:textId="77777777" w:rsidR="00000000" w:rsidRDefault="001A570A">
            <w:pPr>
              <w:rPr>
                <w:rFonts w:eastAsia="Times New Roman"/>
                <w:sz w:val="20"/>
                <w:szCs w:val="20"/>
              </w:rPr>
            </w:pPr>
          </w:p>
        </w:tc>
        <w:tc>
          <w:tcPr>
            <w:tcW w:w="5" w:type="pct"/>
            <w:vAlign w:val="center"/>
            <w:hideMark/>
          </w:tcPr>
          <w:p w14:paraId="67A193DC" w14:textId="77777777" w:rsidR="00000000" w:rsidRDefault="001A570A">
            <w:pPr>
              <w:rPr>
                <w:rFonts w:eastAsia="Times New Roman"/>
                <w:sz w:val="20"/>
                <w:szCs w:val="20"/>
              </w:rPr>
            </w:pPr>
          </w:p>
        </w:tc>
        <w:tc>
          <w:tcPr>
            <w:tcW w:w="50" w:type="pct"/>
            <w:vAlign w:val="center"/>
            <w:hideMark/>
          </w:tcPr>
          <w:p w14:paraId="3CB23F81" w14:textId="77777777" w:rsidR="00000000" w:rsidRDefault="001A570A">
            <w:pPr>
              <w:rPr>
                <w:rFonts w:eastAsia="Times New Roman"/>
                <w:sz w:val="20"/>
                <w:szCs w:val="20"/>
              </w:rPr>
            </w:pPr>
          </w:p>
        </w:tc>
        <w:tc>
          <w:tcPr>
            <w:tcW w:w="656" w:type="pct"/>
            <w:vAlign w:val="center"/>
            <w:hideMark/>
          </w:tcPr>
          <w:p w14:paraId="1D3B16E0" w14:textId="77777777" w:rsidR="00000000" w:rsidRDefault="001A570A">
            <w:pPr>
              <w:rPr>
                <w:rFonts w:eastAsia="Times New Roman"/>
                <w:sz w:val="20"/>
                <w:szCs w:val="20"/>
              </w:rPr>
            </w:pPr>
          </w:p>
        </w:tc>
        <w:tc>
          <w:tcPr>
            <w:tcW w:w="5" w:type="pct"/>
            <w:vAlign w:val="center"/>
            <w:hideMark/>
          </w:tcPr>
          <w:p w14:paraId="7EE94F23" w14:textId="77777777" w:rsidR="00000000" w:rsidRDefault="001A570A">
            <w:pPr>
              <w:rPr>
                <w:rFonts w:eastAsia="Times New Roman"/>
                <w:sz w:val="20"/>
                <w:szCs w:val="20"/>
              </w:rPr>
            </w:pPr>
          </w:p>
        </w:tc>
      </w:tr>
      <w:tr w:rsidR="00000000" w14:paraId="316A46CA" w14:textId="77777777">
        <w:trPr>
          <w:divId w:val="1776437040"/>
        </w:trPr>
        <w:tc>
          <w:tcPr>
            <w:tcW w:w="0" w:type="auto"/>
            <w:gridSpan w:val="9"/>
            <w:tcMar>
              <w:top w:w="30" w:type="dxa"/>
              <w:left w:w="20" w:type="dxa"/>
              <w:bottom w:w="30" w:type="dxa"/>
              <w:right w:w="20" w:type="dxa"/>
            </w:tcMar>
            <w:vAlign w:val="bottom"/>
            <w:hideMark/>
          </w:tcPr>
          <w:p w14:paraId="7916D241" w14:textId="77777777" w:rsidR="00000000" w:rsidRDefault="001A570A">
            <w:pPr>
              <w:jc w:val="center"/>
              <w:rPr>
                <w:rFonts w:eastAsia="Times New Roman"/>
              </w:rPr>
            </w:pPr>
            <w:r>
              <w:rPr>
                <w:rFonts w:eastAsia="Times New Roman"/>
                <w:b/>
                <w:bCs/>
                <w:color w:val="000000"/>
                <w:sz w:val="16"/>
                <w:szCs w:val="16"/>
                <w:u w:val="single"/>
              </w:rPr>
              <w:t>Signature</w:t>
            </w:r>
          </w:p>
        </w:tc>
        <w:tc>
          <w:tcPr>
            <w:tcW w:w="0" w:type="auto"/>
            <w:gridSpan w:val="3"/>
            <w:tcMar>
              <w:top w:w="30" w:type="dxa"/>
              <w:left w:w="20" w:type="dxa"/>
              <w:bottom w:w="30" w:type="dxa"/>
              <w:right w:w="20" w:type="dxa"/>
            </w:tcMar>
            <w:vAlign w:val="bottom"/>
            <w:hideMark/>
          </w:tcPr>
          <w:p w14:paraId="7B8CFADA"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A80651E" w14:textId="77777777" w:rsidR="00000000" w:rsidRDefault="001A570A">
            <w:pPr>
              <w:jc w:val="center"/>
              <w:rPr>
                <w:rFonts w:eastAsia="Times New Roman"/>
              </w:rPr>
            </w:pPr>
            <w:r>
              <w:rPr>
                <w:rFonts w:eastAsia="Times New Roman"/>
                <w:b/>
                <w:bCs/>
                <w:color w:val="000000"/>
                <w:sz w:val="16"/>
                <w:szCs w:val="16"/>
                <w:u w:val="single"/>
              </w:rPr>
              <w:t>Title</w:t>
            </w:r>
          </w:p>
        </w:tc>
        <w:tc>
          <w:tcPr>
            <w:tcW w:w="0" w:type="auto"/>
            <w:gridSpan w:val="3"/>
            <w:tcMar>
              <w:top w:w="30" w:type="dxa"/>
              <w:left w:w="20" w:type="dxa"/>
              <w:bottom w:w="30" w:type="dxa"/>
              <w:right w:w="20" w:type="dxa"/>
            </w:tcMar>
            <w:vAlign w:val="bottom"/>
            <w:hideMark/>
          </w:tcPr>
          <w:p w14:paraId="5AB42DB4"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D4A2B41" w14:textId="77777777" w:rsidR="00000000" w:rsidRDefault="001A570A">
            <w:pPr>
              <w:jc w:val="center"/>
              <w:rPr>
                <w:rFonts w:eastAsia="Times New Roman"/>
              </w:rPr>
            </w:pPr>
            <w:r>
              <w:rPr>
                <w:rFonts w:eastAsia="Times New Roman"/>
                <w:b/>
                <w:bCs/>
                <w:color w:val="000000"/>
                <w:sz w:val="16"/>
                <w:szCs w:val="16"/>
                <w:u w:val="single"/>
              </w:rPr>
              <w:t>Date</w:t>
            </w:r>
          </w:p>
        </w:tc>
      </w:tr>
      <w:tr w:rsidR="00000000" w14:paraId="416AD5D8" w14:textId="77777777">
        <w:trPr>
          <w:divId w:val="1776437040"/>
          <w:trHeight w:val="100"/>
        </w:trPr>
        <w:tc>
          <w:tcPr>
            <w:tcW w:w="0" w:type="auto"/>
            <w:gridSpan w:val="9"/>
            <w:tcMar>
              <w:top w:w="0" w:type="dxa"/>
              <w:left w:w="20" w:type="dxa"/>
              <w:bottom w:w="0" w:type="dxa"/>
              <w:right w:w="20" w:type="dxa"/>
            </w:tcMar>
            <w:vAlign w:val="center"/>
            <w:hideMark/>
          </w:tcPr>
          <w:p w14:paraId="552A759E" w14:textId="77777777" w:rsidR="00000000" w:rsidRDefault="001A570A">
            <w:pPr>
              <w:jc w:val="center"/>
              <w:rPr>
                <w:rFonts w:eastAsia="Times New Roman"/>
              </w:rPr>
            </w:pPr>
          </w:p>
        </w:tc>
        <w:tc>
          <w:tcPr>
            <w:tcW w:w="0" w:type="auto"/>
            <w:gridSpan w:val="6"/>
            <w:tcMar>
              <w:top w:w="0" w:type="dxa"/>
              <w:left w:w="20" w:type="dxa"/>
              <w:bottom w:w="0" w:type="dxa"/>
              <w:right w:w="20" w:type="dxa"/>
            </w:tcMar>
            <w:vAlign w:val="center"/>
            <w:hideMark/>
          </w:tcPr>
          <w:p w14:paraId="58EF1E1E"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68633811" w14:textId="77777777" w:rsidR="00000000" w:rsidRDefault="001A570A">
            <w:pPr>
              <w:rPr>
                <w:rFonts w:eastAsia="Times New Roman"/>
                <w:sz w:val="20"/>
                <w:szCs w:val="20"/>
              </w:rPr>
            </w:pPr>
          </w:p>
        </w:tc>
      </w:tr>
      <w:tr w:rsidR="00000000" w14:paraId="157D87C2"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3A9A8800" w14:textId="77777777" w:rsidR="00000000" w:rsidRDefault="001A570A">
            <w:pPr>
              <w:divId w:val="124348560"/>
              <w:rPr>
                <w:rFonts w:eastAsia="Times New Roman"/>
              </w:rPr>
            </w:pPr>
            <w:r>
              <w:rPr>
                <w:rFonts w:eastAsia="Times New Roman"/>
                <w:color w:val="000000"/>
                <w:sz w:val="20"/>
                <w:szCs w:val="20"/>
              </w:rPr>
              <w:t>/s/    W</w:t>
            </w:r>
            <w:r>
              <w:rPr>
                <w:rFonts w:eastAsia="Times New Roman"/>
                <w:color w:val="000000"/>
                <w:sz w:val="16"/>
                <w:szCs w:val="16"/>
              </w:rPr>
              <w:t>ILLIAM</w:t>
            </w:r>
            <w:r>
              <w:rPr>
                <w:rFonts w:eastAsia="Times New Roman"/>
                <w:color w:val="000000"/>
                <w:sz w:val="20"/>
                <w:szCs w:val="20"/>
              </w:rPr>
              <w:t xml:space="preserve"> M. B</w:t>
            </w:r>
            <w:r>
              <w:rPr>
                <w:rFonts w:eastAsia="Times New Roman"/>
                <w:color w:val="000000"/>
                <w:sz w:val="16"/>
                <w:szCs w:val="16"/>
              </w:rPr>
              <w:t>ROWN</w:t>
            </w:r>
          </w:p>
        </w:tc>
        <w:tc>
          <w:tcPr>
            <w:tcW w:w="0" w:type="auto"/>
            <w:gridSpan w:val="3"/>
            <w:tcMar>
              <w:top w:w="30" w:type="dxa"/>
              <w:left w:w="20" w:type="dxa"/>
              <w:bottom w:w="30" w:type="dxa"/>
              <w:right w:w="20" w:type="dxa"/>
            </w:tcMar>
            <w:vAlign w:val="bottom"/>
            <w:hideMark/>
          </w:tcPr>
          <w:p w14:paraId="55603B3F"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vAlign w:val="center"/>
            <w:hideMark/>
          </w:tcPr>
          <w:p w14:paraId="67CDB228" w14:textId="77777777" w:rsidR="00000000" w:rsidRDefault="001A570A">
            <w:pPr>
              <w:rPr>
                <w:rFonts w:eastAsia="Times New Roman"/>
              </w:rPr>
            </w:pPr>
            <w:r>
              <w:rPr>
                <w:rFonts w:eastAsia="Times New Roman"/>
                <w:color w:val="000000"/>
                <w:sz w:val="20"/>
                <w:szCs w:val="20"/>
              </w:rPr>
              <w:t>Chairman and Chief Executive Officer (Principal Executive Officer)</w:t>
            </w:r>
          </w:p>
        </w:tc>
        <w:tc>
          <w:tcPr>
            <w:tcW w:w="0" w:type="auto"/>
            <w:gridSpan w:val="3"/>
            <w:tcMar>
              <w:top w:w="30" w:type="dxa"/>
              <w:left w:w="20" w:type="dxa"/>
              <w:bottom w:w="30" w:type="dxa"/>
              <w:right w:w="20" w:type="dxa"/>
            </w:tcMar>
            <w:vAlign w:val="bottom"/>
            <w:hideMark/>
          </w:tcPr>
          <w:p w14:paraId="5938934E"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6A77EAF4" w14:textId="77777777" w:rsidR="00000000" w:rsidRDefault="001A570A">
            <w:pPr>
              <w:rPr>
                <w:rFonts w:eastAsia="Times New Roman"/>
              </w:rPr>
            </w:pPr>
            <w:r>
              <w:rPr>
                <w:rFonts w:eastAsia="Times New Roman"/>
                <w:color w:val="000000"/>
                <w:sz w:val="20"/>
                <w:szCs w:val="20"/>
              </w:rPr>
              <w:t>March 1, 2021</w:t>
            </w:r>
          </w:p>
        </w:tc>
      </w:tr>
      <w:tr w:rsidR="00000000" w14:paraId="0E9EC87C"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0BCDCD49" w14:textId="77777777" w:rsidR="00000000" w:rsidRDefault="001A570A">
            <w:pPr>
              <w:rPr>
                <w:rFonts w:eastAsia="Times New Roman"/>
              </w:rPr>
            </w:pPr>
            <w:r>
              <w:rPr>
                <w:rFonts w:eastAsia="Times New Roman"/>
                <w:color w:val="000000"/>
                <w:sz w:val="20"/>
                <w:szCs w:val="20"/>
              </w:rPr>
              <w:t>William M. Brown</w:t>
            </w:r>
          </w:p>
        </w:tc>
        <w:tc>
          <w:tcPr>
            <w:tcW w:w="0" w:type="auto"/>
            <w:gridSpan w:val="3"/>
            <w:tcMar>
              <w:top w:w="0" w:type="dxa"/>
              <w:left w:w="20" w:type="dxa"/>
              <w:bottom w:w="0" w:type="dxa"/>
              <w:right w:w="20" w:type="dxa"/>
            </w:tcMar>
            <w:vAlign w:val="center"/>
            <w:hideMark/>
          </w:tcPr>
          <w:p w14:paraId="714918A6" w14:textId="77777777" w:rsidR="00000000" w:rsidRDefault="001A570A">
            <w:pPr>
              <w:rPr>
                <w:rFonts w:eastAsia="Times New Roman"/>
              </w:rPr>
            </w:pPr>
          </w:p>
        </w:tc>
        <w:tc>
          <w:tcPr>
            <w:tcW w:w="0" w:type="auto"/>
            <w:gridSpan w:val="3"/>
            <w:vMerge/>
            <w:vAlign w:val="center"/>
            <w:hideMark/>
          </w:tcPr>
          <w:p w14:paraId="1C437BD0"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63F1966E" w14:textId="77777777" w:rsidR="00000000" w:rsidRDefault="001A570A">
            <w:pPr>
              <w:rPr>
                <w:rFonts w:eastAsia="Times New Roman"/>
                <w:sz w:val="20"/>
                <w:szCs w:val="20"/>
              </w:rPr>
            </w:pPr>
          </w:p>
        </w:tc>
        <w:tc>
          <w:tcPr>
            <w:tcW w:w="0" w:type="auto"/>
            <w:gridSpan w:val="3"/>
            <w:vMerge/>
            <w:vAlign w:val="center"/>
            <w:hideMark/>
          </w:tcPr>
          <w:p w14:paraId="4624D8D2" w14:textId="77777777" w:rsidR="00000000" w:rsidRDefault="001A570A">
            <w:pPr>
              <w:rPr>
                <w:rFonts w:eastAsia="Times New Roman"/>
              </w:rPr>
            </w:pPr>
          </w:p>
        </w:tc>
      </w:tr>
      <w:tr w:rsidR="00000000" w14:paraId="4E1AF864" w14:textId="77777777">
        <w:trPr>
          <w:divId w:val="1776437040"/>
          <w:trHeight w:val="100"/>
        </w:trPr>
        <w:tc>
          <w:tcPr>
            <w:tcW w:w="0" w:type="auto"/>
            <w:gridSpan w:val="9"/>
            <w:tcMar>
              <w:top w:w="0" w:type="dxa"/>
              <w:left w:w="20" w:type="dxa"/>
              <w:bottom w:w="0" w:type="dxa"/>
              <w:right w:w="20" w:type="dxa"/>
            </w:tcMar>
            <w:vAlign w:val="center"/>
            <w:hideMark/>
          </w:tcPr>
          <w:p w14:paraId="7C7DE880"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054D8431"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09D511DD" w14:textId="77777777" w:rsidR="00000000" w:rsidRDefault="001A570A">
            <w:pPr>
              <w:rPr>
                <w:rFonts w:eastAsia="Times New Roman"/>
                <w:sz w:val="20"/>
                <w:szCs w:val="20"/>
              </w:rPr>
            </w:pPr>
          </w:p>
        </w:tc>
      </w:tr>
      <w:tr w:rsidR="00000000" w14:paraId="1CE54BE7"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7BB7FB80" w14:textId="77777777" w:rsidR="00000000" w:rsidRDefault="001A570A">
            <w:pPr>
              <w:divId w:val="2118208498"/>
              <w:rPr>
                <w:rFonts w:eastAsia="Times New Roman"/>
              </w:rPr>
            </w:pPr>
            <w:r>
              <w:rPr>
                <w:rFonts w:eastAsia="Times New Roman"/>
                <w:color w:val="000000"/>
                <w:sz w:val="20"/>
                <w:szCs w:val="20"/>
              </w:rPr>
              <w:t>/s/    C</w:t>
            </w:r>
            <w:r>
              <w:rPr>
                <w:rFonts w:eastAsia="Times New Roman"/>
                <w:color w:val="000000"/>
                <w:sz w:val="16"/>
                <w:szCs w:val="16"/>
              </w:rPr>
              <w:t>HRISTOPHER</w:t>
            </w:r>
            <w:r>
              <w:rPr>
                <w:rFonts w:eastAsia="Times New Roman"/>
                <w:color w:val="000000"/>
                <w:sz w:val="20"/>
                <w:szCs w:val="20"/>
              </w:rPr>
              <w:t xml:space="preserve"> E. K</w:t>
            </w:r>
            <w:r>
              <w:rPr>
                <w:rFonts w:eastAsia="Times New Roman"/>
                <w:color w:val="000000"/>
                <w:sz w:val="16"/>
                <w:szCs w:val="16"/>
              </w:rPr>
              <w:t>UBASIK</w:t>
            </w:r>
          </w:p>
        </w:tc>
        <w:tc>
          <w:tcPr>
            <w:tcW w:w="0" w:type="auto"/>
            <w:gridSpan w:val="3"/>
            <w:tcMar>
              <w:top w:w="30" w:type="dxa"/>
              <w:left w:w="20" w:type="dxa"/>
              <w:bottom w:w="30" w:type="dxa"/>
              <w:right w:w="20" w:type="dxa"/>
            </w:tcMar>
            <w:vAlign w:val="bottom"/>
            <w:hideMark/>
          </w:tcPr>
          <w:p w14:paraId="5C386246"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vAlign w:val="center"/>
            <w:hideMark/>
          </w:tcPr>
          <w:p w14:paraId="7A1EEC2C" w14:textId="77777777" w:rsidR="00000000" w:rsidRDefault="001A570A">
            <w:pPr>
              <w:rPr>
                <w:rFonts w:eastAsia="Times New Roman"/>
              </w:rPr>
            </w:pPr>
            <w:r>
              <w:rPr>
                <w:rFonts w:eastAsia="Times New Roman"/>
                <w:color w:val="000000"/>
                <w:sz w:val="20"/>
                <w:szCs w:val="20"/>
              </w:rPr>
              <w:t>Vice Chairman, President and Chief Operating Officer</w:t>
            </w:r>
          </w:p>
        </w:tc>
        <w:tc>
          <w:tcPr>
            <w:tcW w:w="0" w:type="auto"/>
            <w:gridSpan w:val="3"/>
            <w:tcMar>
              <w:top w:w="30" w:type="dxa"/>
              <w:left w:w="20" w:type="dxa"/>
              <w:bottom w:w="30" w:type="dxa"/>
              <w:right w:w="20" w:type="dxa"/>
            </w:tcMar>
            <w:vAlign w:val="bottom"/>
            <w:hideMark/>
          </w:tcPr>
          <w:p w14:paraId="0F573E89"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2106CCA3" w14:textId="77777777" w:rsidR="00000000" w:rsidRDefault="001A570A">
            <w:pPr>
              <w:rPr>
                <w:rFonts w:eastAsia="Times New Roman"/>
              </w:rPr>
            </w:pPr>
            <w:r>
              <w:rPr>
                <w:rFonts w:eastAsia="Times New Roman"/>
                <w:color w:val="000000"/>
                <w:sz w:val="20"/>
                <w:szCs w:val="20"/>
              </w:rPr>
              <w:t>March 1, 2021</w:t>
            </w:r>
          </w:p>
        </w:tc>
      </w:tr>
      <w:tr w:rsidR="00000000" w14:paraId="5B386EA5"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239DA9B9" w14:textId="77777777" w:rsidR="00000000" w:rsidRDefault="001A570A">
            <w:pPr>
              <w:rPr>
                <w:rFonts w:eastAsia="Times New Roman"/>
              </w:rPr>
            </w:pPr>
            <w:r>
              <w:rPr>
                <w:rFonts w:eastAsia="Times New Roman"/>
                <w:color w:val="000000"/>
                <w:sz w:val="20"/>
                <w:szCs w:val="20"/>
              </w:rPr>
              <w:t>Christopher E. Kubasik</w:t>
            </w:r>
          </w:p>
        </w:tc>
        <w:tc>
          <w:tcPr>
            <w:tcW w:w="0" w:type="auto"/>
            <w:gridSpan w:val="3"/>
            <w:tcMar>
              <w:top w:w="0" w:type="dxa"/>
              <w:left w:w="20" w:type="dxa"/>
              <w:bottom w:w="0" w:type="dxa"/>
              <w:right w:w="20" w:type="dxa"/>
            </w:tcMar>
            <w:vAlign w:val="center"/>
            <w:hideMark/>
          </w:tcPr>
          <w:p w14:paraId="7284D8A6" w14:textId="77777777" w:rsidR="00000000" w:rsidRDefault="001A570A">
            <w:pPr>
              <w:rPr>
                <w:rFonts w:eastAsia="Times New Roman"/>
              </w:rPr>
            </w:pPr>
          </w:p>
        </w:tc>
        <w:tc>
          <w:tcPr>
            <w:tcW w:w="0" w:type="auto"/>
            <w:gridSpan w:val="3"/>
            <w:vMerge/>
            <w:vAlign w:val="center"/>
            <w:hideMark/>
          </w:tcPr>
          <w:p w14:paraId="6D784C37"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3B10DA2F" w14:textId="77777777" w:rsidR="00000000" w:rsidRDefault="001A570A">
            <w:pPr>
              <w:rPr>
                <w:rFonts w:eastAsia="Times New Roman"/>
                <w:sz w:val="20"/>
                <w:szCs w:val="20"/>
              </w:rPr>
            </w:pPr>
          </w:p>
        </w:tc>
        <w:tc>
          <w:tcPr>
            <w:tcW w:w="0" w:type="auto"/>
            <w:gridSpan w:val="3"/>
            <w:vMerge/>
            <w:vAlign w:val="center"/>
            <w:hideMark/>
          </w:tcPr>
          <w:p w14:paraId="108F0ED3" w14:textId="77777777" w:rsidR="00000000" w:rsidRDefault="001A570A">
            <w:pPr>
              <w:rPr>
                <w:rFonts w:eastAsia="Times New Roman"/>
              </w:rPr>
            </w:pPr>
          </w:p>
        </w:tc>
      </w:tr>
      <w:tr w:rsidR="00000000" w14:paraId="222250E8" w14:textId="77777777">
        <w:trPr>
          <w:divId w:val="1776437040"/>
          <w:trHeight w:val="100"/>
        </w:trPr>
        <w:tc>
          <w:tcPr>
            <w:tcW w:w="0" w:type="auto"/>
            <w:gridSpan w:val="9"/>
            <w:tcMar>
              <w:top w:w="0" w:type="dxa"/>
              <w:left w:w="20" w:type="dxa"/>
              <w:bottom w:w="0" w:type="dxa"/>
              <w:right w:w="20" w:type="dxa"/>
            </w:tcMar>
            <w:vAlign w:val="center"/>
            <w:hideMark/>
          </w:tcPr>
          <w:p w14:paraId="1EF9A06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98BA84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2DC34DE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88FC9B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F3B546A" w14:textId="77777777" w:rsidR="00000000" w:rsidRDefault="001A570A">
            <w:pPr>
              <w:rPr>
                <w:rFonts w:eastAsia="Times New Roman"/>
                <w:sz w:val="20"/>
                <w:szCs w:val="20"/>
              </w:rPr>
            </w:pPr>
          </w:p>
        </w:tc>
      </w:tr>
      <w:tr w:rsidR="00000000" w14:paraId="709A8312"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1986AB6D" w14:textId="77777777" w:rsidR="00000000" w:rsidRDefault="001A570A">
            <w:pPr>
              <w:divId w:val="370761967"/>
              <w:rPr>
                <w:rFonts w:eastAsia="Times New Roman"/>
              </w:rPr>
            </w:pPr>
            <w:r>
              <w:rPr>
                <w:rFonts w:eastAsia="Times New Roman"/>
                <w:color w:val="000000"/>
                <w:sz w:val="20"/>
                <w:szCs w:val="20"/>
              </w:rPr>
              <w:t>/s/    J</w:t>
            </w:r>
            <w:r>
              <w:rPr>
                <w:rFonts w:eastAsia="Times New Roman"/>
                <w:color w:val="000000"/>
                <w:sz w:val="16"/>
                <w:szCs w:val="16"/>
              </w:rPr>
              <w:t>ESUS</w:t>
            </w:r>
            <w:r>
              <w:rPr>
                <w:rFonts w:eastAsia="Times New Roman"/>
                <w:color w:val="000000"/>
                <w:sz w:val="20"/>
                <w:szCs w:val="20"/>
              </w:rPr>
              <w:t xml:space="preserve"> M</w:t>
            </w:r>
            <w:r>
              <w:rPr>
                <w:rFonts w:eastAsia="Times New Roman"/>
                <w:color w:val="000000"/>
                <w:sz w:val="16"/>
                <w:szCs w:val="16"/>
              </w:rPr>
              <w:t>ALAVE JR.</w:t>
            </w:r>
          </w:p>
        </w:tc>
        <w:tc>
          <w:tcPr>
            <w:tcW w:w="0" w:type="auto"/>
            <w:gridSpan w:val="3"/>
            <w:tcMar>
              <w:top w:w="30" w:type="dxa"/>
              <w:left w:w="20" w:type="dxa"/>
              <w:bottom w:w="30" w:type="dxa"/>
              <w:right w:w="20" w:type="dxa"/>
            </w:tcMar>
            <w:vAlign w:val="bottom"/>
            <w:hideMark/>
          </w:tcPr>
          <w:p w14:paraId="5E6B3196"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vAlign w:val="center"/>
            <w:hideMark/>
          </w:tcPr>
          <w:p w14:paraId="515A4226" w14:textId="77777777" w:rsidR="00000000" w:rsidRDefault="001A570A">
            <w:pPr>
              <w:rPr>
                <w:rFonts w:eastAsia="Times New Roman"/>
              </w:rPr>
            </w:pPr>
            <w:r>
              <w:rPr>
                <w:rFonts w:eastAsia="Times New Roman"/>
                <w:color w:val="000000"/>
                <w:sz w:val="20"/>
                <w:szCs w:val="20"/>
              </w:rPr>
              <w:t>Senior Vice President and Chief Financial Officer</w:t>
            </w:r>
            <w:r>
              <w:rPr>
                <w:rFonts w:eastAsia="Times New Roman"/>
                <w:color w:val="000000"/>
                <w:sz w:val="20"/>
                <w:szCs w:val="20"/>
              </w:rPr>
              <w:br/>
              <w:t>(Principal Financial Officer)</w:t>
            </w:r>
          </w:p>
        </w:tc>
        <w:tc>
          <w:tcPr>
            <w:tcW w:w="0" w:type="auto"/>
            <w:gridSpan w:val="3"/>
            <w:tcMar>
              <w:top w:w="30" w:type="dxa"/>
              <w:left w:w="20" w:type="dxa"/>
              <w:bottom w:w="30" w:type="dxa"/>
              <w:right w:w="20" w:type="dxa"/>
            </w:tcMar>
            <w:vAlign w:val="bottom"/>
            <w:hideMark/>
          </w:tcPr>
          <w:p w14:paraId="0EA892E9"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7418A5B8" w14:textId="77777777" w:rsidR="00000000" w:rsidRDefault="001A570A">
            <w:pPr>
              <w:rPr>
                <w:rFonts w:eastAsia="Times New Roman"/>
              </w:rPr>
            </w:pPr>
            <w:r>
              <w:rPr>
                <w:rFonts w:eastAsia="Times New Roman"/>
                <w:color w:val="000000"/>
                <w:sz w:val="20"/>
                <w:szCs w:val="20"/>
              </w:rPr>
              <w:t>March 1, 2021</w:t>
            </w:r>
          </w:p>
        </w:tc>
      </w:tr>
      <w:tr w:rsidR="00000000" w14:paraId="296202D6"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72A333DC" w14:textId="77777777" w:rsidR="00000000" w:rsidRDefault="001A570A">
            <w:pPr>
              <w:rPr>
                <w:rFonts w:eastAsia="Times New Roman"/>
              </w:rPr>
            </w:pPr>
            <w:r>
              <w:rPr>
                <w:rFonts w:eastAsia="Times New Roman"/>
                <w:color w:val="000000"/>
                <w:sz w:val="20"/>
                <w:szCs w:val="20"/>
              </w:rPr>
              <w:t>Jesus Malave Jr.</w:t>
            </w:r>
          </w:p>
        </w:tc>
        <w:tc>
          <w:tcPr>
            <w:tcW w:w="0" w:type="auto"/>
            <w:gridSpan w:val="3"/>
            <w:tcMar>
              <w:top w:w="0" w:type="dxa"/>
              <w:left w:w="20" w:type="dxa"/>
              <w:bottom w:w="0" w:type="dxa"/>
              <w:right w:w="20" w:type="dxa"/>
            </w:tcMar>
            <w:vAlign w:val="center"/>
            <w:hideMark/>
          </w:tcPr>
          <w:p w14:paraId="7A097588" w14:textId="77777777" w:rsidR="00000000" w:rsidRDefault="001A570A">
            <w:pPr>
              <w:rPr>
                <w:rFonts w:eastAsia="Times New Roman"/>
              </w:rPr>
            </w:pPr>
          </w:p>
        </w:tc>
        <w:tc>
          <w:tcPr>
            <w:tcW w:w="0" w:type="auto"/>
            <w:gridSpan w:val="3"/>
            <w:vMerge/>
            <w:vAlign w:val="center"/>
            <w:hideMark/>
          </w:tcPr>
          <w:p w14:paraId="57EED0ED"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FD1EAF0" w14:textId="77777777" w:rsidR="00000000" w:rsidRDefault="001A570A">
            <w:pPr>
              <w:rPr>
                <w:rFonts w:eastAsia="Times New Roman"/>
                <w:sz w:val="20"/>
                <w:szCs w:val="20"/>
              </w:rPr>
            </w:pPr>
          </w:p>
        </w:tc>
        <w:tc>
          <w:tcPr>
            <w:tcW w:w="0" w:type="auto"/>
            <w:gridSpan w:val="3"/>
            <w:vMerge/>
            <w:vAlign w:val="center"/>
            <w:hideMark/>
          </w:tcPr>
          <w:p w14:paraId="332EE709" w14:textId="77777777" w:rsidR="00000000" w:rsidRDefault="001A570A">
            <w:pPr>
              <w:rPr>
                <w:rFonts w:eastAsia="Times New Roman"/>
              </w:rPr>
            </w:pPr>
          </w:p>
        </w:tc>
      </w:tr>
      <w:tr w:rsidR="00000000" w14:paraId="6859ED3E" w14:textId="77777777">
        <w:trPr>
          <w:divId w:val="1776437040"/>
          <w:trHeight w:val="100"/>
        </w:trPr>
        <w:tc>
          <w:tcPr>
            <w:tcW w:w="0" w:type="auto"/>
            <w:gridSpan w:val="9"/>
            <w:tcMar>
              <w:top w:w="0" w:type="dxa"/>
              <w:left w:w="20" w:type="dxa"/>
              <w:bottom w:w="0" w:type="dxa"/>
              <w:right w:w="20" w:type="dxa"/>
            </w:tcMar>
            <w:vAlign w:val="center"/>
            <w:hideMark/>
          </w:tcPr>
          <w:p w14:paraId="301398EB"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7ADE4CA7"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3D2FA857" w14:textId="77777777" w:rsidR="00000000" w:rsidRDefault="001A570A">
            <w:pPr>
              <w:rPr>
                <w:rFonts w:eastAsia="Times New Roman"/>
                <w:sz w:val="20"/>
                <w:szCs w:val="20"/>
              </w:rPr>
            </w:pPr>
          </w:p>
        </w:tc>
      </w:tr>
      <w:tr w:rsidR="00000000" w14:paraId="2013AA3D"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5CEF42FB" w14:textId="77777777" w:rsidR="00000000" w:rsidRDefault="001A570A">
            <w:pPr>
              <w:divId w:val="1190221868"/>
              <w:rPr>
                <w:rFonts w:eastAsia="Times New Roman"/>
              </w:rPr>
            </w:pPr>
            <w:r>
              <w:rPr>
                <w:rFonts w:eastAsia="Times New Roman"/>
                <w:color w:val="000000"/>
                <w:sz w:val="20"/>
                <w:szCs w:val="20"/>
              </w:rPr>
              <w:t>/s/    T</w:t>
            </w:r>
            <w:r>
              <w:rPr>
                <w:rFonts w:eastAsia="Times New Roman"/>
                <w:color w:val="000000"/>
                <w:sz w:val="16"/>
                <w:szCs w:val="16"/>
              </w:rPr>
              <w:t>ODD</w:t>
            </w:r>
            <w:r>
              <w:rPr>
                <w:rFonts w:eastAsia="Times New Roman"/>
                <w:color w:val="000000"/>
                <w:sz w:val="20"/>
                <w:szCs w:val="20"/>
              </w:rPr>
              <w:t xml:space="preserve"> A. T</w:t>
            </w:r>
            <w:r>
              <w:rPr>
                <w:rFonts w:eastAsia="Times New Roman"/>
                <w:color w:val="000000"/>
                <w:sz w:val="16"/>
                <w:szCs w:val="16"/>
              </w:rPr>
              <w:t>AYLOR</w:t>
            </w:r>
          </w:p>
        </w:tc>
        <w:tc>
          <w:tcPr>
            <w:tcW w:w="0" w:type="auto"/>
            <w:gridSpan w:val="3"/>
            <w:tcMar>
              <w:top w:w="30" w:type="dxa"/>
              <w:left w:w="20" w:type="dxa"/>
              <w:bottom w:w="30" w:type="dxa"/>
              <w:right w:w="20" w:type="dxa"/>
            </w:tcMar>
            <w:vAlign w:val="bottom"/>
            <w:hideMark/>
          </w:tcPr>
          <w:p w14:paraId="61E980C1"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vAlign w:val="center"/>
            <w:hideMark/>
          </w:tcPr>
          <w:p w14:paraId="55FD69B1" w14:textId="77777777" w:rsidR="00000000" w:rsidRDefault="001A570A">
            <w:pPr>
              <w:rPr>
                <w:rFonts w:eastAsia="Times New Roman"/>
              </w:rPr>
            </w:pPr>
            <w:r>
              <w:rPr>
                <w:rFonts w:eastAsia="Times New Roman"/>
                <w:color w:val="000000"/>
                <w:sz w:val="20"/>
                <w:szCs w:val="20"/>
              </w:rPr>
              <w:t>Vice President, Principal Accounting Officer (Principal Accounting Officer)</w:t>
            </w:r>
          </w:p>
        </w:tc>
        <w:tc>
          <w:tcPr>
            <w:tcW w:w="0" w:type="auto"/>
            <w:gridSpan w:val="3"/>
            <w:tcMar>
              <w:top w:w="30" w:type="dxa"/>
              <w:left w:w="20" w:type="dxa"/>
              <w:bottom w:w="30" w:type="dxa"/>
              <w:right w:w="20" w:type="dxa"/>
            </w:tcMar>
            <w:vAlign w:val="bottom"/>
            <w:hideMark/>
          </w:tcPr>
          <w:p w14:paraId="75CC959F"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4494EB4C" w14:textId="77777777" w:rsidR="00000000" w:rsidRDefault="001A570A">
            <w:pPr>
              <w:rPr>
                <w:rFonts w:eastAsia="Times New Roman"/>
              </w:rPr>
            </w:pPr>
            <w:r>
              <w:rPr>
                <w:rFonts w:eastAsia="Times New Roman"/>
                <w:color w:val="000000"/>
                <w:sz w:val="20"/>
                <w:szCs w:val="20"/>
              </w:rPr>
              <w:t>March 1, 2021</w:t>
            </w:r>
          </w:p>
        </w:tc>
      </w:tr>
      <w:tr w:rsidR="00000000" w14:paraId="1F86BBC5"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2D76A1A8" w14:textId="77777777" w:rsidR="00000000" w:rsidRDefault="001A570A">
            <w:pPr>
              <w:rPr>
                <w:rFonts w:eastAsia="Times New Roman"/>
              </w:rPr>
            </w:pPr>
            <w:r>
              <w:rPr>
                <w:rFonts w:eastAsia="Times New Roman"/>
                <w:color w:val="000000"/>
                <w:sz w:val="20"/>
                <w:szCs w:val="20"/>
              </w:rPr>
              <w:t>Todd A. Taylor</w:t>
            </w:r>
          </w:p>
        </w:tc>
        <w:tc>
          <w:tcPr>
            <w:tcW w:w="0" w:type="auto"/>
            <w:gridSpan w:val="3"/>
            <w:tcMar>
              <w:top w:w="0" w:type="dxa"/>
              <w:left w:w="20" w:type="dxa"/>
              <w:bottom w:w="0" w:type="dxa"/>
              <w:right w:w="20" w:type="dxa"/>
            </w:tcMar>
            <w:vAlign w:val="center"/>
            <w:hideMark/>
          </w:tcPr>
          <w:p w14:paraId="3B24660D" w14:textId="77777777" w:rsidR="00000000" w:rsidRDefault="001A570A">
            <w:pPr>
              <w:rPr>
                <w:rFonts w:eastAsia="Times New Roman"/>
              </w:rPr>
            </w:pPr>
          </w:p>
        </w:tc>
        <w:tc>
          <w:tcPr>
            <w:tcW w:w="0" w:type="auto"/>
            <w:gridSpan w:val="3"/>
            <w:vMerge/>
            <w:vAlign w:val="center"/>
            <w:hideMark/>
          </w:tcPr>
          <w:p w14:paraId="7E6BC727"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7C4197C" w14:textId="77777777" w:rsidR="00000000" w:rsidRDefault="001A570A">
            <w:pPr>
              <w:rPr>
                <w:rFonts w:eastAsia="Times New Roman"/>
                <w:sz w:val="20"/>
                <w:szCs w:val="20"/>
              </w:rPr>
            </w:pPr>
          </w:p>
        </w:tc>
        <w:tc>
          <w:tcPr>
            <w:tcW w:w="0" w:type="auto"/>
            <w:gridSpan w:val="3"/>
            <w:vMerge/>
            <w:vAlign w:val="center"/>
            <w:hideMark/>
          </w:tcPr>
          <w:p w14:paraId="09125655" w14:textId="77777777" w:rsidR="00000000" w:rsidRDefault="001A570A">
            <w:pPr>
              <w:rPr>
                <w:rFonts w:eastAsia="Times New Roman"/>
              </w:rPr>
            </w:pPr>
          </w:p>
        </w:tc>
      </w:tr>
      <w:tr w:rsidR="00000000" w14:paraId="44B6A48B" w14:textId="77777777">
        <w:trPr>
          <w:divId w:val="1776437040"/>
          <w:trHeight w:val="100"/>
        </w:trPr>
        <w:tc>
          <w:tcPr>
            <w:tcW w:w="0" w:type="auto"/>
            <w:gridSpan w:val="9"/>
            <w:tcMar>
              <w:top w:w="0" w:type="dxa"/>
              <w:left w:w="20" w:type="dxa"/>
              <w:bottom w:w="0" w:type="dxa"/>
              <w:right w:w="20" w:type="dxa"/>
            </w:tcMar>
            <w:vAlign w:val="center"/>
            <w:hideMark/>
          </w:tcPr>
          <w:p w14:paraId="0EDE339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D6DABC0"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362CFAB"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0C5DB1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173DB73" w14:textId="77777777" w:rsidR="00000000" w:rsidRDefault="001A570A">
            <w:pPr>
              <w:rPr>
                <w:rFonts w:eastAsia="Times New Roman"/>
                <w:sz w:val="20"/>
                <w:szCs w:val="20"/>
              </w:rPr>
            </w:pPr>
          </w:p>
        </w:tc>
      </w:tr>
      <w:tr w:rsidR="00000000" w14:paraId="3A707B43"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2DD33333" w14:textId="77777777" w:rsidR="00000000" w:rsidRDefault="001A570A">
            <w:pPr>
              <w:divId w:val="1085415421"/>
              <w:rPr>
                <w:rFonts w:eastAsia="Times New Roman"/>
              </w:rPr>
            </w:pPr>
            <w:r>
              <w:rPr>
                <w:rFonts w:eastAsia="Times New Roman"/>
                <w:color w:val="000000"/>
                <w:sz w:val="20"/>
                <w:szCs w:val="20"/>
              </w:rPr>
              <w:t>/s/    S</w:t>
            </w:r>
            <w:r>
              <w:rPr>
                <w:rFonts w:eastAsia="Times New Roman"/>
                <w:color w:val="000000"/>
                <w:sz w:val="16"/>
                <w:szCs w:val="16"/>
              </w:rPr>
              <w:t>ALLIE</w:t>
            </w:r>
            <w:r>
              <w:rPr>
                <w:rFonts w:eastAsia="Times New Roman"/>
                <w:color w:val="000000"/>
                <w:sz w:val="20"/>
                <w:szCs w:val="20"/>
              </w:rPr>
              <w:t xml:space="preserve"> B. B</w:t>
            </w:r>
            <w:r>
              <w:rPr>
                <w:rFonts w:eastAsia="Times New Roman"/>
                <w:color w:val="000000"/>
                <w:sz w:val="16"/>
                <w:szCs w:val="16"/>
              </w:rPr>
              <w:t>AILEY*</w:t>
            </w:r>
          </w:p>
        </w:tc>
        <w:tc>
          <w:tcPr>
            <w:tcW w:w="0" w:type="auto"/>
            <w:gridSpan w:val="3"/>
            <w:tcMar>
              <w:top w:w="0" w:type="dxa"/>
              <w:left w:w="20" w:type="dxa"/>
              <w:bottom w:w="0" w:type="dxa"/>
              <w:right w:w="20" w:type="dxa"/>
            </w:tcMar>
            <w:vAlign w:val="center"/>
            <w:hideMark/>
          </w:tcPr>
          <w:p w14:paraId="1A60090A" w14:textId="77777777" w:rsidR="00000000" w:rsidRDefault="001A570A">
            <w:pPr>
              <w:rPr>
                <w:rFonts w:eastAsia="Times New Roman"/>
              </w:rPr>
            </w:pPr>
          </w:p>
        </w:tc>
        <w:tc>
          <w:tcPr>
            <w:tcW w:w="0" w:type="auto"/>
            <w:gridSpan w:val="3"/>
            <w:vMerge w:val="restart"/>
            <w:tcMar>
              <w:top w:w="30" w:type="dxa"/>
              <w:left w:w="20" w:type="dxa"/>
              <w:bottom w:w="30" w:type="dxa"/>
              <w:right w:w="20" w:type="dxa"/>
            </w:tcMar>
            <w:hideMark/>
          </w:tcPr>
          <w:p w14:paraId="7147927B" w14:textId="77777777" w:rsidR="00000000" w:rsidRDefault="001A570A">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61CB6E52" w14:textId="77777777" w:rsidR="00000000" w:rsidRDefault="001A570A">
            <w:pPr>
              <w:rPr>
                <w:rFonts w:eastAsia="Times New Roman"/>
              </w:rPr>
            </w:pPr>
          </w:p>
        </w:tc>
        <w:tc>
          <w:tcPr>
            <w:tcW w:w="0" w:type="auto"/>
            <w:gridSpan w:val="3"/>
            <w:vMerge w:val="restart"/>
            <w:tcMar>
              <w:top w:w="30" w:type="dxa"/>
              <w:left w:w="20" w:type="dxa"/>
              <w:bottom w:w="30" w:type="dxa"/>
              <w:right w:w="20" w:type="dxa"/>
            </w:tcMar>
            <w:hideMark/>
          </w:tcPr>
          <w:p w14:paraId="54542085" w14:textId="77777777" w:rsidR="00000000" w:rsidRDefault="001A570A">
            <w:pPr>
              <w:rPr>
                <w:rFonts w:eastAsia="Times New Roman"/>
              </w:rPr>
            </w:pPr>
            <w:r>
              <w:rPr>
                <w:rFonts w:eastAsia="Times New Roman"/>
                <w:color w:val="000000"/>
                <w:sz w:val="20"/>
                <w:szCs w:val="20"/>
              </w:rPr>
              <w:t>March 1, 2021</w:t>
            </w:r>
          </w:p>
        </w:tc>
      </w:tr>
      <w:tr w:rsidR="00000000" w14:paraId="4BE11B8A"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0835973B" w14:textId="77777777" w:rsidR="00000000" w:rsidRDefault="001A570A">
            <w:pPr>
              <w:rPr>
                <w:rFonts w:eastAsia="Times New Roman"/>
              </w:rPr>
            </w:pPr>
            <w:r>
              <w:rPr>
                <w:rFonts w:eastAsia="Times New Roman"/>
                <w:color w:val="000000"/>
                <w:sz w:val="20"/>
                <w:szCs w:val="20"/>
              </w:rPr>
              <w:t>Sallie B. Bailey</w:t>
            </w:r>
          </w:p>
        </w:tc>
        <w:tc>
          <w:tcPr>
            <w:tcW w:w="0" w:type="auto"/>
            <w:gridSpan w:val="3"/>
            <w:tcMar>
              <w:top w:w="0" w:type="dxa"/>
              <w:left w:w="20" w:type="dxa"/>
              <w:bottom w:w="0" w:type="dxa"/>
              <w:right w:w="20" w:type="dxa"/>
            </w:tcMar>
            <w:vAlign w:val="center"/>
            <w:hideMark/>
          </w:tcPr>
          <w:p w14:paraId="0AF75667" w14:textId="77777777" w:rsidR="00000000" w:rsidRDefault="001A570A">
            <w:pPr>
              <w:rPr>
                <w:rFonts w:eastAsia="Times New Roman"/>
              </w:rPr>
            </w:pPr>
          </w:p>
        </w:tc>
        <w:tc>
          <w:tcPr>
            <w:tcW w:w="0" w:type="auto"/>
            <w:gridSpan w:val="3"/>
            <w:vMerge/>
            <w:vAlign w:val="center"/>
            <w:hideMark/>
          </w:tcPr>
          <w:p w14:paraId="4DBA6816"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337F674" w14:textId="77777777" w:rsidR="00000000" w:rsidRDefault="001A570A">
            <w:pPr>
              <w:rPr>
                <w:rFonts w:eastAsia="Times New Roman"/>
                <w:sz w:val="20"/>
                <w:szCs w:val="20"/>
              </w:rPr>
            </w:pPr>
          </w:p>
        </w:tc>
        <w:tc>
          <w:tcPr>
            <w:tcW w:w="0" w:type="auto"/>
            <w:gridSpan w:val="3"/>
            <w:vMerge/>
            <w:vAlign w:val="center"/>
            <w:hideMark/>
          </w:tcPr>
          <w:p w14:paraId="14F6672E" w14:textId="77777777" w:rsidR="00000000" w:rsidRDefault="001A570A">
            <w:pPr>
              <w:rPr>
                <w:rFonts w:eastAsia="Times New Roman"/>
              </w:rPr>
            </w:pPr>
          </w:p>
        </w:tc>
      </w:tr>
      <w:tr w:rsidR="00000000" w14:paraId="6350665A" w14:textId="77777777">
        <w:trPr>
          <w:divId w:val="1776437040"/>
          <w:trHeight w:val="100"/>
        </w:trPr>
        <w:tc>
          <w:tcPr>
            <w:tcW w:w="0" w:type="auto"/>
            <w:gridSpan w:val="9"/>
            <w:tcMar>
              <w:top w:w="0" w:type="dxa"/>
              <w:left w:w="20" w:type="dxa"/>
              <w:bottom w:w="0" w:type="dxa"/>
              <w:right w:w="20" w:type="dxa"/>
            </w:tcMar>
            <w:vAlign w:val="center"/>
            <w:hideMark/>
          </w:tcPr>
          <w:p w14:paraId="15EA671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5C816453"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6AF299D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805D20E"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12585F65" w14:textId="77777777" w:rsidR="00000000" w:rsidRDefault="001A570A">
            <w:pPr>
              <w:rPr>
                <w:rFonts w:eastAsia="Times New Roman"/>
                <w:sz w:val="20"/>
                <w:szCs w:val="20"/>
              </w:rPr>
            </w:pPr>
          </w:p>
        </w:tc>
      </w:tr>
      <w:tr w:rsidR="00000000" w14:paraId="5CB9C8A1"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1E738189" w14:textId="77777777" w:rsidR="00000000" w:rsidRDefault="001A570A">
            <w:pPr>
              <w:divId w:val="1127969864"/>
              <w:rPr>
                <w:rFonts w:eastAsia="Times New Roman"/>
              </w:rPr>
            </w:pPr>
            <w:r>
              <w:rPr>
                <w:rFonts w:eastAsia="Times New Roman"/>
                <w:color w:val="000000"/>
                <w:sz w:val="20"/>
                <w:szCs w:val="20"/>
              </w:rPr>
              <w:t>/s/    P</w:t>
            </w:r>
            <w:r>
              <w:rPr>
                <w:rFonts w:eastAsia="Times New Roman"/>
                <w:color w:val="000000"/>
                <w:sz w:val="16"/>
                <w:szCs w:val="16"/>
              </w:rPr>
              <w:t>ETER</w:t>
            </w:r>
            <w:r>
              <w:rPr>
                <w:rFonts w:eastAsia="Times New Roman"/>
                <w:color w:val="000000"/>
                <w:sz w:val="20"/>
                <w:szCs w:val="20"/>
              </w:rPr>
              <w:t xml:space="preserve"> W. C</w:t>
            </w:r>
            <w:r>
              <w:rPr>
                <w:rFonts w:eastAsia="Times New Roman"/>
                <w:color w:val="000000"/>
                <w:sz w:val="16"/>
                <w:szCs w:val="16"/>
              </w:rPr>
              <w:t>HIARELLI</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503D1B64"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5350B520"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5A4178BF"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1CC21559" w14:textId="77777777" w:rsidR="00000000" w:rsidRDefault="001A570A">
            <w:pPr>
              <w:rPr>
                <w:rFonts w:eastAsia="Times New Roman"/>
              </w:rPr>
            </w:pPr>
            <w:r>
              <w:rPr>
                <w:rFonts w:eastAsia="Times New Roman"/>
                <w:color w:val="000000"/>
                <w:sz w:val="20"/>
                <w:szCs w:val="20"/>
              </w:rPr>
              <w:t>March 1, 2021</w:t>
            </w:r>
          </w:p>
        </w:tc>
      </w:tr>
      <w:tr w:rsidR="00000000" w14:paraId="208AA3F0"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5E52A566" w14:textId="77777777" w:rsidR="00000000" w:rsidRDefault="001A570A">
            <w:pPr>
              <w:rPr>
                <w:rFonts w:eastAsia="Times New Roman"/>
              </w:rPr>
            </w:pPr>
            <w:r>
              <w:rPr>
                <w:rFonts w:eastAsia="Times New Roman"/>
                <w:color w:val="000000"/>
                <w:sz w:val="20"/>
                <w:szCs w:val="20"/>
              </w:rPr>
              <w:t>Peter W. Chiarelli</w:t>
            </w:r>
          </w:p>
        </w:tc>
        <w:tc>
          <w:tcPr>
            <w:tcW w:w="0" w:type="auto"/>
            <w:gridSpan w:val="3"/>
            <w:tcMar>
              <w:top w:w="0" w:type="dxa"/>
              <w:left w:w="20" w:type="dxa"/>
              <w:bottom w:w="0" w:type="dxa"/>
              <w:right w:w="20" w:type="dxa"/>
            </w:tcMar>
            <w:vAlign w:val="center"/>
            <w:hideMark/>
          </w:tcPr>
          <w:p w14:paraId="23A01CE3" w14:textId="77777777" w:rsidR="00000000" w:rsidRDefault="001A570A">
            <w:pPr>
              <w:rPr>
                <w:rFonts w:eastAsia="Times New Roman"/>
              </w:rPr>
            </w:pPr>
          </w:p>
        </w:tc>
        <w:tc>
          <w:tcPr>
            <w:tcW w:w="0" w:type="auto"/>
            <w:gridSpan w:val="3"/>
            <w:vMerge/>
            <w:vAlign w:val="center"/>
            <w:hideMark/>
          </w:tcPr>
          <w:p w14:paraId="5080FA58"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7F10DF8D" w14:textId="77777777" w:rsidR="00000000" w:rsidRDefault="001A570A">
            <w:pPr>
              <w:rPr>
                <w:rFonts w:eastAsia="Times New Roman"/>
                <w:sz w:val="20"/>
                <w:szCs w:val="20"/>
              </w:rPr>
            </w:pPr>
          </w:p>
        </w:tc>
        <w:tc>
          <w:tcPr>
            <w:tcW w:w="0" w:type="auto"/>
            <w:gridSpan w:val="3"/>
            <w:vMerge/>
            <w:vAlign w:val="center"/>
            <w:hideMark/>
          </w:tcPr>
          <w:p w14:paraId="455D1F68" w14:textId="77777777" w:rsidR="00000000" w:rsidRDefault="001A570A">
            <w:pPr>
              <w:rPr>
                <w:rFonts w:eastAsia="Times New Roman"/>
              </w:rPr>
            </w:pPr>
          </w:p>
        </w:tc>
      </w:tr>
      <w:tr w:rsidR="00000000" w14:paraId="0DAE47C1" w14:textId="77777777">
        <w:trPr>
          <w:divId w:val="1776437040"/>
          <w:trHeight w:val="60"/>
        </w:trPr>
        <w:tc>
          <w:tcPr>
            <w:tcW w:w="0" w:type="auto"/>
            <w:gridSpan w:val="9"/>
            <w:tcMar>
              <w:top w:w="0" w:type="dxa"/>
              <w:left w:w="20" w:type="dxa"/>
              <w:bottom w:w="0" w:type="dxa"/>
              <w:right w:w="20" w:type="dxa"/>
            </w:tcMar>
            <w:vAlign w:val="center"/>
            <w:hideMark/>
          </w:tcPr>
          <w:p w14:paraId="01BFE8C9"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A521C25"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B0E88F6"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77A94E2F" w14:textId="77777777" w:rsidR="00000000" w:rsidRDefault="001A570A">
            <w:pPr>
              <w:rPr>
                <w:rFonts w:eastAsia="Times New Roman"/>
                <w:sz w:val="20"/>
                <w:szCs w:val="20"/>
              </w:rPr>
            </w:pPr>
          </w:p>
        </w:tc>
        <w:tc>
          <w:tcPr>
            <w:tcW w:w="0" w:type="auto"/>
            <w:gridSpan w:val="3"/>
            <w:tcMar>
              <w:top w:w="0" w:type="dxa"/>
              <w:left w:w="20" w:type="dxa"/>
              <w:bottom w:w="0" w:type="dxa"/>
              <w:right w:w="20" w:type="dxa"/>
            </w:tcMar>
            <w:vAlign w:val="center"/>
            <w:hideMark/>
          </w:tcPr>
          <w:p w14:paraId="352954FD" w14:textId="77777777" w:rsidR="00000000" w:rsidRDefault="001A570A">
            <w:pPr>
              <w:rPr>
                <w:rFonts w:eastAsia="Times New Roman"/>
                <w:sz w:val="20"/>
                <w:szCs w:val="20"/>
              </w:rPr>
            </w:pPr>
          </w:p>
        </w:tc>
      </w:tr>
      <w:tr w:rsidR="00000000" w14:paraId="66305A32"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7203626B" w14:textId="77777777" w:rsidR="00000000" w:rsidRDefault="001A570A">
            <w:pPr>
              <w:divId w:val="551966154"/>
              <w:rPr>
                <w:rFonts w:eastAsia="Times New Roman"/>
              </w:rPr>
            </w:pPr>
            <w:r>
              <w:rPr>
                <w:rFonts w:eastAsia="Times New Roman"/>
                <w:color w:val="000000"/>
                <w:sz w:val="20"/>
                <w:szCs w:val="20"/>
              </w:rPr>
              <w:t>/s/    T</w:t>
            </w:r>
            <w:r>
              <w:rPr>
                <w:rFonts w:eastAsia="Times New Roman"/>
                <w:color w:val="000000"/>
                <w:sz w:val="16"/>
                <w:szCs w:val="16"/>
              </w:rPr>
              <w:t xml:space="preserve">HOMAS </w:t>
            </w:r>
            <w:r>
              <w:rPr>
                <w:rFonts w:eastAsia="Times New Roman"/>
                <w:color w:val="000000"/>
                <w:sz w:val="20"/>
                <w:szCs w:val="20"/>
              </w:rPr>
              <w:t>A.</w:t>
            </w:r>
            <w:r>
              <w:rPr>
                <w:rFonts w:eastAsia="Times New Roman"/>
                <w:color w:val="000000"/>
                <w:sz w:val="16"/>
                <w:szCs w:val="16"/>
              </w:rPr>
              <w:t xml:space="preserve"> </w:t>
            </w:r>
            <w:r>
              <w:rPr>
                <w:rFonts w:eastAsia="Times New Roman"/>
                <w:color w:val="000000"/>
                <w:sz w:val="20"/>
                <w:szCs w:val="20"/>
              </w:rPr>
              <w:t>C</w:t>
            </w:r>
            <w:r>
              <w:rPr>
                <w:rFonts w:eastAsia="Times New Roman"/>
                <w:color w:val="000000"/>
                <w:sz w:val="16"/>
                <w:szCs w:val="16"/>
              </w:rPr>
              <w:t>ORCORAN</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06E3A2A1"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65E2A26C"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427E0252"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772BCBA4" w14:textId="77777777" w:rsidR="00000000" w:rsidRDefault="001A570A">
            <w:pPr>
              <w:rPr>
                <w:rFonts w:eastAsia="Times New Roman"/>
              </w:rPr>
            </w:pPr>
            <w:r>
              <w:rPr>
                <w:rFonts w:eastAsia="Times New Roman"/>
                <w:color w:val="000000"/>
                <w:sz w:val="20"/>
                <w:szCs w:val="20"/>
              </w:rPr>
              <w:t>March 1, 2021</w:t>
            </w:r>
          </w:p>
        </w:tc>
      </w:tr>
      <w:tr w:rsidR="00000000" w14:paraId="758872E1"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680127AC" w14:textId="77777777" w:rsidR="00000000" w:rsidRDefault="001A570A">
            <w:pPr>
              <w:rPr>
                <w:rFonts w:eastAsia="Times New Roman"/>
              </w:rPr>
            </w:pPr>
            <w:r>
              <w:rPr>
                <w:rFonts w:eastAsia="Times New Roman"/>
                <w:color w:val="000000"/>
                <w:sz w:val="20"/>
                <w:szCs w:val="20"/>
              </w:rPr>
              <w:t>Thomas A. Corcoran</w:t>
            </w:r>
          </w:p>
        </w:tc>
        <w:tc>
          <w:tcPr>
            <w:tcW w:w="0" w:type="auto"/>
            <w:gridSpan w:val="3"/>
            <w:tcMar>
              <w:top w:w="0" w:type="dxa"/>
              <w:left w:w="20" w:type="dxa"/>
              <w:bottom w:w="0" w:type="dxa"/>
              <w:right w:w="20" w:type="dxa"/>
            </w:tcMar>
            <w:vAlign w:val="center"/>
            <w:hideMark/>
          </w:tcPr>
          <w:p w14:paraId="0F5BE6D3" w14:textId="77777777" w:rsidR="00000000" w:rsidRDefault="001A570A">
            <w:pPr>
              <w:rPr>
                <w:rFonts w:eastAsia="Times New Roman"/>
              </w:rPr>
            </w:pPr>
          </w:p>
        </w:tc>
        <w:tc>
          <w:tcPr>
            <w:tcW w:w="0" w:type="auto"/>
            <w:gridSpan w:val="3"/>
            <w:vMerge/>
            <w:vAlign w:val="center"/>
            <w:hideMark/>
          </w:tcPr>
          <w:p w14:paraId="53B2F15C"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12E245EB" w14:textId="77777777" w:rsidR="00000000" w:rsidRDefault="001A570A">
            <w:pPr>
              <w:rPr>
                <w:rFonts w:eastAsia="Times New Roman"/>
                <w:sz w:val="20"/>
                <w:szCs w:val="20"/>
              </w:rPr>
            </w:pPr>
          </w:p>
        </w:tc>
        <w:tc>
          <w:tcPr>
            <w:tcW w:w="0" w:type="auto"/>
            <w:gridSpan w:val="3"/>
            <w:vMerge/>
            <w:vAlign w:val="center"/>
            <w:hideMark/>
          </w:tcPr>
          <w:p w14:paraId="0DA106A4" w14:textId="77777777" w:rsidR="00000000" w:rsidRDefault="001A570A">
            <w:pPr>
              <w:rPr>
                <w:rFonts w:eastAsia="Times New Roman"/>
              </w:rPr>
            </w:pPr>
          </w:p>
        </w:tc>
      </w:tr>
      <w:tr w:rsidR="00000000" w14:paraId="22A28552" w14:textId="77777777">
        <w:trPr>
          <w:divId w:val="1776437040"/>
          <w:trHeight w:val="100"/>
        </w:trPr>
        <w:tc>
          <w:tcPr>
            <w:tcW w:w="0" w:type="auto"/>
            <w:gridSpan w:val="9"/>
            <w:tcMar>
              <w:top w:w="0" w:type="dxa"/>
              <w:left w:w="20" w:type="dxa"/>
              <w:bottom w:w="0" w:type="dxa"/>
              <w:right w:w="20" w:type="dxa"/>
            </w:tcMar>
            <w:vAlign w:val="center"/>
            <w:hideMark/>
          </w:tcPr>
          <w:p w14:paraId="0EAC0F83"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79DBCC1C"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00323EDE" w14:textId="77777777" w:rsidR="00000000" w:rsidRDefault="001A570A">
            <w:pPr>
              <w:rPr>
                <w:rFonts w:eastAsia="Times New Roman"/>
                <w:sz w:val="20"/>
                <w:szCs w:val="20"/>
              </w:rPr>
            </w:pPr>
          </w:p>
        </w:tc>
      </w:tr>
      <w:tr w:rsidR="00000000" w14:paraId="3B34EF0C"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4FE156E2" w14:textId="77777777" w:rsidR="00000000" w:rsidRDefault="001A570A">
            <w:pPr>
              <w:divId w:val="1334989576"/>
              <w:rPr>
                <w:rFonts w:eastAsia="Times New Roman"/>
              </w:rPr>
            </w:pPr>
            <w:r>
              <w:rPr>
                <w:rFonts w:eastAsia="Times New Roman"/>
                <w:color w:val="000000"/>
                <w:sz w:val="20"/>
                <w:szCs w:val="20"/>
              </w:rPr>
              <w:t>/s/    T</w:t>
            </w:r>
            <w:r>
              <w:rPr>
                <w:rFonts w:eastAsia="Times New Roman"/>
                <w:color w:val="000000"/>
                <w:sz w:val="16"/>
                <w:szCs w:val="16"/>
              </w:rPr>
              <w:t>HOMAS</w:t>
            </w:r>
            <w:r>
              <w:rPr>
                <w:rFonts w:eastAsia="Times New Roman"/>
                <w:color w:val="000000"/>
                <w:sz w:val="20"/>
                <w:szCs w:val="20"/>
              </w:rPr>
              <w:t xml:space="preserve"> A. D</w:t>
            </w:r>
            <w:r>
              <w:rPr>
                <w:rFonts w:eastAsia="Times New Roman"/>
                <w:color w:val="000000"/>
                <w:sz w:val="16"/>
                <w:szCs w:val="16"/>
              </w:rPr>
              <w:t>ATTILO</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2CEF7E4"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2908ACDD"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4CDC5541"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3BBF7694" w14:textId="77777777" w:rsidR="00000000" w:rsidRDefault="001A570A">
            <w:pPr>
              <w:rPr>
                <w:rFonts w:eastAsia="Times New Roman"/>
              </w:rPr>
            </w:pPr>
            <w:r>
              <w:rPr>
                <w:rFonts w:eastAsia="Times New Roman"/>
                <w:color w:val="000000"/>
                <w:sz w:val="20"/>
                <w:szCs w:val="20"/>
              </w:rPr>
              <w:t>March 1, 2021</w:t>
            </w:r>
          </w:p>
        </w:tc>
      </w:tr>
      <w:tr w:rsidR="00000000" w14:paraId="41DE91CF"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78C36CAF" w14:textId="77777777" w:rsidR="00000000" w:rsidRDefault="001A570A">
            <w:pPr>
              <w:rPr>
                <w:rFonts w:eastAsia="Times New Roman"/>
              </w:rPr>
            </w:pPr>
            <w:r>
              <w:rPr>
                <w:rFonts w:eastAsia="Times New Roman"/>
                <w:color w:val="000000"/>
                <w:sz w:val="20"/>
                <w:szCs w:val="20"/>
              </w:rPr>
              <w:t>Thomas A. Dattilo</w:t>
            </w:r>
          </w:p>
        </w:tc>
        <w:tc>
          <w:tcPr>
            <w:tcW w:w="0" w:type="auto"/>
            <w:gridSpan w:val="3"/>
            <w:tcMar>
              <w:top w:w="0" w:type="dxa"/>
              <w:left w:w="20" w:type="dxa"/>
              <w:bottom w:w="0" w:type="dxa"/>
              <w:right w:w="20" w:type="dxa"/>
            </w:tcMar>
            <w:vAlign w:val="center"/>
            <w:hideMark/>
          </w:tcPr>
          <w:p w14:paraId="7C2D60CB" w14:textId="77777777" w:rsidR="00000000" w:rsidRDefault="001A570A">
            <w:pPr>
              <w:rPr>
                <w:rFonts w:eastAsia="Times New Roman"/>
              </w:rPr>
            </w:pPr>
          </w:p>
        </w:tc>
        <w:tc>
          <w:tcPr>
            <w:tcW w:w="0" w:type="auto"/>
            <w:gridSpan w:val="3"/>
            <w:vMerge/>
            <w:vAlign w:val="center"/>
            <w:hideMark/>
          </w:tcPr>
          <w:p w14:paraId="73E74940"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AF1FFAF" w14:textId="77777777" w:rsidR="00000000" w:rsidRDefault="001A570A">
            <w:pPr>
              <w:rPr>
                <w:rFonts w:eastAsia="Times New Roman"/>
                <w:sz w:val="20"/>
                <w:szCs w:val="20"/>
              </w:rPr>
            </w:pPr>
          </w:p>
        </w:tc>
        <w:tc>
          <w:tcPr>
            <w:tcW w:w="0" w:type="auto"/>
            <w:gridSpan w:val="3"/>
            <w:vMerge/>
            <w:vAlign w:val="center"/>
            <w:hideMark/>
          </w:tcPr>
          <w:p w14:paraId="00EA918D" w14:textId="77777777" w:rsidR="00000000" w:rsidRDefault="001A570A">
            <w:pPr>
              <w:rPr>
                <w:rFonts w:eastAsia="Times New Roman"/>
              </w:rPr>
            </w:pPr>
          </w:p>
        </w:tc>
      </w:tr>
      <w:tr w:rsidR="00000000" w14:paraId="3E356071" w14:textId="77777777">
        <w:trPr>
          <w:divId w:val="1776437040"/>
          <w:trHeight w:val="100"/>
        </w:trPr>
        <w:tc>
          <w:tcPr>
            <w:tcW w:w="0" w:type="auto"/>
            <w:gridSpan w:val="9"/>
            <w:tcMar>
              <w:top w:w="0" w:type="dxa"/>
              <w:left w:w="20" w:type="dxa"/>
              <w:bottom w:w="0" w:type="dxa"/>
              <w:right w:w="20" w:type="dxa"/>
            </w:tcMar>
            <w:vAlign w:val="center"/>
            <w:hideMark/>
          </w:tcPr>
          <w:p w14:paraId="128C85E6"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33F98360"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0631C3E8" w14:textId="77777777" w:rsidR="00000000" w:rsidRDefault="001A570A">
            <w:pPr>
              <w:rPr>
                <w:rFonts w:eastAsia="Times New Roman"/>
                <w:sz w:val="20"/>
                <w:szCs w:val="20"/>
              </w:rPr>
            </w:pPr>
          </w:p>
        </w:tc>
      </w:tr>
      <w:tr w:rsidR="00000000" w14:paraId="08F07DA5"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20C19BA1" w14:textId="77777777" w:rsidR="00000000" w:rsidRDefault="001A570A">
            <w:pPr>
              <w:divId w:val="2119055878"/>
              <w:rPr>
                <w:rFonts w:eastAsia="Times New Roman"/>
              </w:rPr>
            </w:pPr>
            <w:r>
              <w:rPr>
                <w:rFonts w:eastAsia="Times New Roman"/>
                <w:color w:val="000000"/>
                <w:sz w:val="20"/>
                <w:szCs w:val="20"/>
              </w:rPr>
              <w:t>/s/    R</w:t>
            </w:r>
            <w:r>
              <w:rPr>
                <w:rFonts w:eastAsia="Times New Roman"/>
                <w:color w:val="000000"/>
                <w:sz w:val="16"/>
                <w:szCs w:val="16"/>
              </w:rPr>
              <w:t>OGER</w:t>
            </w:r>
            <w:r>
              <w:rPr>
                <w:rFonts w:eastAsia="Times New Roman"/>
                <w:color w:val="000000"/>
                <w:sz w:val="20"/>
                <w:szCs w:val="20"/>
              </w:rPr>
              <w:t xml:space="preserve"> B. F</w:t>
            </w:r>
            <w:r>
              <w:rPr>
                <w:rFonts w:eastAsia="Times New Roman"/>
                <w:color w:val="000000"/>
                <w:sz w:val="16"/>
                <w:szCs w:val="16"/>
              </w:rPr>
              <w:t>RADIN</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E7C3B64" w14:textId="77777777" w:rsidR="00000000" w:rsidRDefault="001A570A">
            <w:pPr>
              <w:rPr>
                <w:rFonts w:eastAsia="Times New Roman"/>
              </w:rPr>
            </w:pPr>
          </w:p>
        </w:tc>
        <w:tc>
          <w:tcPr>
            <w:tcW w:w="0" w:type="auto"/>
            <w:gridSpan w:val="3"/>
            <w:vMerge w:val="restart"/>
            <w:tcMar>
              <w:top w:w="30" w:type="dxa"/>
              <w:left w:w="20" w:type="dxa"/>
              <w:bottom w:w="30" w:type="dxa"/>
              <w:right w:w="20" w:type="dxa"/>
            </w:tcMar>
            <w:hideMark/>
          </w:tcPr>
          <w:p w14:paraId="3EFF453E" w14:textId="77777777" w:rsidR="00000000" w:rsidRDefault="001A570A">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62103429" w14:textId="77777777" w:rsidR="00000000" w:rsidRDefault="001A570A">
            <w:pPr>
              <w:rPr>
                <w:rFonts w:eastAsia="Times New Roman"/>
              </w:rPr>
            </w:pPr>
          </w:p>
        </w:tc>
        <w:tc>
          <w:tcPr>
            <w:tcW w:w="0" w:type="auto"/>
            <w:gridSpan w:val="3"/>
            <w:vMerge w:val="restart"/>
            <w:tcMar>
              <w:top w:w="30" w:type="dxa"/>
              <w:left w:w="20" w:type="dxa"/>
              <w:bottom w:w="30" w:type="dxa"/>
              <w:right w:w="20" w:type="dxa"/>
            </w:tcMar>
            <w:hideMark/>
          </w:tcPr>
          <w:p w14:paraId="22AE0487" w14:textId="77777777" w:rsidR="00000000" w:rsidRDefault="001A570A">
            <w:pPr>
              <w:rPr>
                <w:rFonts w:eastAsia="Times New Roman"/>
              </w:rPr>
            </w:pPr>
            <w:r>
              <w:rPr>
                <w:rFonts w:eastAsia="Times New Roman"/>
                <w:color w:val="000000"/>
                <w:sz w:val="20"/>
                <w:szCs w:val="20"/>
              </w:rPr>
              <w:t>March 1, 2021</w:t>
            </w:r>
          </w:p>
        </w:tc>
      </w:tr>
      <w:tr w:rsidR="00000000" w14:paraId="11C96F27"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0D10EB2D" w14:textId="77777777" w:rsidR="00000000" w:rsidRDefault="001A570A">
            <w:pPr>
              <w:rPr>
                <w:rFonts w:eastAsia="Times New Roman"/>
              </w:rPr>
            </w:pPr>
            <w:r>
              <w:rPr>
                <w:rFonts w:eastAsia="Times New Roman"/>
                <w:color w:val="000000"/>
                <w:sz w:val="20"/>
                <w:szCs w:val="20"/>
              </w:rPr>
              <w:t>Roger B. Fradin</w:t>
            </w:r>
          </w:p>
        </w:tc>
        <w:tc>
          <w:tcPr>
            <w:tcW w:w="0" w:type="auto"/>
            <w:gridSpan w:val="3"/>
            <w:tcMar>
              <w:top w:w="0" w:type="dxa"/>
              <w:left w:w="20" w:type="dxa"/>
              <w:bottom w:w="0" w:type="dxa"/>
              <w:right w:w="20" w:type="dxa"/>
            </w:tcMar>
            <w:vAlign w:val="center"/>
            <w:hideMark/>
          </w:tcPr>
          <w:p w14:paraId="5D1AD4B8" w14:textId="77777777" w:rsidR="00000000" w:rsidRDefault="001A570A">
            <w:pPr>
              <w:rPr>
                <w:rFonts w:eastAsia="Times New Roman"/>
              </w:rPr>
            </w:pPr>
          </w:p>
        </w:tc>
        <w:tc>
          <w:tcPr>
            <w:tcW w:w="0" w:type="auto"/>
            <w:gridSpan w:val="3"/>
            <w:vMerge/>
            <w:vAlign w:val="center"/>
            <w:hideMark/>
          </w:tcPr>
          <w:p w14:paraId="695F7999"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EC8CBDC" w14:textId="77777777" w:rsidR="00000000" w:rsidRDefault="001A570A">
            <w:pPr>
              <w:rPr>
                <w:rFonts w:eastAsia="Times New Roman"/>
                <w:sz w:val="20"/>
                <w:szCs w:val="20"/>
              </w:rPr>
            </w:pPr>
          </w:p>
        </w:tc>
        <w:tc>
          <w:tcPr>
            <w:tcW w:w="0" w:type="auto"/>
            <w:gridSpan w:val="3"/>
            <w:vMerge/>
            <w:vAlign w:val="center"/>
            <w:hideMark/>
          </w:tcPr>
          <w:p w14:paraId="48417244" w14:textId="77777777" w:rsidR="00000000" w:rsidRDefault="001A570A">
            <w:pPr>
              <w:rPr>
                <w:rFonts w:eastAsia="Times New Roman"/>
              </w:rPr>
            </w:pPr>
          </w:p>
        </w:tc>
      </w:tr>
      <w:tr w:rsidR="00000000" w14:paraId="3556AE7B" w14:textId="77777777">
        <w:trPr>
          <w:divId w:val="1776437040"/>
          <w:trHeight w:val="100"/>
        </w:trPr>
        <w:tc>
          <w:tcPr>
            <w:tcW w:w="0" w:type="auto"/>
            <w:gridSpan w:val="9"/>
            <w:tcMar>
              <w:top w:w="0" w:type="dxa"/>
              <w:left w:w="20" w:type="dxa"/>
              <w:bottom w:w="0" w:type="dxa"/>
              <w:right w:w="20" w:type="dxa"/>
            </w:tcMar>
            <w:vAlign w:val="center"/>
            <w:hideMark/>
          </w:tcPr>
          <w:p w14:paraId="77B9D37A"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2EF2E4E2"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37438BCB" w14:textId="77777777" w:rsidR="00000000" w:rsidRDefault="001A570A">
            <w:pPr>
              <w:rPr>
                <w:rFonts w:eastAsia="Times New Roman"/>
                <w:sz w:val="20"/>
                <w:szCs w:val="20"/>
              </w:rPr>
            </w:pPr>
          </w:p>
        </w:tc>
      </w:tr>
      <w:tr w:rsidR="00000000" w14:paraId="360AAD55"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59708650" w14:textId="77777777" w:rsidR="00000000" w:rsidRDefault="001A570A">
            <w:pPr>
              <w:divId w:val="227887187"/>
              <w:rPr>
                <w:rFonts w:eastAsia="Times New Roman"/>
              </w:rPr>
            </w:pPr>
            <w:r>
              <w:rPr>
                <w:rFonts w:eastAsia="Times New Roman"/>
                <w:color w:val="000000"/>
                <w:sz w:val="20"/>
                <w:szCs w:val="20"/>
              </w:rPr>
              <w:t>/s/    L</w:t>
            </w:r>
            <w:r>
              <w:rPr>
                <w:rFonts w:eastAsia="Times New Roman"/>
                <w:color w:val="000000"/>
                <w:sz w:val="16"/>
                <w:szCs w:val="16"/>
              </w:rPr>
              <w:t>EWIS</w:t>
            </w:r>
            <w:r>
              <w:rPr>
                <w:rFonts w:eastAsia="Times New Roman"/>
                <w:color w:val="000000"/>
                <w:sz w:val="20"/>
                <w:szCs w:val="20"/>
              </w:rPr>
              <w:t xml:space="preserve"> H</w:t>
            </w:r>
            <w:r>
              <w:rPr>
                <w:rFonts w:eastAsia="Times New Roman"/>
                <w:color w:val="000000"/>
                <w:sz w:val="16"/>
                <w:szCs w:val="16"/>
              </w:rPr>
              <w:t>AY</w:t>
            </w:r>
            <w:r>
              <w:rPr>
                <w:rFonts w:eastAsia="Times New Roman"/>
                <w:color w:val="000000"/>
                <w:sz w:val="20"/>
                <w:szCs w:val="20"/>
              </w:rPr>
              <w:t xml:space="preserve"> III*</w:t>
            </w:r>
          </w:p>
        </w:tc>
        <w:tc>
          <w:tcPr>
            <w:tcW w:w="0" w:type="auto"/>
            <w:gridSpan w:val="3"/>
            <w:tcMar>
              <w:top w:w="30" w:type="dxa"/>
              <w:left w:w="20" w:type="dxa"/>
              <w:bottom w:w="30" w:type="dxa"/>
              <w:right w:w="20" w:type="dxa"/>
            </w:tcMar>
            <w:vAlign w:val="bottom"/>
            <w:hideMark/>
          </w:tcPr>
          <w:p w14:paraId="4CDD9EE7"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6D25D6B6"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5FAAF94E"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3D2B0279" w14:textId="77777777" w:rsidR="00000000" w:rsidRDefault="001A570A">
            <w:pPr>
              <w:rPr>
                <w:rFonts w:eastAsia="Times New Roman"/>
              </w:rPr>
            </w:pPr>
            <w:r>
              <w:rPr>
                <w:rFonts w:eastAsia="Times New Roman"/>
                <w:color w:val="000000"/>
                <w:sz w:val="20"/>
                <w:szCs w:val="20"/>
              </w:rPr>
              <w:t>March 1, 2021</w:t>
            </w:r>
          </w:p>
        </w:tc>
      </w:tr>
      <w:tr w:rsidR="00000000" w14:paraId="5567B7B6"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52A85365" w14:textId="77777777" w:rsidR="00000000" w:rsidRDefault="001A570A">
            <w:pPr>
              <w:rPr>
                <w:rFonts w:eastAsia="Times New Roman"/>
              </w:rPr>
            </w:pPr>
            <w:r>
              <w:rPr>
                <w:rFonts w:eastAsia="Times New Roman"/>
                <w:color w:val="000000"/>
                <w:sz w:val="20"/>
                <w:szCs w:val="20"/>
              </w:rPr>
              <w:t>Lewis Hay III</w:t>
            </w:r>
          </w:p>
        </w:tc>
        <w:tc>
          <w:tcPr>
            <w:tcW w:w="0" w:type="auto"/>
            <w:gridSpan w:val="3"/>
            <w:tcMar>
              <w:top w:w="0" w:type="dxa"/>
              <w:left w:w="20" w:type="dxa"/>
              <w:bottom w:w="0" w:type="dxa"/>
              <w:right w:w="20" w:type="dxa"/>
            </w:tcMar>
            <w:vAlign w:val="center"/>
            <w:hideMark/>
          </w:tcPr>
          <w:p w14:paraId="1E942867" w14:textId="77777777" w:rsidR="00000000" w:rsidRDefault="001A570A">
            <w:pPr>
              <w:rPr>
                <w:rFonts w:eastAsia="Times New Roman"/>
              </w:rPr>
            </w:pPr>
          </w:p>
        </w:tc>
        <w:tc>
          <w:tcPr>
            <w:tcW w:w="0" w:type="auto"/>
            <w:gridSpan w:val="3"/>
            <w:vMerge/>
            <w:vAlign w:val="center"/>
            <w:hideMark/>
          </w:tcPr>
          <w:p w14:paraId="34DEC1AC"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60B8BD8C" w14:textId="77777777" w:rsidR="00000000" w:rsidRDefault="001A570A">
            <w:pPr>
              <w:rPr>
                <w:rFonts w:eastAsia="Times New Roman"/>
                <w:sz w:val="20"/>
                <w:szCs w:val="20"/>
              </w:rPr>
            </w:pPr>
          </w:p>
        </w:tc>
        <w:tc>
          <w:tcPr>
            <w:tcW w:w="0" w:type="auto"/>
            <w:gridSpan w:val="3"/>
            <w:vMerge/>
            <w:vAlign w:val="center"/>
            <w:hideMark/>
          </w:tcPr>
          <w:p w14:paraId="2A4C8A70" w14:textId="77777777" w:rsidR="00000000" w:rsidRDefault="001A570A">
            <w:pPr>
              <w:rPr>
                <w:rFonts w:eastAsia="Times New Roman"/>
              </w:rPr>
            </w:pPr>
          </w:p>
        </w:tc>
      </w:tr>
      <w:tr w:rsidR="00000000" w14:paraId="290E35D1" w14:textId="77777777">
        <w:trPr>
          <w:divId w:val="1776437040"/>
          <w:trHeight w:val="100"/>
        </w:trPr>
        <w:tc>
          <w:tcPr>
            <w:tcW w:w="0" w:type="auto"/>
            <w:gridSpan w:val="9"/>
            <w:tcMar>
              <w:top w:w="0" w:type="dxa"/>
              <w:left w:w="20" w:type="dxa"/>
              <w:bottom w:w="0" w:type="dxa"/>
              <w:right w:w="20" w:type="dxa"/>
            </w:tcMar>
            <w:vAlign w:val="center"/>
            <w:hideMark/>
          </w:tcPr>
          <w:p w14:paraId="06FFB6D5"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1B15CA92"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2E08F791" w14:textId="77777777" w:rsidR="00000000" w:rsidRDefault="001A570A">
            <w:pPr>
              <w:rPr>
                <w:rFonts w:eastAsia="Times New Roman"/>
                <w:sz w:val="20"/>
                <w:szCs w:val="20"/>
              </w:rPr>
            </w:pPr>
          </w:p>
        </w:tc>
      </w:tr>
      <w:tr w:rsidR="00000000" w14:paraId="659A9728"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213358FC" w14:textId="77777777" w:rsidR="00000000" w:rsidRDefault="001A570A">
            <w:pPr>
              <w:divId w:val="830606700"/>
              <w:rPr>
                <w:rFonts w:eastAsia="Times New Roman"/>
              </w:rPr>
            </w:pPr>
            <w:r>
              <w:rPr>
                <w:rFonts w:eastAsia="Times New Roman"/>
                <w:color w:val="000000"/>
                <w:sz w:val="20"/>
                <w:szCs w:val="20"/>
              </w:rPr>
              <w:t>/s/    L</w:t>
            </w:r>
            <w:r>
              <w:rPr>
                <w:rFonts w:eastAsia="Times New Roman"/>
                <w:color w:val="000000"/>
                <w:sz w:val="16"/>
                <w:szCs w:val="16"/>
              </w:rPr>
              <w:t>EWIS</w:t>
            </w:r>
            <w:r>
              <w:rPr>
                <w:rFonts w:eastAsia="Times New Roman"/>
                <w:color w:val="000000"/>
                <w:sz w:val="20"/>
                <w:szCs w:val="20"/>
              </w:rPr>
              <w:t xml:space="preserve"> K</w:t>
            </w:r>
            <w:r>
              <w:rPr>
                <w:rFonts w:eastAsia="Times New Roman"/>
                <w:color w:val="000000"/>
                <w:sz w:val="16"/>
                <w:szCs w:val="16"/>
              </w:rPr>
              <w:t>RAMER</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49E98F04"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202073A2"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1800C5E7"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70B4DD4C" w14:textId="77777777" w:rsidR="00000000" w:rsidRDefault="001A570A">
            <w:pPr>
              <w:rPr>
                <w:rFonts w:eastAsia="Times New Roman"/>
              </w:rPr>
            </w:pPr>
            <w:r>
              <w:rPr>
                <w:rFonts w:eastAsia="Times New Roman"/>
                <w:color w:val="000000"/>
                <w:sz w:val="20"/>
                <w:szCs w:val="20"/>
              </w:rPr>
              <w:t>March 1, 2021</w:t>
            </w:r>
          </w:p>
        </w:tc>
      </w:tr>
      <w:tr w:rsidR="00000000" w14:paraId="7164E1E1"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76A5BEC2" w14:textId="77777777" w:rsidR="00000000" w:rsidRDefault="001A570A">
            <w:pPr>
              <w:rPr>
                <w:rFonts w:eastAsia="Times New Roman"/>
              </w:rPr>
            </w:pPr>
            <w:r>
              <w:rPr>
                <w:rFonts w:eastAsia="Times New Roman"/>
                <w:color w:val="000000"/>
                <w:sz w:val="20"/>
                <w:szCs w:val="20"/>
              </w:rPr>
              <w:t>Lewis Kramer</w:t>
            </w:r>
          </w:p>
        </w:tc>
        <w:tc>
          <w:tcPr>
            <w:tcW w:w="0" w:type="auto"/>
            <w:gridSpan w:val="3"/>
            <w:tcMar>
              <w:top w:w="0" w:type="dxa"/>
              <w:left w:w="20" w:type="dxa"/>
              <w:bottom w:w="0" w:type="dxa"/>
              <w:right w:w="20" w:type="dxa"/>
            </w:tcMar>
            <w:vAlign w:val="center"/>
            <w:hideMark/>
          </w:tcPr>
          <w:p w14:paraId="4F940187" w14:textId="77777777" w:rsidR="00000000" w:rsidRDefault="001A570A">
            <w:pPr>
              <w:rPr>
                <w:rFonts w:eastAsia="Times New Roman"/>
              </w:rPr>
            </w:pPr>
          </w:p>
        </w:tc>
        <w:tc>
          <w:tcPr>
            <w:tcW w:w="0" w:type="auto"/>
            <w:gridSpan w:val="3"/>
            <w:vMerge/>
            <w:vAlign w:val="center"/>
            <w:hideMark/>
          </w:tcPr>
          <w:p w14:paraId="7C0B64FE"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5C2E5304" w14:textId="77777777" w:rsidR="00000000" w:rsidRDefault="001A570A">
            <w:pPr>
              <w:rPr>
                <w:rFonts w:eastAsia="Times New Roman"/>
                <w:sz w:val="20"/>
                <w:szCs w:val="20"/>
              </w:rPr>
            </w:pPr>
          </w:p>
        </w:tc>
        <w:tc>
          <w:tcPr>
            <w:tcW w:w="0" w:type="auto"/>
            <w:gridSpan w:val="3"/>
            <w:vMerge/>
            <w:vAlign w:val="center"/>
            <w:hideMark/>
          </w:tcPr>
          <w:p w14:paraId="7833AC46" w14:textId="77777777" w:rsidR="00000000" w:rsidRDefault="001A570A">
            <w:pPr>
              <w:rPr>
                <w:rFonts w:eastAsia="Times New Roman"/>
              </w:rPr>
            </w:pPr>
          </w:p>
        </w:tc>
      </w:tr>
      <w:tr w:rsidR="00000000" w14:paraId="4928A448" w14:textId="77777777">
        <w:trPr>
          <w:divId w:val="1776437040"/>
          <w:trHeight w:val="100"/>
        </w:trPr>
        <w:tc>
          <w:tcPr>
            <w:tcW w:w="0" w:type="auto"/>
            <w:gridSpan w:val="9"/>
            <w:tcMar>
              <w:top w:w="0" w:type="dxa"/>
              <w:left w:w="20" w:type="dxa"/>
              <w:bottom w:w="0" w:type="dxa"/>
              <w:right w:w="20" w:type="dxa"/>
            </w:tcMar>
            <w:vAlign w:val="center"/>
            <w:hideMark/>
          </w:tcPr>
          <w:p w14:paraId="463A56AB"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471BC78C"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0FC30F24" w14:textId="77777777" w:rsidR="00000000" w:rsidRDefault="001A570A">
            <w:pPr>
              <w:rPr>
                <w:rFonts w:eastAsia="Times New Roman"/>
                <w:sz w:val="20"/>
                <w:szCs w:val="20"/>
              </w:rPr>
            </w:pPr>
          </w:p>
        </w:tc>
      </w:tr>
      <w:tr w:rsidR="00000000" w14:paraId="13B1BC16"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37332D95" w14:textId="77777777" w:rsidR="00000000" w:rsidRDefault="001A570A">
            <w:pPr>
              <w:divId w:val="1912151806"/>
              <w:rPr>
                <w:rFonts w:eastAsia="Times New Roman"/>
              </w:rPr>
            </w:pPr>
            <w:r>
              <w:rPr>
                <w:rFonts w:eastAsia="Times New Roman"/>
                <w:color w:val="000000"/>
                <w:sz w:val="20"/>
                <w:szCs w:val="20"/>
              </w:rPr>
              <w:t>/s/    R</w:t>
            </w:r>
            <w:r>
              <w:rPr>
                <w:rFonts w:eastAsia="Times New Roman"/>
                <w:color w:val="000000"/>
                <w:sz w:val="16"/>
                <w:szCs w:val="16"/>
              </w:rPr>
              <w:t>ITA</w:t>
            </w:r>
            <w:r>
              <w:rPr>
                <w:rFonts w:eastAsia="Times New Roman"/>
                <w:color w:val="000000"/>
                <w:sz w:val="20"/>
                <w:szCs w:val="20"/>
              </w:rPr>
              <w:t xml:space="preserve"> S. L</w:t>
            </w:r>
            <w:r>
              <w:rPr>
                <w:rFonts w:eastAsia="Times New Roman"/>
                <w:color w:val="000000"/>
                <w:sz w:val="16"/>
                <w:szCs w:val="16"/>
              </w:rPr>
              <w:t>ANE</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41687549"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5F684849"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3EA9FF65"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1AB7AE98" w14:textId="77777777" w:rsidR="00000000" w:rsidRDefault="001A570A">
            <w:pPr>
              <w:rPr>
                <w:rFonts w:eastAsia="Times New Roman"/>
              </w:rPr>
            </w:pPr>
            <w:r>
              <w:rPr>
                <w:rFonts w:eastAsia="Times New Roman"/>
                <w:color w:val="000000"/>
                <w:sz w:val="20"/>
                <w:szCs w:val="20"/>
              </w:rPr>
              <w:t>March 1, 2021</w:t>
            </w:r>
          </w:p>
        </w:tc>
      </w:tr>
      <w:tr w:rsidR="00000000" w14:paraId="308CE0FA"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24895AAE" w14:textId="77777777" w:rsidR="00000000" w:rsidRDefault="001A570A">
            <w:pPr>
              <w:rPr>
                <w:rFonts w:eastAsia="Times New Roman"/>
              </w:rPr>
            </w:pPr>
            <w:r>
              <w:rPr>
                <w:rFonts w:eastAsia="Times New Roman"/>
                <w:color w:val="000000"/>
                <w:sz w:val="20"/>
                <w:szCs w:val="20"/>
              </w:rPr>
              <w:t>Rita S. Lane</w:t>
            </w:r>
          </w:p>
        </w:tc>
        <w:tc>
          <w:tcPr>
            <w:tcW w:w="0" w:type="auto"/>
            <w:gridSpan w:val="3"/>
            <w:tcMar>
              <w:top w:w="0" w:type="dxa"/>
              <w:left w:w="20" w:type="dxa"/>
              <w:bottom w:w="0" w:type="dxa"/>
              <w:right w:w="20" w:type="dxa"/>
            </w:tcMar>
            <w:vAlign w:val="center"/>
            <w:hideMark/>
          </w:tcPr>
          <w:p w14:paraId="44689203" w14:textId="77777777" w:rsidR="00000000" w:rsidRDefault="001A570A">
            <w:pPr>
              <w:rPr>
                <w:rFonts w:eastAsia="Times New Roman"/>
              </w:rPr>
            </w:pPr>
          </w:p>
        </w:tc>
        <w:tc>
          <w:tcPr>
            <w:tcW w:w="0" w:type="auto"/>
            <w:gridSpan w:val="3"/>
            <w:vMerge/>
            <w:vAlign w:val="center"/>
            <w:hideMark/>
          </w:tcPr>
          <w:p w14:paraId="7AB65DE5"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413D0E1B" w14:textId="77777777" w:rsidR="00000000" w:rsidRDefault="001A570A">
            <w:pPr>
              <w:rPr>
                <w:rFonts w:eastAsia="Times New Roman"/>
                <w:sz w:val="20"/>
                <w:szCs w:val="20"/>
              </w:rPr>
            </w:pPr>
          </w:p>
        </w:tc>
        <w:tc>
          <w:tcPr>
            <w:tcW w:w="0" w:type="auto"/>
            <w:gridSpan w:val="3"/>
            <w:vMerge/>
            <w:vAlign w:val="center"/>
            <w:hideMark/>
          </w:tcPr>
          <w:p w14:paraId="5E52FBA5" w14:textId="77777777" w:rsidR="00000000" w:rsidRDefault="001A570A">
            <w:pPr>
              <w:rPr>
                <w:rFonts w:eastAsia="Times New Roman"/>
              </w:rPr>
            </w:pPr>
          </w:p>
        </w:tc>
      </w:tr>
      <w:tr w:rsidR="00000000" w14:paraId="51D0D5AF" w14:textId="77777777">
        <w:trPr>
          <w:divId w:val="1776437040"/>
          <w:trHeight w:val="100"/>
        </w:trPr>
        <w:tc>
          <w:tcPr>
            <w:tcW w:w="0" w:type="auto"/>
            <w:gridSpan w:val="9"/>
            <w:tcMar>
              <w:top w:w="0" w:type="dxa"/>
              <w:left w:w="20" w:type="dxa"/>
              <w:bottom w:w="0" w:type="dxa"/>
              <w:right w:w="20" w:type="dxa"/>
            </w:tcMar>
            <w:vAlign w:val="center"/>
            <w:hideMark/>
          </w:tcPr>
          <w:p w14:paraId="279FB036"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3437D5D8"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5D138B38" w14:textId="77777777" w:rsidR="00000000" w:rsidRDefault="001A570A">
            <w:pPr>
              <w:rPr>
                <w:rFonts w:eastAsia="Times New Roman"/>
                <w:sz w:val="20"/>
                <w:szCs w:val="20"/>
              </w:rPr>
            </w:pPr>
          </w:p>
        </w:tc>
      </w:tr>
      <w:tr w:rsidR="00000000" w14:paraId="37D82458"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53A27B75" w14:textId="77777777" w:rsidR="00000000" w:rsidRDefault="001A570A">
            <w:pPr>
              <w:divId w:val="285964148"/>
              <w:rPr>
                <w:rFonts w:eastAsia="Times New Roman"/>
              </w:rPr>
            </w:pPr>
            <w:r>
              <w:rPr>
                <w:rFonts w:eastAsia="Times New Roman"/>
                <w:color w:val="000000"/>
                <w:sz w:val="20"/>
                <w:szCs w:val="20"/>
              </w:rPr>
              <w:t>/s/    R</w:t>
            </w:r>
            <w:r>
              <w:rPr>
                <w:rFonts w:eastAsia="Times New Roman"/>
                <w:color w:val="000000"/>
                <w:sz w:val="16"/>
                <w:szCs w:val="16"/>
              </w:rPr>
              <w:t>OBERT</w:t>
            </w:r>
            <w:r>
              <w:rPr>
                <w:rFonts w:eastAsia="Times New Roman"/>
                <w:color w:val="000000"/>
                <w:sz w:val="20"/>
                <w:szCs w:val="20"/>
              </w:rPr>
              <w:t xml:space="preserve"> B. M</w:t>
            </w:r>
            <w:r>
              <w:rPr>
                <w:rFonts w:eastAsia="Times New Roman"/>
                <w:color w:val="000000"/>
                <w:sz w:val="16"/>
                <w:szCs w:val="16"/>
              </w:rPr>
              <w:t>ILLARD</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1B670C07"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5B4517D2"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04AFC4BC"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661B13EC" w14:textId="77777777" w:rsidR="00000000" w:rsidRDefault="001A570A">
            <w:pPr>
              <w:rPr>
                <w:rFonts w:eastAsia="Times New Roman"/>
              </w:rPr>
            </w:pPr>
            <w:r>
              <w:rPr>
                <w:rFonts w:eastAsia="Times New Roman"/>
                <w:color w:val="000000"/>
                <w:sz w:val="20"/>
                <w:szCs w:val="20"/>
              </w:rPr>
              <w:t>March 1, 2021</w:t>
            </w:r>
          </w:p>
        </w:tc>
      </w:tr>
      <w:tr w:rsidR="00000000" w14:paraId="4AFAE0E6"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79F7151D" w14:textId="77777777" w:rsidR="00000000" w:rsidRDefault="001A570A">
            <w:pPr>
              <w:rPr>
                <w:rFonts w:eastAsia="Times New Roman"/>
              </w:rPr>
            </w:pPr>
            <w:r>
              <w:rPr>
                <w:rFonts w:eastAsia="Times New Roman"/>
                <w:color w:val="000000"/>
                <w:sz w:val="20"/>
                <w:szCs w:val="20"/>
              </w:rPr>
              <w:t>Robert B. Millard</w:t>
            </w:r>
          </w:p>
        </w:tc>
        <w:tc>
          <w:tcPr>
            <w:tcW w:w="0" w:type="auto"/>
            <w:gridSpan w:val="3"/>
            <w:tcMar>
              <w:top w:w="0" w:type="dxa"/>
              <w:left w:w="20" w:type="dxa"/>
              <w:bottom w:w="0" w:type="dxa"/>
              <w:right w:w="20" w:type="dxa"/>
            </w:tcMar>
            <w:vAlign w:val="center"/>
            <w:hideMark/>
          </w:tcPr>
          <w:p w14:paraId="16F1EEE0" w14:textId="77777777" w:rsidR="00000000" w:rsidRDefault="001A570A">
            <w:pPr>
              <w:rPr>
                <w:rFonts w:eastAsia="Times New Roman"/>
              </w:rPr>
            </w:pPr>
          </w:p>
        </w:tc>
        <w:tc>
          <w:tcPr>
            <w:tcW w:w="0" w:type="auto"/>
            <w:gridSpan w:val="3"/>
            <w:vMerge/>
            <w:vAlign w:val="center"/>
            <w:hideMark/>
          </w:tcPr>
          <w:p w14:paraId="5A65CC3C"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E58F0DE" w14:textId="77777777" w:rsidR="00000000" w:rsidRDefault="001A570A">
            <w:pPr>
              <w:rPr>
                <w:rFonts w:eastAsia="Times New Roman"/>
                <w:sz w:val="20"/>
                <w:szCs w:val="20"/>
              </w:rPr>
            </w:pPr>
          </w:p>
        </w:tc>
        <w:tc>
          <w:tcPr>
            <w:tcW w:w="0" w:type="auto"/>
            <w:gridSpan w:val="3"/>
            <w:vMerge/>
            <w:vAlign w:val="center"/>
            <w:hideMark/>
          </w:tcPr>
          <w:p w14:paraId="051D2AAD" w14:textId="77777777" w:rsidR="00000000" w:rsidRDefault="001A570A">
            <w:pPr>
              <w:rPr>
                <w:rFonts w:eastAsia="Times New Roman"/>
              </w:rPr>
            </w:pPr>
          </w:p>
        </w:tc>
      </w:tr>
      <w:tr w:rsidR="00000000" w14:paraId="06267D74" w14:textId="77777777">
        <w:trPr>
          <w:divId w:val="1776437040"/>
          <w:trHeight w:val="100"/>
        </w:trPr>
        <w:tc>
          <w:tcPr>
            <w:tcW w:w="0" w:type="auto"/>
            <w:gridSpan w:val="9"/>
            <w:tcMar>
              <w:top w:w="0" w:type="dxa"/>
              <w:left w:w="20" w:type="dxa"/>
              <w:bottom w:w="0" w:type="dxa"/>
              <w:right w:w="20" w:type="dxa"/>
            </w:tcMar>
            <w:vAlign w:val="center"/>
            <w:hideMark/>
          </w:tcPr>
          <w:p w14:paraId="1592BE49"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399AAB1F"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7DA38B5D" w14:textId="77777777" w:rsidR="00000000" w:rsidRDefault="001A570A">
            <w:pPr>
              <w:rPr>
                <w:rFonts w:eastAsia="Times New Roman"/>
                <w:sz w:val="20"/>
                <w:szCs w:val="20"/>
              </w:rPr>
            </w:pPr>
          </w:p>
        </w:tc>
      </w:tr>
      <w:tr w:rsidR="00000000" w14:paraId="7E1DB6A6" w14:textId="77777777">
        <w:trPr>
          <w:divId w:val="1776437040"/>
          <w:trHeight w:val="240"/>
        </w:trPr>
        <w:tc>
          <w:tcPr>
            <w:tcW w:w="0" w:type="auto"/>
            <w:gridSpan w:val="9"/>
            <w:tcBorders>
              <w:bottom w:val="single" w:sz="8" w:space="0" w:color="000000"/>
            </w:tcBorders>
            <w:tcMar>
              <w:top w:w="30" w:type="dxa"/>
              <w:left w:w="20" w:type="dxa"/>
              <w:bottom w:w="30" w:type="dxa"/>
              <w:right w:w="20" w:type="dxa"/>
            </w:tcMar>
            <w:hideMark/>
          </w:tcPr>
          <w:p w14:paraId="0DA778A0" w14:textId="77777777" w:rsidR="00000000" w:rsidRDefault="001A570A">
            <w:pPr>
              <w:divId w:val="1239559658"/>
              <w:rPr>
                <w:rFonts w:eastAsia="Times New Roman"/>
              </w:rPr>
            </w:pPr>
            <w:r>
              <w:rPr>
                <w:rFonts w:eastAsia="Times New Roman"/>
                <w:color w:val="000000"/>
                <w:sz w:val="20"/>
                <w:szCs w:val="20"/>
              </w:rPr>
              <w:t>/s/    L</w:t>
            </w:r>
            <w:r>
              <w:rPr>
                <w:rFonts w:eastAsia="Times New Roman"/>
                <w:color w:val="000000"/>
                <w:sz w:val="16"/>
                <w:szCs w:val="16"/>
              </w:rPr>
              <w:t>LOYD</w:t>
            </w:r>
            <w:r>
              <w:rPr>
                <w:rFonts w:eastAsia="Times New Roman"/>
                <w:color w:val="000000"/>
                <w:sz w:val="20"/>
                <w:szCs w:val="20"/>
              </w:rPr>
              <w:t xml:space="preserve"> W. N</w:t>
            </w:r>
            <w:r>
              <w:rPr>
                <w:rFonts w:eastAsia="Times New Roman"/>
                <w:color w:val="000000"/>
                <w:sz w:val="16"/>
                <w:szCs w:val="16"/>
              </w:rPr>
              <w:t>EWTON</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6CCB4F6A"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4EB285AD" w14:textId="77777777" w:rsidR="00000000" w:rsidRDefault="001A570A">
            <w:pPr>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31BF148A" w14:textId="77777777" w:rsidR="00000000" w:rsidRDefault="001A570A">
            <w:pPr>
              <w:rPr>
                <w:rFonts w:eastAsia="Times New Roman"/>
              </w:rPr>
            </w:pPr>
            <w:r>
              <w:rPr>
                <w:rFonts w:eastAsia="Times New Roman"/>
                <w:color w:val="000000"/>
                <w:sz w:val="16"/>
                <w:szCs w:val="16"/>
              </w:rPr>
              <w:t> </w:t>
            </w:r>
          </w:p>
        </w:tc>
        <w:tc>
          <w:tcPr>
            <w:tcW w:w="0" w:type="auto"/>
            <w:gridSpan w:val="3"/>
            <w:vMerge w:val="restart"/>
            <w:tcMar>
              <w:top w:w="30" w:type="dxa"/>
              <w:left w:w="20" w:type="dxa"/>
              <w:bottom w:w="30" w:type="dxa"/>
              <w:right w:w="20" w:type="dxa"/>
            </w:tcMar>
            <w:hideMark/>
          </w:tcPr>
          <w:p w14:paraId="0A83D20B" w14:textId="77777777" w:rsidR="00000000" w:rsidRDefault="001A570A">
            <w:pPr>
              <w:rPr>
                <w:rFonts w:eastAsia="Times New Roman"/>
              </w:rPr>
            </w:pPr>
            <w:r>
              <w:rPr>
                <w:rFonts w:eastAsia="Times New Roman"/>
                <w:color w:val="000000"/>
                <w:sz w:val="20"/>
                <w:szCs w:val="20"/>
              </w:rPr>
              <w:t>March 1, 2021</w:t>
            </w:r>
          </w:p>
        </w:tc>
      </w:tr>
      <w:tr w:rsidR="00000000" w14:paraId="0D692558" w14:textId="77777777">
        <w:trPr>
          <w:divId w:val="1776437040"/>
          <w:trHeight w:val="240"/>
        </w:trPr>
        <w:tc>
          <w:tcPr>
            <w:tcW w:w="0" w:type="auto"/>
            <w:gridSpan w:val="9"/>
            <w:tcBorders>
              <w:top w:val="single" w:sz="8" w:space="0" w:color="000000"/>
            </w:tcBorders>
            <w:tcMar>
              <w:top w:w="30" w:type="dxa"/>
              <w:left w:w="20" w:type="dxa"/>
              <w:bottom w:w="30" w:type="dxa"/>
              <w:right w:w="20" w:type="dxa"/>
            </w:tcMar>
            <w:hideMark/>
          </w:tcPr>
          <w:p w14:paraId="54F50985" w14:textId="77777777" w:rsidR="00000000" w:rsidRDefault="001A570A">
            <w:pPr>
              <w:rPr>
                <w:rFonts w:eastAsia="Times New Roman"/>
              </w:rPr>
            </w:pPr>
            <w:r>
              <w:rPr>
                <w:rFonts w:eastAsia="Times New Roman"/>
                <w:color w:val="000000"/>
                <w:sz w:val="20"/>
                <w:szCs w:val="20"/>
              </w:rPr>
              <w:t>Lloyd W. Newton</w:t>
            </w:r>
          </w:p>
        </w:tc>
        <w:tc>
          <w:tcPr>
            <w:tcW w:w="0" w:type="auto"/>
            <w:gridSpan w:val="3"/>
            <w:tcMar>
              <w:top w:w="0" w:type="dxa"/>
              <w:left w:w="20" w:type="dxa"/>
              <w:bottom w:w="0" w:type="dxa"/>
              <w:right w:w="20" w:type="dxa"/>
            </w:tcMar>
            <w:vAlign w:val="center"/>
            <w:hideMark/>
          </w:tcPr>
          <w:p w14:paraId="577B2009" w14:textId="77777777" w:rsidR="00000000" w:rsidRDefault="001A570A">
            <w:pPr>
              <w:rPr>
                <w:rFonts w:eastAsia="Times New Roman"/>
              </w:rPr>
            </w:pPr>
          </w:p>
        </w:tc>
        <w:tc>
          <w:tcPr>
            <w:tcW w:w="0" w:type="auto"/>
            <w:gridSpan w:val="3"/>
            <w:vMerge/>
            <w:vAlign w:val="center"/>
            <w:hideMark/>
          </w:tcPr>
          <w:p w14:paraId="2988E89D" w14:textId="77777777" w:rsidR="00000000" w:rsidRDefault="001A570A">
            <w:pPr>
              <w:rPr>
                <w:rFonts w:eastAsia="Times New Roman"/>
              </w:rPr>
            </w:pPr>
          </w:p>
        </w:tc>
        <w:tc>
          <w:tcPr>
            <w:tcW w:w="0" w:type="auto"/>
            <w:gridSpan w:val="3"/>
            <w:tcMar>
              <w:top w:w="0" w:type="dxa"/>
              <w:left w:w="20" w:type="dxa"/>
              <w:bottom w:w="0" w:type="dxa"/>
              <w:right w:w="20" w:type="dxa"/>
            </w:tcMar>
            <w:vAlign w:val="center"/>
            <w:hideMark/>
          </w:tcPr>
          <w:p w14:paraId="0450A5BB" w14:textId="77777777" w:rsidR="00000000" w:rsidRDefault="001A570A">
            <w:pPr>
              <w:rPr>
                <w:rFonts w:eastAsia="Times New Roman"/>
                <w:sz w:val="20"/>
                <w:szCs w:val="20"/>
              </w:rPr>
            </w:pPr>
          </w:p>
        </w:tc>
        <w:tc>
          <w:tcPr>
            <w:tcW w:w="0" w:type="auto"/>
            <w:gridSpan w:val="3"/>
            <w:vMerge/>
            <w:vAlign w:val="center"/>
            <w:hideMark/>
          </w:tcPr>
          <w:p w14:paraId="24F2B07B" w14:textId="77777777" w:rsidR="00000000" w:rsidRDefault="001A570A">
            <w:pPr>
              <w:rPr>
                <w:rFonts w:eastAsia="Times New Roman"/>
              </w:rPr>
            </w:pPr>
          </w:p>
        </w:tc>
      </w:tr>
      <w:tr w:rsidR="00000000" w14:paraId="2BE1FFA3" w14:textId="77777777">
        <w:trPr>
          <w:divId w:val="1776437040"/>
          <w:trHeight w:val="100"/>
        </w:trPr>
        <w:tc>
          <w:tcPr>
            <w:tcW w:w="0" w:type="auto"/>
            <w:gridSpan w:val="9"/>
            <w:tcMar>
              <w:top w:w="0" w:type="dxa"/>
              <w:left w:w="20" w:type="dxa"/>
              <w:bottom w:w="0" w:type="dxa"/>
              <w:right w:w="20" w:type="dxa"/>
            </w:tcMar>
            <w:vAlign w:val="center"/>
            <w:hideMark/>
          </w:tcPr>
          <w:p w14:paraId="15CA5F76"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0FBCF814" w14:textId="77777777" w:rsidR="00000000" w:rsidRDefault="001A570A">
            <w:pPr>
              <w:rPr>
                <w:rFonts w:eastAsia="Times New Roman"/>
                <w:sz w:val="20"/>
                <w:szCs w:val="20"/>
              </w:rPr>
            </w:pPr>
          </w:p>
        </w:tc>
        <w:tc>
          <w:tcPr>
            <w:tcW w:w="0" w:type="auto"/>
            <w:gridSpan w:val="6"/>
            <w:tcMar>
              <w:top w:w="0" w:type="dxa"/>
              <w:left w:w="20" w:type="dxa"/>
              <w:bottom w:w="0" w:type="dxa"/>
              <w:right w:w="20" w:type="dxa"/>
            </w:tcMar>
            <w:vAlign w:val="center"/>
            <w:hideMark/>
          </w:tcPr>
          <w:p w14:paraId="5F85D24F" w14:textId="77777777" w:rsidR="00000000" w:rsidRDefault="001A570A">
            <w:pPr>
              <w:rPr>
                <w:rFonts w:eastAsia="Times New Roman"/>
                <w:sz w:val="20"/>
                <w:szCs w:val="20"/>
              </w:rPr>
            </w:pPr>
          </w:p>
        </w:tc>
      </w:tr>
      <w:tr w:rsidR="00000000" w14:paraId="7B34DAED" w14:textId="77777777">
        <w:trPr>
          <w:divId w:val="1776437040"/>
        </w:trPr>
        <w:tc>
          <w:tcPr>
            <w:tcW w:w="0" w:type="auto"/>
            <w:gridSpan w:val="3"/>
            <w:tcMar>
              <w:top w:w="30" w:type="dxa"/>
              <w:left w:w="20" w:type="dxa"/>
              <w:bottom w:w="30" w:type="dxa"/>
              <w:right w:w="20" w:type="dxa"/>
            </w:tcMar>
            <w:hideMark/>
          </w:tcPr>
          <w:p w14:paraId="1818C903" w14:textId="77777777" w:rsidR="00000000" w:rsidRDefault="001A570A">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9E445CB"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5563E16" w14:textId="77777777" w:rsidR="00000000" w:rsidRDefault="001A570A">
            <w:pPr>
              <w:divId w:val="201676222"/>
              <w:rPr>
                <w:rFonts w:eastAsia="Times New Roman"/>
              </w:rPr>
            </w:pPr>
            <w:r>
              <w:rPr>
                <w:rFonts w:eastAsia="Times New Roman"/>
                <w:color w:val="000000"/>
                <w:sz w:val="20"/>
                <w:szCs w:val="20"/>
              </w:rPr>
              <w:t>/s/    S</w:t>
            </w:r>
            <w:r>
              <w:rPr>
                <w:rFonts w:eastAsia="Times New Roman"/>
                <w:color w:val="000000"/>
                <w:sz w:val="16"/>
                <w:szCs w:val="16"/>
              </w:rPr>
              <w:t>COTT</w:t>
            </w:r>
            <w:r>
              <w:rPr>
                <w:rFonts w:eastAsia="Times New Roman"/>
                <w:color w:val="000000"/>
                <w:sz w:val="20"/>
                <w:szCs w:val="20"/>
              </w:rPr>
              <w:t xml:space="preserve"> T. M</w:t>
            </w:r>
            <w:r>
              <w:rPr>
                <w:rFonts w:eastAsia="Times New Roman"/>
                <w:color w:val="000000"/>
                <w:sz w:val="16"/>
                <w:szCs w:val="16"/>
              </w:rPr>
              <w:t>IKUEN</w:t>
            </w:r>
          </w:p>
        </w:tc>
        <w:tc>
          <w:tcPr>
            <w:tcW w:w="0" w:type="auto"/>
            <w:gridSpan w:val="3"/>
            <w:tcMar>
              <w:top w:w="30" w:type="dxa"/>
              <w:left w:w="20" w:type="dxa"/>
              <w:bottom w:w="30" w:type="dxa"/>
              <w:right w:w="20" w:type="dxa"/>
            </w:tcMar>
            <w:vAlign w:val="bottom"/>
            <w:hideMark/>
          </w:tcPr>
          <w:p w14:paraId="28989475"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0840468"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63A9AA39"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EF43F7F" w14:textId="77777777" w:rsidR="00000000" w:rsidRDefault="001A570A">
            <w:pPr>
              <w:rPr>
                <w:rFonts w:eastAsia="Times New Roman"/>
              </w:rPr>
            </w:pPr>
          </w:p>
        </w:tc>
      </w:tr>
      <w:tr w:rsidR="00000000" w14:paraId="1231D0DF" w14:textId="77777777">
        <w:trPr>
          <w:divId w:val="1776437040"/>
        </w:trPr>
        <w:tc>
          <w:tcPr>
            <w:tcW w:w="0" w:type="auto"/>
            <w:gridSpan w:val="3"/>
            <w:tcMar>
              <w:top w:w="0" w:type="dxa"/>
              <w:left w:w="20" w:type="dxa"/>
              <w:bottom w:w="0" w:type="dxa"/>
              <w:right w:w="20" w:type="dxa"/>
            </w:tcMar>
            <w:vAlign w:val="center"/>
            <w:hideMark/>
          </w:tcPr>
          <w:p w14:paraId="35BFB69A"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16CCF934" w14:textId="77777777" w:rsidR="00000000" w:rsidRDefault="001A570A">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0810FC3" w14:textId="77777777" w:rsidR="00000000" w:rsidRDefault="001A570A">
            <w:pPr>
              <w:rPr>
                <w:rFonts w:eastAsia="Times New Roman"/>
              </w:rPr>
            </w:pPr>
            <w:r>
              <w:rPr>
                <w:rFonts w:eastAsia="Times New Roman"/>
                <w:color w:val="000000"/>
                <w:sz w:val="20"/>
                <w:szCs w:val="20"/>
              </w:rPr>
              <w:t>Scott T. Mikuen</w:t>
            </w:r>
          </w:p>
        </w:tc>
        <w:tc>
          <w:tcPr>
            <w:tcW w:w="0" w:type="auto"/>
            <w:gridSpan w:val="3"/>
            <w:tcMar>
              <w:top w:w="30" w:type="dxa"/>
              <w:left w:w="20" w:type="dxa"/>
              <w:bottom w:w="30" w:type="dxa"/>
              <w:right w:w="20" w:type="dxa"/>
            </w:tcMar>
            <w:vAlign w:val="bottom"/>
            <w:hideMark/>
          </w:tcPr>
          <w:p w14:paraId="02469DCF"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A20CC3D"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0748294A"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664C04A" w14:textId="77777777" w:rsidR="00000000" w:rsidRDefault="001A570A">
            <w:pPr>
              <w:rPr>
                <w:rFonts w:eastAsia="Times New Roman"/>
              </w:rPr>
            </w:pPr>
          </w:p>
        </w:tc>
      </w:tr>
      <w:tr w:rsidR="00000000" w14:paraId="7765180A" w14:textId="77777777">
        <w:trPr>
          <w:divId w:val="1776437040"/>
        </w:trPr>
        <w:tc>
          <w:tcPr>
            <w:tcW w:w="0" w:type="auto"/>
            <w:gridSpan w:val="3"/>
            <w:tcMar>
              <w:top w:w="0" w:type="dxa"/>
              <w:left w:w="20" w:type="dxa"/>
              <w:bottom w:w="0" w:type="dxa"/>
              <w:right w:w="20" w:type="dxa"/>
            </w:tcMar>
            <w:vAlign w:val="center"/>
            <w:hideMark/>
          </w:tcPr>
          <w:p w14:paraId="1C26A367"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1157563A"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E939E33" w14:textId="77777777" w:rsidR="00000000" w:rsidRDefault="001A570A">
            <w:pPr>
              <w:rPr>
                <w:rFonts w:eastAsia="Times New Roman"/>
              </w:rPr>
            </w:pPr>
            <w:r>
              <w:rPr>
                <w:rFonts w:eastAsia="Times New Roman"/>
                <w:color w:val="000000"/>
                <w:sz w:val="20"/>
                <w:szCs w:val="20"/>
              </w:rPr>
              <w:t>Attorney-in-Fact</w:t>
            </w:r>
          </w:p>
        </w:tc>
        <w:tc>
          <w:tcPr>
            <w:tcW w:w="0" w:type="auto"/>
            <w:gridSpan w:val="3"/>
            <w:tcMar>
              <w:top w:w="30" w:type="dxa"/>
              <w:left w:w="20" w:type="dxa"/>
              <w:bottom w:w="30" w:type="dxa"/>
              <w:right w:w="20" w:type="dxa"/>
            </w:tcMar>
            <w:vAlign w:val="bottom"/>
            <w:hideMark/>
          </w:tcPr>
          <w:p w14:paraId="6028EE08"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D408B24"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50269C93"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4518B97" w14:textId="77777777" w:rsidR="00000000" w:rsidRDefault="001A570A">
            <w:pPr>
              <w:rPr>
                <w:rFonts w:eastAsia="Times New Roman"/>
              </w:rPr>
            </w:pPr>
          </w:p>
        </w:tc>
      </w:tr>
      <w:tr w:rsidR="00000000" w14:paraId="692CECB2" w14:textId="77777777">
        <w:trPr>
          <w:divId w:val="1776437040"/>
        </w:trPr>
        <w:tc>
          <w:tcPr>
            <w:tcW w:w="0" w:type="auto"/>
            <w:gridSpan w:val="3"/>
            <w:tcMar>
              <w:top w:w="0" w:type="dxa"/>
              <w:left w:w="20" w:type="dxa"/>
              <w:bottom w:w="0" w:type="dxa"/>
              <w:right w:w="20" w:type="dxa"/>
            </w:tcMar>
            <w:vAlign w:val="center"/>
            <w:hideMark/>
          </w:tcPr>
          <w:p w14:paraId="7C581EF5" w14:textId="77777777" w:rsidR="00000000" w:rsidRDefault="001A570A">
            <w:pPr>
              <w:rPr>
                <w:rFonts w:eastAsia="Times New Roman"/>
                <w:sz w:val="20"/>
                <w:szCs w:val="20"/>
              </w:rPr>
            </w:pPr>
          </w:p>
        </w:tc>
        <w:tc>
          <w:tcPr>
            <w:tcW w:w="0" w:type="auto"/>
            <w:gridSpan w:val="3"/>
            <w:tcMar>
              <w:top w:w="30" w:type="dxa"/>
              <w:left w:w="20" w:type="dxa"/>
              <w:bottom w:w="30" w:type="dxa"/>
              <w:right w:w="20" w:type="dxa"/>
            </w:tcMar>
            <w:vAlign w:val="bottom"/>
            <w:hideMark/>
          </w:tcPr>
          <w:p w14:paraId="5BA8896C" w14:textId="77777777" w:rsidR="00000000" w:rsidRDefault="001A570A">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BACEE24" w14:textId="77777777" w:rsidR="00000000" w:rsidRDefault="001A570A">
            <w:pPr>
              <w:rPr>
                <w:rFonts w:eastAsia="Times New Roman"/>
              </w:rPr>
            </w:pPr>
            <w:r>
              <w:rPr>
                <w:rFonts w:eastAsia="Times New Roman"/>
                <w:color w:val="000000"/>
                <w:sz w:val="20"/>
                <w:szCs w:val="20"/>
              </w:rPr>
              <w:t>pursuant to a power of attorney</w:t>
            </w:r>
          </w:p>
        </w:tc>
        <w:tc>
          <w:tcPr>
            <w:tcW w:w="0" w:type="auto"/>
            <w:gridSpan w:val="3"/>
            <w:tcMar>
              <w:top w:w="30" w:type="dxa"/>
              <w:left w:w="20" w:type="dxa"/>
              <w:bottom w:w="30" w:type="dxa"/>
              <w:right w:w="20" w:type="dxa"/>
            </w:tcMar>
            <w:vAlign w:val="bottom"/>
            <w:hideMark/>
          </w:tcPr>
          <w:p w14:paraId="6438C939"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18C6A25" w14:textId="77777777" w:rsidR="00000000" w:rsidRDefault="001A570A">
            <w:pPr>
              <w:rPr>
                <w:rFonts w:eastAsia="Times New Roman"/>
              </w:rPr>
            </w:pPr>
          </w:p>
        </w:tc>
        <w:tc>
          <w:tcPr>
            <w:tcW w:w="0" w:type="auto"/>
            <w:gridSpan w:val="3"/>
            <w:tcMar>
              <w:top w:w="30" w:type="dxa"/>
              <w:left w:w="20" w:type="dxa"/>
              <w:bottom w:w="30" w:type="dxa"/>
              <w:right w:w="20" w:type="dxa"/>
            </w:tcMar>
            <w:vAlign w:val="bottom"/>
            <w:hideMark/>
          </w:tcPr>
          <w:p w14:paraId="32D0F07F" w14:textId="77777777" w:rsidR="00000000" w:rsidRDefault="001A570A">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4A71713" w14:textId="77777777" w:rsidR="00000000" w:rsidRDefault="001A570A">
            <w:pPr>
              <w:rPr>
                <w:rFonts w:eastAsia="Times New Roman"/>
              </w:rPr>
            </w:pPr>
          </w:p>
        </w:tc>
      </w:tr>
    </w:tbl>
    <w:p w14:paraId="7B815CBA" w14:textId="77777777" w:rsidR="001A570A" w:rsidRDefault="001A570A">
      <w:pPr>
        <w:ind w:firstLine="450"/>
        <w:jc w:val="center"/>
        <w:divId w:val="219022635"/>
        <w:rPr>
          <w:rFonts w:eastAsia="Times New Roman"/>
        </w:rPr>
      </w:pPr>
      <w:r>
        <w:rPr>
          <w:rFonts w:eastAsia="Times New Roman"/>
          <w:color w:val="000000"/>
          <w:sz w:val="20"/>
          <w:szCs w:val="20"/>
        </w:rPr>
        <w:t>142</w:t>
      </w:r>
    </w:p>
    <w:sectPr w:rsidR="001A570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570A"/>
    <w:rsid w:val="001A570A"/>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xbrl.sec.gov/stpr/2018-01-31"/>
  <w:attachedSchema w:val="http://fasb.org/srt/2020-01-31"/>
  <w:attachedSchema w:val="http://www.w3.org/1999/xlink"/>
  <w:attachedSchema w:val="http://www.sec.gov/inlineXBRL/transformation/2015-08-31"/>
  <w:attachedSchema w:val="http://www.xbrl.org/2003/linkbase"/>
  <w:attachedSchema w:val="http://www.xbrl.org/2003/iso4217"/>
  <w:attachedSchema w:val="http://www.xbrl.org/2003/instance"/>
  <w:attachedSchema w:val="http://xbrl.org/2006/xbrldi"/>
  <w:attachedSchema w:val="http://www.xbrl.org/inlineXBRL/transformation/2015-02-26"/>
  <w:attachedSchema w:val="http://xbrl.sec.gov/country/2020-01-31"/>
  <w:attachedSchema w:val="http://harris.com/20210101"/>
  <w:attachedSchema w:val="http://www.xbrl.org/2013/inlineXBRL"/>
  <w:attachedSchema w:val="http://xbrl.sec.gov/dei/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62B4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60">
      <w:marLeft w:val="0"/>
      <w:marRight w:val="0"/>
      <w:marTop w:val="0"/>
      <w:marBottom w:val="0"/>
      <w:divBdr>
        <w:top w:val="none" w:sz="0" w:space="0" w:color="auto"/>
        <w:left w:val="none" w:sz="0" w:space="0" w:color="auto"/>
        <w:bottom w:val="none" w:sz="0" w:space="0" w:color="auto"/>
        <w:right w:val="none" w:sz="0" w:space="0" w:color="auto"/>
      </w:divBdr>
      <w:divsChild>
        <w:div w:id="2040857503">
          <w:marLeft w:val="0"/>
          <w:marRight w:val="0"/>
          <w:marTop w:val="0"/>
          <w:marBottom w:val="100"/>
          <w:divBdr>
            <w:top w:val="none" w:sz="0" w:space="0" w:color="auto"/>
            <w:left w:val="none" w:sz="0" w:space="0" w:color="auto"/>
            <w:bottom w:val="none" w:sz="0" w:space="0" w:color="auto"/>
            <w:right w:val="none" w:sz="0" w:space="0" w:color="auto"/>
          </w:divBdr>
        </w:div>
      </w:divsChild>
    </w:div>
    <w:div w:id="2244198">
      <w:marLeft w:val="0"/>
      <w:marRight w:val="0"/>
      <w:marTop w:val="180"/>
      <w:marBottom w:val="100"/>
      <w:divBdr>
        <w:top w:val="none" w:sz="0" w:space="0" w:color="auto"/>
        <w:left w:val="none" w:sz="0" w:space="0" w:color="auto"/>
        <w:bottom w:val="none" w:sz="0" w:space="0" w:color="auto"/>
        <w:right w:val="none" w:sz="0" w:space="0" w:color="auto"/>
      </w:divBdr>
    </w:div>
    <w:div w:id="5981043">
      <w:marLeft w:val="0"/>
      <w:marRight w:val="0"/>
      <w:marTop w:val="0"/>
      <w:marBottom w:val="0"/>
      <w:divBdr>
        <w:top w:val="none" w:sz="0" w:space="0" w:color="auto"/>
        <w:left w:val="none" w:sz="0" w:space="0" w:color="auto"/>
        <w:bottom w:val="none" w:sz="0" w:space="0" w:color="auto"/>
        <w:right w:val="none" w:sz="0" w:space="0" w:color="auto"/>
      </w:divBdr>
    </w:div>
    <w:div w:id="8263130">
      <w:marLeft w:val="0"/>
      <w:marRight w:val="0"/>
      <w:marTop w:val="0"/>
      <w:marBottom w:val="100"/>
      <w:divBdr>
        <w:top w:val="none" w:sz="0" w:space="0" w:color="auto"/>
        <w:left w:val="none" w:sz="0" w:space="0" w:color="auto"/>
        <w:bottom w:val="none" w:sz="0" w:space="0" w:color="auto"/>
        <w:right w:val="none" w:sz="0" w:space="0" w:color="auto"/>
      </w:divBdr>
    </w:div>
    <w:div w:id="9186478">
      <w:marLeft w:val="0"/>
      <w:marRight w:val="0"/>
      <w:marTop w:val="0"/>
      <w:marBottom w:val="100"/>
      <w:divBdr>
        <w:top w:val="none" w:sz="0" w:space="0" w:color="auto"/>
        <w:left w:val="none" w:sz="0" w:space="0" w:color="auto"/>
        <w:bottom w:val="none" w:sz="0" w:space="0" w:color="auto"/>
        <w:right w:val="none" w:sz="0" w:space="0" w:color="auto"/>
      </w:divBdr>
    </w:div>
    <w:div w:id="9724478">
      <w:marLeft w:val="0"/>
      <w:marRight w:val="0"/>
      <w:marTop w:val="100"/>
      <w:marBottom w:val="100"/>
      <w:divBdr>
        <w:top w:val="none" w:sz="0" w:space="0" w:color="auto"/>
        <w:left w:val="none" w:sz="0" w:space="0" w:color="auto"/>
        <w:bottom w:val="none" w:sz="0" w:space="0" w:color="auto"/>
        <w:right w:val="none" w:sz="0" w:space="0" w:color="auto"/>
      </w:divBdr>
    </w:div>
    <w:div w:id="10112146">
      <w:marLeft w:val="0"/>
      <w:marRight w:val="0"/>
      <w:marTop w:val="100"/>
      <w:marBottom w:val="0"/>
      <w:divBdr>
        <w:top w:val="none" w:sz="0" w:space="0" w:color="auto"/>
        <w:left w:val="none" w:sz="0" w:space="0" w:color="auto"/>
        <w:bottom w:val="none" w:sz="0" w:space="0" w:color="auto"/>
        <w:right w:val="none" w:sz="0" w:space="0" w:color="auto"/>
      </w:divBdr>
    </w:div>
    <w:div w:id="11224959">
      <w:marLeft w:val="0"/>
      <w:marRight w:val="0"/>
      <w:marTop w:val="100"/>
      <w:marBottom w:val="100"/>
      <w:divBdr>
        <w:top w:val="none" w:sz="0" w:space="0" w:color="auto"/>
        <w:left w:val="none" w:sz="0" w:space="0" w:color="auto"/>
        <w:bottom w:val="none" w:sz="0" w:space="0" w:color="auto"/>
        <w:right w:val="none" w:sz="0" w:space="0" w:color="auto"/>
      </w:divBdr>
    </w:div>
    <w:div w:id="12417858">
      <w:marLeft w:val="0"/>
      <w:marRight w:val="0"/>
      <w:marTop w:val="180"/>
      <w:marBottom w:val="0"/>
      <w:divBdr>
        <w:top w:val="none" w:sz="0" w:space="0" w:color="auto"/>
        <w:left w:val="none" w:sz="0" w:space="0" w:color="auto"/>
        <w:bottom w:val="none" w:sz="0" w:space="0" w:color="auto"/>
        <w:right w:val="none" w:sz="0" w:space="0" w:color="auto"/>
      </w:divBdr>
    </w:div>
    <w:div w:id="13267461">
      <w:marLeft w:val="0"/>
      <w:marRight w:val="0"/>
      <w:marTop w:val="0"/>
      <w:marBottom w:val="0"/>
      <w:divBdr>
        <w:top w:val="none" w:sz="0" w:space="0" w:color="auto"/>
        <w:left w:val="none" w:sz="0" w:space="0" w:color="auto"/>
        <w:bottom w:val="none" w:sz="0" w:space="0" w:color="auto"/>
        <w:right w:val="none" w:sz="0" w:space="0" w:color="auto"/>
      </w:divBdr>
      <w:divsChild>
        <w:div w:id="901720457">
          <w:marLeft w:val="0"/>
          <w:marRight w:val="0"/>
          <w:marTop w:val="0"/>
          <w:marBottom w:val="100"/>
          <w:divBdr>
            <w:top w:val="none" w:sz="0" w:space="0" w:color="auto"/>
            <w:left w:val="none" w:sz="0" w:space="0" w:color="auto"/>
            <w:bottom w:val="none" w:sz="0" w:space="0" w:color="auto"/>
            <w:right w:val="none" w:sz="0" w:space="0" w:color="auto"/>
          </w:divBdr>
        </w:div>
      </w:divsChild>
    </w:div>
    <w:div w:id="14120001">
      <w:marLeft w:val="0"/>
      <w:marRight w:val="0"/>
      <w:marTop w:val="100"/>
      <w:marBottom w:val="100"/>
      <w:divBdr>
        <w:top w:val="none" w:sz="0" w:space="0" w:color="auto"/>
        <w:left w:val="none" w:sz="0" w:space="0" w:color="auto"/>
        <w:bottom w:val="none" w:sz="0" w:space="0" w:color="auto"/>
        <w:right w:val="none" w:sz="0" w:space="0" w:color="auto"/>
      </w:divBdr>
    </w:div>
    <w:div w:id="14504152">
      <w:marLeft w:val="0"/>
      <w:marRight w:val="0"/>
      <w:marTop w:val="0"/>
      <w:marBottom w:val="0"/>
      <w:divBdr>
        <w:top w:val="none" w:sz="0" w:space="0" w:color="auto"/>
        <w:left w:val="none" w:sz="0" w:space="0" w:color="auto"/>
        <w:bottom w:val="none" w:sz="0" w:space="0" w:color="auto"/>
        <w:right w:val="none" w:sz="0" w:space="0" w:color="auto"/>
      </w:divBdr>
    </w:div>
    <w:div w:id="14766874">
      <w:marLeft w:val="0"/>
      <w:marRight w:val="0"/>
      <w:marTop w:val="0"/>
      <w:marBottom w:val="100"/>
      <w:divBdr>
        <w:top w:val="none" w:sz="0" w:space="0" w:color="auto"/>
        <w:left w:val="none" w:sz="0" w:space="0" w:color="auto"/>
        <w:bottom w:val="none" w:sz="0" w:space="0" w:color="auto"/>
        <w:right w:val="none" w:sz="0" w:space="0" w:color="auto"/>
      </w:divBdr>
    </w:div>
    <w:div w:id="16586945">
      <w:marLeft w:val="0"/>
      <w:marRight w:val="0"/>
      <w:marTop w:val="100"/>
      <w:marBottom w:val="0"/>
      <w:divBdr>
        <w:top w:val="none" w:sz="0" w:space="0" w:color="auto"/>
        <w:left w:val="none" w:sz="0" w:space="0" w:color="auto"/>
        <w:bottom w:val="none" w:sz="0" w:space="0" w:color="auto"/>
        <w:right w:val="none" w:sz="0" w:space="0" w:color="auto"/>
      </w:divBdr>
    </w:div>
    <w:div w:id="17245618">
      <w:marLeft w:val="0"/>
      <w:marRight w:val="0"/>
      <w:marTop w:val="100"/>
      <w:marBottom w:val="100"/>
      <w:divBdr>
        <w:top w:val="none" w:sz="0" w:space="0" w:color="auto"/>
        <w:left w:val="none" w:sz="0" w:space="0" w:color="auto"/>
        <w:bottom w:val="none" w:sz="0" w:space="0" w:color="auto"/>
        <w:right w:val="none" w:sz="0" w:space="0" w:color="auto"/>
      </w:divBdr>
    </w:div>
    <w:div w:id="17896387">
      <w:marLeft w:val="0"/>
      <w:marRight w:val="0"/>
      <w:marTop w:val="0"/>
      <w:marBottom w:val="0"/>
      <w:divBdr>
        <w:top w:val="none" w:sz="0" w:space="0" w:color="auto"/>
        <w:left w:val="none" w:sz="0" w:space="0" w:color="auto"/>
        <w:bottom w:val="none" w:sz="0" w:space="0" w:color="auto"/>
        <w:right w:val="none" w:sz="0" w:space="0" w:color="auto"/>
      </w:divBdr>
      <w:divsChild>
        <w:div w:id="1074088795">
          <w:marLeft w:val="0"/>
          <w:marRight w:val="0"/>
          <w:marTop w:val="0"/>
          <w:marBottom w:val="0"/>
          <w:divBdr>
            <w:top w:val="none" w:sz="0" w:space="0" w:color="auto"/>
            <w:left w:val="none" w:sz="0" w:space="0" w:color="auto"/>
            <w:bottom w:val="none" w:sz="0" w:space="0" w:color="auto"/>
            <w:right w:val="none" w:sz="0" w:space="0" w:color="auto"/>
          </w:divBdr>
          <w:divsChild>
            <w:div w:id="31210774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746055">
      <w:marLeft w:val="0"/>
      <w:marRight w:val="0"/>
      <w:marTop w:val="180"/>
      <w:marBottom w:val="0"/>
      <w:divBdr>
        <w:top w:val="none" w:sz="0" w:space="0" w:color="auto"/>
        <w:left w:val="none" w:sz="0" w:space="0" w:color="auto"/>
        <w:bottom w:val="none" w:sz="0" w:space="0" w:color="auto"/>
        <w:right w:val="none" w:sz="0" w:space="0" w:color="auto"/>
      </w:divBdr>
    </w:div>
    <w:div w:id="19093377">
      <w:marLeft w:val="0"/>
      <w:marRight w:val="0"/>
      <w:marTop w:val="180"/>
      <w:marBottom w:val="100"/>
      <w:divBdr>
        <w:top w:val="none" w:sz="0" w:space="0" w:color="auto"/>
        <w:left w:val="none" w:sz="0" w:space="0" w:color="auto"/>
        <w:bottom w:val="none" w:sz="0" w:space="0" w:color="auto"/>
        <w:right w:val="none" w:sz="0" w:space="0" w:color="auto"/>
      </w:divBdr>
    </w:div>
    <w:div w:id="19550233">
      <w:marLeft w:val="0"/>
      <w:marRight w:val="0"/>
      <w:marTop w:val="100"/>
      <w:marBottom w:val="90"/>
      <w:divBdr>
        <w:top w:val="none" w:sz="0" w:space="0" w:color="auto"/>
        <w:left w:val="none" w:sz="0" w:space="0" w:color="auto"/>
        <w:bottom w:val="none" w:sz="0" w:space="0" w:color="auto"/>
        <w:right w:val="none" w:sz="0" w:space="0" w:color="auto"/>
      </w:divBdr>
    </w:div>
    <w:div w:id="22560678">
      <w:marLeft w:val="0"/>
      <w:marRight w:val="0"/>
      <w:marTop w:val="0"/>
      <w:marBottom w:val="0"/>
      <w:divBdr>
        <w:top w:val="none" w:sz="0" w:space="0" w:color="auto"/>
        <w:left w:val="none" w:sz="0" w:space="0" w:color="auto"/>
        <w:bottom w:val="none" w:sz="0" w:space="0" w:color="auto"/>
        <w:right w:val="none" w:sz="0" w:space="0" w:color="auto"/>
      </w:divBdr>
    </w:div>
    <w:div w:id="23016853">
      <w:marLeft w:val="0"/>
      <w:marRight w:val="0"/>
      <w:marTop w:val="180"/>
      <w:marBottom w:val="0"/>
      <w:divBdr>
        <w:top w:val="none" w:sz="0" w:space="0" w:color="auto"/>
        <w:left w:val="none" w:sz="0" w:space="0" w:color="auto"/>
        <w:bottom w:val="none" w:sz="0" w:space="0" w:color="auto"/>
        <w:right w:val="none" w:sz="0" w:space="0" w:color="auto"/>
      </w:divBdr>
    </w:div>
    <w:div w:id="23361119">
      <w:marLeft w:val="0"/>
      <w:marRight w:val="0"/>
      <w:marTop w:val="0"/>
      <w:marBottom w:val="0"/>
      <w:divBdr>
        <w:top w:val="none" w:sz="0" w:space="0" w:color="auto"/>
        <w:left w:val="none" w:sz="0" w:space="0" w:color="auto"/>
        <w:bottom w:val="none" w:sz="0" w:space="0" w:color="auto"/>
        <w:right w:val="none" w:sz="0" w:space="0" w:color="auto"/>
      </w:divBdr>
    </w:div>
    <w:div w:id="23528610">
      <w:marLeft w:val="0"/>
      <w:marRight w:val="0"/>
      <w:marTop w:val="100"/>
      <w:marBottom w:val="100"/>
      <w:divBdr>
        <w:top w:val="none" w:sz="0" w:space="0" w:color="auto"/>
        <w:left w:val="none" w:sz="0" w:space="0" w:color="auto"/>
        <w:bottom w:val="none" w:sz="0" w:space="0" w:color="auto"/>
        <w:right w:val="none" w:sz="0" w:space="0" w:color="auto"/>
      </w:divBdr>
    </w:div>
    <w:div w:id="23795952">
      <w:marLeft w:val="0"/>
      <w:marRight w:val="0"/>
      <w:marTop w:val="100"/>
      <w:marBottom w:val="100"/>
      <w:divBdr>
        <w:top w:val="none" w:sz="0" w:space="0" w:color="auto"/>
        <w:left w:val="none" w:sz="0" w:space="0" w:color="auto"/>
        <w:bottom w:val="none" w:sz="0" w:space="0" w:color="auto"/>
        <w:right w:val="none" w:sz="0" w:space="0" w:color="auto"/>
      </w:divBdr>
    </w:div>
    <w:div w:id="25831518">
      <w:marLeft w:val="0"/>
      <w:marRight w:val="0"/>
      <w:marTop w:val="100"/>
      <w:marBottom w:val="120"/>
      <w:divBdr>
        <w:top w:val="none" w:sz="0" w:space="0" w:color="auto"/>
        <w:left w:val="none" w:sz="0" w:space="0" w:color="auto"/>
        <w:bottom w:val="none" w:sz="0" w:space="0" w:color="auto"/>
        <w:right w:val="none" w:sz="0" w:space="0" w:color="auto"/>
      </w:divBdr>
    </w:div>
    <w:div w:id="26033558">
      <w:marLeft w:val="0"/>
      <w:marRight w:val="0"/>
      <w:marTop w:val="100"/>
      <w:marBottom w:val="100"/>
      <w:divBdr>
        <w:top w:val="none" w:sz="0" w:space="0" w:color="auto"/>
        <w:left w:val="none" w:sz="0" w:space="0" w:color="auto"/>
        <w:bottom w:val="none" w:sz="0" w:space="0" w:color="auto"/>
        <w:right w:val="none" w:sz="0" w:space="0" w:color="auto"/>
      </w:divBdr>
    </w:div>
    <w:div w:id="28654200">
      <w:marLeft w:val="0"/>
      <w:marRight w:val="0"/>
      <w:marTop w:val="0"/>
      <w:marBottom w:val="0"/>
      <w:divBdr>
        <w:top w:val="none" w:sz="0" w:space="0" w:color="auto"/>
        <w:left w:val="none" w:sz="0" w:space="0" w:color="auto"/>
        <w:bottom w:val="none" w:sz="0" w:space="0" w:color="auto"/>
        <w:right w:val="none" w:sz="0" w:space="0" w:color="auto"/>
      </w:divBdr>
    </w:div>
    <w:div w:id="28723229">
      <w:marLeft w:val="0"/>
      <w:marRight w:val="0"/>
      <w:marTop w:val="100"/>
      <w:marBottom w:val="100"/>
      <w:divBdr>
        <w:top w:val="none" w:sz="0" w:space="0" w:color="auto"/>
        <w:left w:val="none" w:sz="0" w:space="0" w:color="auto"/>
        <w:bottom w:val="none" w:sz="0" w:space="0" w:color="auto"/>
        <w:right w:val="none" w:sz="0" w:space="0" w:color="auto"/>
      </w:divBdr>
    </w:div>
    <w:div w:id="28843877">
      <w:marLeft w:val="0"/>
      <w:marRight w:val="0"/>
      <w:marTop w:val="0"/>
      <w:marBottom w:val="160"/>
      <w:divBdr>
        <w:top w:val="none" w:sz="0" w:space="0" w:color="auto"/>
        <w:left w:val="none" w:sz="0" w:space="0" w:color="auto"/>
        <w:bottom w:val="none" w:sz="0" w:space="0" w:color="auto"/>
        <w:right w:val="none" w:sz="0" w:space="0" w:color="auto"/>
      </w:divBdr>
    </w:div>
    <w:div w:id="30693469">
      <w:marLeft w:val="0"/>
      <w:marRight w:val="0"/>
      <w:marTop w:val="100"/>
      <w:marBottom w:val="100"/>
      <w:divBdr>
        <w:top w:val="none" w:sz="0" w:space="0" w:color="auto"/>
        <w:left w:val="none" w:sz="0" w:space="0" w:color="auto"/>
        <w:bottom w:val="none" w:sz="0" w:space="0" w:color="auto"/>
        <w:right w:val="none" w:sz="0" w:space="0" w:color="auto"/>
      </w:divBdr>
    </w:div>
    <w:div w:id="30962641">
      <w:marLeft w:val="0"/>
      <w:marRight w:val="0"/>
      <w:marTop w:val="100"/>
      <w:marBottom w:val="100"/>
      <w:divBdr>
        <w:top w:val="none" w:sz="0" w:space="0" w:color="auto"/>
        <w:left w:val="none" w:sz="0" w:space="0" w:color="auto"/>
        <w:bottom w:val="none" w:sz="0" w:space="0" w:color="auto"/>
        <w:right w:val="none" w:sz="0" w:space="0" w:color="auto"/>
      </w:divBdr>
      <w:divsChild>
        <w:div w:id="1618100699">
          <w:marLeft w:val="0"/>
          <w:marRight w:val="0"/>
          <w:marTop w:val="0"/>
          <w:marBottom w:val="0"/>
          <w:divBdr>
            <w:top w:val="none" w:sz="0" w:space="0" w:color="auto"/>
            <w:left w:val="none" w:sz="0" w:space="0" w:color="auto"/>
            <w:bottom w:val="none" w:sz="0" w:space="0" w:color="auto"/>
            <w:right w:val="none" w:sz="0" w:space="0" w:color="auto"/>
          </w:divBdr>
        </w:div>
      </w:divsChild>
    </w:div>
    <w:div w:id="31348628">
      <w:marLeft w:val="0"/>
      <w:marRight w:val="0"/>
      <w:marTop w:val="0"/>
      <w:marBottom w:val="0"/>
      <w:divBdr>
        <w:top w:val="none" w:sz="0" w:space="0" w:color="auto"/>
        <w:left w:val="none" w:sz="0" w:space="0" w:color="auto"/>
        <w:bottom w:val="none" w:sz="0" w:space="0" w:color="auto"/>
        <w:right w:val="none" w:sz="0" w:space="0" w:color="auto"/>
      </w:divBdr>
      <w:divsChild>
        <w:div w:id="200823253">
          <w:marLeft w:val="0"/>
          <w:marRight w:val="0"/>
          <w:marTop w:val="0"/>
          <w:marBottom w:val="0"/>
          <w:divBdr>
            <w:top w:val="none" w:sz="0" w:space="0" w:color="auto"/>
            <w:left w:val="none" w:sz="0" w:space="0" w:color="auto"/>
            <w:bottom w:val="none" w:sz="0" w:space="0" w:color="auto"/>
            <w:right w:val="none" w:sz="0" w:space="0" w:color="auto"/>
          </w:divBdr>
          <w:divsChild>
            <w:div w:id="19786086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1656440">
      <w:marLeft w:val="0"/>
      <w:marRight w:val="0"/>
      <w:marTop w:val="100"/>
      <w:marBottom w:val="100"/>
      <w:divBdr>
        <w:top w:val="none" w:sz="0" w:space="0" w:color="auto"/>
        <w:left w:val="none" w:sz="0" w:space="0" w:color="auto"/>
        <w:bottom w:val="none" w:sz="0" w:space="0" w:color="auto"/>
        <w:right w:val="none" w:sz="0" w:space="0" w:color="auto"/>
      </w:divBdr>
    </w:div>
    <w:div w:id="32005086">
      <w:marLeft w:val="0"/>
      <w:marRight w:val="0"/>
      <w:marTop w:val="180"/>
      <w:marBottom w:val="100"/>
      <w:divBdr>
        <w:top w:val="none" w:sz="0" w:space="0" w:color="auto"/>
        <w:left w:val="none" w:sz="0" w:space="0" w:color="auto"/>
        <w:bottom w:val="none" w:sz="0" w:space="0" w:color="auto"/>
        <w:right w:val="none" w:sz="0" w:space="0" w:color="auto"/>
      </w:divBdr>
    </w:div>
    <w:div w:id="32192420">
      <w:marLeft w:val="0"/>
      <w:marRight w:val="0"/>
      <w:marTop w:val="0"/>
      <w:marBottom w:val="0"/>
      <w:divBdr>
        <w:top w:val="none" w:sz="0" w:space="0" w:color="auto"/>
        <w:left w:val="none" w:sz="0" w:space="0" w:color="auto"/>
        <w:bottom w:val="none" w:sz="0" w:space="0" w:color="auto"/>
        <w:right w:val="none" w:sz="0" w:space="0" w:color="auto"/>
      </w:divBdr>
      <w:divsChild>
        <w:div w:id="1779373771">
          <w:marLeft w:val="0"/>
          <w:marRight w:val="0"/>
          <w:marTop w:val="0"/>
          <w:marBottom w:val="100"/>
          <w:divBdr>
            <w:top w:val="none" w:sz="0" w:space="0" w:color="auto"/>
            <w:left w:val="none" w:sz="0" w:space="0" w:color="auto"/>
            <w:bottom w:val="none" w:sz="0" w:space="0" w:color="auto"/>
            <w:right w:val="none" w:sz="0" w:space="0" w:color="auto"/>
          </w:divBdr>
        </w:div>
      </w:divsChild>
    </w:div>
    <w:div w:id="32509073">
      <w:marLeft w:val="0"/>
      <w:marRight w:val="0"/>
      <w:marTop w:val="0"/>
      <w:marBottom w:val="100"/>
      <w:divBdr>
        <w:top w:val="none" w:sz="0" w:space="0" w:color="auto"/>
        <w:left w:val="none" w:sz="0" w:space="0" w:color="auto"/>
        <w:bottom w:val="none" w:sz="0" w:space="0" w:color="auto"/>
        <w:right w:val="none" w:sz="0" w:space="0" w:color="auto"/>
      </w:divBdr>
    </w:div>
    <w:div w:id="36636200">
      <w:marLeft w:val="0"/>
      <w:marRight w:val="0"/>
      <w:marTop w:val="100"/>
      <w:marBottom w:val="100"/>
      <w:divBdr>
        <w:top w:val="none" w:sz="0" w:space="0" w:color="auto"/>
        <w:left w:val="none" w:sz="0" w:space="0" w:color="auto"/>
        <w:bottom w:val="none" w:sz="0" w:space="0" w:color="auto"/>
        <w:right w:val="none" w:sz="0" w:space="0" w:color="auto"/>
      </w:divBdr>
    </w:div>
    <w:div w:id="41105206">
      <w:marLeft w:val="0"/>
      <w:marRight w:val="0"/>
      <w:marTop w:val="100"/>
      <w:marBottom w:val="100"/>
      <w:divBdr>
        <w:top w:val="none" w:sz="0" w:space="0" w:color="auto"/>
        <w:left w:val="none" w:sz="0" w:space="0" w:color="auto"/>
        <w:bottom w:val="none" w:sz="0" w:space="0" w:color="auto"/>
        <w:right w:val="none" w:sz="0" w:space="0" w:color="auto"/>
      </w:divBdr>
    </w:div>
    <w:div w:id="42869644">
      <w:marLeft w:val="0"/>
      <w:marRight w:val="0"/>
      <w:marTop w:val="0"/>
      <w:marBottom w:val="100"/>
      <w:divBdr>
        <w:top w:val="none" w:sz="0" w:space="0" w:color="auto"/>
        <w:left w:val="none" w:sz="0" w:space="0" w:color="auto"/>
        <w:bottom w:val="none" w:sz="0" w:space="0" w:color="auto"/>
        <w:right w:val="none" w:sz="0" w:space="0" w:color="auto"/>
      </w:divBdr>
    </w:div>
    <w:div w:id="43529480">
      <w:marLeft w:val="0"/>
      <w:marRight w:val="0"/>
      <w:marTop w:val="100"/>
      <w:marBottom w:val="100"/>
      <w:divBdr>
        <w:top w:val="none" w:sz="0" w:space="0" w:color="auto"/>
        <w:left w:val="none" w:sz="0" w:space="0" w:color="auto"/>
        <w:bottom w:val="none" w:sz="0" w:space="0" w:color="auto"/>
        <w:right w:val="none" w:sz="0" w:space="0" w:color="auto"/>
      </w:divBdr>
      <w:divsChild>
        <w:div w:id="989140802">
          <w:marLeft w:val="0"/>
          <w:marRight w:val="0"/>
          <w:marTop w:val="0"/>
          <w:marBottom w:val="0"/>
          <w:divBdr>
            <w:top w:val="none" w:sz="0" w:space="0" w:color="auto"/>
            <w:left w:val="none" w:sz="0" w:space="0" w:color="auto"/>
            <w:bottom w:val="none" w:sz="0" w:space="0" w:color="auto"/>
            <w:right w:val="none" w:sz="0" w:space="0" w:color="auto"/>
          </w:divBdr>
        </w:div>
        <w:div w:id="1050223060">
          <w:marLeft w:val="0"/>
          <w:marRight w:val="0"/>
          <w:marTop w:val="0"/>
          <w:marBottom w:val="0"/>
          <w:divBdr>
            <w:top w:val="none" w:sz="0" w:space="0" w:color="auto"/>
            <w:left w:val="none" w:sz="0" w:space="0" w:color="auto"/>
            <w:bottom w:val="none" w:sz="0" w:space="0" w:color="auto"/>
            <w:right w:val="none" w:sz="0" w:space="0" w:color="auto"/>
          </w:divBdr>
        </w:div>
      </w:divsChild>
    </w:div>
    <w:div w:id="43529894">
      <w:marLeft w:val="0"/>
      <w:marRight w:val="0"/>
      <w:marTop w:val="180"/>
      <w:marBottom w:val="100"/>
      <w:divBdr>
        <w:top w:val="none" w:sz="0" w:space="0" w:color="auto"/>
        <w:left w:val="none" w:sz="0" w:space="0" w:color="auto"/>
        <w:bottom w:val="none" w:sz="0" w:space="0" w:color="auto"/>
        <w:right w:val="none" w:sz="0" w:space="0" w:color="auto"/>
      </w:divBdr>
    </w:div>
    <w:div w:id="44108834">
      <w:marLeft w:val="0"/>
      <w:marRight w:val="0"/>
      <w:marTop w:val="180"/>
      <w:marBottom w:val="0"/>
      <w:divBdr>
        <w:top w:val="none" w:sz="0" w:space="0" w:color="auto"/>
        <w:left w:val="none" w:sz="0" w:space="0" w:color="auto"/>
        <w:bottom w:val="none" w:sz="0" w:space="0" w:color="auto"/>
        <w:right w:val="none" w:sz="0" w:space="0" w:color="auto"/>
      </w:divBdr>
    </w:div>
    <w:div w:id="44842969">
      <w:marLeft w:val="0"/>
      <w:marRight w:val="0"/>
      <w:marTop w:val="0"/>
      <w:marBottom w:val="0"/>
      <w:divBdr>
        <w:top w:val="none" w:sz="0" w:space="0" w:color="auto"/>
        <w:left w:val="none" w:sz="0" w:space="0" w:color="auto"/>
        <w:bottom w:val="none" w:sz="0" w:space="0" w:color="auto"/>
        <w:right w:val="none" w:sz="0" w:space="0" w:color="auto"/>
      </w:divBdr>
    </w:div>
    <w:div w:id="45691372">
      <w:marLeft w:val="0"/>
      <w:marRight w:val="0"/>
      <w:marTop w:val="0"/>
      <w:marBottom w:val="0"/>
      <w:divBdr>
        <w:top w:val="none" w:sz="0" w:space="0" w:color="auto"/>
        <w:left w:val="none" w:sz="0" w:space="0" w:color="auto"/>
        <w:bottom w:val="none" w:sz="0" w:space="0" w:color="auto"/>
        <w:right w:val="none" w:sz="0" w:space="0" w:color="auto"/>
      </w:divBdr>
      <w:divsChild>
        <w:div w:id="1519931978">
          <w:marLeft w:val="0"/>
          <w:marRight w:val="0"/>
          <w:marTop w:val="0"/>
          <w:marBottom w:val="100"/>
          <w:divBdr>
            <w:top w:val="none" w:sz="0" w:space="0" w:color="auto"/>
            <w:left w:val="none" w:sz="0" w:space="0" w:color="auto"/>
            <w:bottom w:val="none" w:sz="0" w:space="0" w:color="auto"/>
            <w:right w:val="none" w:sz="0" w:space="0" w:color="auto"/>
          </w:divBdr>
        </w:div>
      </w:divsChild>
    </w:div>
    <w:div w:id="46299060">
      <w:marLeft w:val="0"/>
      <w:marRight w:val="0"/>
      <w:marTop w:val="180"/>
      <w:marBottom w:val="0"/>
      <w:divBdr>
        <w:top w:val="none" w:sz="0" w:space="0" w:color="auto"/>
        <w:left w:val="none" w:sz="0" w:space="0" w:color="auto"/>
        <w:bottom w:val="none" w:sz="0" w:space="0" w:color="auto"/>
        <w:right w:val="none" w:sz="0" w:space="0" w:color="auto"/>
      </w:divBdr>
    </w:div>
    <w:div w:id="47805923">
      <w:marLeft w:val="0"/>
      <w:marRight w:val="0"/>
      <w:marTop w:val="0"/>
      <w:marBottom w:val="100"/>
      <w:divBdr>
        <w:top w:val="none" w:sz="0" w:space="0" w:color="auto"/>
        <w:left w:val="none" w:sz="0" w:space="0" w:color="auto"/>
        <w:bottom w:val="none" w:sz="0" w:space="0" w:color="auto"/>
        <w:right w:val="none" w:sz="0" w:space="0" w:color="auto"/>
      </w:divBdr>
    </w:div>
    <w:div w:id="47922721">
      <w:marLeft w:val="0"/>
      <w:marRight w:val="0"/>
      <w:marTop w:val="100"/>
      <w:marBottom w:val="100"/>
      <w:divBdr>
        <w:top w:val="none" w:sz="0" w:space="0" w:color="auto"/>
        <w:left w:val="none" w:sz="0" w:space="0" w:color="auto"/>
        <w:bottom w:val="none" w:sz="0" w:space="0" w:color="auto"/>
        <w:right w:val="none" w:sz="0" w:space="0" w:color="auto"/>
      </w:divBdr>
    </w:div>
    <w:div w:id="48234883">
      <w:marLeft w:val="0"/>
      <w:marRight w:val="0"/>
      <w:marTop w:val="100"/>
      <w:marBottom w:val="100"/>
      <w:divBdr>
        <w:top w:val="none" w:sz="0" w:space="0" w:color="auto"/>
        <w:left w:val="none" w:sz="0" w:space="0" w:color="auto"/>
        <w:bottom w:val="none" w:sz="0" w:space="0" w:color="auto"/>
        <w:right w:val="none" w:sz="0" w:space="0" w:color="auto"/>
      </w:divBdr>
    </w:div>
    <w:div w:id="48454723">
      <w:marLeft w:val="0"/>
      <w:marRight w:val="0"/>
      <w:marTop w:val="180"/>
      <w:marBottom w:val="0"/>
      <w:divBdr>
        <w:top w:val="none" w:sz="0" w:space="0" w:color="auto"/>
        <w:left w:val="none" w:sz="0" w:space="0" w:color="auto"/>
        <w:bottom w:val="none" w:sz="0" w:space="0" w:color="auto"/>
        <w:right w:val="none" w:sz="0" w:space="0" w:color="auto"/>
      </w:divBdr>
    </w:div>
    <w:div w:id="51851023">
      <w:marLeft w:val="0"/>
      <w:marRight w:val="0"/>
      <w:marTop w:val="180"/>
      <w:marBottom w:val="0"/>
      <w:divBdr>
        <w:top w:val="none" w:sz="0" w:space="0" w:color="auto"/>
        <w:left w:val="none" w:sz="0" w:space="0" w:color="auto"/>
        <w:bottom w:val="none" w:sz="0" w:space="0" w:color="auto"/>
        <w:right w:val="none" w:sz="0" w:space="0" w:color="auto"/>
      </w:divBdr>
    </w:div>
    <w:div w:id="52512234">
      <w:marLeft w:val="0"/>
      <w:marRight w:val="0"/>
      <w:marTop w:val="100"/>
      <w:marBottom w:val="0"/>
      <w:divBdr>
        <w:top w:val="none" w:sz="0" w:space="0" w:color="auto"/>
        <w:left w:val="none" w:sz="0" w:space="0" w:color="auto"/>
        <w:bottom w:val="none" w:sz="0" w:space="0" w:color="auto"/>
        <w:right w:val="none" w:sz="0" w:space="0" w:color="auto"/>
      </w:divBdr>
    </w:div>
    <w:div w:id="52890664">
      <w:marLeft w:val="0"/>
      <w:marRight w:val="0"/>
      <w:marTop w:val="100"/>
      <w:marBottom w:val="100"/>
      <w:divBdr>
        <w:top w:val="none" w:sz="0" w:space="0" w:color="auto"/>
        <w:left w:val="none" w:sz="0" w:space="0" w:color="auto"/>
        <w:bottom w:val="none" w:sz="0" w:space="0" w:color="auto"/>
        <w:right w:val="none" w:sz="0" w:space="0" w:color="auto"/>
      </w:divBdr>
    </w:div>
    <w:div w:id="55050927">
      <w:marLeft w:val="0"/>
      <w:marRight w:val="0"/>
      <w:marTop w:val="0"/>
      <w:marBottom w:val="0"/>
      <w:divBdr>
        <w:top w:val="none" w:sz="0" w:space="0" w:color="auto"/>
        <w:left w:val="none" w:sz="0" w:space="0" w:color="auto"/>
        <w:bottom w:val="none" w:sz="0" w:space="0" w:color="auto"/>
        <w:right w:val="none" w:sz="0" w:space="0" w:color="auto"/>
      </w:divBdr>
    </w:div>
    <w:div w:id="56711274">
      <w:marLeft w:val="0"/>
      <w:marRight w:val="0"/>
      <w:marTop w:val="100"/>
      <w:marBottom w:val="100"/>
      <w:divBdr>
        <w:top w:val="none" w:sz="0" w:space="0" w:color="auto"/>
        <w:left w:val="none" w:sz="0" w:space="0" w:color="auto"/>
        <w:bottom w:val="none" w:sz="0" w:space="0" w:color="auto"/>
        <w:right w:val="none" w:sz="0" w:space="0" w:color="auto"/>
      </w:divBdr>
    </w:div>
    <w:div w:id="57899953">
      <w:marLeft w:val="0"/>
      <w:marRight w:val="0"/>
      <w:marTop w:val="180"/>
      <w:marBottom w:val="0"/>
      <w:divBdr>
        <w:top w:val="none" w:sz="0" w:space="0" w:color="auto"/>
        <w:left w:val="none" w:sz="0" w:space="0" w:color="auto"/>
        <w:bottom w:val="none" w:sz="0" w:space="0" w:color="auto"/>
        <w:right w:val="none" w:sz="0" w:space="0" w:color="auto"/>
      </w:divBdr>
    </w:div>
    <w:div w:id="58141182">
      <w:marLeft w:val="0"/>
      <w:marRight w:val="0"/>
      <w:marTop w:val="0"/>
      <w:marBottom w:val="0"/>
      <w:divBdr>
        <w:top w:val="none" w:sz="0" w:space="0" w:color="auto"/>
        <w:left w:val="none" w:sz="0" w:space="0" w:color="auto"/>
        <w:bottom w:val="none" w:sz="0" w:space="0" w:color="auto"/>
        <w:right w:val="none" w:sz="0" w:space="0" w:color="auto"/>
      </w:divBdr>
    </w:div>
    <w:div w:id="60102286">
      <w:marLeft w:val="0"/>
      <w:marRight w:val="0"/>
      <w:marTop w:val="0"/>
      <w:marBottom w:val="0"/>
      <w:divBdr>
        <w:top w:val="none" w:sz="0" w:space="0" w:color="auto"/>
        <w:left w:val="none" w:sz="0" w:space="0" w:color="auto"/>
        <w:bottom w:val="none" w:sz="0" w:space="0" w:color="auto"/>
        <w:right w:val="none" w:sz="0" w:space="0" w:color="auto"/>
      </w:divBdr>
      <w:divsChild>
        <w:div w:id="1616014367">
          <w:marLeft w:val="0"/>
          <w:marRight w:val="0"/>
          <w:marTop w:val="0"/>
          <w:marBottom w:val="0"/>
          <w:divBdr>
            <w:top w:val="none" w:sz="0" w:space="0" w:color="auto"/>
            <w:left w:val="none" w:sz="0" w:space="0" w:color="auto"/>
            <w:bottom w:val="none" w:sz="0" w:space="0" w:color="auto"/>
            <w:right w:val="none" w:sz="0" w:space="0" w:color="auto"/>
          </w:divBdr>
          <w:divsChild>
            <w:div w:id="8944378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3187306">
      <w:marLeft w:val="0"/>
      <w:marRight w:val="0"/>
      <w:marTop w:val="100"/>
      <w:marBottom w:val="100"/>
      <w:divBdr>
        <w:top w:val="none" w:sz="0" w:space="0" w:color="auto"/>
        <w:left w:val="none" w:sz="0" w:space="0" w:color="auto"/>
        <w:bottom w:val="none" w:sz="0" w:space="0" w:color="auto"/>
        <w:right w:val="none" w:sz="0" w:space="0" w:color="auto"/>
      </w:divBdr>
    </w:div>
    <w:div w:id="63722081">
      <w:marLeft w:val="0"/>
      <w:marRight w:val="0"/>
      <w:marTop w:val="100"/>
      <w:marBottom w:val="0"/>
      <w:divBdr>
        <w:top w:val="none" w:sz="0" w:space="0" w:color="auto"/>
        <w:left w:val="none" w:sz="0" w:space="0" w:color="auto"/>
        <w:bottom w:val="none" w:sz="0" w:space="0" w:color="auto"/>
        <w:right w:val="none" w:sz="0" w:space="0" w:color="auto"/>
      </w:divBdr>
    </w:div>
    <w:div w:id="64380139">
      <w:marLeft w:val="0"/>
      <w:marRight w:val="0"/>
      <w:marTop w:val="0"/>
      <w:marBottom w:val="0"/>
      <w:divBdr>
        <w:top w:val="none" w:sz="0" w:space="0" w:color="auto"/>
        <w:left w:val="none" w:sz="0" w:space="0" w:color="auto"/>
        <w:bottom w:val="none" w:sz="0" w:space="0" w:color="auto"/>
        <w:right w:val="none" w:sz="0" w:space="0" w:color="auto"/>
      </w:divBdr>
      <w:divsChild>
        <w:div w:id="1481580333">
          <w:marLeft w:val="0"/>
          <w:marRight w:val="0"/>
          <w:marTop w:val="0"/>
          <w:marBottom w:val="100"/>
          <w:divBdr>
            <w:top w:val="none" w:sz="0" w:space="0" w:color="auto"/>
            <w:left w:val="none" w:sz="0" w:space="0" w:color="auto"/>
            <w:bottom w:val="none" w:sz="0" w:space="0" w:color="auto"/>
            <w:right w:val="none" w:sz="0" w:space="0" w:color="auto"/>
          </w:divBdr>
        </w:div>
      </w:divsChild>
    </w:div>
    <w:div w:id="65996932">
      <w:marLeft w:val="0"/>
      <w:marRight w:val="0"/>
      <w:marTop w:val="180"/>
      <w:marBottom w:val="0"/>
      <w:divBdr>
        <w:top w:val="none" w:sz="0" w:space="0" w:color="auto"/>
        <w:left w:val="none" w:sz="0" w:space="0" w:color="auto"/>
        <w:bottom w:val="none" w:sz="0" w:space="0" w:color="auto"/>
        <w:right w:val="none" w:sz="0" w:space="0" w:color="auto"/>
      </w:divBdr>
    </w:div>
    <w:div w:id="66922973">
      <w:marLeft w:val="0"/>
      <w:marRight w:val="0"/>
      <w:marTop w:val="100"/>
      <w:marBottom w:val="100"/>
      <w:divBdr>
        <w:top w:val="none" w:sz="0" w:space="0" w:color="auto"/>
        <w:left w:val="none" w:sz="0" w:space="0" w:color="auto"/>
        <w:bottom w:val="none" w:sz="0" w:space="0" w:color="auto"/>
        <w:right w:val="none" w:sz="0" w:space="0" w:color="auto"/>
      </w:divBdr>
    </w:div>
    <w:div w:id="68501870">
      <w:marLeft w:val="0"/>
      <w:marRight w:val="0"/>
      <w:marTop w:val="0"/>
      <w:marBottom w:val="100"/>
      <w:divBdr>
        <w:top w:val="none" w:sz="0" w:space="0" w:color="auto"/>
        <w:left w:val="none" w:sz="0" w:space="0" w:color="auto"/>
        <w:bottom w:val="none" w:sz="0" w:space="0" w:color="auto"/>
        <w:right w:val="none" w:sz="0" w:space="0" w:color="auto"/>
      </w:divBdr>
    </w:div>
    <w:div w:id="68626645">
      <w:marLeft w:val="0"/>
      <w:marRight w:val="0"/>
      <w:marTop w:val="100"/>
      <w:marBottom w:val="100"/>
      <w:divBdr>
        <w:top w:val="none" w:sz="0" w:space="0" w:color="auto"/>
        <w:left w:val="none" w:sz="0" w:space="0" w:color="auto"/>
        <w:bottom w:val="none" w:sz="0" w:space="0" w:color="auto"/>
        <w:right w:val="none" w:sz="0" w:space="0" w:color="auto"/>
      </w:divBdr>
    </w:div>
    <w:div w:id="68888953">
      <w:marLeft w:val="0"/>
      <w:marRight w:val="0"/>
      <w:marTop w:val="0"/>
      <w:marBottom w:val="0"/>
      <w:divBdr>
        <w:top w:val="none" w:sz="0" w:space="0" w:color="auto"/>
        <w:left w:val="none" w:sz="0" w:space="0" w:color="auto"/>
        <w:bottom w:val="none" w:sz="0" w:space="0" w:color="auto"/>
        <w:right w:val="none" w:sz="0" w:space="0" w:color="auto"/>
      </w:divBdr>
      <w:divsChild>
        <w:div w:id="1477838895">
          <w:marLeft w:val="0"/>
          <w:marRight w:val="0"/>
          <w:marTop w:val="0"/>
          <w:marBottom w:val="0"/>
          <w:divBdr>
            <w:top w:val="none" w:sz="0" w:space="0" w:color="auto"/>
            <w:left w:val="none" w:sz="0" w:space="0" w:color="auto"/>
            <w:bottom w:val="none" w:sz="0" w:space="0" w:color="auto"/>
            <w:right w:val="none" w:sz="0" w:space="0" w:color="auto"/>
          </w:divBdr>
          <w:divsChild>
            <w:div w:id="190594772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125200">
      <w:marLeft w:val="0"/>
      <w:marRight w:val="0"/>
      <w:marTop w:val="100"/>
      <w:marBottom w:val="100"/>
      <w:divBdr>
        <w:top w:val="none" w:sz="0" w:space="0" w:color="auto"/>
        <w:left w:val="none" w:sz="0" w:space="0" w:color="auto"/>
        <w:bottom w:val="none" w:sz="0" w:space="0" w:color="auto"/>
        <w:right w:val="none" w:sz="0" w:space="0" w:color="auto"/>
      </w:divBdr>
    </w:div>
    <w:div w:id="71238356">
      <w:marLeft w:val="0"/>
      <w:marRight w:val="0"/>
      <w:marTop w:val="0"/>
      <w:marBottom w:val="0"/>
      <w:divBdr>
        <w:top w:val="none" w:sz="0" w:space="0" w:color="auto"/>
        <w:left w:val="none" w:sz="0" w:space="0" w:color="auto"/>
        <w:bottom w:val="none" w:sz="0" w:space="0" w:color="auto"/>
        <w:right w:val="none" w:sz="0" w:space="0" w:color="auto"/>
      </w:divBdr>
      <w:divsChild>
        <w:div w:id="1962488759">
          <w:marLeft w:val="0"/>
          <w:marRight w:val="0"/>
          <w:marTop w:val="0"/>
          <w:marBottom w:val="0"/>
          <w:divBdr>
            <w:top w:val="none" w:sz="0" w:space="0" w:color="auto"/>
            <w:left w:val="none" w:sz="0" w:space="0" w:color="auto"/>
            <w:bottom w:val="none" w:sz="0" w:space="0" w:color="auto"/>
            <w:right w:val="none" w:sz="0" w:space="0" w:color="auto"/>
          </w:divBdr>
          <w:divsChild>
            <w:div w:id="17097177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894951">
      <w:marLeft w:val="0"/>
      <w:marRight w:val="0"/>
      <w:marTop w:val="100"/>
      <w:marBottom w:val="100"/>
      <w:divBdr>
        <w:top w:val="none" w:sz="0" w:space="0" w:color="auto"/>
        <w:left w:val="none" w:sz="0" w:space="0" w:color="auto"/>
        <w:bottom w:val="none" w:sz="0" w:space="0" w:color="auto"/>
        <w:right w:val="none" w:sz="0" w:space="0" w:color="auto"/>
      </w:divBdr>
      <w:divsChild>
        <w:div w:id="781799080">
          <w:marLeft w:val="0"/>
          <w:marRight w:val="0"/>
          <w:marTop w:val="0"/>
          <w:marBottom w:val="0"/>
          <w:divBdr>
            <w:top w:val="none" w:sz="0" w:space="0" w:color="auto"/>
            <w:left w:val="none" w:sz="0" w:space="0" w:color="auto"/>
            <w:bottom w:val="none" w:sz="0" w:space="0" w:color="auto"/>
            <w:right w:val="none" w:sz="0" w:space="0" w:color="auto"/>
          </w:divBdr>
        </w:div>
      </w:divsChild>
    </w:div>
    <w:div w:id="74209917">
      <w:marLeft w:val="0"/>
      <w:marRight w:val="0"/>
      <w:marTop w:val="180"/>
      <w:marBottom w:val="0"/>
      <w:divBdr>
        <w:top w:val="none" w:sz="0" w:space="0" w:color="auto"/>
        <w:left w:val="none" w:sz="0" w:space="0" w:color="auto"/>
        <w:bottom w:val="none" w:sz="0" w:space="0" w:color="auto"/>
        <w:right w:val="none" w:sz="0" w:space="0" w:color="auto"/>
      </w:divBdr>
    </w:div>
    <w:div w:id="75901797">
      <w:marLeft w:val="0"/>
      <w:marRight w:val="0"/>
      <w:marTop w:val="0"/>
      <w:marBottom w:val="100"/>
      <w:divBdr>
        <w:top w:val="none" w:sz="0" w:space="0" w:color="auto"/>
        <w:left w:val="none" w:sz="0" w:space="0" w:color="auto"/>
        <w:bottom w:val="none" w:sz="0" w:space="0" w:color="auto"/>
        <w:right w:val="none" w:sz="0" w:space="0" w:color="auto"/>
      </w:divBdr>
    </w:div>
    <w:div w:id="76051261">
      <w:marLeft w:val="0"/>
      <w:marRight w:val="0"/>
      <w:marTop w:val="180"/>
      <w:marBottom w:val="0"/>
      <w:divBdr>
        <w:top w:val="none" w:sz="0" w:space="0" w:color="auto"/>
        <w:left w:val="none" w:sz="0" w:space="0" w:color="auto"/>
        <w:bottom w:val="none" w:sz="0" w:space="0" w:color="auto"/>
        <w:right w:val="none" w:sz="0" w:space="0" w:color="auto"/>
      </w:divBdr>
    </w:div>
    <w:div w:id="76634503">
      <w:marLeft w:val="0"/>
      <w:marRight w:val="0"/>
      <w:marTop w:val="0"/>
      <w:marBottom w:val="0"/>
      <w:divBdr>
        <w:top w:val="none" w:sz="0" w:space="0" w:color="auto"/>
        <w:left w:val="none" w:sz="0" w:space="0" w:color="auto"/>
        <w:bottom w:val="none" w:sz="0" w:space="0" w:color="auto"/>
        <w:right w:val="none" w:sz="0" w:space="0" w:color="auto"/>
      </w:divBdr>
      <w:divsChild>
        <w:div w:id="239101382">
          <w:marLeft w:val="0"/>
          <w:marRight w:val="0"/>
          <w:marTop w:val="0"/>
          <w:marBottom w:val="100"/>
          <w:divBdr>
            <w:top w:val="none" w:sz="0" w:space="0" w:color="auto"/>
            <w:left w:val="none" w:sz="0" w:space="0" w:color="auto"/>
            <w:bottom w:val="none" w:sz="0" w:space="0" w:color="auto"/>
            <w:right w:val="none" w:sz="0" w:space="0" w:color="auto"/>
          </w:divBdr>
        </w:div>
      </w:divsChild>
    </w:div>
    <w:div w:id="77676014">
      <w:marLeft w:val="0"/>
      <w:marRight w:val="0"/>
      <w:marTop w:val="0"/>
      <w:marBottom w:val="100"/>
      <w:divBdr>
        <w:top w:val="none" w:sz="0" w:space="0" w:color="auto"/>
        <w:left w:val="none" w:sz="0" w:space="0" w:color="auto"/>
        <w:bottom w:val="none" w:sz="0" w:space="0" w:color="auto"/>
        <w:right w:val="none" w:sz="0" w:space="0" w:color="auto"/>
      </w:divBdr>
    </w:div>
    <w:div w:id="78674978">
      <w:marLeft w:val="0"/>
      <w:marRight w:val="0"/>
      <w:marTop w:val="180"/>
      <w:marBottom w:val="100"/>
      <w:divBdr>
        <w:top w:val="none" w:sz="0" w:space="0" w:color="auto"/>
        <w:left w:val="none" w:sz="0" w:space="0" w:color="auto"/>
        <w:bottom w:val="none" w:sz="0" w:space="0" w:color="auto"/>
        <w:right w:val="none" w:sz="0" w:space="0" w:color="auto"/>
      </w:divBdr>
    </w:div>
    <w:div w:id="79910462">
      <w:marLeft w:val="0"/>
      <w:marRight w:val="0"/>
      <w:marTop w:val="0"/>
      <w:marBottom w:val="0"/>
      <w:divBdr>
        <w:top w:val="none" w:sz="0" w:space="0" w:color="auto"/>
        <w:left w:val="none" w:sz="0" w:space="0" w:color="auto"/>
        <w:bottom w:val="none" w:sz="0" w:space="0" w:color="auto"/>
        <w:right w:val="none" w:sz="0" w:space="0" w:color="auto"/>
      </w:divBdr>
      <w:divsChild>
        <w:div w:id="1661617447">
          <w:marLeft w:val="0"/>
          <w:marRight w:val="0"/>
          <w:marTop w:val="0"/>
          <w:marBottom w:val="100"/>
          <w:divBdr>
            <w:top w:val="none" w:sz="0" w:space="0" w:color="auto"/>
            <w:left w:val="none" w:sz="0" w:space="0" w:color="auto"/>
            <w:bottom w:val="none" w:sz="0" w:space="0" w:color="auto"/>
            <w:right w:val="none" w:sz="0" w:space="0" w:color="auto"/>
          </w:divBdr>
        </w:div>
      </w:divsChild>
    </w:div>
    <w:div w:id="80565094">
      <w:marLeft w:val="0"/>
      <w:marRight w:val="0"/>
      <w:marTop w:val="0"/>
      <w:marBottom w:val="100"/>
      <w:divBdr>
        <w:top w:val="none" w:sz="0" w:space="0" w:color="auto"/>
        <w:left w:val="none" w:sz="0" w:space="0" w:color="auto"/>
        <w:bottom w:val="none" w:sz="0" w:space="0" w:color="auto"/>
        <w:right w:val="none" w:sz="0" w:space="0" w:color="auto"/>
      </w:divBdr>
    </w:div>
    <w:div w:id="81531317">
      <w:marLeft w:val="0"/>
      <w:marRight w:val="0"/>
      <w:marTop w:val="100"/>
      <w:marBottom w:val="100"/>
      <w:divBdr>
        <w:top w:val="none" w:sz="0" w:space="0" w:color="auto"/>
        <w:left w:val="none" w:sz="0" w:space="0" w:color="auto"/>
        <w:bottom w:val="none" w:sz="0" w:space="0" w:color="auto"/>
        <w:right w:val="none" w:sz="0" w:space="0" w:color="auto"/>
      </w:divBdr>
      <w:divsChild>
        <w:div w:id="1470056641">
          <w:marLeft w:val="0"/>
          <w:marRight w:val="0"/>
          <w:marTop w:val="0"/>
          <w:marBottom w:val="0"/>
          <w:divBdr>
            <w:top w:val="none" w:sz="0" w:space="0" w:color="auto"/>
            <w:left w:val="none" w:sz="0" w:space="0" w:color="auto"/>
            <w:bottom w:val="none" w:sz="0" w:space="0" w:color="auto"/>
            <w:right w:val="none" w:sz="0" w:space="0" w:color="auto"/>
          </w:divBdr>
        </w:div>
      </w:divsChild>
    </w:div>
    <w:div w:id="82190155">
      <w:marLeft w:val="0"/>
      <w:marRight w:val="0"/>
      <w:marTop w:val="0"/>
      <w:marBottom w:val="0"/>
      <w:divBdr>
        <w:top w:val="none" w:sz="0" w:space="0" w:color="auto"/>
        <w:left w:val="none" w:sz="0" w:space="0" w:color="auto"/>
        <w:bottom w:val="none" w:sz="0" w:space="0" w:color="auto"/>
        <w:right w:val="none" w:sz="0" w:space="0" w:color="auto"/>
      </w:divBdr>
    </w:div>
    <w:div w:id="82992705">
      <w:marLeft w:val="0"/>
      <w:marRight w:val="0"/>
      <w:marTop w:val="180"/>
      <w:marBottom w:val="0"/>
      <w:divBdr>
        <w:top w:val="none" w:sz="0" w:space="0" w:color="auto"/>
        <w:left w:val="none" w:sz="0" w:space="0" w:color="auto"/>
        <w:bottom w:val="none" w:sz="0" w:space="0" w:color="auto"/>
        <w:right w:val="none" w:sz="0" w:space="0" w:color="auto"/>
      </w:divBdr>
    </w:div>
    <w:div w:id="83066058">
      <w:marLeft w:val="0"/>
      <w:marRight w:val="0"/>
      <w:marTop w:val="100"/>
      <w:marBottom w:val="100"/>
      <w:divBdr>
        <w:top w:val="none" w:sz="0" w:space="0" w:color="auto"/>
        <w:left w:val="none" w:sz="0" w:space="0" w:color="auto"/>
        <w:bottom w:val="none" w:sz="0" w:space="0" w:color="auto"/>
        <w:right w:val="none" w:sz="0" w:space="0" w:color="auto"/>
      </w:divBdr>
      <w:divsChild>
        <w:div w:id="132481004">
          <w:marLeft w:val="0"/>
          <w:marRight w:val="0"/>
          <w:marTop w:val="0"/>
          <w:marBottom w:val="0"/>
          <w:divBdr>
            <w:top w:val="none" w:sz="0" w:space="0" w:color="auto"/>
            <w:left w:val="none" w:sz="0" w:space="0" w:color="auto"/>
            <w:bottom w:val="none" w:sz="0" w:space="0" w:color="auto"/>
            <w:right w:val="none" w:sz="0" w:space="0" w:color="auto"/>
          </w:divBdr>
        </w:div>
      </w:divsChild>
    </w:div>
    <w:div w:id="83454729">
      <w:marLeft w:val="0"/>
      <w:marRight w:val="0"/>
      <w:marTop w:val="0"/>
      <w:marBottom w:val="0"/>
      <w:divBdr>
        <w:top w:val="none" w:sz="0" w:space="0" w:color="auto"/>
        <w:left w:val="none" w:sz="0" w:space="0" w:color="auto"/>
        <w:bottom w:val="none" w:sz="0" w:space="0" w:color="auto"/>
        <w:right w:val="none" w:sz="0" w:space="0" w:color="auto"/>
      </w:divBdr>
      <w:divsChild>
        <w:div w:id="2023169189">
          <w:marLeft w:val="0"/>
          <w:marRight w:val="0"/>
          <w:marTop w:val="0"/>
          <w:marBottom w:val="0"/>
          <w:divBdr>
            <w:top w:val="none" w:sz="0" w:space="0" w:color="auto"/>
            <w:left w:val="none" w:sz="0" w:space="0" w:color="auto"/>
            <w:bottom w:val="none" w:sz="0" w:space="0" w:color="auto"/>
            <w:right w:val="none" w:sz="0" w:space="0" w:color="auto"/>
          </w:divBdr>
          <w:divsChild>
            <w:div w:id="20602775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3961399">
      <w:marLeft w:val="0"/>
      <w:marRight w:val="0"/>
      <w:marTop w:val="0"/>
      <w:marBottom w:val="0"/>
      <w:divBdr>
        <w:top w:val="none" w:sz="0" w:space="0" w:color="auto"/>
        <w:left w:val="none" w:sz="0" w:space="0" w:color="auto"/>
        <w:bottom w:val="none" w:sz="0" w:space="0" w:color="auto"/>
        <w:right w:val="none" w:sz="0" w:space="0" w:color="auto"/>
      </w:divBdr>
      <w:divsChild>
        <w:div w:id="1201433641">
          <w:marLeft w:val="0"/>
          <w:marRight w:val="0"/>
          <w:marTop w:val="0"/>
          <w:marBottom w:val="0"/>
          <w:divBdr>
            <w:top w:val="none" w:sz="0" w:space="0" w:color="auto"/>
            <w:left w:val="none" w:sz="0" w:space="0" w:color="auto"/>
            <w:bottom w:val="none" w:sz="0" w:space="0" w:color="auto"/>
            <w:right w:val="none" w:sz="0" w:space="0" w:color="auto"/>
          </w:divBdr>
          <w:divsChild>
            <w:div w:id="8053149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352408">
      <w:marLeft w:val="0"/>
      <w:marRight w:val="0"/>
      <w:marTop w:val="0"/>
      <w:marBottom w:val="0"/>
      <w:divBdr>
        <w:top w:val="none" w:sz="0" w:space="0" w:color="auto"/>
        <w:left w:val="none" w:sz="0" w:space="0" w:color="auto"/>
        <w:bottom w:val="none" w:sz="0" w:space="0" w:color="auto"/>
        <w:right w:val="none" w:sz="0" w:space="0" w:color="auto"/>
      </w:divBdr>
    </w:div>
    <w:div w:id="84956841">
      <w:marLeft w:val="0"/>
      <w:marRight w:val="0"/>
      <w:marTop w:val="0"/>
      <w:marBottom w:val="0"/>
      <w:divBdr>
        <w:top w:val="none" w:sz="0" w:space="0" w:color="auto"/>
        <w:left w:val="none" w:sz="0" w:space="0" w:color="auto"/>
        <w:bottom w:val="none" w:sz="0" w:space="0" w:color="auto"/>
        <w:right w:val="none" w:sz="0" w:space="0" w:color="auto"/>
      </w:divBdr>
      <w:divsChild>
        <w:div w:id="509181460">
          <w:marLeft w:val="0"/>
          <w:marRight w:val="0"/>
          <w:marTop w:val="0"/>
          <w:marBottom w:val="0"/>
          <w:divBdr>
            <w:top w:val="none" w:sz="0" w:space="0" w:color="auto"/>
            <w:left w:val="none" w:sz="0" w:space="0" w:color="auto"/>
            <w:bottom w:val="none" w:sz="0" w:space="0" w:color="auto"/>
            <w:right w:val="none" w:sz="0" w:space="0" w:color="auto"/>
          </w:divBdr>
          <w:divsChild>
            <w:div w:id="208942133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6271215">
      <w:marLeft w:val="0"/>
      <w:marRight w:val="0"/>
      <w:marTop w:val="0"/>
      <w:marBottom w:val="100"/>
      <w:divBdr>
        <w:top w:val="none" w:sz="0" w:space="0" w:color="auto"/>
        <w:left w:val="none" w:sz="0" w:space="0" w:color="auto"/>
        <w:bottom w:val="none" w:sz="0" w:space="0" w:color="auto"/>
        <w:right w:val="none" w:sz="0" w:space="0" w:color="auto"/>
      </w:divBdr>
    </w:div>
    <w:div w:id="86343020">
      <w:marLeft w:val="0"/>
      <w:marRight w:val="0"/>
      <w:marTop w:val="100"/>
      <w:marBottom w:val="100"/>
      <w:divBdr>
        <w:top w:val="none" w:sz="0" w:space="0" w:color="auto"/>
        <w:left w:val="none" w:sz="0" w:space="0" w:color="auto"/>
        <w:bottom w:val="none" w:sz="0" w:space="0" w:color="auto"/>
        <w:right w:val="none" w:sz="0" w:space="0" w:color="auto"/>
      </w:divBdr>
    </w:div>
    <w:div w:id="87508341">
      <w:marLeft w:val="0"/>
      <w:marRight w:val="0"/>
      <w:marTop w:val="180"/>
      <w:marBottom w:val="100"/>
      <w:divBdr>
        <w:top w:val="none" w:sz="0" w:space="0" w:color="auto"/>
        <w:left w:val="none" w:sz="0" w:space="0" w:color="auto"/>
        <w:bottom w:val="none" w:sz="0" w:space="0" w:color="auto"/>
        <w:right w:val="none" w:sz="0" w:space="0" w:color="auto"/>
      </w:divBdr>
    </w:div>
    <w:div w:id="90007652">
      <w:marLeft w:val="0"/>
      <w:marRight w:val="0"/>
      <w:marTop w:val="0"/>
      <w:marBottom w:val="100"/>
      <w:divBdr>
        <w:top w:val="none" w:sz="0" w:space="0" w:color="auto"/>
        <w:left w:val="none" w:sz="0" w:space="0" w:color="auto"/>
        <w:bottom w:val="none" w:sz="0" w:space="0" w:color="auto"/>
        <w:right w:val="none" w:sz="0" w:space="0" w:color="auto"/>
      </w:divBdr>
    </w:div>
    <w:div w:id="93016455">
      <w:marLeft w:val="0"/>
      <w:marRight w:val="0"/>
      <w:marTop w:val="0"/>
      <w:marBottom w:val="0"/>
      <w:divBdr>
        <w:top w:val="none" w:sz="0" w:space="0" w:color="auto"/>
        <w:left w:val="none" w:sz="0" w:space="0" w:color="auto"/>
        <w:bottom w:val="none" w:sz="0" w:space="0" w:color="auto"/>
        <w:right w:val="none" w:sz="0" w:space="0" w:color="auto"/>
      </w:divBdr>
      <w:divsChild>
        <w:div w:id="168105091">
          <w:marLeft w:val="0"/>
          <w:marRight w:val="0"/>
          <w:marTop w:val="0"/>
          <w:marBottom w:val="0"/>
          <w:divBdr>
            <w:top w:val="none" w:sz="0" w:space="0" w:color="auto"/>
            <w:left w:val="none" w:sz="0" w:space="0" w:color="auto"/>
            <w:bottom w:val="none" w:sz="0" w:space="0" w:color="auto"/>
            <w:right w:val="none" w:sz="0" w:space="0" w:color="auto"/>
          </w:divBdr>
          <w:divsChild>
            <w:div w:id="11061952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3793290">
      <w:marLeft w:val="0"/>
      <w:marRight w:val="0"/>
      <w:marTop w:val="0"/>
      <w:marBottom w:val="0"/>
      <w:divBdr>
        <w:top w:val="none" w:sz="0" w:space="0" w:color="auto"/>
        <w:left w:val="none" w:sz="0" w:space="0" w:color="auto"/>
        <w:bottom w:val="none" w:sz="0" w:space="0" w:color="auto"/>
        <w:right w:val="none" w:sz="0" w:space="0" w:color="auto"/>
      </w:divBdr>
    </w:div>
    <w:div w:id="95911836">
      <w:marLeft w:val="0"/>
      <w:marRight w:val="0"/>
      <w:marTop w:val="0"/>
      <w:marBottom w:val="0"/>
      <w:divBdr>
        <w:top w:val="none" w:sz="0" w:space="0" w:color="auto"/>
        <w:left w:val="none" w:sz="0" w:space="0" w:color="auto"/>
        <w:bottom w:val="none" w:sz="0" w:space="0" w:color="auto"/>
        <w:right w:val="none" w:sz="0" w:space="0" w:color="auto"/>
      </w:divBdr>
      <w:divsChild>
        <w:div w:id="20329496">
          <w:marLeft w:val="0"/>
          <w:marRight w:val="0"/>
          <w:marTop w:val="0"/>
          <w:marBottom w:val="0"/>
          <w:divBdr>
            <w:top w:val="none" w:sz="0" w:space="0" w:color="auto"/>
            <w:left w:val="none" w:sz="0" w:space="0" w:color="auto"/>
            <w:bottom w:val="none" w:sz="0" w:space="0" w:color="auto"/>
            <w:right w:val="none" w:sz="0" w:space="0" w:color="auto"/>
          </w:divBdr>
          <w:divsChild>
            <w:div w:id="13678271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7648811">
      <w:marLeft w:val="0"/>
      <w:marRight w:val="0"/>
      <w:marTop w:val="0"/>
      <w:marBottom w:val="0"/>
      <w:divBdr>
        <w:top w:val="none" w:sz="0" w:space="0" w:color="auto"/>
        <w:left w:val="none" w:sz="0" w:space="0" w:color="auto"/>
        <w:bottom w:val="none" w:sz="0" w:space="0" w:color="auto"/>
        <w:right w:val="none" w:sz="0" w:space="0" w:color="auto"/>
      </w:divBdr>
      <w:divsChild>
        <w:div w:id="1861167480">
          <w:marLeft w:val="0"/>
          <w:marRight w:val="0"/>
          <w:marTop w:val="0"/>
          <w:marBottom w:val="0"/>
          <w:divBdr>
            <w:top w:val="none" w:sz="0" w:space="0" w:color="auto"/>
            <w:left w:val="none" w:sz="0" w:space="0" w:color="auto"/>
            <w:bottom w:val="none" w:sz="0" w:space="0" w:color="auto"/>
            <w:right w:val="none" w:sz="0" w:space="0" w:color="auto"/>
          </w:divBdr>
          <w:divsChild>
            <w:div w:id="90603646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8524212">
      <w:marLeft w:val="0"/>
      <w:marRight w:val="0"/>
      <w:marTop w:val="0"/>
      <w:marBottom w:val="0"/>
      <w:divBdr>
        <w:top w:val="none" w:sz="0" w:space="0" w:color="auto"/>
        <w:left w:val="none" w:sz="0" w:space="0" w:color="auto"/>
        <w:bottom w:val="none" w:sz="0" w:space="0" w:color="auto"/>
        <w:right w:val="none" w:sz="0" w:space="0" w:color="auto"/>
      </w:divBdr>
    </w:div>
    <w:div w:id="99761300">
      <w:marLeft w:val="0"/>
      <w:marRight w:val="0"/>
      <w:marTop w:val="180"/>
      <w:marBottom w:val="0"/>
      <w:divBdr>
        <w:top w:val="none" w:sz="0" w:space="0" w:color="auto"/>
        <w:left w:val="none" w:sz="0" w:space="0" w:color="auto"/>
        <w:bottom w:val="none" w:sz="0" w:space="0" w:color="auto"/>
        <w:right w:val="none" w:sz="0" w:space="0" w:color="auto"/>
      </w:divBdr>
    </w:div>
    <w:div w:id="100422552">
      <w:marLeft w:val="0"/>
      <w:marRight w:val="0"/>
      <w:marTop w:val="180"/>
      <w:marBottom w:val="100"/>
      <w:divBdr>
        <w:top w:val="none" w:sz="0" w:space="0" w:color="auto"/>
        <w:left w:val="none" w:sz="0" w:space="0" w:color="auto"/>
        <w:bottom w:val="none" w:sz="0" w:space="0" w:color="auto"/>
        <w:right w:val="none" w:sz="0" w:space="0" w:color="auto"/>
      </w:divBdr>
    </w:div>
    <w:div w:id="101844396">
      <w:marLeft w:val="0"/>
      <w:marRight w:val="0"/>
      <w:marTop w:val="100"/>
      <w:marBottom w:val="100"/>
      <w:divBdr>
        <w:top w:val="none" w:sz="0" w:space="0" w:color="auto"/>
        <w:left w:val="none" w:sz="0" w:space="0" w:color="auto"/>
        <w:bottom w:val="none" w:sz="0" w:space="0" w:color="auto"/>
        <w:right w:val="none" w:sz="0" w:space="0" w:color="auto"/>
      </w:divBdr>
    </w:div>
    <w:div w:id="103117203">
      <w:marLeft w:val="0"/>
      <w:marRight w:val="0"/>
      <w:marTop w:val="0"/>
      <w:marBottom w:val="100"/>
      <w:divBdr>
        <w:top w:val="none" w:sz="0" w:space="0" w:color="auto"/>
        <w:left w:val="none" w:sz="0" w:space="0" w:color="auto"/>
        <w:bottom w:val="none" w:sz="0" w:space="0" w:color="auto"/>
        <w:right w:val="none" w:sz="0" w:space="0" w:color="auto"/>
      </w:divBdr>
    </w:div>
    <w:div w:id="104468105">
      <w:marLeft w:val="0"/>
      <w:marRight w:val="0"/>
      <w:marTop w:val="100"/>
      <w:marBottom w:val="100"/>
      <w:divBdr>
        <w:top w:val="none" w:sz="0" w:space="0" w:color="auto"/>
        <w:left w:val="none" w:sz="0" w:space="0" w:color="auto"/>
        <w:bottom w:val="none" w:sz="0" w:space="0" w:color="auto"/>
        <w:right w:val="none" w:sz="0" w:space="0" w:color="auto"/>
      </w:divBdr>
    </w:div>
    <w:div w:id="105930154">
      <w:marLeft w:val="0"/>
      <w:marRight w:val="0"/>
      <w:marTop w:val="100"/>
      <w:marBottom w:val="100"/>
      <w:divBdr>
        <w:top w:val="none" w:sz="0" w:space="0" w:color="auto"/>
        <w:left w:val="none" w:sz="0" w:space="0" w:color="auto"/>
        <w:bottom w:val="none" w:sz="0" w:space="0" w:color="auto"/>
        <w:right w:val="none" w:sz="0" w:space="0" w:color="auto"/>
      </w:divBdr>
    </w:div>
    <w:div w:id="107479787">
      <w:marLeft w:val="0"/>
      <w:marRight w:val="0"/>
      <w:marTop w:val="0"/>
      <w:marBottom w:val="0"/>
      <w:divBdr>
        <w:top w:val="none" w:sz="0" w:space="0" w:color="auto"/>
        <w:left w:val="none" w:sz="0" w:space="0" w:color="auto"/>
        <w:bottom w:val="none" w:sz="0" w:space="0" w:color="auto"/>
        <w:right w:val="none" w:sz="0" w:space="0" w:color="auto"/>
      </w:divBdr>
      <w:divsChild>
        <w:div w:id="948856305">
          <w:marLeft w:val="0"/>
          <w:marRight w:val="0"/>
          <w:marTop w:val="0"/>
          <w:marBottom w:val="0"/>
          <w:divBdr>
            <w:top w:val="none" w:sz="0" w:space="0" w:color="auto"/>
            <w:left w:val="none" w:sz="0" w:space="0" w:color="auto"/>
            <w:bottom w:val="none" w:sz="0" w:space="0" w:color="auto"/>
            <w:right w:val="none" w:sz="0" w:space="0" w:color="auto"/>
          </w:divBdr>
          <w:divsChild>
            <w:div w:id="2221784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9011504">
      <w:marLeft w:val="0"/>
      <w:marRight w:val="0"/>
      <w:marTop w:val="180"/>
      <w:marBottom w:val="0"/>
      <w:divBdr>
        <w:top w:val="none" w:sz="0" w:space="0" w:color="auto"/>
        <w:left w:val="none" w:sz="0" w:space="0" w:color="auto"/>
        <w:bottom w:val="none" w:sz="0" w:space="0" w:color="auto"/>
        <w:right w:val="none" w:sz="0" w:space="0" w:color="auto"/>
      </w:divBdr>
    </w:div>
    <w:div w:id="109861945">
      <w:marLeft w:val="0"/>
      <w:marRight w:val="0"/>
      <w:marTop w:val="100"/>
      <w:marBottom w:val="0"/>
      <w:divBdr>
        <w:top w:val="none" w:sz="0" w:space="0" w:color="auto"/>
        <w:left w:val="none" w:sz="0" w:space="0" w:color="auto"/>
        <w:bottom w:val="none" w:sz="0" w:space="0" w:color="auto"/>
        <w:right w:val="none" w:sz="0" w:space="0" w:color="auto"/>
      </w:divBdr>
    </w:div>
    <w:div w:id="112795436">
      <w:marLeft w:val="0"/>
      <w:marRight w:val="0"/>
      <w:marTop w:val="100"/>
      <w:marBottom w:val="100"/>
      <w:divBdr>
        <w:top w:val="none" w:sz="0" w:space="0" w:color="auto"/>
        <w:left w:val="none" w:sz="0" w:space="0" w:color="auto"/>
        <w:bottom w:val="none" w:sz="0" w:space="0" w:color="auto"/>
        <w:right w:val="none" w:sz="0" w:space="0" w:color="auto"/>
      </w:divBdr>
    </w:div>
    <w:div w:id="115175828">
      <w:marLeft w:val="0"/>
      <w:marRight w:val="0"/>
      <w:marTop w:val="0"/>
      <w:marBottom w:val="100"/>
      <w:divBdr>
        <w:top w:val="none" w:sz="0" w:space="0" w:color="auto"/>
        <w:left w:val="none" w:sz="0" w:space="0" w:color="auto"/>
        <w:bottom w:val="none" w:sz="0" w:space="0" w:color="auto"/>
        <w:right w:val="none" w:sz="0" w:space="0" w:color="auto"/>
      </w:divBdr>
    </w:div>
    <w:div w:id="117183500">
      <w:marLeft w:val="0"/>
      <w:marRight w:val="0"/>
      <w:marTop w:val="0"/>
      <w:marBottom w:val="0"/>
      <w:divBdr>
        <w:top w:val="none" w:sz="0" w:space="0" w:color="auto"/>
        <w:left w:val="none" w:sz="0" w:space="0" w:color="auto"/>
        <w:bottom w:val="none" w:sz="0" w:space="0" w:color="auto"/>
        <w:right w:val="none" w:sz="0" w:space="0" w:color="auto"/>
      </w:divBdr>
    </w:div>
    <w:div w:id="117988883">
      <w:marLeft w:val="0"/>
      <w:marRight w:val="0"/>
      <w:marTop w:val="100"/>
      <w:marBottom w:val="0"/>
      <w:divBdr>
        <w:top w:val="none" w:sz="0" w:space="0" w:color="auto"/>
        <w:left w:val="none" w:sz="0" w:space="0" w:color="auto"/>
        <w:bottom w:val="none" w:sz="0" w:space="0" w:color="auto"/>
        <w:right w:val="none" w:sz="0" w:space="0" w:color="auto"/>
      </w:divBdr>
    </w:div>
    <w:div w:id="118961177">
      <w:marLeft w:val="0"/>
      <w:marRight w:val="0"/>
      <w:marTop w:val="0"/>
      <w:marBottom w:val="0"/>
      <w:divBdr>
        <w:top w:val="none" w:sz="0" w:space="0" w:color="auto"/>
        <w:left w:val="none" w:sz="0" w:space="0" w:color="auto"/>
        <w:bottom w:val="none" w:sz="0" w:space="0" w:color="auto"/>
        <w:right w:val="none" w:sz="0" w:space="0" w:color="auto"/>
      </w:divBdr>
      <w:divsChild>
        <w:div w:id="505094890">
          <w:marLeft w:val="0"/>
          <w:marRight w:val="0"/>
          <w:marTop w:val="0"/>
          <w:marBottom w:val="100"/>
          <w:divBdr>
            <w:top w:val="none" w:sz="0" w:space="0" w:color="auto"/>
            <w:left w:val="none" w:sz="0" w:space="0" w:color="auto"/>
            <w:bottom w:val="none" w:sz="0" w:space="0" w:color="auto"/>
            <w:right w:val="none" w:sz="0" w:space="0" w:color="auto"/>
          </w:divBdr>
        </w:div>
      </w:divsChild>
    </w:div>
    <w:div w:id="119886562">
      <w:marLeft w:val="0"/>
      <w:marRight w:val="0"/>
      <w:marTop w:val="100"/>
      <w:marBottom w:val="100"/>
      <w:divBdr>
        <w:top w:val="none" w:sz="0" w:space="0" w:color="auto"/>
        <w:left w:val="none" w:sz="0" w:space="0" w:color="auto"/>
        <w:bottom w:val="none" w:sz="0" w:space="0" w:color="auto"/>
        <w:right w:val="none" w:sz="0" w:space="0" w:color="auto"/>
      </w:divBdr>
    </w:div>
    <w:div w:id="120805856">
      <w:marLeft w:val="0"/>
      <w:marRight w:val="0"/>
      <w:marTop w:val="0"/>
      <w:marBottom w:val="0"/>
      <w:divBdr>
        <w:top w:val="none" w:sz="0" w:space="0" w:color="auto"/>
        <w:left w:val="none" w:sz="0" w:space="0" w:color="auto"/>
        <w:bottom w:val="none" w:sz="0" w:space="0" w:color="auto"/>
        <w:right w:val="none" w:sz="0" w:space="0" w:color="auto"/>
      </w:divBdr>
      <w:divsChild>
        <w:div w:id="558245140">
          <w:marLeft w:val="0"/>
          <w:marRight w:val="0"/>
          <w:marTop w:val="0"/>
          <w:marBottom w:val="0"/>
          <w:divBdr>
            <w:top w:val="none" w:sz="0" w:space="0" w:color="auto"/>
            <w:left w:val="none" w:sz="0" w:space="0" w:color="auto"/>
            <w:bottom w:val="none" w:sz="0" w:space="0" w:color="auto"/>
            <w:right w:val="none" w:sz="0" w:space="0" w:color="auto"/>
          </w:divBdr>
          <w:divsChild>
            <w:div w:id="134945377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1005508">
      <w:marLeft w:val="0"/>
      <w:marRight w:val="0"/>
      <w:marTop w:val="0"/>
      <w:marBottom w:val="100"/>
      <w:divBdr>
        <w:top w:val="none" w:sz="0" w:space="0" w:color="auto"/>
        <w:left w:val="none" w:sz="0" w:space="0" w:color="auto"/>
        <w:bottom w:val="none" w:sz="0" w:space="0" w:color="auto"/>
        <w:right w:val="none" w:sz="0" w:space="0" w:color="auto"/>
      </w:divBdr>
    </w:div>
    <w:div w:id="122426040">
      <w:marLeft w:val="0"/>
      <w:marRight w:val="0"/>
      <w:marTop w:val="0"/>
      <w:marBottom w:val="100"/>
      <w:divBdr>
        <w:top w:val="none" w:sz="0" w:space="0" w:color="auto"/>
        <w:left w:val="none" w:sz="0" w:space="0" w:color="auto"/>
        <w:bottom w:val="none" w:sz="0" w:space="0" w:color="auto"/>
        <w:right w:val="none" w:sz="0" w:space="0" w:color="auto"/>
      </w:divBdr>
    </w:div>
    <w:div w:id="123158704">
      <w:marLeft w:val="0"/>
      <w:marRight w:val="0"/>
      <w:marTop w:val="100"/>
      <w:marBottom w:val="100"/>
      <w:divBdr>
        <w:top w:val="none" w:sz="0" w:space="0" w:color="auto"/>
        <w:left w:val="none" w:sz="0" w:space="0" w:color="auto"/>
        <w:bottom w:val="none" w:sz="0" w:space="0" w:color="auto"/>
        <w:right w:val="none" w:sz="0" w:space="0" w:color="auto"/>
      </w:divBdr>
    </w:div>
    <w:div w:id="123500332">
      <w:marLeft w:val="0"/>
      <w:marRight w:val="0"/>
      <w:marTop w:val="0"/>
      <w:marBottom w:val="0"/>
      <w:divBdr>
        <w:top w:val="none" w:sz="0" w:space="0" w:color="auto"/>
        <w:left w:val="none" w:sz="0" w:space="0" w:color="auto"/>
        <w:bottom w:val="none" w:sz="0" w:space="0" w:color="auto"/>
        <w:right w:val="none" w:sz="0" w:space="0" w:color="auto"/>
      </w:divBdr>
    </w:div>
    <w:div w:id="123813482">
      <w:marLeft w:val="0"/>
      <w:marRight w:val="0"/>
      <w:marTop w:val="100"/>
      <w:marBottom w:val="100"/>
      <w:divBdr>
        <w:top w:val="none" w:sz="0" w:space="0" w:color="auto"/>
        <w:left w:val="none" w:sz="0" w:space="0" w:color="auto"/>
        <w:bottom w:val="none" w:sz="0" w:space="0" w:color="auto"/>
        <w:right w:val="none" w:sz="0" w:space="0" w:color="auto"/>
      </w:divBdr>
    </w:div>
    <w:div w:id="126629800">
      <w:marLeft w:val="0"/>
      <w:marRight w:val="0"/>
      <w:marTop w:val="0"/>
      <w:marBottom w:val="0"/>
      <w:divBdr>
        <w:top w:val="none" w:sz="0" w:space="0" w:color="auto"/>
        <w:left w:val="none" w:sz="0" w:space="0" w:color="auto"/>
        <w:bottom w:val="none" w:sz="0" w:space="0" w:color="auto"/>
        <w:right w:val="none" w:sz="0" w:space="0" w:color="auto"/>
      </w:divBdr>
      <w:divsChild>
        <w:div w:id="466556533">
          <w:marLeft w:val="0"/>
          <w:marRight w:val="0"/>
          <w:marTop w:val="0"/>
          <w:marBottom w:val="100"/>
          <w:divBdr>
            <w:top w:val="none" w:sz="0" w:space="0" w:color="auto"/>
            <w:left w:val="none" w:sz="0" w:space="0" w:color="auto"/>
            <w:bottom w:val="none" w:sz="0" w:space="0" w:color="auto"/>
            <w:right w:val="none" w:sz="0" w:space="0" w:color="auto"/>
          </w:divBdr>
        </w:div>
      </w:divsChild>
    </w:div>
    <w:div w:id="126706960">
      <w:marLeft w:val="0"/>
      <w:marRight w:val="0"/>
      <w:marTop w:val="180"/>
      <w:marBottom w:val="0"/>
      <w:divBdr>
        <w:top w:val="none" w:sz="0" w:space="0" w:color="auto"/>
        <w:left w:val="none" w:sz="0" w:space="0" w:color="auto"/>
        <w:bottom w:val="none" w:sz="0" w:space="0" w:color="auto"/>
        <w:right w:val="none" w:sz="0" w:space="0" w:color="auto"/>
      </w:divBdr>
    </w:div>
    <w:div w:id="127744355">
      <w:marLeft w:val="0"/>
      <w:marRight w:val="0"/>
      <w:marTop w:val="100"/>
      <w:marBottom w:val="100"/>
      <w:divBdr>
        <w:top w:val="none" w:sz="0" w:space="0" w:color="auto"/>
        <w:left w:val="none" w:sz="0" w:space="0" w:color="auto"/>
        <w:bottom w:val="none" w:sz="0" w:space="0" w:color="auto"/>
        <w:right w:val="none" w:sz="0" w:space="0" w:color="auto"/>
      </w:divBdr>
    </w:div>
    <w:div w:id="128671159">
      <w:marLeft w:val="0"/>
      <w:marRight w:val="0"/>
      <w:marTop w:val="180"/>
      <w:marBottom w:val="0"/>
      <w:divBdr>
        <w:top w:val="none" w:sz="0" w:space="0" w:color="auto"/>
        <w:left w:val="none" w:sz="0" w:space="0" w:color="auto"/>
        <w:bottom w:val="none" w:sz="0" w:space="0" w:color="auto"/>
        <w:right w:val="none" w:sz="0" w:space="0" w:color="auto"/>
      </w:divBdr>
    </w:div>
    <w:div w:id="130052913">
      <w:marLeft w:val="0"/>
      <w:marRight w:val="0"/>
      <w:marTop w:val="100"/>
      <w:marBottom w:val="100"/>
      <w:divBdr>
        <w:top w:val="none" w:sz="0" w:space="0" w:color="auto"/>
        <w:left w:val="none" w:sz="0" w:space="0" w:color="auto"/>
        <w:bottom w:val="none" w:sz="0" w:space="0" w:color="auto"/>
        <w:right w:val="none" w:sz="0" w:space="0" w:color="auto"/>
      </w:divBdr>
    </w:div>
    <w:div w:id="130296890">
      <w:marLeft w:val="0"/>
      <w:marRight w:val="0"/>
      <w:marTop w:val="190"/>
      <w:marBottom w:val="190"/>
      <w:divBdr>
        <w:top w:val="none" w:sz="0" w:space="0" w:color="auto"/>
        <w:left w:val="none" w:sz="0" w:space="0" w:color="auto"/>
        <w:bottom w:val="none" w:sz="0" w:space="0" w:color="auto"/>
        <w:right w:val="none" w:sz="0" w:space="0" w:color="auto"/>
      </w:divBdr>
    </w:div>
    <w:div w:id="131366079">
      <w:marLeft w:val="0"/>
      <w:marRight w:val="0"/>
      <w:marTop w:val="0"/>
      <w:marBottom w:val="0"/>
      <w:divBdr>
        <w:top w:val="none" w:sz="0" w:space="0" w:color="auto"/>
        <w:left w:val="none" w:sz="0" w:space="0" w:color="auto"/>
        <w:bottom w:val="none" w:sz="0" w:space="0" w:color="auto"/>
        <w:right w:val="none" w:sz="0" w:space="0" w:color="auto"/>
      </w:divBdr>
    </w:div>
    <w:div w:id="133329254">
      <w:marLeft w:val="0"/>
      <w:marRight w:val="0"/>
      <w:marTop w:val="100"/>
      <w:marBottom w:val="100"/>
      <w:divBdr>
        <w:top w:val="none" w:sz="0" w:space="0" w:color="auto"/>
        <w:left w:val="none" w:sz="0" w:space="0" w:color="auto"/>
        <w:bottom w:val="none" w:sz="0" w:space="0" w:color="auto"/>
        <w:right w:val="none" w:sz="0" w:space="0" w:color="auto"/>
      </w:divBdr>
    </w:div>
    <w:div w:id="133330202">
      <w:marLeft w:val="0"/>
      <w:marRight w:val="0"/>
      <w:marTop w:val="100"/>
      <w:marBottom w:val="100"/>
      <w:divBdr>
        <w:top w:val="none" w:sz="0" w:space="0" w:color="auto"/>
        <w:left w:val="none" w:sz="0" w:space="0" w:color="auto"/>
        <w:bottom w:val="none" w:sz="0" w:space="0" w:color="auto"/>
        <w:right w:val="none" w:sz="0" w:space="0" w:color="auto"/>
      </w:divBdr>
    </w:div>
    <w:div w:id="135336833">
      <w:marLeft w:val="0"/>
      <w:marRight w:val="0"/>
      <w:marTop w:val="0"/>
      <w:marBottom w:val="0"/>
      <w:divBdr>
        <w:top w:val="none" w:sz="0" w:space="0" w:color="auto"/>
        <w:left w:val="none" w:sz="0" w:space="0" w:color="auto"/>
        <w:bottom w:val="none" w:sz="0" w:space="0" w:color="auto"/>
        <w:right w:val="none" w:sz="0" w:space="0" w:color="auto"/>
      </w:divBdr>
      <w:divsChild>
        <w:div w:id="159780425">
          <w:marLeft w:val="0"/>
          <w:marRight w:val="0"/>
          <w:marTop w:val="0"/>
          <w:marBottom w:val="0"/>
          <w:divBdr>
            <w:top w:val="none" w:sz="0" w:space="0" w:color="auto"/>
            <w:left w:val="none" w:sz="0" w:space="0" w:color="auto"/>
            <w:bottom w:val="none" w:sz="0" w:space="0" w:color="auto"/>
            <w:right w:val="none" w:sz="0" w:space="0" w:color="auto"/>
          </w:divBdr>
          <w:divsChild>
            <w:div w:id="205229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6725870">
      <w:marLeft w:val="0"/>
      <w:marRight w:val="0"/>
      <w:marTop w:val="0"/>
      <w:marBottom w:val="0"/>
      <w:divBdr>
        <w:top w:val="none" w:sz="0" w:space="0" w:color="auto"/>
        <w:left w:val="none" w:sz="0" w:space="0" w:color="auto"/>
        <w:bottom w:val="none" w:sz="0" w:space="0" w:color="auto"/>
        <w:right w:val="none" w:sz="0" w:space="0" w:color="auto"/>
      </w:divBdr>
    </w:div>
    <w:div w:id="136728388">
      <w:marLeft w:val="0"/>
      <w:marRight w:val="0"/>
      <w:marTop w:val="100"/>
      <w:marBottom w:val="100"/>
      <w:divBdr>
        <w:top w:val="none" w:sz="0" w:space="0" w:color="auto"/>
        <w:left w:val="none" w:sz="0" w:space="0" w:color="auto"/>
        <w:bottom w:val="none" w:sz="0" w:space="0" w:color="auto"/>
        <w:right w:val="none" w:sz="0" w:space="0" w:color="auto"/>
      </w:divBdr>
    </w:div>
    <w:div w:id="137309817">
      <w:marLeft w:val="0"/>
      <w:marRight w:val="0"/>
      <w:marTop w:val="0"/>
      <w:marBottom w:val="100"/>
      <w:divBdr>
        <w:top w:val="none" w:sz="0" w:space="0" w:color="auto"/>
        <w:left w:val="none" w:sz="0" w:space="0" w:color="auto"/>
        <w:bottom w:val="none" w:sz="0" w:space="0" w:color="auto"/>
        <w:right w:val="none" w:sz="0" w:space="0" w:color="auto"/>
      </w:divBdr>
    </w:div>
    <w:div w:id="138501134">
      <w:marLeft w:val="0"/>
      <w:marRight w:val="0"/>
      <w:marTop w:val="0"/>
      <w:marBottom w:val="0"/>
      <w:divBdr>
        <w:top w:val="none" w:sz="0" w:space="0" w:color="auto"/>
        <w:left w:val="none" w:sz="0" w:space="0" w:color="auto"/>
        <w:bottom w:val="none" w:sz="0" w:space="0" w:color="auto"/>
        <w:right w:val="none" w:sz="0" w:space="0" w:color="auto"/>
      </w:divBdr>
    </w:div>
    <w:div w:id="138965783">
      <w:marLeft w:val="0"/>
      <w:marRight w:val="0"/>
      <w:marTop w:val="180"/>
      <w:marBottom w:val="0"/>
      <w:divBdr>
        <w:top w:val="none" w:sz="0" w:space="0" w:color="auto"/>
        <w:left w:val="none" w:sz="0" w:space="0" w:color="auto"/>
        <w:bottom w:val="none" w:sz="0" w:space="0" w:color="auto"/>
        <w:right w:val="none" w:sz="0" w:space="0" w:color="auto"/>
      </w:divBdr>
    </w:div>
    <w:div w:id="140388780">
      <w:marLeft w:val="0"/>
      <w:marRight w:val="0"/>
      <w:marTop w:val="100"/>
      <w:marBottom w:val="100"/>
      <w:divBdr>
        <w:top w:val="none" w:sz="0" w:space="0" w:color="auto"/>
        <w:left w:val="none" w:sz="0" w:space="0" w:color="auto"/>
        <w:bottom w:val="none" w:sz="0" w:space="0" w:color="auto"/>
        <w:right w:val="none" w:sz="0" w:space="0" w:color="auto"/>
      </w:divBdr>
    </w:div>
    <w:div w:id="142040607">
      <w:marLeft w:val="0"/>
      <w:marRight w:val="0"/>
      <w:marTop w:val="0"/>
      <w:marBottom w:val="0"/>
      <w:divBdr>
        <w:top w:val="none" w:sz="0" w:space="0" w:color="auto"/>
        <w:left w:val="none" w:sz="0" w:space="0" w:color="auto"/>
        <w:bottom w:val="none" w:sz="0" w:space="0" w:color="auto"/>
        <w:right w:val="none" w:sz="0" w:space="0" w:color="auto"/>
      </w:divBdr>
    </w:div>
    <w:div w:id="142047745">
      <w:marLeft w:val="0"/>
      <w:marRight w:val="0"/>
      <w:marTop w:val="0"/>
      <w:marBottom w:val="0"/>
      <w:divBdr>
        <w:top w:val="none" w:sz="0" w:space="0" w:color="auto"/>
        <w:left w:val="none" w:sz="0" w:space="0" w:color="auto"/>
        <w:bottom w:val="none" w:sz="0" w:space="0" w:color="auto"/>
        <w:right w:val="none" w:sz="0" w:space="0" w:color="auto"/>
      </w:divBdr>
    </w:div>
    <w:div w:id="145587889">
      <w:marLeft w:val="0"/>
      <w:marRight w:val="0"/>
      <w:marTop w:val="0"/>
      <w:marBottom w:val="100"/>
      <w:divBdr>
        <w:top w:val="none" w:sz="0" w:space="0" w:color="auto"/>
        <w:left w:val="none" w:sz="0" w:space="0" w:color="auto"/>
        <w:bottom w:val="none" w:sz="0" w:space="0" w:color="auto"/>
        <w:right w:val="none" w:sz="0" w:space="0" w:color="auto"/>
      </w:divBdr>
    </w:div>
    <w:div w:id="149449177">
      <w:marLeft w:val="0"/>
      <w:marRight w:val="0"/>
      <w:marTop w:val="0"/>
      <w:marBottom w:val="100"/>
      <w:divBdr>
        <w:top w:val="none" w:sz="0" w:space="0" w:color="auto"/>
        <w:left w:val="none" w:sz="0" w:space="0" w:color="auto"/>
        <w:bottom w:val="none" w:sz="0" w:space="0" w:color="auto"/>
        <w:right w:val="none" w:sz="0" w:space="0" w:color="auto"/>
      </w:divBdr>
    </w:div>
    <w:div w:id="150219029">
      <w:marLeft w:val="0"/>
      <w:marRight w:val="0"/>
      <w:marTop w:val="0"/>
      <w:marBottom w:val="100"/>
      <w:divBdr>
        <w:top w:val="none" w:sz="0" w:space="0" w:color="auto"/>
        <w:left w:val="none" w:sz="0" w:space="0" w:color="auto"/>
        <w:bottom w:val="none" w:sz="0" w:space="0" w:color="auto"/>
        <w:right w:val="none" w:sz="0" w:space="0" w:color="auto"/>
      </w:divBdr>
    </w:div>
    <w:div w:id="150801050">
      <w:marLeft w:val="0"/>
      <w:marRight w:val="0"/>
      <w:marTop w:val="0"/>
      <w:marBottom w:val="0"/>
      <w:divBdr>
        <w:top w:val="none" w:sz="0" w:space="0" w:color="auto"/>
        <w:left w:val="none" w:sz="0" w:space="0" w:color="auto"/>
        <w:bottom w:val="none" w:sz="0" w:space="0" w:color="auto"/>
        <w:right w:val="none" w:sz="0" w:space="0" w:color="auto"/>
      </w:divBdr>
      <w:divsChild>
        <w:div w:id="895091232">
          <w:marLeft w:val="0"/>
          <w:marRight w:val="0"/>
          <w:marTop w:val="0"/>
          <w:marBottom w:val="100"/>
          <w:divBdr>
            <w:top w:val="none" w:sz="0" w:space="0" w:color="auto"/>
            <w:left w:val="none" w:sz="0" w:space="0" w:color="auto"/>
            <w:bottom w:val="none" w:sz="0" w:space="0" w:color="auto"/>
            <w:right w:val="none" w:sz="0" w:space="0" w:color="auto"/>
          </w:divBdr>
        </w:div>
      </w:divsChild>
    </w:div>
    <w:div w:id="151609265">
      <w:marLeft w:val="0"/>
      <w:marRight w:val="0"/>
      <w:marTop w:val="0"/>
      <w:marBottom w:val="100"/>
      <w:divBdr>
        <w:top w:val="none" w:sz="0" w:space="0" w:color="auto"/>
        <w:left w:val="none" w:sz="0" w:space="0" w:color="auto"/>
        <w:bottom w:val="none" w:sz="0" w:space="0" w:color="auto"/>
        <w:right w:val="none" w:sz="0" w:space="0" w:color="auto"/>
      </w:divBdr>
    </w:div>
    <w:div w:id="154300685">
      <w:marLeft w:val="0"/>
      <w:marRight w:val="0"/>
      <w:marTop w:val="100"/>
      <w:marBottom w:val="100"/>
      <w:divBdr>
        <w:top w:val="none" w:sz="0" w:space="0" w:color="auto"/>
        <w:left w:val="none" w:sz="0" w:space="0" w:color="auto"/>
        <w:bottom w:val="none" w:sz="0" w:space="0" w:color="auto"/>
        <w:right w:val="none" w:sz="0" w:space="0" w:color="auto"/>
      </w:divBdr>
    </w:div>
    <w:div w:id="155272360">
      <w:marLeft w:val="0"/>
      <w:marRight w:val="0"/>
      <w:marTop w:val="0"/>
      <w:marBottom w:val="0"/>
      <w:divBdr>
        <w:top w:val="none" w:sz="0" w:space="0" w:color="auto"/>
        <w:left w:val="none" w:sz="0" w:space="0" w:color="auto"/>
        <w:bottom w:val="none" w:sz="0" w:space="0" w:color="auto"/>
        <w:right w:val="none" w:sz="0" w:space="0" w:color="auto"/>
      </w:divBdr>
      <w:divsChild>
        <w:div w:id="781001681">
          <w:marLeft w:val="0"/>
          <w:marRight w:val="0"/>
          <w:marTop w:val="0"/>
          <w:marBottom w:val="0"/>
          <w:divBdr>
            <w:top w:val="none" w:sz="0" w:space="0" w:color="auto"/>
            <w:left w:val="none" w:sz="0" w:space="0" w:color="auto"/>
            <w:bottom w:val="none" w:sz="0" w:space="0" w:color="auto"/>
            <w:right w:val="none" w:sz="0" w:space="0" w:color="auto"/>
          </w:divBdr>
          <w:divsChild>
            <w:div w:id="172413799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6964962">
      <w:marLeft w:val="0"/>
      <w:marRight w:val="0"/>
      <w:marTop w:val="180"/>
      <w:marBottom w:val="100"/>
      <w:divBdr>
        <w:top w:val="none" w:sz="0" w:space="0" w:color="auto"/>
        <w:left w:val="none" w:sz="0" w:space="0" w:color="auto"/>
        <w:bottom w:val="none" w:sz="0" w:space="0" w:color="auto"/>
        <w:right w:val="none" w:sz="0" w:space="0" w:color="auto"/>
      </w:divBdr>
    </w:div>
    <w:div w:id="157767860">
      <w:marLeft w:val="0"/>
      <w:marRight w:val="0"/>
      <w:marTop w:val="0"/>
      <w:marBottom w:val="0"/>
      <w:divBdr>
        <w:top w:val="none" w:sz="0" w:space="0" w:color="auto"/>
        <w:left w:val="none" w:sz="0" w:space="0" w:color="auto"/>
        <w:bottom w:val="none" w:sz="0" w:space="0" w:color="auto"/>
        <w:right w:val="none" w:sz="0" w:space="0" w:color="auto"/>
      </w:divBdr>
      <w:divsChild>
        <w:div w:id="302853510">
          <w:marLeft w:val="0"/>
          <w:marRight w:val="0"/>
          <w:marTop w:val="0"/>
          <w:marBottom w:val="0"/>
          <w:divBdr>
            <w:top w:val="none" w:sz="0" w:space="0" w:color="auto"/>
            <w:left w:val="none" w:sz="0" w:space="0" w:color="auto"/>
            <w:bottom w:val="none" w:sz="0" w:space="0" w:color="auto"/>
            <w:right w:val="none" w:sz="0" w:space="0" w:color="auto"/>
          </w:divBdr>
          <w:divsChild>
            <w:div w:id="10271762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975966">
      <w:marLeft w:val="0"/>
      <w:marRight w:val="0"/>
      <w:marTop w:val="0"/>
      <w:marBottom w:val="100"/>
      <w:divBdr>
        <w:top w:val="none" w:sz="0" w:space="0" w:color="auto"/>
        <w:left w:val="none" w:sz="0" w:space="0" w:color="auto"/>
        <w:bottom w:val="none" w:sz="0" w:space="0" w:color="auto"/>
        <w:right w:val="none" w:sz="0" w:space="0" w:color="auto"/>
      </w:divBdr>
    </w:div>
    <w:div w:id="161745578">
      <w:marLeft w:val="0"/>
      <w:marRight w:val="0"/>
      <w:marTop w:val="100"/>
      <w:marBottom w:val="100"/>
      <w:divBdr>
        <w:top w:val="none" w:sz="0" w:space="0" w:color="auto"/>
        <w:left w:val="none" w:sz="0" w:space="0" w:color="auto"/>
        <w:bottom w:val="none" w:sz="0" w:space="0" w:color="auto"/>
        <w:right w:val="none" w:sz="0" w:space="0" w:color="auto"/>
      </w:divBdr>
    </w:div>
    <w:div w:id="163135741">
      <w:marLeft w:val="0"/>
      <w:marRight w:val="0"/>
      <w:marTop w:val="100"/>
      <w:marBottom w:val="100"/>
      <w:divBdr>
        <w:top w:val="none" w:sz="0" w:space="0" w:color="auto"/>
        <w:left w:val="none" w:sz="0" w:space="0" w:color="auto"/>
        <w:bottom w:val="none" w:sz="0" w:space="0" w:color="auto"/>
        <w:right w:val="none" w:sz="0" w:space="0" w:color="auto"/>
      </w:divBdr>
    </w:div>
    <w:div w:id="166409323">
      <w:marLeft w:val="0"/>
      <w:marRight w:val="0"/>
      <w:marTop w:val="100"/>
      <w:marBottom w:val="100"/>
      <w:divBdr>
        <w:top w:val="none" w:sz="0" w:space="0" w:color="auto"/>
        <w:left w:val="none" w:sz="0" w:space="0" w:color="auto"/>
        <w:bottom w:val="none" w:sz="0" w:space="0" w:color="auto"/>
        <w:right w:val="none" w:sz="0" w:space="0" w:color="auto"/>
      </w:divBdr>
    </w:div>
    <w:div w:id="167063598">
      <w:marLeft w:val="0"/>
      <w:marRight w:val="0"/>
      <w:marTop w:val="180"/>
      <w:marBottom w:val="0"/>
      <w:divBdr>
        <w:top w:val="none" w:sz="0" w:space="0" w:color="auto"/>
        <w:left w:val="none" w:sz="0" w:space="0" w:color="auto"/>
        <w:bottom w:val="none" w:sz="0" w:space="0" w:color="auto"/>
        <w:right w:val="none" w:sz="0" w:space="0" w:color="auto"/>
      </w:divBdr>
    </w:div>
    <w:div w:id="167867979">
      <w:marLeft w:val="0"/>
      <w:marRight w:val="0"/>
      <w:marTop w:val="0"/>
      <w:marBottom w:val="0"/>
      <w:divBdr>
        <w:top w:val="none" w:sz="0" w:space="0" w:color="auto"/>
        <w:left w:val="none" w:sz="0" w:space="0" w:color="auto"/>
        <w:bottom w:val="none" w:sz="0" w:space="0" w:color="auto"/>
        <w:right w:val="none" w:sz="0" w:space="0" w:color="auto"/>
      </w:divBdr>
      <w:divsChild>
        <w:div w:id="748574376">
          <w:marLeft w:val="0"/>
          <w:marRight w:val="0"/>
          <w:marTop w:val="0"/>
          <w:marBottom w:val="100"/>
          <w:divBdr>
            <w:top w:val="none" w:sz="0" w:space="0" w:color="auto"/>
            <w:left w:val="none" w:sz="0" w:space="0" w:color="auto"/>
            <w:bottom w:val="none" w:sz="0" w:space="0" w:color="auto"/>
            <w:right w:val="none" w:sz="0" w:space="0" w:color="auto"/>
          </w:divBdr>
        </w:div>
      </w:divsChild>
    </w:div>
    <w:div w:id="169302170">
      <w:marLeft w:val="0"/>
      <w:marRight w:val="0"/>
      <w:marTop w:val="0"/>
      <w:marBottom w:val="0"/>
      <w:divBdr>
        <w:top w:val="none" w:sz="0" w:space="0" w:color="auto"/>
        <w:left w:val="none" w:sz="0" w:space="0" w:color="auto"/>
        <w:bottom w:val="none" w:sz="0" w:space="0" w:color="auto"/>
        <w:right w:val="none" w:sz="0" w:space="0" w:color="auto"/>
      </w:divBdr>
    </w:div>
    <w:div w:id="169490721">
      <w:marLeft w:val="0"/>
      <w:marRight w:val="0"/>
      <w:marTop w:val="0"/>
      <w:marBottom w:val="100"/>
      <w:divBdr>
        <w:top w:val="none" w:sz="0" w:space="0" w:color="auto"/>
        <w:left w:val="none" w:sz="0" w:space="0" w:color="auto"/>
        <w:bottom w:val="none" w:sz="0" w:space="0" w:color="auto"/>
        <w:right w:val="none" w:sz="0" w:space="0" w:color="auto"/>
      </w:divBdr>
    </w:div>
    <w:div w:id="169639131">
      <w:marLeft w:val="0"/>
      <w:marRight w:val="0"/>
      <w:marTop w:val="0"/>
      <w:marBottom w:val="0"/>
      <w:divBdr>
        <w:top w:val="none" w:sz="0" w:space="0" w:color="auto"/>
        <w:left w:val="none" w:sz="0" w:space="0" w:color="auto"/>
        <w:bottom w:val="none" w:sz="0" w:space="0" w:color="auto"/>
        <w:right w:val="none" w:sz="0" w:space="0" w:color="auto"/>
      </w:divBdr>
      <w:divsChild>
        <w:div w:id="1476067418">
          <w:marLeft w:val="0"/>
          <w:marRight w:val="0"/>
          <w:marTop w:val="0"/>
          <w:marBottom w:val="0"/>
          <w:divBdr>
            <w:top w:val="none" w:sz="0" w:space="0" w:color="auto"/>
            <w:left w:val="none" w:sz="0" w:space="0" w:color="auto"/>
            <w:bottom w:val="none" w:sz="0" w:space="0" w:color="auto"/>
            <w:right w:val="none" w:sz="0" w:space="0" w:color="auto"/>
          </w:divBdr>
          <w:divsChild>
            <w:div w:id="49854435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0144716">
      <w:marLeft w:val="0"/>
      <w:marRight w:val="0"/>
      <w:marTop w:val="100"/>
      <w:marBottom w:val="100"/>
      <w:divBdr>
        <w:top w:val="none" w:sz="0" w:space="0" w:color="auto"/>
        <w:left w:val="none" w:sz="0" w:space="0" w:color="auto"/>
        <w:bottom w:val="none" w:sz="0" w:space="0" w:color="auto"/>
        <w:right w:val="none" w:sz="0" w:space="0" w:color="auto"/>
      </w:divBdr>
    </w:div>
    <w:div w:id="170804813">
      <w:marLeft w:val="0"/>
      <w:marRight w:val="0"/>
      <w:marTop w:val="0"/>
      <w:marBottom w:val="100"/>
      <w:divBdr>
        <w:top w:val="none" w:sz="0" w:space="0" w:color="auto"/>
        <w:left w:val="none" w:sz="0" w:space="0" w:color="auto"/>
        <w:bottom w:val="none" w:sz="0" w:space="0" w:color="auto"/>
        <w:right w:val="none" w:sz="0" w:space="0" w:color="auto"/>
      </w:divBdr>
    </w:div>
    <w:div w:id="171264095">
      <w:marLeft w:val="0"/>
      <w:marRight w:val="0"/>
      <w:marTop w:val="0"/>
      <w:marBottom w:val="0"/>
      <w:divBdr>
        <w:top w:val="none" w:sz="0" w:space="0" w:color="auto"/>
        <w:left w:val="none" w:sz="0" w:space="0" w:color="auto"/>
        <w:bottom w:val="none" w:sz="0" w:space="0" w:color="auto"/>
        <w:right w:val="none" w:sz="0" w:space="0" w:color="auto"/>
      </w:divBdr>
      <w:divsChild>
        <w:div w:id="1452868992">
          <w:marLeft w:val="0"/>
          <w:marRight w:val="0"/>
          <w:marTop w:val="0"/>
          <w:marBottom w:val="100"/>
          <w:divBdr>
            <w:top w:val="none" w:sz="0" w:space="0" w:color="auto"/>
            <w:left w:val="none" w:sz="0" w:space="0" w:color="auto"/>
            <w:bottom w:val="none" w:sz="0" w:space="0" w:color="auto"/>
            <w:right w:val="none" w:sz="0" w:space="0" w:color="auto"/>
          </w:divBdr>
        </w:div>
      </w:divsChild>
    </w:div>
    <w:div w:id="172108120">
      <w:marLeft w:val="0"/>
      <w:marRight w:val="0"/>
      <w:marTop w:val="0"/>
      <w:marBottom w:val="0"/>
      <w:divBdr>
        <w:top w:val="none" w:sz="0" w:space="0" w:color="auto"/>
        <w:left w:val="none" w:sz="0" w:space="0" w:color="auto"/>
        <w:bottom w:val="none" w:sz="0" w:space="0" w:color="auto"/>
        <w:right w:val="none" w:sz="0" w:space="0" w:color="auto"/>
      </w:divBdr>
      <w:divsChild>
        <w:div w:id="237521322">
          <w:marLeft w:val="0"/>
          <w:marRight w:val="0"/>
          <w:marTop w:val="0"/>
          <w:marBottom w:val="0"/>
          <w:divBdr>
            <w:top w:val="none" w:sz="0" w:space="0" w:color="auto"/>
            <w:left w:val="none" w:sz="0" w:space="0" w:color="auto"/>
            <w:bottom w:val="none" w:sz="0" w:space="0" w:color="auto"/>
            <w:right w:val="none" w:sz="0" w:space="0" w:color="auto"/>
          </w:divBdr>
          <w:divsChild>
            <w:div w:id="20335341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3884990">
      <w:marLeft w:val="0"/>
      <w:marRight w:val="0"/>
      <w:marTop w:val="180"/>
      <w:marBottom w:val="100"/>
      <w:divBdr>
        <w:top w:val="none" w:sz="0" w:space="0" w:color="auto"/>
        <w:left w:val="none" w:sz="0" w:space="0" w:color="auto"/>
        <w:bottom w:val="none" w:sz="0" w:space="0" w:color="auto"/>
        <w:right w:val="none" w:sz="0" w:space="0" w:color="auto"/>
      </w:divBdr>
    </w:div>
    <w:div w:id="173960672">
      <w:marLeft w:val="0"/>
      <w:marRight w:val="0"/>
      <w:marTop w:val="180"/>
      <w:marBottom w:val="100"/>
      <w:divBdr>
        <w:top w:val="none" w:sz="0" w:space="0" w:color="auto"/>
        <w:left w:val="none" w:sz="0" w:space="0" w:color="auto"/>
        <w:bottom w:val="none" w:sz="0" w:space="0" w:color="auto"/>
        <w:right w:val="none" w:sz="0" w:space="0" w:color="auto"/>
      </w:divBdr>
    </w:div>
    <w:div w:id="175458618">
      <w:marLeft w:val="0"/>
      <w:marRight w:val="0"/>
      <w:marTop w:val="100"/>
      <w:marBottom w:val="100"/>
      <w:divBdr>
        <w:top w:val="none" w:sz="0" w:space="0" w:color="auto"/>
        <w:left w:val="none" w:sz="0" w:space="0" w:color="auto"/>
        <w:bottom w:val="none" w:sz="0" w:space="0" w:color="auto"/>
        <w:right w:val="none" w:sz="0" w:space="0" w:color="auto"/>
      </w:divBdr>
    </w:div>
    <w:div w:id="177933860">
      <w:marLeft w:val="0"/>
      <w:marRight w:val="0"/>
      <w:marTop w:val="0"/>
      <w:marBottom w:val="0"/>
      <w:divBdr>
        <w:top w:val="none" w:sz="0" w:space="0" w:color="auto"/>
        <w:left w:val="none" w:sz="0" w:space="0" w:color="auto"/>
        <w:bottom w:val="none" w:sz="0" w:space="0" w:color="auto"/>
        <w:right w:val="none" w:sz="0" w:space="0" w:color="auto"/>
      </w:divBdr>
    </w:div>
    <w:div w:id="178400567">
      <w:marLeft w:val="0"/>
      <w:marRight w:val="0"/>
      <w:marTop w:val="0"/>
      <w:marBottom w:val="0"/>
      <w:divBdr>
        <w:top w:val="none" w:sz="0" w:space="0" w:color="auto"/>
        <w:left w:val="none" w:sz="0" w:space="0" w:color="auto"/>
        <w:bottom w:val="none" w:sz="0" w:space="0" w:color="auto"/>
        <w:right w:val="none" w:sz="0" w:space="0" w:color="auto"/>
      </w:divBdr>
      <w:divsChild>
        <w:div w:id="444814065">
          <w:marLeft w:val="0"/>
          <w:marRight w:val="0"/>
          <w:marTop w:val="0"/>
          <w:marBottom w:val="100"/>
          <w:divBdr>
            <w:top w:val="none" w:sz="0" w:space="0" w:color="auto"/>
            <w:left w:val="none" w:sz="0" w:space="0" w:color="auto"/>
            <w:bottom w:val="none" w:sz="0" w:space="0" w:color="auto"/>
            <w:right w:val="none" w:sz="0" w:space="0" w:color="auto"/>
          </w:divBdr>
        </w:div>
      </w:divsChild>
    </w:div>
    <w:div w:id="180362202">
      <w:marLeft w:val="0"/>
      <w:marRight w:val="0"/>
      <w:marTop w:val="0"/>
      <w:marBottom w:val="100"/>
      <w:divBdr>
        <w:top w:val="none" w:sz="0" w:space="0" w:color="auto"/>
        <w:left w:val="none" w:sz="0" w:space="0" w:color="auto"/>
        <w:bottom w:val="none" w:sz="0" w:space="0" w:color="auto"/>
        <w:right w:val="none" w:sz="0" w:space="0" w:color="auto"/>
      </w:divBdr>
    </w:div>
    <w:div w:id="181019374">
      <w:marLeft w:val="0"/>
      <w:marRight w:val="0"/>
      <w:marTop w:val="100"/>
      <w:marBottom w:val="100"/>
      <w:divBdr>
        <w:top w:val="none" w:sz="0" w:space="0" w:color="auto"/>
        <w:left w:val="none" w:sz="0" w:space="0" w:color="auto"/>
        <w:bottom w:val="none" w:sz="0" w:space="0" w:color="auto"/>
        <w:right w:val="none" w:sz="0" w:space="0" w:color="auto"/>
      </w:divBdr>
    </w:div>
    <w:div w:id="184288607">
      <w:marLeft w:val="0"/>
      <w:marRight w:val="0"/>
      <w:marTop w:val="100"/>
      <w:marBottom w:val="100"/>
      <w:divBdr>
        <w:top w:val="none" w:sz="0" w:space="0" w:color="auto"/>
        <w:left w:val="none" w:sz="0" w:space="0" w:color="auto"/>
        <w:bottom w:val="none" w:sz="0" w:space="0" w:color="auto"/>
        <w:right w:val="none" w:sz="0" w:space="0" w:color="auto"/>
      </w:divBdr>
    </w:div>
    <w:div w:id="185826631">
      <w:marLeft w:val="0"/>
      <w:marRight w:val="0"/>
      <w:marTop w:val="180"/>
      <w:marBottom w:val="100"/>
      <w:divBdr>
        <w:top w:val="none" w:sz="0" w:space="0" w:color="auto"/>
        <w:left w:val="none" w:sz="0" w:space="0" w:color="auto"/>
        <w:bottom w:val="none" w:sz="0" w:space="0" w:color="auto"/>
        <w:right w:val="none" w:sz="0" w:space="0" w:color="auto"/>
      </w:divBdr>
    </w:div>
    <w:div w:id="189488759">
      <w:marLeft w:val="0"/>
      <w:marRight w:val="0"/>
      <w:marTop w:val="0"/>
      <w:marBottom w:val="0"/>
      <w:divBdr>
        <w:top w:val="none" w:sz="0" w:space="0" w:color="auto"/>
        <w:left w:val="none" w:sz="0" w:space="0" w:color="auto"/>
        <w:bottom w:val="none" w:sz="0" w:space="0" w:color="auto"/>
        <w:right w:val="none" w:sz="0" w:space="0" w:color="auto"/>
      </w:divBdr>
    </w:div>
    <w:div w:id="194079716">
      <w:marLeft w:val="0"/>
      <w:marRight w:val="0"/>
      <w:marTop w:val="0"/>
      <w:marBottom w:val="0"/>
      <w:divBdr>
        <w:top w:val="none" w:sz="0" w:space="0" w:color="auto"/>
        <w:left w:val="none" w:sz="0" w:space="0" w:color="auto"/>
        <w:bottom w:val="none" w:sz="0" w:space="0" w:color="auto"/>
        <w:right w:val="none" w:sz="0" w:space="0" w:color="auto"/>
      </w:divBdr>
      <w:divsChild>
        <w:div w:id="1957784680">
          <w:marLeft w:val="0"/>
          <w:marRight w:val="0"/>
          <w:marTop w:val="0"/>
          <w:marBottom w:val="0"/>
          <w:divBdr>
            <w:top w:val="none" w:sz="0" w:space="0" w:color="auto"/>
            <w:left w:val="none" w:sz="0" w:space="0" w:color="auto"/>
            <w:bottom w:val="none" w:sz="0" w:space="0" w:color="auto"/>
            <w:right w:val="none" w:sz="0" w:space="0" w:color="auto"/>
          </w:divBdr>
          <w:divsChild>
            <w:div w:id="97106064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4201322">
      <w:marLeft w:val="0"/>
      <w:marRight w:val="0"/>
      <w:marTop w:val="0"/>
      <w:marBottom w:val="100"/>
      <w:divBdr>
        <w:top w:val="none" w:sz="0" w:space="0" w:color="auto"/>
        <w:left w:val="none" w:sz="0" w:space="0" w:color="auto"/>
        <w:bottom w:val="none" w:sz="0" w:space="0" w:color="auto"/>
        <w:right w:val="none" w:sz="0" w:space="0" w:color="auto"/>
      </w:divBdr>
    </w:div>
    <w:div w:id="195699836">
      <w:marLeft w:val="0"/>
      <w:marRight w:val="0"/>
      <w:marTop w:val="0"/>
      <w:marBottom w:val="0"/>
      <w:divBdr>
        <w:top w:val="none" w:sz="0" w:space="0" w:color="auto"/>
        <w:left w:val="none" w:sz="0" w:space="0" w:color="auto"/>
        <w:bottom w:val="none" w:sz="0" w:space="0" w:color="auto"/>
        <w:right w:val="none" w:sz="0" w:space="0" w:color="auto"/>
      </w:divBdr>
      <w:divsChild>
        <w:div w:id="1868332088">
          <w:marLeft w:val="0"/>
          <w:marRight w:val="0"/>
          <w:marTop w:val="0"/>
          <w:marBottom w:val="100"/>
          <w:divBdr>
            <w:top w:val="none" w:sz="0" w:space="0" w:color="auto"/>
            <w:left w:val="none" w:sz="0" w:space="0" w:color="auto"/>
            <w:bottom w:val="none" w:sz="0" w:space="0" w:color="auto"/>
            <w:right w:val="none" w:sz="0" w:space="0" w:color="auto"/>
          </w:divBdr>
        </w:div>
      </w:divsChild>
    </w:div>
    <w:div w:id="195969524">
      <w:marLeft w:val="0"/>
      <w:marRight w:val="0"/>
      <w:marTop w:val="0"/>
      <w:marBottom w:val="0"/>
      <w:divBdr>
        <w:top w:val="none" w:sz="0" w:space="0" w:color="auto"/>
        <w:left w:val="none" w:sz="0" w:space="0" w:color="auto"/>
        <w:bottom w:val="none" w:sz="0" w:space="0" w:color="auto"/>
        <w:right w:val="none" w:sz="0" w:space="0" w:color="auto"/>
      </w:divBdr>
      <w:divsChild>
        <w:div w:id="1211766222">
          <w:marLeft w:val="0"/>
          <w:marRight w:val="0"/>
          <w:marTop w:val="0"/>
          <w:marBottom w:val="100"/>
          <w:divBdr>
            <w:top w:val="none" w:sz="0" w:space="0" w:color="auto"/>
            <w:left w:val="none" w:sz="0" w:space="0" w:color="auto"/>
            <w:bottom w:val="none" w:sz="0" w:space="0" w:color="auto"/>
            <w:right w:val="none" w:sz="0" w:space="0" w:color="auto"/>
          </w:divBdr>
        </w:div>
      </w:divsChild>
    </w:div>
    <w:div w:id="196087625">
      <w:marLeft w:val="0"/>
      <w:marRight w:val="0"/>
      <w:marTop w:val="180"/>
      <w:marBottom w:val="0"/>
      <w:divBdr>
        <w:top w:val="none" w:sz="0" w:space="0" w:color="auto"/>
        <w:left w:val="none" w:sz="0" w:space="0" w:color="auto"/>
        <w:bottom w:val="none" w:sz="0" w:space="0" w:color="auto"/>
        <w:right w:val="none" w:sz="0" w:space="0" w:color="auto"/>
      </w:divBdr>
    </w:div>
    <w:div w:id="198325763">
      <w:marLeft w:val="0"/>
      <w:marRight w:val="0"/>
      <w:marTop w:val="0"/>
      <w:marBottom w:val="100"/>
      <w:divBdr>
        <w:top w:val="none" w:sz="0" w:space="0" w:color="auto"/>
        <w:left w:val="none" w:sz="0" w:space="0" w:color="auto"/>
        <w:bottom w:val="none" w:sz="0" w:space="0" w:color="auto"/>
        <w:right w:val="none" w:sz="0" w:space="0" w:color="auto"/>
      </w:divBdr>
    </w:div>
    <w:div w:id="200485083">
      <w:marLeft w:val="0"/>
      <w:marRight w:val="0"/>
      <w:marTop w:val="0"/>
      <w:marBottom w:val="0"/>
      <w:divBdr>
        <w:top w:val="none" w:sz="0" w:space="0" w:color="auto"/>
        <w:left w:val="none" w:sz="0" w:space="0" w:color="auto"/>
        <w:bottom w:val="none" w:sz="0" w:space="0" w:color="auto"/>
        <w:right w:val="none" w:sz="0" w:space="0" w:color="auto"/>
      </w:divBdr>
      <w:divsChild>
        <w:div w:id="1889947127">
          <w:marLeft w:val="0"/>
          <w:marRight w:val="0"/>
          <w:marTop w:val="0"/>
          <w:marBottom w:val="100"/>
          <w:divBdr>
            <w:top w:val="none" w:sz="0" w:space="0" w:color="auto"/>
            <w:left w:val="none" w:sz="0" w:space="0" w:color="auto"/>
            <w:bottom w:val="none" w:sz="0" w:space="0" w:color="auto"/>
            <w:right w:val="none" w:sz="0" w:space="0" w:color="auto"/>
          </w:divBdr>
        </w:div>
      </w:divsChild>
    </w:div>
    <w:div w:id="202059405">
      <w:marLeft w:val="0"/>
      <w:marRight w:val="0"/>
      <w:marTop w:val="0"/>
      <w:marBottom w:val="0"/>
      <w:divBdr>
        <w:top w:val="none" w:sz="0" w:space="0" w:color="auto"/>
        <w:left w:val="none" w:sz="0" w:space="0" w:color="auto"/>
        <w:bottom w:val="none" w:sz="0" w:space="0" w:color="auto"/>
        <w:right w:val="none" w:sz="0" w:space="0" w:color="auto"/>
      </w:divBdr>
      <w:divsChild>
        <w:div w:id="294727223">
          <w:marLeft w:val="0"/>
          <w:marRight w:val="0"/>
          <w:marTop w:val="0"/>
          <w:marBottom w:val="100"/>
          <w:divBdr>
            <w:top w:val="none" w:sz="0" w:space="0" w:color="auto"/>
            <w:left w:val="none" w:sz="0" w:space="0" w:color="auto"/>
            <w:bottom w:val="none" w:sz="0" w:space="0" w:color="auto"/>
            <w:right w:val="none" w:sz="0" w:space="0" w:color="auto"/>
          </w:divBdr>
        </w:div>
      </w:divsChild>
    </w:div>
    <w:div w:id="204872178">
      <w:marLeft w:val="0"/>
      <w:marRight w:val="0"/>
      <w:marTop w:val="0"/>
      <w:marBottom w:val="100"/>
      <w:divBdr>
        <w:top w:val="none" w:sz="0" w:space="0" w:color="auto"/>
        <w:left w:val="none" w:sz="0" w:space="0" w:color="auto"/>
        <w:bottom w:val="none" w:sz="0" w:space="0" w:color="auto"/>
        <w:right w:val="none" w:sz="0" w:space="0" w:color="auto"/>
      </w:divBdr>
    </w:div>
    <w:div w:id="206067706">
      <w:marLeft w:val="0"/>
      <w:marRight w:val="0"/>
      <w:marTop w:val="0"/>
      <w:marBottom w:val="0"/>
      <w:divBdr>
        <w:top w:val="none" w:sz="0" w:space="0" w:color="auto"/>
        <w:left w:val="none" w:sz="0" w:space="0" w:color="auto"/>
        <w:bottom w:val="none" w:sz="0" w:space="0" w:color="auto"/>
        <w:right w:val="none" w:sz="0" w:space="0" w:color="auto"/>
      </w:divBdr>
      <w:divsChild>
        <w:div w:id="368996994">
          <w:marLeft w:val="0"/>
          <w:marRight w:val="0"/>
          <w:marTop w:val="0"/>
          <w:marBottom w:val="0"/>
          <w:divBdr>
            <w:top w:val="none" w:sz="0" w:space="0" w:color="auto"/>
            <w:left w:val="none" w:sz="0" w:space="0" w:color="auto"/>
            <w:bottom w:val="none" w:sz="0" w:space="0" w:color="auto"/>
            <w:right w:val="none" w:sz="0" w:space="0" w:color="auto"/>
          </w:divBdr>
          <w:divsChild>
            <w:div w:id="154757060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6767790">
      <w:marLeft w:val="0"/>
      <w:marRight w:val="0"/>
      <w:marTop w:val="0"/>
      <w:marBottom w:val="0"/>
      <w:divBdr>
        <w:top w:val="none" w:sz="0" w:space="0" w:color="auto"/>
        <w:left w:val="none" w:sz="0" w:space="0" w:color="auto"/>
        <w:bottom w:val="none" w:sz="0" w:space="0" w:color="auto"/>
        <w:right w:val="none" w:sz="0" w:space="0" w:color="auto"/>
      </w:divBdr>
      <w:divsChild>
        <w:div w:id="663776834">
          <w:marLeft w:val="0"/>
          <w:marRight w:val="0"/>
          <w:marTop w:val="0"/>
          <w:marBottom w:val="100"/>
          <w:divBdr>
            <w:top w:val="none" w:sz="0" w:space="0" w:color="auto"/>
            <w:left w:val="none" w:sz="0" w:space="0" w:color="auto"/>
            <w:bottom w:val="none" w:sz="0" w:space="0" w:color="auto"/>
            <w:right w:val="none" w:sz="0" w:space="0" w:color="auto"/>
          </w:divBdr>
        </w:div>
      </w:divsChild>
    </w:div>
    <w:div w:id="206919987">
      <w:marLeft w:val="0"/>
      <w:marRight w:val="0"/>
      <w:marTop w:val="180"/>
      <w:marBottom w:val="0"/>
      <w:divBdr>
        <w:top w:val="none" w:sz="0" w:space="0" w:color="auto"/>
        <w:left w:val="none" w:sz="0" w:space="0" w:color="auto"/>
        <w:bottom w:val="none" w:sz="0" w:space="0" w:color="auto"/>
        <w:right w:val="none" w:sz="0" w:space="0" w:color="auto"/>
      </w:divBdr>
    </w:div>
    <w:div w:id="208498797">
      <w:marLeft w:val="0"/>
      <w:marRight w:val="0"/>
      <w:marTop w:val="0"/>
      <w:marBottom w:val="0"/>
      <w:divBdr>
        <w:top w:val="none" w:sz="0" w:space="0" w:color="auto"/>
        <w:left w:val="none" w:sz="0" w:space="0" w:color="auto"/>
        <w:bottom w:val="none" w:sz="0" w:space="0" w:color="auto"/>
        <w:right w:val="none" w:sz="0" w:space="0" w:color="auto"/>
      </w:divBdr>
    </w:div>
    <w:div w:id="210269874">
      <w:marLeft w:val="0"/>
      <w:marRight w:val="0"/>
      <w:marTop w:val="180"/>
      <w:marBottom w:val="0"/>
      <w:divBdr>
        <w:top w:val="none" w:sz="0" w:space="0" w:color="auto"/>
        <w:left w:val="none" w:sz="0" w:space="0" w:color="auto"/>
        <w:bottom w:val="none" w:sz="0" w:space="0" w:color="auto"/>
        <w:right w:val="none" w:sz="0" w:space="0" w:color="auto"/>
      </w:divBdr>
    </w:div>
    <w:div w:id="210771396">
      <w:marLeft w:val="0"/>
      <w:marRight w:val="0"/>
      <w:marTop w:val="0"/>
      <w:marBottom w:val="0"/>
      <w:divBdr>
        <w:top w:val="none" w:sz="0" w:space="0" w:color="auto"/>
        <w:left w:val="none" w:sz="0" w:space="0" w:color="auto"/>
        <w:bottom w:val="none" w:sz="0" w:space="0" w:color="auto"/>
        <w:right w:val="none" w:sz="0" w:space="0" w:color="auto"/>
      </w:divBdr>
    </w:div>
    <w:div w:id="211888952">
      <w:marLeft w:val="0"/>
      <w:marRight w:val="0"/>
      <w:marTop w:val="100"/>
      <w:marBottom w:val="100"/>
      <w:divBdr>
        <w:top w:val="none" w:sz="0" w:space="0" w:color="auto"/>
        <w:left w:val="none" w:sz="0" w:space="0" w:color="auto"/>
        <w:bottom w:val="none" w:sz="0" w:space="0" w:color="auto"/>
        <w:right w:val="none" w:sz="0" w:space="0" w:color="auto"/>
      </w:divBdr>
    </w:div>
    <w:div w:id="212083071">
      <w:marLeft w:val="0"/>
      <w:marRight w:val="0"/>
      <w:marTop w:val="0"/>
      <w:marBottom w:val="0"/>
      <w:divBdr>
        <w:top w:val="none" w:sz="0" w:space="0" w:color="auto"/>
        <w:left w:val="none" w:sz="0" w:space="0" w:color="auto"/>
        <w:bottom w:val="none" w:sz="0" w:space="0" w:color="auto"/>
        <w:right w:val="none" w:sz="0" w:space="0" w:color="auto"/>
      </w:divBdr>
    </w:div>
    <w:div w:id="213542665">
      <w:marLeft w:val="0"/>
      <w:marRight w:val="0"/>
      <w:marTop w:val="100"/>
      <w:marBottom w:val="0"/>
      <w:divBdr>
        <w:top w:val="none" w:sz="0" w:space="0" w:color="auto"/>
        <w:left w:val="none" w:sz="0" w:space="0" w:color="auto"/>
        <w:bottom w:val="none" w:sz="0" w:space="0" w:color="auto"/>
        <w:right w:val="none" w:sz="0" w:space="0" w:color="auto"/>
      </w:divBdr>
    </w:div>
    <w:div w:id="214120056">
      <w:marLeft w:val="0"/>
      <w:marRight w:val="0"/>
      <w:marTop w:val="180"/>
      <w:marBottom w:val="0"/>
      <w:divBdr>
        <w:top w:val="none" w:sz="0" w:space="0" w:color="auto"/>
        <w:left w:val="none" w:sz="0" w:space="0" w:color="auto"/>
        <w:bottom w:val="none" w:sz="0" w:space="0" w:color="auto"/>
        <w:right w:val="none" w:sz="0" w:space="0" w:color="auto"/>
      </w:divBdr>
    </w:div>
    <w:div w:id="215898887">
      <w:marLeft w:val="0"/>
      <w:marRight w:val="0"/>
      <w:marTop w:val="180"/>
      <w:marBottom w:val="0"/>
      <w:divBdr>
        <w:top w:val="none" w:sz="0" w:space="0" w:color="auto"/>
        <w:left w:val="none" w:sz="0" w:space="0" w:color="auto"/>
        <w:bottom w:val="none" w:sz="0" w:space="0" w:color="auto"/>
        <w:right w:val="none" w:sz="0" w:space="0" w:color="auto"/>
      </w:divBdr>
    </w:div>
    <w:div w:id="217323150">
      <w:marLeft w:val="0"/>
      <w:marRight w:val="0"/>
      <w:marTop w:val="180"/>
      <w:marBottom w:val="0"/>
      <w:divBdr>
        <w:top w:val="none" w:sz="0" w:space="0" w:color="auto"/>
        <w:left w:val="none" w:sz="0" w:space="0" w:color="auto"/>
        <w:bottom w:val="none" w:sz="0" w:space="0" w:color="auto"/>
        <w:right w:val="none" w:sz="0" w:space="0" w:color="auto"/>
      </w:divBdr>
    </w:div>
    <w:div w:id="218714263">
      <w:marLeft w:val="0"/>
      <w:marRight w:val="0"/>
      <w:marTop w:val="0"/>
      <w:marBottom w:val="0"/>
      <w:divBdr>
        <w:top w:val="none" w:sz="0" w:space="0" w:color="auto"/>
        <w:left w:val="none" w:sz="0" w:space="0" w:color="auto"/>
        <w:bottom w:val="none" w:sz="0" w:space="0" w:color="auto"/>
        <w:right w:val="none" w:sz="0" w:space="0" w:color="auto"/>
      </w:divBdr>
    </w:div>
    <w:div w:id="219631903">
      <w:marLeft w:val="0"/>
      <w:marRight w:val="0"/>
      <w:marTop w:val="0"/>
      <w:marBottom w:val="0"/>
      <w:divBdr>
        <w:top w:val="none" w:sz="0" w:space="0" w:color="auto"/>
        <w:left w:val="none" w:sz="0" w:space="0" w:color="auto"/>
        <w:bottom w:val="none" w:sz="0" w:space="0" w:color="auto"/>
        <w:right w:val="none" w:sz="0" w:space="0" w:color="auto"/>
      </w:divBdr>
    </w:div>
    <w:div w:id="219757458">
      <w:marLeft w:val="0"/>
      <w:marRight w:val="0"/>
      <w:marTop w:val="0"/>
      <w:marBottom w:val="0"/>
      <w:divBdr>
        <w:top w:val="none" w:sz="0" w:space="0" w:color="auto"/>
        <w:left w:val="none" w:sz="0" w:space="0" w:color="auto"/>
        <w:bottom w:val="none" w:sz="0" w:space="0" w:color="auto"/>
        <w:right w:val="none" w:sz="0" w:space="0" w:color="auto"/>
      </w:divBdr>
      <w:divsChild>
        <w:div w:id="1352027852">
          <w:marLeft w:val="0"/>
          <w:marRight w:val="0"/>
          <w:marTop w:val="0"/>
          <w:marBottom w:val="0"/>
          <w:divBdr>
            <w:top w:val="none" w:sz="0" w:space="0" w:color="auto"/>
            <w:left w:val="none" w:sz="0" w:space="0" w:color="auto"/>
            <w:bottom w:val="none" w:sz="0" w:space="0" w:color="auto"/>
            <w:right w:val="none" w:sz="0" w:space="0" w:color="auto"/>
          </w:divBdr>
          <w:divsChild>
            <w:div w:id="101110757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20822955">
      <w:marLeft w:val="0"/>
      <w:marRight w:val="0"/>
      <w:marTop w:val="180"/>
      <w:marBottom w:val="0"/>
      <w:divBdr>
        <w:top w:val="none" w:sz="0" w:space="0" w:color="auto"/>
        <w:left w:val="none" w:sz="0" w:space="0" w:color="auto"/>
        <w:bottom w:val="none" w:sz="0" w:space="0" w:color="auto"/>
        <w:right w:val="none" w:sz="0" w:space="0" w:color="auto"/>
      </w:divBdr>
    </w:div>
    <w:div w:id="221909700">
      <w:marLeft w:val="0"/>
      <w:marRight w:val="0"/>
      <w:marTop w:val="0"/>
      <w:marBottom w:val="0"/>
      <w:divBdr>
        <w:top w:val="none" w:sz="0" w:space="0" w:color="auto"/>
        <w:left w:val="none" w:sz="0" w:space="0" w:color="auto"/>
        <w:bottom w:val="none" w:sz="0" w:space="0" w:color="auto"/>
        <w:right w:val="none" w:sz="0" w:space="0" w:color="auto"/>
      </w:divBdr>
    </w:div>
    <w:div w:id="222369828">
      <w:marLeft w:val="0"/>
      <w:marRight w:val="0"/>
      <w:marTop w:val="100"/>
      <w:marBottom w:val="100"/>
      <w:divBdr>
        <w:top w:val="none" w:sz="0" w:space="0" w:color="auto"/>
        <w:left w:val="none" w:sz="0" w:space="0" w:color="auto"/>
        <w:bottom w:val="none" w:sz="0" w:space="0" w:color="auto"/>
        <w:right w:val="none" w:sz="0" w:space="0" w:color="auto"/>
      </w:divBdr>
    </w:div>
    <w:div w:id="224730780">
      <w:marLeft w:val="0"/>
      <w:marRight w:val="0"/>
      <w:marTop w:val="0"/>
      <w:marBottom w:val="0"/>
      <w:divBdr>
        <w:top w:val="none" w:sz="0" w:space="0" w:color="auto"/>
        <w:left w:val="none" w:sz="0" w:space="0" w:color="auto"/>
        <w:bottom w:val="none" w:sz="0" w:space="0" w:color="auto"/>
        <w:right w:val="none" w:sz="0" w:space="0" w:color="auto"/>
      </w:divBdr>
    </w:div>
    <w:div w:id="224994014">
      <w:marLeft w:val="0"/>
      <w:marRight w:val="0"/>
      <w:marTop w:val="100"/>
      <w:marBottom w:val="100"/>
      <w:divBdr>
        <w:top w:val="none" w:sz="0" w:space="0" w:color="auto"/>
        <w:left w:val="none" w:sz="0" w:space="0" w:color="auto"/>
        <w:bottom w:val="none" w:sz="0" w:space="0" w:color="auto"/>
        <w:right w:val="none" w:sz="0" w:space="0" w:color="auto"/>
      </w:divBdr>
    </w:div>
    <w:div w:id="226232739">
      <w:marLeft w:val="0"/>
      <w:marRight w:val="0"/>
      <w:marTop w:val="180"/>
      <w:marBottom w:val="0"/>
      <w:divBdr>
        <w:top w:val="none" w:sz="0" w:space="0" w:color="auto"/>
        <w:left w:val="none" w:sz="0" w:space="0" w:color="auto"/>
        <w:bottom w:val="none" w:sz="0" w:space="0" w:color="auto"/>
        <w:right w:val="none" w:sz="0" w:space="0" w:color="auto"/>
      </w:divBdr>
    </w:div>
    <w:div w:id="227036843">
      <w:marLeft w:val="0"/>
      <w:marRight w:val="0"/>
      <w:marTop w:val="0"/>
      <w:marBottom w:val="0"/>
      <w:divBdr>
        <w:top w:val="none" w:sz="0" w:space="0" w:color="auto"/>
        <w:left w:val="none" w:sz="0" w:space="0" w:color="auto"/>
        <w:bottom w:val="none" w:sz="0" w:space="0" w:color="auto"/>
        <w:right w:val="none" w:sz="0" w:space="0" w:color="auto"/>
      </w:divBdr>
    </w:div>
    <w:div w:id="227419631">
      <w:marLeft w:val="0"/>
      <w:marRight w:val="0"/>
      <w:marTop w:val="0"/>
      <w:marBottom w:val="0"/>
      <w:divBdr>
        <w:top w:val="none" w:sz="0" w:space="0" w:color="auto"/>
        <w:left w:val="none" w:sz="0" w:space="0" w:color="auto"/>
        <w:bottom w:val="none" w:sz="0" w:space="0" w:color="auto"/>
        <w:right w:val="none" w:sz="0" w:space="0" w:color="auto"/>
      </w:divBdr>
      <w:divsChild>
        <w:div w:id="347559922">
          <w:marLeft w:val="0"/>
          <w:marRight w:val="0"/>
          <w:marTop w:val="0"/>
          <w:marBottom w:val="100"/>
          <w:divBdr>
            <w:top w:val="none" w:sz="0" w:space="0" w:color="auto"/>
            <w:left w:val="none" w:sz="0" w:space="0" w:color="auto"/>
            <w:bottom w:val="none" w:sz="0" w:space="0" w:color="auto"/>
            <w:right w:val="none" w:sz="0" w:space="0" w:color="auto"/>
          </w:divBdr>
        </w:div>
      </w:divsChild>
    </w:div>
    <w:div w:id="229313173">
      <w:marLeft w:val="0"/>
      <w:marRight w:val="0"/>
      <w:marTop w:val="0"/>
      <w:marBottom w:val="0"/>
      <w:divBdr>
        <w:top w:val="none" w:sz="0" w:space="0" w:color="auto"/>
        <w:left w:val="none" w:sz="0" w:space="0" w:color="auto"/>
        <w:bottom w:val="none" w:sz="0" w:space="0" w:color="auto"/>
        <w:right w:val="none" w:sz="0" w:space="0" w:color="auto"/>
      </w:divBdr>
    </w:div>
    <w:div w:id="229927418">
      <w:marLeft w:val="0"/>
      <w:marRight w:val="0"/>
      <w:marTop w:val="100"/>
      <w:marBottom w:val="100"/>
      <w:divBdr>
        <w:top w:val="none" w:sz="0" w:space="0" w:color="auto"/>
        <w:left w:val="none" w:sz="0" w:space="0" w:color="auto"/>
        <w:bottom w:val="none" w:sz="0" w:space="0" w:color="auto"/>
        <w:right w:val="none" w:sz="0" w:space="0" w:color="auto"/>
      </w:divBdr>
    </w:div>
    <w:div w:id="230316317">
      <w:marLeft w:val="0"/>
      <w:marRight w:val="0"/>
      <w:marTop w:val="100"/>
      <w:marBottom w:val="100"/>
      <w:divBdr>
        <w:top w:val="none" w:sz="0" w:space="0" w:color="auto"/>
        <w:left w:val="none" w:sz="0" w:space="0" w:color="auto"/>
        <w:bottom w:val="none" w:sz="0" w:space="0" w:color="auto"/>
        <w:right w:val="none" w:sz="0" w:space="0" w:color="auto"/>
      </w:divBdr>
    </w:div>
    <w:div w:id="230506559">
      <w:marLeft w:val="0"/>
      <w:marRight w:val="0"/>
      <w:marTop w:val="100"/>
      <w:marBottom w:val="100"/>
      <w:divBdr>
        <w:top w:val="none" w:sz="0" w:space="0" w:color="auto"/>
        <w:left w:val="none" w:sz="0" w:space="0" w:color="auto"/>
        <w:bottom w:val="none" w:sz="0" w:space="0" w:color="auto"/>
        <w:right w:val="none" w:sz="0" w:space="0" w:color="auto"/>
      </w:divBdr>
    </w:div>
    <w:div w:id="231084088">
      <w:marLeft w:val="0"/>
      <w:marRight w:val="0"/>
      <w:marTop w:val="100"/>
      <w:marBottom w:val="100"/>
      <w:divBdr>
        <w:top w:val="none" w:sz="0" w:space="0" w:color="auto"/>
        <w:left w:val="none" w:sz="0" w:space="0" w:color="auto"/>
        <w:bottom w:val="none" w:sz="0" w:space="0" w:color="auto"/>
        <w:right w:val="none" w:sz="0" w:space="0" w:color="auto"/>
      </w:divBdr>
    </w:div>
    <w:div w:id="233055976">
      <w:marLeft w:val="0"/>
      <w:marRight w:val="0"/>
      <w:marTop w:val="180"/>
      <w:marBottom w:val="0"/>
      <w:divBdr>
        <w:top w:val="none" w:sz="0" w:space="0" w:color="auto"/>
        <w:left w:val="none" w:sz="0" w:space="0" w:color="auto"/>
        <w:bottom w:val="none" w:sz="0" w:space="0" w:color="auto"/>
        <w:right w:val="none" w:sz="0" w:space="0" w:color="auto"/>
      </w:divBdr>
    </w:div>
    <w:div w:id="233859142">
      <w:marLeft w:val="0"/>
      <w:marRight w:val="0"/>
      <w:marTop w:val="100"/>
      <w:marBottom w:val="100"/>
      <w:divBdr>
        <w:top w:val="none" w:sz="0" w:space="0" w:color="auto"/>
        <w:left w:val="none" w:sz="0" w:space="0" w:color="auto"/>
        <w:bottom w:val="none" w:sz="0" w:space="0" w:color="auto"/>
        <w:right w:val="none" w:sz="0" w:space="0" w:color="auto"/>
      </w:divBdr>
    </w:div>
    <w:div w:id="234361057">
      <w:marLeft w:val="0"/>
      <w:marRight w:val="0"/>
      <w:marTop w:val="0"/>
      <w:marBottom w:val="100"/>
      <w:divBdr>
        <w:top w:val="none" w:sz="0" w:space="0" w:color="auto"/>
        <w:left w:val="none" w:sz="0" w:space="0" w:color="auto"/>
        <w:bottom w:val="none" w:sz="0" w:space="0" w:color="auto"/>
        <w:right w:val="none" w:sz="0" w:space="0" w:color="auto"/>
      </w:divBdr>
    </w:div>
    <w:div w:id="234366825">
      <w:marLeft w:val="0"/>
      <w:marRight w:val="0"/>
      <w:marTop w:val="100"/>
      <w:marBottom w:val="0"/>
      <w:divBdr>
        <w:top w:val="none" w:sz="0" w:space="0" w:color="auto"/>
        <w:left w:val="none" w:sz="0" w:space="0" w:color="auto"/>
        <w:bottom w:val="none" w:sz="0" w:space="0" w:color="auto"/>
        <w:right w:val="none" w:sz="0" w:space="0" w:color="auto"/>
      </w:divBdr>
      <w:divsChild>
        <w:div w:id="790637763">
          <w:marLeft w:val="0"/>
          <w:marRight w:val="0"/>
          <w:marTop w:val="0"/>
          <w:marBottom w:val="0"/>
          <w:divBdr>
            <w:top w:val="none" w:sz="0" w:space="0" w:color="auto"/>
            <w:left w:val="none" w:sz="0" w:space="0" w:color="auto"/>
            <w:bottom w:val="none" w:sz="0" w:space="0" w:color="auto"/>
            <w:right w:val="none" w:sz="0" w:space="0" w:color="auto"/>
          </w:divBdr>
        </w:div>
      </w:divsChild>
    </w:div>
    <w:div w:id="237598316">
      <w:marLeft w:val="0"/>
      <w:marRight w:val="0"/>
      <w:marTop w:val="0"/>
      <w:marBottom w:val="100"/>
      <w:divBdr>
        <w:top w:val="none" w:sz="0" w:space="0" w:color="auto"/>
        <w:left w:val="none" w:sz="0" w:space="0" w:color="auto"/>
        <w:bottom w:val="none" w:sz="0" w:space="0" w:color="auto"/>
        <w:right w:val="none" w:sz="0" w:space="0" w:color="auto"/>
      </w:divBdr>
    </w:div>
    <w:div w:id="238171378">
      <w:marLeft w:val="0"/>
      <w:marRight w:val="0"/>
      <w:marTop w:val="100"/>
      <w:marBottom w:val="100"/>
      <w:divBdr>
        <w:top w:val="none" w:sz="0" w:space="0" w:color="auto"/>
        <w:left w:val="none" w:sz="0" w:space="0" w:color="auto"/>
        <w:bottom w:val="none" w:sz="0" w:space="0" w:color="auto"/>
        <w:right w:val="none" w:sz="0" w:space="0" w:color="auto"/>
      </w:divBdr>
    </w:div>
    <w:div w:id="238253950">
      <w:marLeft w:val="0"/>
      <w:marRight w:val="0"/>
      <w:marTop w:val="180"/>
      <w:marBottom w:val="0"/>
      <w:divBdr>
        <w:top w:val="none" w:sz="0" w:space="0" w:color="auto"/>
        <w:left w:val="none" w:sz="0" w:space="0" w:color="auto"/>
        <w:bottom w:val="none" w:sz="0" w:space="0" w:color="auto"/>
        <w:right w:val="none" w:sz="0" w:space="0" w:color="auto"/>
      </w:divBdr>
    </w:div>
    <w:div w:id="241643580">
      <w:marLeft w:val="0"/>
      <w:marRight w:val="0"/>
      <w:marTop w:val="180"/>
      <w:marBottom w:val="0"/>
      <w:divBdr>
        <w:top w:val="none" w:sz="0" w:space="0" w:color="auto"/>
        <w:left w:val="none" w:sz="0" w:space="0" w:color="auto"/>
        <w:bottom w:val="none" w:sz="0" w:space="0" w:color="auto"/>
        <w:right w:val="none" w:sz="0" w:space="0" w:color="auto"/>
      </w:divBdr>
    </w:div>
    <w:div w:id="242642703">
      <w:marLeft w:val="0"/>
      <w:marRight w:val="0"/>
      <w:marTop w:val="0"/>
      <w:marBottom w:val="0"/>
      <w:divBdr>
        <w:top w:val="none" w:sz="0" w:space="0" w:color="auto"/>
        <w:left w:val="none" w:sz="0" w:space="0" w:color="auto"/>
        <w:bottom w:val="none" w:sz="0" w:space="0" w:color="auto"/>
        <w:right w:val="none" w:sz="0" w:space="0" w:color="auto"/>
      </w:divBdr>
      <w:divsChild>
        <w:div w:id="1428042559">
          <w:marLeft w:val="0"/>
          <w:marRight w:val="0"/>
          <w:marTop w:val="0"/>
          <w:marBottom w:val="100"/>
          <w:divBdr>
            <w:top w:val="none" w:sz="0" w:space="0" w:color="auto"/>
            <w:left w:val="none" w:sz="0" w:space="0" w:color="auto"/>
            <w:bottom w:val="none" w:sz="0" w:space="0" w:color="auto"/>
            <w:right w:val="none" w:sz="0" w:space="0" w:color="auto"/>
          </w:divBdr>
        </w:div>
      </w:divsChild>
    </w:div>
    <w:div w:id="244188426">
      <w:marLeft w:val="0"/>
      <w:marRight w:val="0"/>
      <w:marTop w:val="100"/>
      <w:marBottom w:val="0"/>
      <w:divBdr>
        <w:top w:val="none" w:sz="0" w:space="0" w:color="auto"/>
        <w:left w:val="none" w:sz="0" w:space="0" w:color="auto"/>
        <w:bottom w:val="none" w:sz="0" w:space="0" w:color="auto"/>
        <w:right w:val="none" w:sz="0" w:space="0" w:color="auto"/>
      </w:divBdr>
    </w:div>
    <w:div w:id="244534994">
      <w:marLeft w:val="0"/>
      <w:marRight w:val="0"/>
      <w:marTop w:val="100"/>
      <w:marBottom w:val="100"/>
      <w:divBdr>
        <w:top w:val="none" w:sz="0" w:space="0" w:color="auto"/>
        <w:left w:val="none" w:sz="0" w:space="0" w:color="auto"/>
        <w:bottom w:val="none" w:sz="0" w:space="0" w:color="auto"/>
        <w:right w:val="none" w:sz="0" w:space="0" w:color="auto"/>
      </w:divBdr>
    </w:div>
    <w:div w:id="247009027">
      <w:marLeft w:val="0"/>
      <w:marRight w:val="0"/>
      <w:marTop w:val="200"/>
      <w:marBottom w:val="100"/>
      <w:divBdr>
        <w:top w:val="none" w:sz="0" w:space="0" w:color="auto"/>
        <w:left w:val="none" w:sz="0" w:space="0" w:color="auto"/>
        <w:bottom w:val="none" w:sz="0" w:space="0" w:color="auto"/>
        <w:right w:val="none" w:sz="0" w:space="0" w:color="auto"/>
      </w:divBdr>
    </w:div>
    <w:div w:id="248076618">
      <w:marLeft w:val="0"/>
      <w:marRight w:val="0"/>
      <w:marTop w:val="0"/>
      <w:marBottom w:val="100"/>
      <w:divBdr>
        <w:top w:val="none" w:sz="0" w:space="0" w:color="auto"/>
        <w:left w:val="none" w:sz="0" w:space="0" w:color="auto"/>
        <w:bottom w:val="none" w:sz="0" w:space="0" w:color="auto"/>
        <w:right w:val="none" w:sz="0" w:space="0" w:color="auto"/>
      </w:divBdr>
    </w:div>
    <w:div w:id="248391407">
      <w:marLeft w:val="0"/>
      <w:marRight w:val="0"/>
      <w:marTop w:val="0"/>
      <w:marBottom w:val="0"/>
      <w:divBdr>
        <w:top w:val="none" w:sz="0" w:space="0" w:color="auto"/>
        <w:left w:val="none" w:sz="0" w:space="0" w:color="auto"/>
        <w:bottom w:val="none" w:sz="0" w:space="0" w:color="auto"/>
        <w:right w:val="none" w:sz="0" w:space="0" w:color="auto"/>
      </w:divBdr>
    </w:div>
    <w:div w:id="251400223">
      <w:marLeft w:val="0"/>
      <w:marRight w:val="0"/>
      <w:marTop w:val="100"/>
      <w:marBottom w:val="100"/>
      <w:divBdr>
        <w:top w:val="none" w:sz="0" w:space="0" w:color="auto"/>
        <w:left w:val="none" w:sz="0" w:space="0" w:color="auto"/>
        <w:bottom w:val="none" w:sz="0" w:space="0" w:color="auto"/>
        <w:right w:val="none" w:sz="0" w:space="0" w:color="auto"/>
      </w:divBdr>
      <w:divsChild>
        <w:div w:id="555090512">
          <w:marLeft w:val="0"/>
          <w:marRight w:val="0"/>
          <w:marTop w:val="0"/>
          <w:marBottom w:val="0"/>
          <w:divBdr>
            <w:top w:val="none" w:sz="0" w:space="0" w:color="auto"/>
            <w:left w:val="none" w:sz="0" w:space="0" w:color="auto"/>
            <w:bottom w:val="none" w:sz="0" w:space="0" w:color="auto"/>
            <w:right w:val="none" w:sz="0" w:space="0" w:color="auto"/>
          </w:divBdr>
        </w:div>
        <w:div w:id="1317732469">
          <w:marLeft w:val="0"/>
          <w:marRight w:val="0"/>
          <w:marTop w:val="0"/>
          <w:marBottom w:val="0"/>
          <w:divBdr>
            <w:top w:val="none" w:sz="0" w:space="0" w:color="auto"/>
            <w:left w:val="none" w:sz="0" w:space="0" w:color="auto"/>
            <w:bottom w:val="none" w:sz="0" w:space="0" w:color="auto"/>
            <w:right w:val="none" w:sz="0" w:space="0" w:color="auto"/>
          </w:divBdr>
        </w:div>
        <w:div w:id="369457296">
          <w:marLeft w:val="0"/>
          <w:marRight w:val="0"/>
          <w:marTop w:val="0"/>
          <w:marBottom w:val="0"/>
          <w:divBdr>
            <w:top w:val="none" w:sz="0" w:space="0" w:color="auto"/>
            <w:left w:val="none" w:sz="0" w:space="0" w:color="auto"/>
            <w:bottom w:val="none" w:sz="0" w:space="0" w:color="auto"/>
            <w:right w:val="none" w:sz="0" w:space="0" w:color="auto"/>
          </w:divBdr>
        </w:div>
      </w:divsChild>
    </w:div>
    <w:div w:id="251472814">
      <w:marLeft w:val="0"/>
      <w:marRight w:val="0"/>
      <w:marTop w:val="100"/>
      <w:marBottom w:val="100"/>
      <w:divBdr>
        <w:top w:val="none" w:sz="0" w:space="0" w:color="auto"/>
        <w:left w:val="none" w:sz="0" w:space="0" w:color="auto"/>
        <w:bottom w:val="none" w:sz="0" w:space="0" w:color="auto"/>
        <w:right w:val="none" w:sz="0" w:space="0" w:color="auto"/>
      </w:divBdr>
    </w:div>
    <w:div w:id="251473678">
      <w:marLeft w:val="0"/>
      <w:marRight w:val="0"/>
      <w:marTop w:val="0"/>
      <w:marBottom w:val="0"/>
      <w:divBdr>
        <w:top w:val="none" w:sz="0" w:space="0" w:color="auto"/>
        <w:left w:val="none" w:sz="0" w:space="0" w:color="auto"/>
        <w:bottom w:val="none" w:sz="0" w:space="0" w:color="auto"/>
        <w:right w:val="none" w:sz="0" w:space="0" w:color="auto"/>
      </w:divBdr>
      <w:divsChild>
        <w:div w:id="1708675138">
          <w:marLeft w:val="0"/>
          <w:marRight w:val="0"/>
          <w:marTop w:val="0"/>
          <w:marBottom w:val="100"/>
          <w:divBdr>
            <w:top w:val="none" w:sz="0" w:space="0" w:color="auto"/>
            <w:left w:val="none" w:sz="0" w:space="0" w:color="auto"/>
            <w:bottom w:val="none" w:sz="0" w:space="0" w:color="auto"/>
            <w:right w:val="none" w:sz="0" w:space="0" w:color="auto"/>
          </w:divBdr>
        </w:div>
      </w:divsChild>
    </w:div>
    <w:div w:id="252402822">
      <w:marLeft w:val="0"/>
      <w:marRight w:val="0"/>
      <w:marTop w:val="180"/>
      <w:marBottom w:val="0"/>
      <w:divBdr>
        <w:top w:val="none" w:sz="0" w:space="0" w:color="auto"/>
        <w:left w:val="none" w:sz="0" w:space="0" w:color="auto"/>
        <w:bottom w:val="none" w:sz="0" w:space="0" w:color="auto"/>
        <w:right w:val="none" w:sz="0" w:space="0" w:color="auto"/>
      </w:divBdr>
    </w:div>
    <w:div w:id="253974105">
      <w:marLeft w:val="0"/>
      <w:marRight w:val="0"/>
      <w:marTop w:val="180"/>
      <w:marBottom w:val="100"/>
      <w:divBdr>
        <w:top w:val="none" w:sz="0" w:space="0" w:color="auto"/>
        <w:left w:val="none" w:sz="0" w:space="0" w:color="auto"/>
        <w:bottom w:val="none" w:sz="0" w:space="0" w:color="auto"/>
        <w:right w:val="none" w:sz="0" w:space="0" w:color="auto"/>
      </w:divBdr>
    </w:div>
    <w:div w:id="254096222">
      <w:marLeft w:val="0"/>
      <w:marRight w:val="0"/>
      <w:marTop w:val="0"/>
      <w:marBottom w:val="0"/>
      <w:divBdr>
        <w:top w:val="none" w:sz="0" w:space="0" w:color="auto"/>
        <w:left w:val="none" w:sz="0" w:space="0" w:color="auto"/>
        <w:bottom w:val="none" w:sz="0" w:space="0" w:color="auto"/>
        <w:right w:val="none" w:sz="0" w:space="0" w:color="auto"/>
      </w:divBdr>
      <w:divsChild>
        <w:div w:id="1978683188">
          <w:marLeft w:val="0"/>
          <w:marRight w:val="0"/>
          <w:marTop w:val="0"/>
          <w:marBottom w:val="100"/>
          <w:divBdr>
            <w:top w:val="none" w:sz="0" w:space="0" w:color="auto"/>
            <w:left w:val="none" w:sz="0" w:space="0" w:color="auto"/>
            <w:bottom w:val="none" w:sz="0" w:space="0" w:color="auto"/>
            <w:right w:val="none" w:sz="0" w:space="0" w:color="auto"/>
          </w:divBdr>
        </w:div>
      </w:divsChild>
    </w:div>
    <w:div w:id="257494106">
      <w:marLeft w:val="0"/>
      <w:marRight w:val="0"/>
      <w:marTop w:val="0"/>
      <w:marBottom w:val="0"/>
      <w:divBdr>
        <w:top w:val="none" w:sz="0" w:space="0" w:color="auto"/>
        <w:left w:val="none" w:sz="0" w:space="0" w:color="auto"/>
        <w:bottom w:val="none" w:sz="0" w:space="0" w:color="auto"/>
        <w:right w:val="none" w:sz="0" w:space="0" w:color="auto"/>
      </w:divBdr>
      <w:divsChild>
        <w:div w:id="255360439">
          <w:marLeft w:val="0"/>
          <w:marRight w:val="0"/>
          <w:marTop w:val="0"/>
          <w:marBottom w:val="0"/>
          <w:divBdr>
            <w:top w:val="none" w:sz="0" w:space="0" w:color="auto"/>
            <w:left w:val="none" w:sz="0" w:space="0" w:color="auto"/>
            <w:bottom w:val="none" w:sz="0" w:space="0" w:color="auto"/>
            <w:right w:val="none" w:sz="0" w:space="0" w:color="auto"/>
          </w:divBdr>
          <w:divsChild>
            <w:div w:id="152320084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57913345">
      <w:marLeft w:val="0"/>
      <w:marRight w:val="0"/>
      <w:marTop w:val="0"/>
      <w:marBottom w:val="0"/>
      <w:divBdr>
        <w:top w:val="none" w:sz="0" w:space="0" w:color="auto"/>
        <w:left w:val="none" w:sz="0" w:space="0" w:color="auto"/>
        <w:bottom w:val="none" w:sz="0" w:space="0" w:color="auto"/>
        <w:right w:val="none" w:sz="0" w:space="0" w:color="auto"/>
      </w:divBdr>
      <w:divsChild>
        <w:div w:id="958952416">
          <w:marLeft w:val="0"/>
          <w:marRight w:val="0"/>
          <w:marTop w:val="0"/>
          <w:marBottom w:val="0"/>
          <w:divBdr>
            <w:top w:val="none" w:sz="0" w:space="0" w:color="auto"/>
            <w:left w:val="none" w:sz="0" w:space="0" w:color="auto"/>
            <w:bottom w:val="none" w:sz="0" w:space="0" w:color="auto"/>
            <w:right w:val="none" w:sz="0" w:space="0" w:color="auto"/>
          </w:divBdr>
          <w:divsChild>
            <w:div w:id="13711527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59802160">
      <w:marLeft w:val="0"/>
      <w:marRight w:val="0"/>
      <w:marTop w:val="100"/>
      <w:marBottom w:val="0"/>
      <w:divBdr>
        <w:top w:val="none" w:sz="0" w:space="0" w:color="auto"/>
        <w:left w:val="none" w:sz="0" w:space="0" w:color="auto"/>
        <w:bottom w:val="none" w:sz="0" w:space="0" w:color="auto"/>
        <w:right w:val="none" w:sz="0" w:space="0" w:color="auto"/>
      </w:divBdr>
    </w:div>
    <w:div w:id="260722195">
      <w:marLeft w:val="0"/>
      <w:marRight w:val="0"/>
      <w:marTop w:val="0"/>
      <w:marBottom w:val="120"/>
      <w:divBdr>
        <w:top w:val="none" w:sz="0" w:space="0" w:color="auto"/>
        <w:left w:val="none" w:sz="0" w:space="0" w:color="auto"/>
        <w:bottom w:val="none" w:sz="0" w:space="0" w:color="auto"/>
        <w:right w:val="none" w:sz="0" w:space="0" w:color="auto"/>
      </w:divBdr>
    </w:div>
    <w:div w:id="261187569">
      <w:marLeft w:val="0"/>
      <w:marRight w:val="0"/>
      <w:marTop w:val="100"/>
      <w:marBottom w:val="100"/>
      <w:divBdr>
        <w:top w:val="none" w:sz="0" w:space="0" w:color="auto"/>
        <w:left w:val="none" w:sz="0" w:space="0" w:color="auto"/>
        <w:bottom w:val="none" w:sz="0" w:space="0" w:color="auto"/>
        <w:right w:val="none" w:sz="0" w:space="0" w:color="auto"/>
      </w:divBdr>
    </w:div>
    <w:div w:id="262231606">
      <w:marLeft w:val="0"/>
      <w:marRight w:val="0"/>
      <w:marTop w:val="100"/>
      <w:marBottom w:val="100"/>
      <w:divBdr>
        <w:top w:val="none" w:sz="0" w:space="0" w:color="auto"/>
        <w:left w:val="none" w:sz="0" w:space="0" w:color="auto"/>
        <w:bottom w:val="none" w:sz="0" w:space="0" w:color="auto"/>
        <w:right w:val="none" w:sz="0" w:space="0" w:color="auto"/>
      </w:divBdr>
    </w:div>
    <w:div w:id="263196974">
      <w:marLeft w:val="0"/>
      <w:marRight w:val="0"/>
      <w:marTop w:val="0"/>
      <w:marBottom w:val="0"/>
      <w:divBdr>
        <w:top w:val="none" w:sz="0" w:space="0" w:color="auto"/>
        <w:left w:val="none" w:sz="0" w:space="0" w:color="auto"/>
        <w:bottom w:val="none" w:sz="0" w:space="0" w:color="auto"/>
        <w:right w:val="none" w:sz="0" w:space="0" w:color="auto"/>
      </w:divBdr>
      <w:divsChild>
        <w:div w:id="409356096">
          <w:marLeft w:val="0"/>
          <w:marRight w:val="0"/>
          <w:marTop w:val="0"/>
          <w:marBottom w:val="0"/>
          <w:divBdr>
            <w:top w:val="none" w:sz="0" w:space="0" w:color="auto"/>
            <w:left w:val="none" w:sz="0" w:space="0" w:color="auto"/>
            <w:bottom w:val="none" w:sz="0" w:space="0" w:color="auto"/>
            <w:right w:val="none" w:sz="0" w:space="0" w:color="auto"/>
          </w:divBdr>
          <w:divsChild>
            <w:div w:id="132717274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63656250">
      <w:marLeft w:val="0"/>
      <w:marRight w:val="0"/>
      <w:marTop w:val="100"/>
      <w:marBottom w:val="100"/>
      <w:divBdr>
        <w:top w:val="none" w:sz="0" w:space="0" w:color="auto"/>
        <w:left w:val="none" w:sz="0" w:space="0" w:color="auto"/>
        <w:bottom w:val="none" w:sz="0" w:space="0" w:color="auto"/>
        <w:right w:val="none" w:sz="0" w:space="0" w:color="auto"/>
      </w:divBdr>
    </w:div>
    <w:div w:id="265845458">
      <w:marLeft w:val="0"/>
      <w:marRight w:val="0"/>
      <w:marTop w:val="0"/>
      <w:marBottom w:val="0"/>
      <w:divBdr>
        <w:top w:val="none" w:sz="0" w:space="0" w:color="auto"/>
        <w:left w:val="none" w:sz="0" w:space="0" w:color="auto"/>
        <w:bottom w:val="none" w:sz="0" w:space="0" w:color="auto"/>
        <w:right w:val="none" w:sz="0" w:space="0" w:color="auto"/>
      </w:divBdr>
    </w:div>
    <w:div w:id="267080130">
      <w:marLeft w:val="0"/>
      <w:marRight w:val="0"/>
      <w:marTop w:val="180"/>
      <w:marBottom w:val="0"/>
      <w:divBdr>
        <w:top w:val="none" w:sz="0" w:space="0" w:color="auto"/>
        <w:left w:val="none" w:sz="0" w:space="0" w:color="auto"/>
        <w:bottom w:val="none" w:sz="0" w:space="0" w:color="auto"/>
        <w:right w:val="none" w:sz="0" w:space="0" w:color="auto"/>
      </w:divBdr>
    </w:div>
    <w:div w:id="267153919">
      <w:marLeft w:val="0"/>
      <w:marRight w:val="0"/>
      <w:marTop w:val="0"/>
      <w:marBottom w:val="0"/>
      <w:divBdr>
        <w:top w:val="none" w:sz="0" w:space="0" w:color="auto"/>
        <w:left w:val="none" w:sz="0" w:space="0" w:color="auto"/>
        <w:bottom w:val="none" w:sz="0" w:space="0" w:color="auto"/>
        <w:right w:val="none" w:sz="0" w:space="0" w:color="auto"/>
      </w:divBdr>
    </w:div>
    <w:div w:id="267198920">
      <w:marLeft w:val="0"/>
      <w:marRight w:val="0"/>
      <w:marTop w:val="100"/>
      <w:marBottom w:val="100"/>
      <w:divBdr>
        <w:top w:val="none" w:sz="0" w:space="0" w:color="auto"/>
        <w:left w:val="none" w:sz="0" w:space="0" w:color="auto"/>
        <w:bottom w:val="none" w:sz="0" w:space="0" w:color="auto"/>
        <w:right w:val="none" w:sz="0" w:space="0" w:color="auto"/>
      </w:divBdr>
    </w:div>
    <w:div w:id="269431302">
      <w:marLeft w:val="0"/>
      <w:marRight w:val="0"/>
      <w:marTop w:val="180"/>
      <w:marBottom w:val="100"/>
      <w:divBdr>
        <w:top w:val="none" w:sz="0" w:space="0" w:color="auto"/>
        <w:left w:val="none" w:sz="0" w:space="0" w:color="auto"/>
        <w:bottom w:val="none" w:sz="0" w:space="0" w:color="auto"/>
        <w:right w:val="none" w:sz="0" w:space="0" w:color="auto"/>
      </w:divBdr>
    </w:div>
    <w:div w:id="271206158">
      <w:marLeft w:val="0"/>
      <w:marRight w:val="0"/>
      <w:marTop w:val="0"/>
      <w:marBottom w:val="100"/>
      <w:divBdr>
        <w:top w:val="none" w:sz="0" w:space="0" w:color="auto"/>
        <w:left w:val="none" w:sz="0" w:space="0" w:color="auto"/>
        <w:bottom w:val="none" w:sz="0" w:space="0" w:color="auto"/>
        <w:right w:val="none" w:sz="0" w:space="0" w:color="auto"/>
      </w:divBdr>
    </w:div>
    <w:div w:id="272828694">
      <w:marLeft w:val="0"/>
      <w:marRight w:val="0"/>
      <w:marTop w:val="100"/>
      <w:marBottom w:val="100"/>
      <w:divBdr>
        <w:top w:val="none" w:sz="0" w:space="0" w:color="auto"/>
        <w:left w:val="none" w:sz="0" w:space="0" w:color="auto"/>
        <w:bottom w:val="none" w:sz="0" w:space="0" w:color="auto"/>
        <w:right w:val="none" w:sz="0" w:space="0" w:color="auto"/>
      </w:divBdr>
    </w:div>
    <w:div w:id="273288458">
      <w:marLeft w:val="0"/>
      <w:marRight w:val="0"/>
      <w:marTop w:val="100"/>
      <w:marBottom w:val="100"/>
      <w:divBdr>
        <w:top w:val="none" w:sz="0" w:space="0" w:color="auto"/>
        <w:left w:val="none" w:sz="0" w:space="0" w:color="auto"/>
        <w:bottom w:val="none" w:sz="0" w:space="0" w:color="auto"/>
        <w:right w:val="none" w:sz="0" w:space="0" w:color="auto"/>
      </w:divBdr>
    </w:div>
    <w:div w:id="275217940">
      <w:marLeft w:val="0"/>
      <w:marRight w:val="0"/>
      <w:marTop w:val="100"/>
      <w:marBottom w:val="100"/>
      <w:divBdr>
        <w:top w:val="none" w:sz="0" w:space="0" w:color="auto"/>
        <w:left w:val="none" w:sz="0" w:space="0" w:color="auto"/>
        <w:bottom w:val="none" w:sz="0" w:space="0" w:color="auto"/>
        <w:right w:val="none" w:sz="0" w:space="0" w:color="auto"/>
      </w:divBdr>
    </w:div>
    <w:div w:id="275479875">
      <w:marLeft w:val="0"/>
      <w:marRight w:val="0"/>
      <w:marTop w:val="0"/>
      <w:marBottom w:val="100"/>
      <w:divBdr>
        <w:top w:val="none" w:sz="0" w:space="0" w:color="auto"/>
        <w:left w:val="none" w:sz="0" w:space="0" w:color="auto"/>
        <w:bottom w:val="none" w:sz="0" w:space="0" w:color="auto"/>
        <w:right w:val="none" w:sz="0" w:space="0" w:color="auto"/>
      </w:divBdr>
    </w:div>
    <w:div w:id="275675791">
      <w:marLeft w:val="0"/>
      <w:marRight w:val="0"/>
      <w:marTop w:val="180"/>
      <w:marBottom w:val="0"/>
      <w:divBdr>
        <w:top w:val="none" w:sz="0" w:space="0" w:color="auto"/>
        <w:left w:val="none" w:sz="0" w:space="0" w:color="auto"/>
        <w:bottom w:val="none" w:sz="0" w:space="0" w:color="auto"/>
        <w:right w:val="none" w:sz="0" w:space="0" w:color="auto"/>
      </w:divBdr>
    </w:div>
    <w:div w:id="277683415">
      <w:marLeft w:val="0"/>
      <w:marRight w:val="0"/>
      <w:marTop w:val="180"/>
      <w:marBottom w:val="0"/>
      <w:divBdr>
        <w:top w:val="none" w:sz="0" w:space="0" w:color="auto"/>
        <w:left w:val="none" w:sz="0" w:space="0" w:color="auto"/>
        <w:bottom w:val="none" w:sz="0" w:space="0" w:color="auto"/>
        <w:right w:val="none" w:sz="0" w:space="0" w:color="auto"/>
      </w:divBdr>
    </w:div>
    <w:div w:id="277875567">
      <w:marLeft w:val="0"/>
      <w:marRight w:val="0"/>
      <w:marTop w:val="0"/>
      <w:marBottom w:val="100"/>
      <w:divBdr>
        <w:top w:val="none" w:sz="0" w:space="0" w:color="auto"/>
        <w:left w:val="none" w:sz="0" w:space="0" w:color="auto"/>
        <w:bottom w:val="none" w:sz="0" w:space="0" w:color="auto"/>
        <w:right w:val="none" w:sz="0" w:space="0" w:color="auto"/>
      </w:divBdr>
    </w:div>
    <w:div w:id="279338794">
      <w:marLeft w:val="0"/>
      <w:marRight w:val="0"/>
      <w:marTop w:val="0"/>
      <w:marBottom w:val="0"/>
      <w:divBdr>
        <w:top w:val="none" w:sz="0" w:space="0" w:color="auto"/>
        <w:left w:val="none" w:sz="0" w:space="0" w:color="auto"/>
        <w:bottom w:val="none" w:sz="0" w:space="0" w:color="auto"/>
        <w:right w:val="none" w:sz="0" w:space="0" w:color="auto"/>
      </w:divBdr>
      <w:divsChild>
        <w:div w:id="1407411634">
          <w:marLeft w:val="0"/>
          <w:marRight w:val="0"/>
          <w:marTop w:val="0"/>
          <w:marBottom w:val="0"/>
          <w:divBdr>
            <w:top w:val="none" w:sz="0" w:space="0" w:color="auto"/>
            <w:left w:val="none" w:sz="0" w:space="0" w:color="auto"/>
            <w:bottom w:val="none" w:sz="0" w:space="0" w:color="auto"/>
            <w:right w:val="none" w:sz="0" w:space="0" w:color="auto"/>
          </w:divBdr>
          <w:divsChild>
            <w:div w:id="5068733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79342921">
      <w:marLeft w:val="0"/>
      <w:marRight w:val="0"/>
      <w:marTop w:val="180"/>
      <w:marBottom w:val="0"/>
      <w:divBdr>
        <w:top w:val="none" w:sz="0" w:space="0" w:color="auto"/>
        <w:left w:val="none" w:sz="0" w:space="0" w:color="auto"/>
        <w:bottom w:val="none" w:sz="0" w:space="0" w:color="auto"/>
        <w:right w:val="none" w:sz="0" w:space="0" w:color="auto"/>
      </w:divBdr>
    </w:div>
    <w:div w:id="279384308">
      <w:marLeft w:val="0"/>
      <w:marRight w:val="0"/>
      <w:marTop w:val="0"/>
      <w:marBottom w:val="100"/>
      <w:divBdr>
        <w:top w:val="none" w:sz="0" w:space="0" w:color="auto"/>
        <w:left w:val="none" w:sz="0" w:space="0" w:color="auto"/>
        <w:bottom w:val="none" w:sz="0" w:space="0" w:color="auto"/>
        <w:right w:val="none" w:sz="0" w:space="0" w:color="auto"/>
      </w:divBdr>
    </w:div>
    <w:div w:id="279804205">
      <w:marLeft w:val="0"/>
      <w:marRight w:val="0"/>
      <w:marTop w:val="0"/>
      <w:marBottom w:val="0"/>
      <w:divBdr>
        <w:top w:val="none" w:sz="0" w:space="0" w:color="auto"/>
        <w:left w:val="none" w:sz="0" w:space="0" w:color="auto"/>
        <w:bottom w:val="none" w:sz="0" w:space="0" w:color="auto"/>
        <w:right w:val="none" w:sz="0" w:space="0" w:color="auto"/>
      </w:divBdr>
    </w:div>
    <w:div w:id="280570234">
      <w:marLeft w:val="0"/>
      <w:marRight w:val="0"/>
      <w:marTop w:val="180"/>
      <w:marBottom w:val="0"/>
      <w:divBdr>
        <w:top w:val="none" w:sz="0" w:space="0" w:color="auto"/>
        <w:left w:val="none" w:sz="0" w:space="0" w:color="auto"/>
        <w:bottom w:val="none" w:sz="0" w:space="0" w:color="auto"/>
        <w:right w:val="none" w:sz="0" w:space="0" w:color="auto"/>
      </w:divBdr>
    </w:div>
    <w:div w:id="281302930">
      <w:marLeft w:val="0"/>
      <w:marRight w:val="0"/>
      <w:marTop w:val="0"/>
      <w:marBottom w:val="0"/>
      <w:divBdr>
        <w:top w:val="none" w:sz="0" w:space="0" w:color="auto"/>
        <w:left w:val="none" w:sz="0" w:space="0" w:color="auto"/>
        <w:bottom w:val="none" w:sz="0" w:space="0" w:color="auto"/>
        <w:right w:val="none" w:sz="0" w:space="0" w:color="auto"/>
      </w:divBdr>
    </w:div>
    <w:div w:id="282925970">
      <w:marLeft w:val="0"/>
      <w:marRight w:val="0"/>
      <w:marTop w:val="100"/>
      <w:marBottom w:val="100"/>
      <w:divBdr>
        <w:top w:val="none" w:sz="0" w:space="0" w:color="auto"/>
        <w:left w:val="none" w:sz="0" w:space="0" w:color="auto"/>
        <w:bottom w:val="none" w:sz="0" w:space="0" w:color="auto"/>
        <w:right w:val="none" w:sz="0" w:space="0" w:color="auto"/>
      </w:divBdr>
    </w:div>
    <w:div w:id="284046183">
      <w:marLeft w:val="0"/>
      <w:marRight w:val="0"/>
      <w:marTop w:val="100"/>
      <w:marBottom w:val="100"/>
      <w:divBdr>
        <w:top w:val="none" w:sz="0" w:space="0" w:color="auto"/>
        <w:left w:val="none" w:sz="0" w:space="0" w:color="auto"/>
        <w:bottom w:val="none" w:sz="0" w:space="0" w:color="auto"/>
        <w:right w:val="none" w:sz="0" w:space="0" w:color="auto"/>
      </w:divBdr>
    </w:div>
    <w:div w:id="284313774">
      <w:marLeft w:val="0"/>
      <w:marRight w:val="0"/>
      <w:marTop w:val="0"/>
      <w:marBottom w:val="0"/>
      <w:divBdr>
        <w:top w:val="none" w:sz="0" w:space="0" w:color="auto"/>
        <w:left w:val="none" w:sz="0" w:space="0" w:color="auto"/>
        <w:bottom w:val="none" w:sz="0" w:space="0" w:color="auto"/>
        <w:right w:val="none" w:sz="0" w:space="0" w:color="auto"/>
      </w:divBdr>
    </w:div>
    <w:div w:id="286158749">
      <w:marLeft w:val="0"/>
      <w:marRight w:val="0"/>
      <w:marTop w:val="0"/>
      <w:marBottom w:val="0"/>
      <w:divBdr>
        <w:top w:val="none" w:sz="0" w:space="0" w:color="auto"/>
        <w:left w:val="none" w:sz="0" w:space="0" w:color="auto"/>
        <w:bottom w:val="none" w:sz="0" w:space="0" w:color="auto"/>
        <w:right w:val="none" w:sz="0" w:space="0" w:color="auto"/>
      </w:divBdr>
      <w:divsChild>
        <w:div w:id="137190166">
          <w:marLeft w:val="0"/>
          <w:marRight w:val="0"/>
          <w:marTop w:val="0"/>
          <w:marBottom w:val="0"/>
          <w:divBdr>
            <w:top w:val="none" w:sz="0" w:space="0" w:color="auto"/>
            <w:left w:val="none" w:sz="0" w:space="0" w:color="auto"/>
            <w:bottom w:val="none" w:sz="0" w:space="0" w:color="auto"/>
            <w:right w:val="none" w:sz="0" w:space="0" w:color="auto"/>
          </w:divBdr>
          <w:divsChild>
            <w:div w:id="17173874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88167210">
      <w:marLeft w:val="0"/>
      <w:marRight w:val="0"/>
      <w:marTop w:val="0"/>
      <w:marBottom w:val="0"/>
      <w:divBdr>
        <w:top w:val="none" w:sz="0" w:space="0" w:color="auto"/>
        <w:left w:val="none" w:sz="0" w:space="0" w:color="auto"/>
        <w:bottom w:val="none" w:sz="0" w:space="0" w:color="auto"/>
        <w:right w:val="none" w:sz="0" w:space="0" w:color="auto"/>
      </w:divBdr>
      <w:divsChild>
        <w:div w:id="1677877325">
          <w:marLeft w:val="0"/>
          <w:marRight w:val="0"/>
          <w:marTop w:val="0"/>
          <w:marBottom w:val="100"/>
          <w:divBdr>
            <w:top w:val="none" w:sz="0" w:space="0" w:color="auto"/>
            <w:left w:val="none" w:sz="0" w:space="0" w:color="auto"/>
            <w:bottom w:val="none" w:sz="0" w:space="0" w:color="auto"/>
            <w:right w:val="none" w:sz="0" w:space="0" w:color="auto"/>
          </w:divBdr>
        </w:div>
      </w:divsChild>
    </w:div>
    <w:div w:id="288704304">
      <w:marLeft w:val="0"/>
      <w:marRight w:val="0"/>
      <w:marTop w:val="100"/>
      <w:marBottom w:val="100"/>
      <w:divBdr>
        <w:top w:val="none" w:sz="0" w:space="0" w:color="auto"/>
        <w:left w:val="none" w:sz="0" w:space="0" w:color="auto"/>
        <w:bottom w:val="none" w:sz="0" w:space="0" w:color="auto"/>
        <w:right w:val="none" w:sz="0" w:space="0" w:color="auto"/>
      </w:divBdr>
    </w:div>
    <w:div w:id="289361602">
      <w:marLeft w:val="0"/>
      <w:marRight w:val="0"/>
      <w:marTop w:val="100"/>
      <w:marBottom w:val="100"/>
      <w:divBdr>
        <w:top w:val="none" w:sz="0" w:space="0" w:color="auto"/>
        <w:left w:val="none" w:sz="0" w:space="0" w:color="auto"/>
        <w:bottom w:val="none" w:sz="0" w:space="0" w:color="auto"/>
        <w:right w:val="none" w:sz="0" w:space="0" w:color="auto"/>
      </w:divBdr>
    </w:div>
    <w:div w:id="290016870">
      <w:marLeft w:val="0"/>
      <w:marRight w:val="0"/>
      <w:marTop w:val="0"/>
      <w:marBottom w:val="100"/>
      <w:divBdr>
        <w:top w:val="none" w:sz="0" w:space="0" w:color="auto"/>
        <w:left w:val="none" w:sz="0" w:space="0" w:color="auto"/>
        <w:bottom w:val="none" w:sz="0" w:space="0" w:color="auto"/>
        <w:right w:val="none" w:sz="0" w:space="0" w:color="auto"/>
      </w:divBdr>
    </w:div>
    <w:div w:id="291248016">
      <w:marLeft w:val="0"/>
      <w:marRight w:val="0"/>
      <w:marTop w:val="180"/>
      <w:marBottom w:val="0"/>
      <w:divBdr>
        <w:top w:val="none" w:sz="0" w:space="0" w:color="auto"/>
        <w:left w:val="none" w:sz="0" w:space="0" w:color="auto"/>
        <w:bottom w:val="none" w:sz="0" w:space="0" w:color="auto"/>
        <w:right w:val="none" w:sz="0" w:space="0" w:color="auto"/>
      </w:divBdr>
    </w:div>
    <w:div w:id="293487094">
      <w:marLeft w:val="0"/>
      <w:marRight w:val="0"/>
      <w:marTop w:val="0"/>
      <w:marBottom w:val="0"/>
      <w:divBdr>
        <w:top w:val="none" w:sz="0" w:space="0" w:color="auto"/>
        <w:left w:val="none" w:sz="0" w:space="0" w:color="auto"/>
        <w:bottom w:val="none" w:sz="0" w:space="0" w:color="auto"/>
        <w:right w:val="none" w:sz="0" w:space="0" w:color="auto"/>
      </w:divBdr>
    </w:div>
    <w:div w:id="294215471">
      <w:marLeft w:val="0"/>
      <w:marRight w:val="0"/>
      <w:marTop w:val="0"/>
      <w:marBottom w:val="0"/>
      <w:divBdr>
        <w:top w:val="none" w:sz="0" w:space="0" w:color="auto"/>
        <w:left w:val="none" w:sz="0" w:space="0" w:color="auto"/>
        <w:bottom w:val="none" w:sz="0" w:space="0" w:color="auto"/>
        <w:right w:val="none" w:sz="0" w:space="0" w:color="auto"/>
      </w:divBdr>
      <w:divsChild>
        <w:div w:id="681512257">
          <w:marLeft w:val="0"/>
          <w:marRight w:val="0"/>
          <w:marTop w:val="0"/>
          <w:marBottom w:val="100"/>
          <w:divBdr>
            <w:top w:val="none" w:sz="0" w:space="0" w:color="auto"/>
            <w:left w:val="none" w:sz="0" w:space="0" w:color="auto"/>
            <w:bottom w:val="none" w:sz="0" w:space="0" w:color="auto"/>
            <w:right w:val="none" w:sz="0" w:space="0" w:color="auto"/>
          </w:divBdr>
        </w:div>
      </w:divsChild>
    </w:div>
    <w:div w:id="294918824">
      <w:marLeft w:val="0"/>
      <w:marRight w:val="0"/>
      <w:marTop w:val="180"/>
      <w:marBottom w:val="100"/>
      <w:divBdr>
        <w:top w:val="none" w:sz="0" w:space="0" w:color="auto"/>
        <w:left w:val="none" w:sz="0" w:space="0" w:color="auto"/>
        <w:bottom w:val="none" w:sz="0" w:space="0" w:color="auto"/>
        <w:right w:val="none" w:sz="0" w:space="0" w:color="auto"/>
      </w:divBdr>
    </w:div>
    <w:div w:id="294986616">
      <w:marLeft w:val="0"/>
      <w:marRight w:val="0"/>
      <w:marTop w:val="100"/>
      <w:marBottom w:val="0"/>
      <w:divBdr>
        <w:top w:val="none" w:sz="0" w:space="0" w:color="auto"/>
        <w:left w:val="none" w:sz="0" w:space="0" w:color="auto"/>
        <w:bottom w:val="none" w:sz="0" w:space="0" w:color="auto"/>
        <w:right w:val="none" w:sz="0" w:space="0" w:color="auto"/>
      </w:divBdr>
    </w:div>
    <w:div w:id="295568161">
      <w:marLeft w:val="0"/>
      <w:marRight w:val="0"/>
      <w:marTop w:val="100"/>
      <w:marBottom w:val="100"/>
      <w:divBdr>
        <w:top w:val="none" w:sz="0" w:space="0" w:color="auto"/>
        <w:left w:val="none" w:sz="0" w:space="0" w:color="auto"/>
        <w:bottom w:val="none" w:sz="0" w:space="0" w:color="auto"/>
        <w:right w:val="none" w:sz="0" w:space="0" w:color="auto"/>
      </w:divBdr>
    </w:div>
    <w:div w:id="297806200">
      <w:marLeft w:val="0"/>
      <w:marRight w:val="0"/>
      <w:marTop w:val="100"/>
      <w:marBottom w:val="100"/>
      <w:divBdr>
        <w:top w:val="none" w:sz="0" w:space="0" w:color="auto"/>
        <w:left w:val="none" w:sz="0" w:space="0" w:color="auto"/>
        <w:bottom w:val="none" w:sz="0" w:space="0" w:color="auto"/>
        <w:right w:val="none" w:sz="0" w:space="0" w:color="auto"/>
      </w:divBdr>
    </w:div>
    <w:div w:id="298807096">
      <w:marLeft w:val="0"/>
      <w:marRight w:val="0"/>
      <w:marTop w:val="0"/>
      <w:marBottom w:val="100"/>
      <w:divBdr>
        <w:top w:val="none" w:sz="0" w:space="0" w:color="auto"/>
        <w:left w:val="none" w:sz="0" w:space="0" w:color="auto"/>
        <w:bottom w:val="none" w:sz="0" w:space="0" w:color="auto"/>
        <w:right w:val="none" w:sz="0" w:space="0" w:color="auto"/>
      </w:divBdr>
    </w:div>
    <w:div w:id="300040919">
      <w:marLeft w:val="0"/>
      <w:marRight w:val="0"/>
      <w:marTop w:val="0"/>
      <w:marBottom w:val="100"/>
      <w:divBdr>
        <w:top w:val="none" w:sz="0" w:space="0" w:color="auto"/>
        <w:left w:val="none" w:sz="0" w:space="0" w:color="auto"/>
        <w:bottom w:val="none" w:sz="0" w:space="0" w:color="auto"/>
        <w:right w:val="none" w:sz="0" w:space="0" w:color="auto"/>
      </w:divBdr>
    </w:div>
    <w:div w:id="300841584">
      <w:marLeft w:val="0"/>
      <w:marRight w:val="0"/>
      <w:marTop w:val="180"/>
      <w:marBottom w:val="0"/>
      <w:divBdr>
        <w:top w:val="none" w:sz="0" w:space="0" w:color="auto"/>
        <w:left w:val="none" w:sz="0" w:space="0" w:color="auto"/>
        <w:bottom w:val="none" w:sz="0" w:space="0" w:color="auto"/>
        <w:right w:val="none" w:sz="0" w:space="0" w:color="auto"/>
      </w:divBdr>
    </w:div>
    <w:div w:id="303582661">
      <w:marLeft w:val="0"/>
      <w:marRight w:val="0"/>
      <w:marTop w:val="0"/>
      <w:marBottom w:val="0"/>
      <w:divBdr>
        <w:top w:val="none" w:sz="0" w:space="0" w:color="auto"/>
        <w:left w:val="none" w:sz="0" w:space="0" w:color="auto"/>
        <w:bottom w:val="none" w:sz="0" w:space="0" w:color="auto"/>
        <w:right w:val="none" w:sz="0" w:space="0" w:color="auto"/>
      </w:divBdr>
    </w:div>
    <w:div w:id="303628919">
      <w:marLeft w:val="0"/>
      <w:marRight w:val="0"/>
      <w:marTop w:val="0"/>
      <w:marBottom w:val="0"/>
      <w:divBdr>
        <w:top w:val="none" w:sz="0" w:space="0" w:color="auto"/>
        <w:left w:val="none" w:sz="0" w:space="0" w:color="auto"/>
        <w:bottom w:val="none" w:sz="0" w:space="0" w:color="auto"/>
        <w:right w:val="none" w:sz="0" w:space="0" w:color="auto"/>
      </w:divBdr>
      <w:divsChild>
        <w:div w:id="1254240750">
          <w:marLeft w:val="0"/>
          <w:marRight w:val="0"/>
          <w:marTop w:val="0"/>
          <w:marBottom w:val="100"/>
          <w:divBdr>
            <w:top w:val="none" w:sz="0" w:space="0" w:color="auto"/>
            <w:left w:val="none" w:sz="0" w:space="0" w:color="auto"/>
            <w:bottom w:val="none" w:sz="0" w:space="0" w:color="auto"/>
            <w:right w:val="none" w:sz="0" w:space="0" w:color="auto"/>
          </w:divBdr>
        </w:div>
      </w:divsChild>
    </w:div>
    <w:div w:id="304431823">
      <w:marLeft w:val="0"/>
      <w:marRight w:val="0"/>
      <w:marTop w:val="100"/>
      <w:marBottom w:val="0"/>
      <w:divBdr>
        <w:top w:val="none" w:sz="0" w:space="0" w:color="auto"/>
        <w:left w:val="none" w:sz="0" w:space="0" w:color="auto"/>
        <w:bottom w:val="none" w:sz="0" w:space="0" w:color="auto"/>
        <w:right w:val="none" w:sz="0" w:space="0" w:color="auto"/>
      </w:divBdr>
    </w:div>
    <w:div w:id="308095811">
      <w:marLeft w:val="0"/>
      <w:marRight w:val="0"/>
      <w:marTop w:val="0"/>
      <w:marBottom w:val="0"/>
      <w:divBdr>
        <w:top w:val="none" w:sz="0" w:space="0" w:color="auto"/>
        <w:left w:val="none" w:sz="0" w:space="0" w:color="auto"/>
        <w:bottom w:val="none" w:sz="0" w:space="0" w:color="auto"/>
        <w:right w:val="none" w:sz="0" w:space="0" w:color="auto"/>
      </w:divBdr>
      <w:divsChild>
        <w:div w:id="1735084825">
          <w:marLeft w:val="0"/>
          <w:marRight w:val="0"/>
          <w:marTop w:val="0"/>
          <w:marBottom w:val="100"/>
          <w:divBdr>
            <w:top w:val="none" w:sz="0" w:space="0" w:color="auto"/>
            <w:left w:val="none" w:sz="0" w:space="0" w:color="auto"/>
            <w:bottom w:val="none" w:sz="0" w:space="0" w:color="auto"/>
            <w:right w:val="none" w:sz="0" w:space="0" w:color="auto"/>
          </w:divBdr>
        </w:div>
      </w:divsChild>
    </w:div>
    <w:div w:id="308412421">
      <w:marLeft w:val="0"/>
      <w:marRight w:val="0"/>
      <w:marTop w:val="100"/>
      <w:marBottom w:val="100"/>
      <w:divBdr>
        <w:top w:val="none" w:sz="0" w:space="0" w:color="auto"/>
        <w:left w:val="none" w:sz="0" w:space="0" w:color="auto"/>
        <w:bottom w:val="none" w:sz="0" w:space="0" w:color="auto"/>
        <w:right w:val="none" w:sz="0" w:space="0" w:color="auto"/>
      </w:divBdr>
    </w:div>
    <w:div w:id="308553703">
      <w:marLeft w:val="0"/>
      <w:marRight w:val="0"/>
      <w:marTop w:val="100"/>
      <w:marBottom w:val="0"/>
      <w:divBdr>
        <w:top w:val="none" w:sz="0" w:space="0" w:color="auto"/>
        <w:left w:val="none" w:sz="0" w:space="0" w:color="auto"/>
        <w:bottom w:val="none" w:sz="0" w:space="0" w:color="auto"/>
        <w:right w:val="none" w:sz="0" w:space="0" w:color="auto"/>
      </w:divBdr>
    </w:div>
    <w:div w:id="309991318">
      <w:marLeft w:val="0"/>
      <w:marRight w:val="0"/>
      <w:marTop w:val="0"/>
      <w:marBottom w:val="0"/>
      <w:divBdr>
        <w:top w:val="none" w:sz="0" w:space="0" w:color="auto"/>
        <w:left w:val="none" w:sz="0" w:space="0" w:color="auto"/>
        <w:bottom w:val="none" w:sz="0" w:space="0" w:color="auto"/>
        <w:right w:val="none" w:sz="0" w:space="0" w:color="auto"/>
      </w:divBdr>
    </w:div>
    <w:div w:id="310335544">
      <w:marLeft w:val="0"/>
      <w:marRight w:val="0"/>
      <w:marTop w:val="180"/>
      <w:marBottom w:val="100"/>
      <w:divBdr>
        <w:top w:val="none" w:sz="0" w:space="0" w:color="auto"/>
        <w:left w:val="none" w:sz="0" w:space="0" w:color="auto"/>
        <w:bottom w:val="none" w:sz="0" w:space="0" w:color="auto"/>
        <w:right w:val="none" w:sz="0" w:space="0" w:color="auto"/>
      </w:divBdr>
    </w:div>
    <w:div w:id="315426160">
      <w:marLeft w:val="0"/>
      <w:marRight w:val="0"/>
      <w:marTop w:val="0"/>
      <w:marBottom w:val="100"/>
      <w:divBdr>
        <w:top w:val="none" w:sz="0" w:space="0" w:color="auto"/>
        <w:left w:val="none" w:sz="0" w:space="0" w:color="auto"/>
        <w:bottom w:val="none" w:sz="0" w:space="0" w:color="auto"/>
        <w:right w:val="none" w:sz="0" w:space="0" w:color="auto"/>
      </w:divBdr>
    </w:div>
    <w:div w:id="316954674">
      <w:marLeft w:val="0"/>
      <w:marRight w:val="0"/>
      <w:marTop w:val="180"/>
      <w:marBottom w:val="0"/>
      <w:divBdr>
        <w:top w:val="none" w:sz="0" w:space="0" w:color="auto"/>
        <w:left w:val="none" w:sz="0" w:space="0" w:color="auto"/>
        <w:bottom w:val="none" w:sz="0" w:space="0" w:color="auto"/>
        <w:right w:val="none" w:sz="0" w:space="0" w:color="auto"/>
      </w:divBdr>
    </w:div>
    <w:div w:id="317418178">
      <w:marLeft w:val="0"/>
      <w:marRight w:val="0"/>
      <w:marTop w:val="0"/>
      <w:marBottom w:val="100"/>
      <w:divBdr>
        <w:top w:val="none" w:sz="0" w:space="0" w:color="auto"/>
        <w:left w:val="none" w:sz="0" w:space="0" w:color="auto"/>
        <w:bottom w:val="none" w:sz="0" w:space="0" w:color="auto"/>
        <w:right w:val="none" w:sz="0" w:space="0" w:color="auto"/>
      </w:divBdr>
    </w:div>
    <w:div w:id="318733476">
      <w:marLeft w:val="0"/>
      <w:marRight w:val="0"/>
      <w:marTop w:val="100"/>
      <w:marBottom w:val="100"/>
      <w:divBdr>
        <w:top w:val="none" w:sz="0" w:space="0" w:color="auto"/>
        <w:left w:val="none" w:sz="0" w:space="0" w:color="auto"/>
        <w:bottom w:val="none" w:sz="0" w:space="0" w:color="auto"/>
        <w:right w:val="none" w:sz="0" w:space="0" w:color="auto"/>
      </w:divBdr>
    </w:div>
    <w:div w:id="319316000">
      <w:marLeft w:val="0"/>
      <w:marRight w:val="0"/>
      <w:marTop w:val="180"/>
      <w:marBottom w:val="0"/>
      <w:divBdr>
        <w:top w:val="none" w:sz="0" w:space="0" w:color="auto"/>
        <w:left w:val="none" w:sz="0" w:space="0" w:color="auto"/>
        <w:bottom w:val="none" w:sz="0" w:space="0" w:color="auto"/>
        <w:right w:val="none" w:sz="0" w:space="0" w:color="auto"/>
      </w:divBdr>
    </w:div>
    <w:div w:id="320160320">
      <w:marLeft w:val="0"/>
      <w:marRight w:val="0"/>
      <w:marTop w:val="180"/>
      <w:marBottom w:val="0"/>
      <w:divBdr>
        <w:top w:val="none" w:sz="0" w:space="0" w:color="auto"/>
        <w:left w:val="none" w:sz="0" w:space="0" w:color="auto"/>
        <w:bottom w:val="none" w:sz="0" w:space="0" w:color="auto"/>
        <w:right w:val="none" w:sz="0" w:space="0" w:color="auto"/>
      </w:divBdr>
    </w:div>
    <w:div w:id="321592928">
      <w:marLeft w:val="0"/>
      <w:marRight w:val="0"/>
      <w:marTop w:val="0"/>
      <w:marBottom w:val="0"/>
      <w:divBdr>
        <w:top w:val="none" w:sz="0" w:space="0" w:color="auto"/>
        <w:left w:val="none" w:sz="0" w:space="0" w:color="auto"/>
        <w:bottom w:val="none" w:sz="0" w:space="0" w:color="auto"/>
        <w:right w:val="none" w:sz="0" w:space="0" w:color="auto"/>
      </w:divBdr>
    </w:div>
    <w:div w:id="323898508">
      <w:marLeft w:val="0"/>
      <w:marRight w:val="0"/>
      <w:marTop w:val="0"/>
      <w:marBottom w:val="0"/>
      <w:divBdr>
        <w:top w:val="none" w:sz="0" w:space="0" w:color="auto"/>
        <w:left w:val="none" w:sz="0" w:space="0" w:color="auto"/>
        <w:bottom w:val="none" w:sz="0" w:space="0" w:color="auto"/>
        <w:right w:val="none" w:sz="0" w:space="0" w:color="auto"/>
      </w:divBdr>
    </w:div>
    <w:div w:id="325014275">
      <w:marLeft w:val="0"/>
      <w:marRight w:val="0"/>
      <w:marTop w:val="0"/>
      <w:marBottom w:val="0"/>
      <w:divBdr>
        <w:top w:val="none" w:sz="0" w:space="0" w:color="auto"/>
        <w:left w:val="none" w:sz="0" w:space="0" w:color="auto"/>
        <w:bottom w:val="none" w:sz="0" w:space="0" w:color="auto"/>
        <w:right w:val="none" w:sz="0" w:space="0" w:color="auto"/>
      </w:divBdr>
      <w:divsChild>
        <w:div w:id="1627589493">
          <w:marLeft w:val="0"/>
          <w:marRight w:val="0"/>
          <w:marTop w:val="0"/>
          <w:marBottom w:val="0"/>
          <w:divBdr>
            <w:top w:val="none" w:sz="0" w:space="0" w:color="auto"/>
            <w:left w:val="none" w:sz="0" w:space="0" w:color="auto"/>
            <w:bottom w:val="none" w:sz="0" w:space="0" w:color="auto"/>
            <w:right w:val="none" w:sz="0" w:space="0" w:color="auto"/>
          </w:divBdr>
          <w:divsChild>
            <w:div w:id="10346472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25281971">
      <w:marLeft w:val="0"/>
      <w:marRight w:val="0"/>
      <w:marTop w:val="100"/>
      <w:marBottom w:val="100"/>
      <w:divBdr>
        <w:top w:val="none" w:sz="0" w:space="0" w:color="auto"/>
        <w:left w:val="none" w:sz="0" w:space="0" w:color="auto"/>
        <w:bottom w:val="none" w:sz="0" w:space="0" w:color="auto"/>
        <w:right w:val="none" w:sz="0" w:space="0" w:color="auto"/>
      </w:divBdr>
    </w:div>
    <w:div w:id="326132611">
      <w:marLeft w:val="0"/>
      <w:marRight w:val="0"/>
      <w:marTop w:val="0"/>
      <w:marBottom w:val="0"/>
      <w:divBdr>
        <w:top w:val="none" w:sz="0" w:space="0" w:color="auto"/>
        <w:left w:val="none" w:sz="0" w:space="0" w:color="auto"/>
        <w:bottom w:val="none" w:sz="0" w:space="0" w:color="auto"/>
        <w:right w:val="none" w:sz="0" w:space="0" w:color="auto"/>
      </w:divBdr>
      <w:divsChild>
        <w:div w:id="703602210">
          <w:marLeft w:val="0"/>
          <w:marRight w:val="0"/>
          <w:marTop w:val="0"/>
          <w:marBottom w:val="100"/>
          <w:divBdr>
            <w:top w:val="none" w:sz="0" w:space="0" w:color="auto"/>
            <w:left w:val="none" w:sz="0" w:space="0" w:color="auto"/>
            <w:bottom w:val="none" w:sz="0" w:space="0" w:color="auto"/>
            <w:right w:val="none" w:sz="0" w:space="0" w:color="auto"/>
          </w:divBdr>
        </w:div>
      </w:divsChild>
    </w:div>
    <w:div w:id="327177974">
      <w:marLeft w:val="0"/>
      <w:marRight w:val="0"/>
      <w:marTop w:val="0"/>
      <w:marBottom w:val="100"/>
      <w:divBdr>
        <w:top w:val="none" w:sz="0" w:space="0" w:color="auto"/>
        <w:left w:val="none" w:sz="0" w:space="0" w:color="auto"/>
        <w:bottom w:val="none" w:sz="0" w:space="0" w:color="auto"/>
        <w:right w:val="none" w:sz="0" w:space="0" w:color="auto"/>
      </w:divBdr>
    </w:div>
    <w:div w:id="327246056">
      <w:marLeft w:val="0"/>
      <w:marRight w:val="0"/>
      <w:marTop w:val="200"/>
      <w:marBottom w:val="100"/>
      <w:divBdr>
        <w:top w:val="none" w:sz="0" w:space="0" w:color="auto"/>
        <w:left w:val="none" w:sz="0" w:space="0" w:color="auto"/>
        <w:bottom w:val="none" w:sz="0" w:space="0" w:color="auto"/>
        <w:right w:val="none" w:sz="0" w:space="0" w:color="auto"/>
      </w:divBdr>
      <w:divsChild>
        <w:div w:id="385449486">
          <w:marLeft w:val="0"/>
          <w:marRight w:val="0"/>
          <w:marTop w:val="0"/>
          <w:marBottom w:val="0"/>
          <w:divBdr>
            <w:top w:val="none" w:sz="0" w:space="0" w:color="auto"/>
            <w:left w:val="none" w:sz="0" w:space="0" w:color="auto"/>
            <w:bottom w:val="none" w:sz="0" w:space="0" w:color="auto"/>
            <w:right w:val="none" w:sz="0" w:space="0" w:color="auto"/>
          </w:divBdr>
        </w:div>
        <w:div w:id="177739754">
          <w:marLeft w:val="0"/>
          <w:marRight w:val="0"/>
          <w:marTop w:val="0"/>
          <w:marBottom w:val="0"/>
          <w:divBdr>
            <w:top w:val="none" w:sz="0" w:space="0" w:color="auto"/>
            <w:left w:val="none" w:sz="0" w:space="0" w:color="auto"/>
            <w:bottom w:val="none" w:sz="0" w:space="0" w:color="auto"/>
            <w:right w:val="none" w:sz="0" w:space="0" w:color="auto"/>
          </w:divBdr>
        </w:div>
        <w:div w:id="2015568348">
          <w:marLeft w:val="0"/>
          <w:marRight w:val="0"/>
          <w:marTop w:val="0"/>
          <w:marBottom w:val="0"/>
          <w:divBdr>
            <w:top w:val="none" w:sz="0" w:space="0" w:color="auto"/>
            <w:left w:val="none" w:sz="0" w:space="0" w:color="auto"/>
            <w:bottom w:val="none" w:sz="0" w:space="0" w:color="auto"/>
            <w:right w:val="none" w:sz="0" w:space="0" w:color="auto"/>
          </w:divBdr>
        </w:div>
        <w:div w:id="2014019288">
          <w:marLeft w:val="0"/>
          <w:marRight w:val="0"/>
          <w:marTop w:val="0"/>
          <w:marBottom w:val="0"/>
          <w:divBdr>
            <w:top w:val="none" w:sz="0" w:space="0" w:color="auto"/>
            <w:left w:val="none" w:sz="0" w:space="0" w:color="auto"/>
            <w:bottom w:val="none" w:sz="0" w:space="0" w:color="auto"/>
            <w:right w:val="none" w:sz="0" w:space="0" w:color="auto"/>
          </w:divBdr>
        </w:div>
      </w:divsChild>
    </w:div>
    <w:div w:id="328021819">
      <w:marLeft w:val="0"/>
      <w:marRight w:val="0"/>
      <w:marTop w:val="0"/>
      <w:marBottom w:val="0"/>
      <w:divBdr>
        <w:top w:val="none" w:sz="0" w:space="0" w:color="auto"/>
        <w:left w:val="none" w:sz="0" w:space="0" w:color="auto"/>
        <w:bottom w:val="none" w:sz="0" w:space="0" w:color="auto"/>
        <w:right w:val="none" w:sz="0" w:space="0" w:color="auto"/>
      </w:divBdr>
    </w:div>
    <w:div w:id="329019603">
      <w:marLeft w:val="0"/>
      <w:marRight w:val="0"/>
      <w:marTop w:val="100"/>
      <w:marBottom w:val="100"/>
      <w:divBdr>
        <w:top w:val="none" w:sz="0" w:space="0" w:color="auto"/>
        <w:left w:val="none" w:sz="0" w:space="0" w:color="auto"/>
        <w:bottom w:val="none" w:sz="0" w:space="0" w:color="auto"/>
        <w:right w:val="none" w:sz="0" w:space="0" w:color="auto"/>
      </w:divBdr>
    </w:div>
    <w:div w:id="330644126">
      <w:marLeft w:val="0"/>
      <w:marRight w:val="0"/>
      <w:marTop w:val="0"/>
      <w:marBottom w:val="100"/>
      <w:divBdr>
        <w:top w:val="none" w:sz="0" w:space="0" w:color="auto"/>
        <w:left w:val="none" w:sz="0" w:space="0" w:color="auto"/>
        <w:bottom w:val="none" w:sz="0" w:space="0" w:color="auto"/>
        <w:right w:val="none" w:sz="0" w:space="0" w:color="auto"/>
      </w:divBdr>
    </w:div>
    <w:div w:id="332412981">
      <w:marLeft w:val="0"/>
      <w:marRight w:val="0"/>
      <w:marTop w:val="180"/>
      <w:marBottom w:val="0"/>
      <w:divBdr>
        <w:top w:val="none" w:sz="0" w:space="0" w:color="auto"/>
        <w:left w:val="none" w:sz="0" w:space="0" w:color="auto"/>
        <w:bottom w:val="none" w:sz="0" w:space="0" w:color="auto"/>
        <w:right w:val="none" w:sz="0" w:space="0" w:color="auto"/>
      </w:divBdr>
    </w:div>
    <w:div w:id="333799706">
      <w:marLeft w:val="0"/>
      <w:marRight w:val="0"/>
      <w:marTop w:val="0"/>
      <w:marBottom w:val="0"/>
      <w:divBdr>
        <w:top w:val="none" w:sz="0" w:space="0" w:color="auto"/>
        <w:left w:val="none" w:sz="0" w:space="0" w:color="auto"/>
        <w:bottom w:val="none" w:sz="0" w:space="0" w:color="auto"/>
        <w:right w:val="none" w:sz="0" w:space="0" w:color="auto"/>
      </w:divBdr>
      <w:divsChild>
        <w:div w:id="99881035">
          <w:marLeft w:val="0"/>
          <w:marRight w:val="0"/>
          <w:marTop w:val="0"/>
          <w:marBottom w:val="0"/>
          <w:divBdr>
            <w:top w:val="none" w:sz="0" w:space="0" w:color="auto"/>
            <w:left w:val="none" w:sz="0" w:space="0" w:color="auto"/>
            <w:bottom w:val="none" w:sz="0" w:space="0" w:color="auto"/>
            <w:right w:val="none" w:sz="0" w:space="0" w:color="auto"/>
          </w:divBdr>
          <w:divsChild>
            <w:div w:id="13571998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33805939">
      <w:marLeft w:val="0"/>
      <w:marRight w:val="0"/>
      <w:marTop w:val="180"/>
      <w:marBottom w:val="100"/>
      <w:divBdr>
        <w:top w:val="none" w:sz="0" w:space="0" w:color="auto"/>
        <w:left w:val="none" w:sz="0" w:space="0" w:color="auto"/>
        <w:bottom w:val="none" w:sz="0" w:space="0" w:color="auto"/>
        <w:right w:val="none" w:sz="0" w:space="0" w:color="auto"/>
      </w:divBdr>
    </w:div>
    <w:div w:id="335885753">
      <w:marLeft w:val="0"/>
      <w:marRight w:val="0"/>
      <w:marTop w:val="100"/>
      <w:marBottom w:val="100"/>
      <w:divBdr>
        <w:top w:val="none" w:sz="0" w:space="0" w:color="auto"/>
        <w:left w:val="none" w:sz="0" w:space="0" w:color="auto"/>
        <w:bottom w:val="none" w:sz="0" w:space="0" w:color="auto"/>
        <w:right w:val="none" w:sz="0" w:space="0" w:color="auto"/>
      </w:divBdr>
    </w:div>
    <w:div w:id="336080047">
      <w:marLeft w:val="0"/>
      <w:marRight w:val="0"/>
      <w:marTop w:val="0"/>
      <w:marBottom w:val="100"/>
      <w:divBdr>
        <w:top w:val="none" w:sz="0" w:space="0" w:color="auto"/>
        <w:left w:val="none" w:sz="0" w:space="0" w:color="auto"/>
        <w:bottom w:val="none" w:sz="0" w:space="0" w:color="auto"/>
        <w:right w:val="none" w:sz="0" w:space="0" w:color="auto"/>
      </w:divBdr>
    </w:div>
    <w:div w:id="336421397">
      <w:marLeft w:val="0"/>
      <w:marRight w:val="0"/>
      <w:marTop w:val="0"/>
      <w:marBottom w:val="100"/>
      <w:divBdr>
        <w:top w:val="none" w:sz="0" w:space="0" w:color="auto"/>
        <w:left w:val="none" w:sz="0" w:space="0" w:color="auto"/>
        <w:bottom w:val="none" w:sz="0" w:space="0" w:color="auto"/>
        <w:right w:val="none" w:sz="0" w:space="0" w:color="auto"/>
      </w:divBdr>
    </w:div>
    <w:div w:id="336468369">
      <w:marLeft w:val="0"/>
      <w:marRight w:val="0"/>
      <w:marTop w:val="0"/>
      <w:marBottom w:val="0"/>
      <w:divBdr>
        <w:top w:val="none" w:sz="0" w:space="0" w:color="auto"/>
        <w:left w:val="none" w:sz="0" w:space="0" w:color="auto"/>
        <w:bottom w:val="none" w:sz="0" w:space="0" w:color="auto"/>
        <w:right w:val="none" w:sz="0" w:space="0" w:color="auto"/>
      </w:divBdr>
      <w:divsChild>
        <w:div w:id="1456951612">
          <w:marLeft w:val="0"/>
          <w:marRight w:val="0"/>
          <w:marTop w:val="0"/>
          <w:marBottom w:val="0"/>
          <w:divBdr>
            <w:top w:val="none" w:sz="0" w:space="0" w:color="auto"/>
            <w:left w:val="none" w:sz="0" w:space="0" w:color="auto"/>
            <w:bottom w:val="none" w:sz="0" w:space="0" w:color="auto"/>
            <w:right w:val="none" w:sz="0" w:space="0" w:color="auto"/>
          </w:divBdr>
          <w:divsChild>
            <w:div w:id="18637877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36929394">
      <w:marLeft w:val="0"/>
      <w:marRight w:val="0"/>
      <w:marTop w:val="60"/>
      <w:marBottom w:val="100"/>
      <w:divBdr>
        <w:top w:val="none" w:sz="0" w:space="0" w:color="auto"/>
        <w:left w:val="none" w:sz="0" w:space="0" w:color="auto"/>
        <w:bottom w:val="none" w:sz="0" w:space="0" w:color="auto"/>
        <w:right w:val="none" w:sz="0" w:space="0" w:color="auto"/>
      </w:divBdr>
    </w:div>
    <w:div w:id="339816569">
      <w:marLeft w:val="0"/>
      <w:marRight w:val="0"/>
      <w:marTop w:val="0"/>
      <w:marBottom w:val="100"/>
      <w:divBdr>
        <w:top w:val="none" w:sz="0" w:space="0" w:color="auto"/>
        <w:left w:val="none" w:sz="0" w:space="0" w:color="auto"/>
        <w:bottom w:val="none" w:sz="0" w:space="0" w:color="auto"/>
        <w:right w:val="none" w:sz="0" w:space="0" w:color="auto"/>
      </w:divBdr>
    </w:div>
    <w:div w:id="341589045">
      <w:marLeft w:val="0"/>
      <w:marRight w:val="0"/>
      <w:marTop w:val="0"/>
      <w:marBottom w:val="120"/>
      <w:divBdr>
        <w:top w:val="none" w:sz="0" w:space="0" w:color="auto"/>
        <w:left w:val="none" w:sz="0" w:space="0" w:color="auto"/>
        <w:bottom w:val="none" w:sz="0" w:space="0" w:color="auto"/>
        <w:right w:val="none" w:sz="0" w:space="0" w:color="auto"/>
      </w:divBdr>
    </w:div>
    <w:div w:id="341708931">
      <w:marLeft w:val="0"/>
      <w:marRight w:val="0"/>
      <w:marTop w:val="0"/>
      <w:marBottom w:val="100"/>
      <w:divBdr>
        <w:top w:val="none" w:sz="0" w:space="0" w:color="auto"/>
        <w:left w:val="none" w:sz="0" w:space="0" w:color="auto"/>
        <w:bottom w:val="none" w:sz="0" w:space="0" w:color="auto"/>
        <w:right w:val="none" w:sz="0" w:space="0" w:color="auto"/>
      </w:divBdr>
    </w:div>
    <w:div w:id="343292216">
      <w:marLeft w:val="0"/>
      <w:marRight w:val="0"/>
      <w:marTop w:val="0"/>
      <w:marBottom w:val="0"/>
      <w:divBdr>
        <w:top w:val="none" w:sz="0" w:space="0" w:color="auto"/>
        <w:left w:val="none" w:sz="0" w:space="0" w:color="auto"/>
        <w:bottom w:val="none" w:sz="0" w:space="0" w:color="auto"/>
        <w:right w:val="none" w:sz="0" w:space="0" w:color="auto"/>
      </w:divBdr>
    </w:div>
    <w:div w:id="344746188">
      <w:marLeft w:val="0"/>
      <w:marRight w:val="0"/>
      <w:marTop w:val="0"/>
      <w:marBottom w:val="100"/>
      <w:divBdr>
        <w:top w:val="none" w:sz="0" w:space="0" w:color="auto"/>
        <w:left w:val="none" w:sz="0" w:space="0" w:color="auto"/>
        <w:bottom w:val="none" w:sz="0" w:space="0" w:color="auto"/>
        <w:right w:val="none" w:sz="0" w:space="0" w:color="auto"/>
      </w:divBdr>
    </w:div>
    <w:div w:id="344863864">
      <w:marLeft w:val="0"/>
      <w:marRight w:val="0"/>
      <w:marTop w:val="100"/>
      <w:marBottom w:val="100"/>
      <w:divBdr>
        <w:top w:val="none" w:sz="0" w:space="0" w:color="auto"/>
        <w:left w:val="none" w:sz="0" w:space="0" w:color="auto"/>
        <w:bottom w:val="none" w:sz="0" w:space="0" w:color="auto"/>
        <w:right w:val="none" w:sz="0" w:space="0" w:color="auto"/>
      </w:divBdr>
    </w:div>
    <w:div w:id="346979939">
      <w:marLeft w:val="0"/>
      <w:marRight w:val="0"/>
      <w:marTop w:val="0"/>
      <w:marBottom w:val="0"/>
      <w:divBdr>
        <w:top w:val="none" w:sz="0" w:space="0" w:color="auto"/>
        <w:left w:val="none" w:sz="0" w:space="0" w:color="auto"/>
        <w:bottom w:val="none" w:sz="0" w:space="0" w:color="auto"/>
        <w:right w:val="none" w:sz="0" w:space="0" w:color="auto"/>
      </w:divBdr>
    </w:div>
    <w:div w:id="348027530">
      <w:marLeft w:val="0"/>
      <w:marRight w:val="0"/>
      <w:marTop w:val="0"/>
      <w:marBottom w:val="0"/>
      <w:divBdr>
        <w:top w:val="none" w:sz="0" w:space="0" w:color="auto"/>
        <w:left w:val="none" w:sz="0" w:space="0" w:color="auto"/>
        <w:bottom w:val="none" w:sz="0" w:space="0" w:color="auto"/>
        <w:right w:val="none" w:sz="0" w:space="0" w:color="auto"/>
      </w:divBdr>
    </w:div>
    <w:div w:id="354768247">
      <w:marLeft w:val="0"/>
      <w:marRight w:val="0"/>
      <w:marTop w:val="180"/>
      <w:marBottom w:val="0"/>
      <w:divBdr>
        <w:top w:val="none" w:sz="0" w:space="0" w:color="auto"/>
        <w:left w:val="none" w:sz="0" w:space="0" w:color="auto"/>
        <w:bottom w:val="none" w:sz="0" w:space="0" w:color="auto"/>
        <w:right w:val="none" w:sz="0" w:space="0" w:color="auto"/>
      </w:divBdr>
    </w:div>
    <w:div w:id="358049585">
      <w:marLeft w:val="0"/>
      <w:marRight w:val="0"/>
      <w:marTop w:val="0"/>
      <w:marBottom w:val="0"/>
      <w:divBdr>
        <w:top w:val="none" w:sz="0" w:space="0" w:color="auto"/>
        <w:left w:val="none" w:sz="0" w:space="0" w:color="auto"/>
        <w:bottom w:val="none" w:sz="0" w:space="0" w:color="auto"/>
        <w:right w:val="none" w:sz="0" w:space="0" w:color="auto"/>
      </w:divBdr>
    </w:div>
    <w:div w:id="358362886">
      <w:marLeft w:val="0"/>
      <w:marRight w:val="0"/>
      <w:marTop w:val="100"/>
      <w:marBottom w:val="100"/>
      <w:divBdr>
        <w:top w:val="none" w:sz="0" w:space="0" w:color="auto"/>
        <w:left w:val="none" w:sz="0" w:space="0" w:color="auto"/>
        <w:bottom w:val="none" w:sz="0" w:space="0" w:color="auto"/>
        <w:right w:val="none" w:sz="0" w:space="0" w:color="auto"/>
      </w:divBdr>
    </w:div>
    <w:div w:id="358556315">
      <w:marLeft w:val="0"/>
      <w:marRight w:val="0"/>
      <w:marTop w:val="100"/>
      <w:marBottom w:val="100"/>
      <w:divBdr>
        <w:top w:val="none" w:sz="0" w:space="0" w:color="auto"/>
        <w:left w:val="none" w:sz="0" w:space="0" w:color="auto"/>
        <w:bottom w:val="none" w:sz="0" w:space="0" w:color="auto"/>
        <w:right w:val="none" w:sz="0" w:space="0" w:color="auto"/>
      </w:divBdr>
    </w:div>
    <w:div w:id="359085587">
      <w:marLeft w:val="0"/>
      <w:marRight w:val="0"/>
      <w:marTop w:val="180"/>
      <w:marBottom w:val="0"/>
      <w:divBdr>
        <w:top w:val="none" w:sz="0" w:space="0" w:color="auto"/>
        <w:left w:val="none" w:sz="0" w:space="0" w:color="auto"/>
        <w:bottom w:val="none" w:sz="0" w:space="0" w:color="auto"/>
        <w:right w:val="none" w:sz="0" w:space="0" w:color="auto"/>
      </w:divBdr>
    </w:div>
    <w:div w:id="361900523">
      <w:marLeft w:val="0"/>
      <w:marRight w:val="0"/>
      <w:marTop w:val="0"/>
      <w:marBottom w:val="0"/>
      <w:divBdr>
        <w:top w:val="none" w:sz="0" w:space="0" w:color="auto"/>
        <w:left w:val="none" w:sz="0" w:space="0" w:color="auto"/>
        <w:bottom w:val="none" w:sz="0" w:space="0" w:color="auto"/>
        <w:right w:val="none" w:sz="0" w:space="0" w:color="auto"/>
      </w:divBdr>
    </w:div>
    <w:div w:id="362950085">
      <w:marLeft w:val="0"/>
      <w:marRight w:val="0"/>
      <w:marTop w:val="180"/>
      <w:marBottom w:val="0"/>
      <w:divBdr>
        <w:top w:val="none" w:sz="0" w:space="0" w:color="auto"/>
        <w:left w:val="none" w:sz="0" w:space="0" w:color="auto"/>
        <w:bottom w:val="none" w:sz="0" w:space="0" w:color="auto"/>
        <w:right w:val="none" w:sz="0" w:space="0" w:color="auto"/>
      </w:divBdr>
    </w:div>
    <w:div w:id="363016551">
      <w:marLeft w:val="0"/>
      <w:marRight w:val="0"/>
      <w:marTop w:val="0"/>
      <w:marBottom w:val="100"/>
      <w:divBdr>
        <w:top w:val="none" w:sz="0" w:space="0" w:color="auto"/>
        <w:left w:val="none" w:sz="0" w:space="0" w:color="auto"/>
        <w:bottom w:val="none" w:sz="0" w:space="0" w:color="auto"/>
        <w:right w:val="none" w:sz="0" w:space="0" w:color="auto"/>
      </w:divBdr>
    </w:div>
    <w:div w:id="366179940">
      <w:marLeft w:val="0"/>
      <w:marRight w:val="0"/>
      <w:marTop w:val="0"/>
      <w:marBottom w:val="0"/>
      <w:divBdr>
        <w:top w:val="none" w:sz="0" w:space="0" w:color="auto"/>
        <w:left w:val="none" w:sz="0" w:space="0" w:color="auto"/>
        <w:bottom w:val="none" w:sz="0" w:space="0" w:color="auto"/>
        <w:right w:val="none" w:sz="0" w:space="0" w:color="auto"/>
      </w:divBdr>
    </w:div>
    <w:div w:id="366490294">
      <w:marLeft w:val="0"/>
      <w:marRight w:val="0"/>
      <w:marTop w:val="180"/>
      <w:marBottom w:val="0"/>
      <w:divBdr>
        <w:top w:val="none" w:sz="0" w:space="0" w:color="auto"/>
        <w:left w:val="none" w:sz="0" w:space="0" w:color="auto"/>
        <w:bottom w:val="none" w:sz="0" w:space="0" w:color="auto"/>
        <w:right w:val="none" w:sz="0" w:space="0" w:color="auto"/>
      </w:divBdr>
    </w:div>
    <w:div w:id="368140457">
      <w:marLeft w:val="0"/>
      <w:marRight w:val="0"/>
      <w:marTop w:val="100"/>
      <w:marBottom w:val="100"/>
      <w:divBdr>
        <w:top w:val="none" w:sz="0" w:space="0" w:color="auto"/>
        <w:left w:val="none" w:sz="0" w:space="0" w:color="auto"/>
        <w:bottom w:val="none" w:sz="0" w:space="0" w:color="auto"/>
        <w:right w:val="none" w:sz="0" w:space="0" w:color="auto"/>
      </w:divBdr>
    </w:div>
    <w:div w:id="371349135">
      <w:marLeft w:val="0"/>
      <w:marRight w:val="0"/>
      <w:marTop w:val="180"/>
      <w:marBottom w:val="100"/>
      <w:divBdr>
        <w:top w:val="none" w:sz="0" w:space="0" w:color="auto"/>
        <w:left w:val="none" w:sz="0" w:space="0" w:color="auto"/>
        <w:bottom w:val="none" w:sz="0" w:space="0" w:color="auto"/>
        <w:right w:val="none" w:sz="0" w:space="0" w:color="auto"/>
      </w:divBdr>
    </w:div>
    <w:div w:id="371613819">
      <w:marLeft w:val="0"/>
      <w:marRight w:val="0"/>
      <w:marTop w:val="280"/>
      <w:marBottom w:val="100"/>
      <w:divBdr>
        <w:top w:val="none" w:sz="0" w:space="0" w:color="auto"/>
        <w:left w:val="none" w:sz="0" w:space="0" w:color="auto"/>
        <w:bottom w:val="none" w:sz="0" w:space="0" w:color="auto"/>
        <w:right w:val="none" w:sz="0" w:space="0" w:color="auto"/>
      </w:divBdr>
    </w:div>
    <w:div w:id="372340871">
      <w:marLeft w:val="0"/>
      <w:marRight w:val="0"/>
      <w:marTop w:val="0"/>
      <w:marBottom w:val="0"/>
      <w:divBdr>
        <w:top w:val="none" w:sz="0" w:space="0" w:color="auto"/>
        <w:left w:val="none" w:sz="0" w:space="0" w:color="auto"/>
        <w:bottom w:val="none" w:sz="0" w:space="0" w:color="auto"/>
        <w:right w:val="none" w:sz="0" w:space="0" w:color="auto"/>
      </w:divBdr>
    </w:div>
    <w:div w:id="373121005">
      <w:marLeft w:val="0"/>
      <w:marRight w:val="0"/>
      <w:marTop w:val="0"/>
      <w:marBottom w:val="100"/>
      <w:divBdr>
        <w:top w:val="none" w:sz="0" w:space="0" w:color="auto"/>
        <w:left w:val="none" w:sz="0" w:space="0" w:color="auto"/>
        <w:bottom w:val="none" w:sz="0" w:space="0" w:color="auto"/>
        <w:right w:val="none" w:sz="0" w:space="0" w:color="auto"/>
      </w:divBdr>
    </w:div>
    <w:div w:id="375667973">
      <w:marLeft w:val="0"/>
      <w:marRight w:val="0"/>
      <w:marTop w:val="180"/>
      <w:marBottom w:val="100"/>
      <w:divBdr>
        <w:top w:val="none" w:sz="0" w:space="0" w:color="auto"/>
        <w:left w:val="none" w:sz="0" w:space="0" w:color="auto"/>
        <w:bottom w:val="none" w:sz="0" w:space="0" w:color="auto"/>
        <w:right w:val="none" w:sz="0" w:space="0" w:color="auto"/>
      </w:divBdr>
    </w:div>
    <w:div w:id="377358103">
      <w:marLeft w:val="0"/>
      <w:marRight w:val="0"/>
      <w:marTop w:val="0"/>
      <w:marBottom w:val="0"/>
      <w:divBdr>
        <w:top w:val="none" w:sz="0" w:space="0" w:color="auto"/>
        <w:left w:val="none" w:sz="0" w:space="0" w:color="auto"/>
        <w:bottom w:val="none" w:sz="0" w:space="0" w:color="auto"/>
        <w:right w:val="none" w:sz="0" w:space="0" w:color="auto"/>
      </w:divBdr>
    </w:div>
    <w:div w:id="377750372">
      <w:marLeft w:val="0"/>
      <w:marRight w:val="0"/>
      <w:marTop w:val="0"/>
      <w:marBottom w:val="100"/>
      <w:divBdr>
        <w:top w:val="none" w:sz="0" w:space="0" w:color="auto"/>
        <w:left w:val="none" w:sz="0" w:space="0" w:color="auto"/>
        <w:bottom w:val="none" w:sz="0" w:space="0" w:color="auto"/>
        <w:right w:val="none" w:sz="0" w:space="0" w:color="auto"/>
      </w:divBdr>
    </w:div>
    <w:div w:id="378629895">
      <w:marLeft w:val="0"/>
      <w:marRight w:val="0"/>
      <w:marTop w:val="180"/>
      <w:marBottom w:val="120"/>
      <w:divBdr>
        <w:top w:val="none" w:sz="0" w:space="0" w:color="auto"/>
        <w:left w:val="none" w:sz="0" w:space="0" w:color="auto"/>
        <w:bottom w:val="none" w:sz="0" w:space="0" w:color="auto"/>
        <w:right w:val="none" w:sz="0" w:space="0" w:color="auto"/>
      </w:divBdr>
    </w:div>
    <w:div w:id="379323253">
      <w:marLeft w:val="0"/>
      <w:marRight w:val="0"/>
      <w:marTop w:val="100"/>
      <w:marBottom w:val="100"/>
      <w:divBdr>
        <w:top w:val="none" w:sz="0" w:space="0" w:color="auto"/>
        <w:left w:val="none" w:sz="0" w:space="0" w:color="auto"/>
        <w:bottom w:val="none" w:sz="0" w:space="0" w:color="auto"/>
        <w:right w:val="none" w:sz="0" w:space="0" w:color="auto"/>
      </w:divBdr>
    </w:div>
    <w:div w:id="379860455">
      <w:marLeft w:val="0"/>
      <w:marRight w:val="0"/>
      <w:marTop w:val="0"/>
      <w:marBottom w:val="0"/>
      <w:divBdr>
        <w:top w:val="none" w:sz="0" w:space="0" w:color="auto"/>
        <w:left w:val="none" w:sz="0" w:space="0" w:color="auto"/>
        <w:bottom w:val="none" w:sz="0" w:space="0" w:color="auto"/>
        <w:right w:val="none" w:sz="0" w:space="0" w:color="auto"/>
      </w:divBdr>
    </w:div>
    <w:div w:id="380053871">
      <w:marLeft w:val="0"/>
      <w:marRight w:val="0"/>
      <w:marTop w:val="100"/>
      <w:marBottom w:val="100"/>
      <w:divBdr>
        <w:top w:val="none" w:sz="0" w:space="0" w:color="auto"/>
        <w:left w:val="none" w:sz="0" w:space="0" w:color="auto"/>
        <w:bottom w:val="none" w:sz="0" w:space="0" w:color="auto"/>
        <w:right w:val="none" w:sz="0" w:space="0" w:color="auto"/>
      </w:divBdr>
    </w:div>
    <w:div w:id="382218901">
      <w:marLeft w:val="0"/>
      <w:marRight w:val="0"/>
      <w:marTop w:val="100"/>
      <w:marBottom w:val="0"/>
      <w:divBdr>
        <w:top w:val="none" w:sz="0" w:space="0" w:color="auto"/>
        <w:left w:val="none" w:sz="0" w:space="0" w:color="auto"/>
        <w:bottom w:val="none" w:sz="0" w:space="0" w:color="auto"/>
        <w:right w:val="none" w:sz="0" w:space="0" w:color="auto"/>
      </w:divBdr>
    </w:div>
    <w:div w:id="383867204">
      <w:marLeft w:val="0"/>
      <w:marRight w:val="0"/>
      <w:marTop w:val="0"/>
      <w:marBottom w:val="0"/>
      <w:divBdr>
        <w:top w:val="none" w:sz="0" w:space="0" w:color="auto"/>
        <w:left w:val="none" w:sz="0" w:space="0" w:color="auto"/>
        <w:bottom w:val="none" w:sz="0" w:space="0" w:color="auto"/>
        <w:right w:val="none" w:sz="0" w:space="0" w:color="auto"/>
      </w:divBdr>
    </w:div>
    <w:div w:id="384138755">
      <w:marLeft w:val="0"/>
      <w:marRight w:val="0"/>
      <w:marTop w:val="180"/>
      <w:marBottom w:val="0"/>
      <w:divBdr>
        <w:top w:val="none" w:sz="0" w:space="0" w:color="auto"/>
        <w:left w:val="none" w:sz="0" w:space="0" w:color="auto"/>
        <w:bottom w:val="none" w:sz="0" w:space="0" w:color="auto"/>
        <w:right w:val="none" w:sz="0" w:space="0" w:color="auto"/>
      </w:divBdr>
    </w:div>
    <w:div w:id="386223603">
      <w:marLeft w:val="0"/>
      <w:marRight w:val="0"/>
      <w:marTop w:val="100"/>
      <w:marBottom w:val="100"/>
      <w:divBdr>
        <w:top w:val="none" w:sz="0" w:space="0" w:color="auto"/>
        <w:left w:val="none" w:sz="0" w:space="0" w:color="auto"/>
        <w:bottom w:val="none" w:sz="0" w:space="0" w:color="auto"/>
        <w:right w:val="none" w:sz="0" w:space="0" w:color="auto"/>
      </w:divBdr>
    </w:div>
    <w:div w:id="389965323">
      <w:marLeft w:val="0"/>
      <w:marRight w:val="0"/>
      <w:marTop w:val="0"/>
      <w:marBottom w:val="0"/>
      <w:divBdr>
        <w:top w:val="none" w:sz="0" w:space="0" w:color="auto"/>
        <w:left w:val="none" w:sz="0" w:space="0" w:color="auto"/>
        <w:bottom w:val="none" w:sz="0" w:space="0" w:color="auto"/>
        <w:right w:val="none" w:sz="0" w:space="0" w:color="auto"/>
      </w:divBdr>
      <w:divsChild>
        <w:div w:id="1364137232">
          <w:marLeft w:val="0"/>
          <w:marRight w:val="0"/>
          <w:marTop w:val="0"/>
          <w:marBottom w:val="0"/>
          <w:divBdr>
            <w:top w:val="none" w:sz="0" w:space="0" w:color="auto"/>
            <w:left w:val="none" w:sz="0" w:space="0" w:color="auto"/>
            <w:bottom w:val="none" w:sz="0" w:space="0" w:color="auto"/>
            <w:right w:val="none" w:sz="0" w:space="0" w:color="auto"/>
          </w:divBdr>
          <w:divsChild>
            <w:div w:id="10306905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90151905">
      <w:marLeft w:val="0"/>
      <w:marRight w:val="0"/>
      <w:marTop w:val="0"/>
      <w:marBottom w:val="0"/>
      <w:divBdr>
        <w:top w:val="none" w:sz="0" w:space="0" w:color="auto"/>
        <w:left w:val="none" w:sz="0" w:space="0" w:color="auto"/>
        <w:bottom w:val="none" w:sz="0" w:space="0" w:color="auto"/>
        <w:right w:val="none" w:sz="0" w:space="0" w:color="auto"/>
      </w:divBdr>
    </w:div>
    <w:div w:id="390807416">
      <w:marLeft w:val="0"/>
      <w:marRight w:val="0"/>
      <w:marTop w:val="0"/>
      <w:marBottom w:val="100"/>
      <w:divBdr>
        <w:top w:val="none" w:sz="0" w:space="0" w:color="auto"/>
        <w:left w:val="none" w:sz="0" w:space="0" w:color="auto"/>
        <w:bottom w:val="none" w:sz="0" w:space="0" w:color="auto"/>
        <w:right w:val="none" w:sz="0" w:space="0" w:color="auto"/>
      </w:divBdr>
    </w:div>
    <w:div w:id="390813923">
      <w:marLeft w:val="0"/>
      <w:marRight w:val="0"/>
      <w:marTop w:val="0"/>
      <w:marBottom w:val="0"/>
      <w:divBdr>
        <w:top w:val="none" w:sz="0" w:space="0" w:color="auto"/>
        <w:left w:val="none" w:sz="0" w:space="0" w:color="auto"/>
        <w:bottom w:val="none" w:sz="0" w:space="0" w:color="auto"/>
        <w:right w:val="none" w:sz="0" w:space="0" w:color="auto"/>
      </w:divBdr>
    </w:div>
    <w:div w:id="391275358">
      <w:marLeft w:val="0"/>
      <w:marRight w:val="0"/>
      <w:marTop w:val="0"/>
      <w:marBottom w:val="0"/>
      <w:divBdr>
        <w:top w:val="none" w:sz="0" w:space="0" w:color="auto"/>
        <w:left w:val="none" w:sz="0" w:space="0" w:color="auto"/>
        <w:bottom w:val="none" w:sz="0" w:space="0" w:color="auto"/>
        <w:right w:val="none" w:sz="0" w:space="0" w:color="auto"/>
      </w:divBdr>
    </w:div>
    <w:div w:id="391580911">
      <w:marLeft w:val="0"/>
      <w:marRight w:val="0"/>
      <w:marTop w:val="100"/>
      <w:marBottom w:val="100"/>
      <w:divBdr>
        <w:top w:val="none" w:sz="0" w:space="0" w:color="auto"/>
        <w:left w:val="none" w:sz="0" w:space="0" w:color="auto"/>
        <w:bottom w:val="none" w:sz="0" w:space="0" w:color="auto"/>
        <w:right w:val="none" w:sz="0" w:space="0" w:color="auto"/>
      </w:divBdr>
    </w:div>
    <w:div w:id="393891270">
      <w:marLeft w:val="0"/>
      <w:marRight w:val="0"/>
      <w:marTop w:val="0"/>
      <w:marBottom w:val="0"/>
      <w:divBdr>
        <w:top w:val="none" w:sz="0" w:space="0" w:color="auto"/>
        <w:left w:val="none" w:sz="0" w:space="0" w:color="auto"/>
        <w:bottom w:val="none" w:sz="0" w:space="0" w:color="auto"/>
        <w:right w:val="none" w:sz="0" w:space="0" w:color="auto"/>
      </w:divBdr>
      <w:divsChild>
        <w:div w:id="599264801">
          <w:marLeft w:val="0"/>
          <w:marRight w:val="0"/>
          <w:marTop w:val="0"/>
          <w:marBottom w:val="100"/>
          <w:divBdr>
            <w:top w:val="none" w:sz="0" w:space="0" w:color="auto"/>
            <w:left w:val="none" w:sz="0" w:space="0" w:color="auto"/>
            <w:bottom w:val="none" w:sz="0" w:space="0" w:color="auto"/>
            <w:right w:val="none" w:sz="0" w:space="0" w:color="auto"/>
          </w:divBdr>
        </w:div>
      </w:divsChild>
    </w:div>
    <w:div w:id="394744967">
      <w:marLeft w:val="0"/>
      <w:marRight w:val="0"/>
      <w:marTop w:val="180"/>
      <w:marBottom w:val="0"/>
      <w:divBdr>
        <w:top w:val="none" w:sz="0" w:space="0" w:color="auto"/>
        <w:left w:val="none" w:sz="0" w:space="0" w:color="auto"/>
        <w:bottom w:val="none" w:sz="0" w:space="0" w:color="auto"/>
        <w:right w:val="none" w:sz="0" w:space="0" w:color="auto"/>
      </w:divBdr>
    </w:div>
    <w:div w:id="399518053">
      <w:marLeft w:val="0"/>
      <w:marRight w:val="0"/>
      <w:marTop w:val="100"/>
      <w:marBottom w:val="100"/>
      <w:divBdr>
        <w:top w:val="none" w:sz="0" w:space="0" w:color="auto"/>
        <w:left w:val="none" w:sz="0" w:space="0" w:color="auto"/>
        <w:bottom w:val="none" w:sz="0" w:space="0" w:color="auto"/>
        <w:right w:val="none" w:sz="0" w:space="0" w:color="auto"/>
      </w:divBdr>
    </w:div>
    <w:div w:id="399526577">
      <w:marLeft w:val="0"/>
      <w:marRight w:val="0"/>
      <w:marTop w:val="0"/>
      <w:marBottom w:val="0"/>
      <w:divBdr>
        <w:top w:val="none" w:sz="0" w:space="0" w:color="auto"/>
        <w:left w:val="none" w:sz="0" w:space="0" w:color="auto"/>
        <w:bottom w:val="none" w:sz="0" w:space="0" w:color="auto"/>
        <w:right w:val="none" w:sz="0" w:space="0" w:color="auto"/>
      </w:divBdr>
    </w:div>
    <w:div w:id="400913438">
      <w:marLeft w:val="0"/>
      <w:marRight w:val="0"/>
      <w:marTop w:val="100"/>
      <w:marBottom w:val="100"/>
      <w:divBdr>
        <w:top w:val="none" w:sz="0" w:space="0" w:color="auto"/>
        <w:left w:val="none" w:sz="0" w:space="0" w:color="auto"/>
        <w:bottom w:val="none" w:sz="0" w:space="0" w:color="auto"/>
        <w:right w:val="none" w:sz="0" w:space="0" w:color="auto"/>
      </w:divBdr>
    </w:div>
    <w:div w:id="400951036">
      <w:marLeft w:val="0"/>
      <w:marRight w:val="0"/>
      <w:marTop w:val="0"/>
      <w:marBottom w:val="0"/>
      <w:divBdr>
        <w:top w:val="none" w:sz="0" w:space="0" w:color="auto"/>
        <w:left w:val="none" w:sz="0" w:space="0" w:color="auto"/>
        <w:bottom w:val="none" w:sz="0" w:space="0" w:color="auto"/>
        <w:right w:val="none" w:sz="0" w:space="0" w:color="auto"/>
      </w:divBdr>
    </w:div>
    <w:div w:id="401102134">
      <w:marLeft w:val="0"/>
      <w:marRight w:val="0"/>
      <w:marTop w:val="180"/>
      <w:marBottom w:val="100"/>
      <w:divBdr>
        <w:top w:val="none" w:sz="0" w:space="0" w:color="auto"/>
        <w:left w:val="none" w:sz="0" w:space="0" w:color="auto"/>
        <w:bottom w:val="none" w:sz="0" w:space="0" w:color="auto"/>
        <w:right w:val="none" w:sz="0" w:space="0" w:color="auto"/>
      </w:divBdr>
    </w:div>
    <w:div w:id="401879793">
      <w:marLeft w:val="0"/>
      <w:marRight w:val="0"/>
      <w:marTop w:val="100"/>
      <w:marBottom w:val="0"/>
      <w:divBdr>
        <w:top w:val="none" w:sz="0" w:space="0" w:color="auto"/>
        <w:left w:val="none" w:sz="0" w:space="0" w:color="auto"/>
        <w:bottom w:val="none" w:sz="0" w:space="0" w:color="auto"/>
        <w:right w:val="none" w:sz="0" w:space="0" w:color="auto"/>
      </w:divBdr>
    </w:div>
    <w:div w:id="403181436">
      <w:marLeft w:val="0"/>
      <w:marRight w:val="0"/>
      <w:marTop w:val="180"/>
      <w:marBottom w:val="100"/>
      <w:divBdr>
        <w:top w:val="none" w:sz="0" w:space="0" w:color="auto"/>
        <w:left w:val="none" w:sz="0" w:space="0" w:color="auto"/>
        <w:bottom w:val="none" w:sz="0" w:space="0" w:color="auto"/>
        <w:right w:val="none" w:sz="0" w:space="0" w:color="auto"/>
      </w:divBdr>
    </w:div>
    <w:div w:id="403768661">
      <w:marLeft w:val="0"/>
      <w:marRight w:val="0"/>
      <w:marTop w:val="100"/>
      <w:marBottom w:val="100"/>
      <w:divBdr>
        <w:top w:val="none" w:sz="0" w:space="0" w:color="auto"/>
        <w:left w:val="none" w:sz="0" w:space="0" w:color="auto"/>
        <w:bottom w:val="none" w:sz="0" w:space="0" w:color="auto"/>
        <w:right w:val="none" w:sz="0" w:space="0" w:color="auto"/>
      </w:divBdr>
    </w:div>
    <w:div w:id="404954796">
      <w:marLeft w:val="0"/>
      <w:marRight w:val="0"/>
      <w:marTop w:val="0"/>
      <w:marBottom w:val="0"/>
      <w:divBdr>
        <w:top w:val="none" w:sz="0" w:space="0" w:color="auto"/>
        <w:left w:val="none" w:sz="0" w:space="0" w:color="auto"/>
        <w:bottom w:val="none" w:sz="0" w:space="0" w:color="auto"/>
        <w:right w:val="none" w:sz="0" w:space="0" w:color="auto"/>
      </w:divBdr>
    </w:div>
    <w:div w:id="405491024">
      <w:marLeft w:val="0"/>
      <w:marRight w:val="0"/>
      <w:marTop w:val="0"/>
      <w:marBottom w:val="0"/>
      <w:divBdr>
        <w:top w:val="none" w:sz="0" w:space="0" w:color="auto"/>
        <w:left w:val="none" w:sz="0" w:space="0" w:color="auto"/>
        <w:bottom w:val="none" w:sz="0" w:space="0" w:color="auto"/>
        <w:right w:val="none" w:sz="0" w:space="0" w:color="auto"/>
      </w:divBdr>
    </w:div>
    <w:div w:id="407850492">
      <w:marLeft w:val="0"/>
      <w:marRight w:val="0"/>
      <w:marTop w:val="180"/>
      <w:marBottom w:val="100"/>
      <w:divBdr>
        <w:top w:val="none" w:sz="0" w:space="0" w:color="auto"/>
        <w:left w:val="none" w:sz="0" w:space="0" w:color="auto"/>
        <w:bottom w:val="none" w:sz="0" w:space="0" w:color="auto"/>
        <w:right w:val="none" w:sz="0" w:space="0" w:color="auto"/>
      </w:divBdr>
    </w:div>
    <w:div w:id="411976911">
      <w:marLeft w:val="0"/>
      <w:marRight w:val="0"/>
      <w:marTop w:val="0"/>
      <w:marBottom w:val="0"/>
      <w:divBdr>
        <w:top w:val="none" w:sz="0" w:space="0" w:color="auto"/>
        <w:left w:val="none" w:sz="0" w:space="0" w:color="auto"/>
        <w:bottom w:val="none" w:sz="0" w:space="0" w:color="auto"/>
        <w:right w:val="none" w:sz="0" w:space="0" w:color="auto"/>
      </w:divBdr>
      <w:divsChild>
        <w:div w:id="1292397079">
          <w:marLeft w:val="0"/>
          <w:marRight w:val="0"/>
          <w:marTop w:val="0"/>
          <w:marBottom w:val="0"/>
          <w:divBdr>
            <w:top w:val="none" w:sz="0" w:space="0" w:color="auto"/>
            <w:left w:val="none" w:sz="0" w:space="0" w:color="auto"/>
            <w:bottom w:val="none" w:sz="0" w:space="0" w:color="auto"/>
            <w:right w:val="none" w:sz="0" w:space="0" w:color="auto"/>
          </w:divBdr>
          <w:divsChild>
            <w:div w:id="12525415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13162399">
      <w:marLeft w:val="0"/>
      <w:marRight w:val="0"/>
      <w:marTop w:val="100"/>
      <w:marBottom w:val="100"/>
      <w:divBdr>
        <w:top w:val="none" w:sz="0" w:space="0" w:color="auto"/>
        <w:left w:val="none" w:sz="0" w:space="0" w:color="auto"/>
        <w:bottom w:val="none" w:sz="0" w:space="0" w:color="auto"/>
        <w:right w:val="none" w:sz="0" w:space="0" w:color="auto"/>
      </w:divBdr>
    </w:div>
    <w:div w:id="413236316">
      <w:marLeft w:val="0"/>
      <w:marRight w:val="0"/>
      <w:marTop w:val="0"/>
      <w:marBottom w:val="0"/>
      <w:divBdr>
        <w:top w:val="none" w:sz="0" w:space="0" w:color="auto"/>
        <w:left w:val="none" w:sz="0" w:space="0" w:color="auto"/>
        <w:bottom w:val="none" w:sz="0" w:space="0" w:color="auto"/>
        <w:right w:val="none" w:sz="0" w:space="0" w:color="auto"/>
      </w:divBdr>
      <w:divsChild>
        <w:div w:id="376012246">
          <w:marLeft w:val="0"/>
          <w:marRight w:val="0"/>
          <w:marTop w:val="0"/>
          <w:marBottom w:val="100"/>
          <w:divBdr>
            <w:top w:val="none" w:sz="0" w:space="0" w:color="auto"/>
            <w:left w:val="none" w:sz="0" w:space="0" w:color="auto"/>
            <w:bottom w:val="none" w:sz="0" w:space="0" w:color="auto"/>
            <w:right w:val="none" w:sz="0" w:space="0" w:color="auto"/>
          </w:divBdr>
        </w:div>
      </w:divsChild>
    </w:div>
    <w:div w:id="414211912">
      <w:marLeft w:val="0"/>
      <w:marRight w:val="0"/>
      <w:marTop w:val="0"/>
      <w:marBottom w:val="0"/>
      <w:divBdr>
        <w:top w:val="none" w:sz="0" w:space="0" w:color="auto"/>
        <w:left w:val="none" w:sz="0" w:space="0" w:color="auto"/>
        <w:bottom w:val="none" w:sz="0" w:space="0" w:color="auto"/>
        <w:right w:val="none" w:sz="0" w:space="0" w:color="auto"/>
      </w:divBdr>
    </w:div>
    <w:div w:id="415833574">
      <w:marLeft w:val="0"/>
      <w:marRight w:val="0"/>
      <w:marTop w:val="0"/>
      <w:marBottom w:val="100"/>
      <w:divBdr>
        <w:top w:val="none" w:sz="0" w:space="0" w:color="auto"/>
        <w:left w:val="none" w:sz="0" w:space="0" w:color="auto"/>
        <w:bottom w:val="none" w:sz="0" w:space="0" w:color="auto"/>
        <w:right w:val="none" w:sz="0" w:space="0" w:color="auto"/>
      </w:divBdr>
    </w:div>
    <w:div w:id="417212210">
      <w:marLeft w:val="0"/>
      <w:marRight w:val="0"/>
      <w:marTop w:val="180"/>
      <w:marBottom w:val="0"/>
      <w:divBdr>
        <w:top w:val="none" w:sz="0" w:space="0" w:color="auto"/>
        <w:left w:val="none" w:sz="0" w:space="0" w:color="auto"/>
        <w:bottom w:val="none" w:sz="0" w:space="0" w:color="auto"/>
        <w:right w:val="none" w:sz="0" w:space="0" w:color="auto"/>
      </w:divBdr>
    </w:div>
    <w:div w:id="418067029">
      <w:marLeft w:val="0"/>
      <w:marRight w:val="0"/>
      <w:marTop w:val="0"/>
      <w:marBottom w:val="0"/>
      <w:divBdr>
        <w:top w:val="none" w:sz="0" w:space="0" w:color="auto"/>
        <w:left w:val="none" w:sz="0" w:space="0" w:color="auto"/>
        <w:bottom w:val="none" w:sz="0" w:space="0" w:color="auto"/>
        <w:right w:val="none" w:sz="0" w:space="0" w:color="auto"/>
      </w:divBdr>
    </w:div>
    <w:div w:id="419253362">
      <w:marLeft w:val="0"/>
      <w:marRight w:val="0"/>
      <w:marTop w:val="0"/>
      <w:marBottom w:val="100"/>
      <w:divBdr>
        <w:top w:val="none" w:sz="0" w:space="0" w:color="auto"/>
        <w:left w:val="none" w:sz="0" w:space="0" w:color="auto"/>
        <w:bottom w:val="none" w:sz="0" w:space="0" w:color="auto"/>
        <w:right w:val="none" w:sz="0" w:space="0" w:color="auto"/>
      </w:divBdr>
    </w:div>
    <w:div w:id="420293609">
      <w:marLeft w:val="0"/>
      <w:marRight w:val="0"/>
      <w:marTop w:val="180"/>
      <w:marBottom w:val="0"/>
      <w:divBdr>
        <w:top w:val="none" w:sz="0" w:space="0" w:color="auto"/>
        <w:left w:val="none" w:sz="0" w:space="0" w:color="auto"/>
        <w:bottom w:val="none" w:sz="0" w:space="0" w:color="auto"/>
        <w:right w:val="none" w:sz="0" w:space="0" w:color="auto"/>
      </w:divBdr>
    </w:div>
    <w:div w:id="420368866">
      <w:marLeft w:val="0"/>
      <w:marRight w:val="0"/>
      <w:marTop w:val="180"/>
      <w:marBottom w:val="190"/>
      <w:divBdr>
        <w:top w:val="none" w:sz="0" w:space="0" w:color="auto"/>
        <w:left w:val="none" w:sz="0" w:space="0" w:color="auto"/>
        <w:bottom w:val="none" w:sz="0" w:space="0" w:color="auto"/>
        <w:right w:val="none" w:sz="0" w:space="0" w:color="auto"/>
      </w:divBdr>
      <w:divsChild>
        <w:div w:id="1756630264">
          <w:marLeft w:val="0"/>
          <w:marRight w:val="0"/>
          <w:marTop w:val="0"/>
          <w:marBottom w:val="0"/>
          <w:divBdr>
            <w:top w:val="none" w:sz="0" w:space="0" w:color="auto"/>
            <w:left w:val="none" w:sz="0" w:space="0" w:color="auto"/>
            <w:bottom w:val="none" w:sz="0" w:space="0" w:color="auto"/>
            <w:right w:val="none" w:sz="0" w:space="0" w:color="auto"/>
          </w:divBdr>
        </w:div>
        <w:div w:id="611742456">
          <w:marLeft w:val="0"/>
          <w:marRight w:val="0"/>
          <w:marTop w:val="0"/>
          <w:marBottom w:val="0"/>
          <w:divBdr>
            <w:top w:val="none" w:sz="0" w:space="0" w:color="auto"/>
            <w:left w:val="none" w:sz="0" w:space="0" w:color="auto"/>
            <w:bottom w:val="none" w:sz="0" w:space="0" w:color="auto"/>
            <w:right w:val="none" w:sz="0" w:space="0" w:color="auto"/>
          </w:divBdr>
        </w:div>
      </w:divsChild>
    </w:div>
    <w:div w:id="421609993">
      <w:marLeft w:val="0"/>
      <w:marRight w:val="0"/>
      <w:marTop w:val="100"/>
      <w:marBottom w:val="100"/>
      <w:divBdr>
        <w:top w:val="none" w:sz="0" w:space="0" w:color="auto"/>
        <w:left w:val="none" w:sz="0" w:space="0" w:color="auto"/>
        <w:bottom w:val="none" w:sz="0" w:space="0" w:color="auto"/>
        <w:right w:val="none" w:sz="0" w:space="0" w:color="auto"/>
      </w:divBdr>
    </w:div>
    <w:div w:id="423574766">
      <w:marLeft w:val="0"/>
      <w:marRight w:val="0"/>
      <w:marTop w:val="180"/>
      <w:marBottom w:val="0"/>
      <w:divBdr>
        <w:top w:val="none" w:sz="0" w:space="0" w:color="auto"/>
        <w:left w:val="none" w:sz="0" w:space="0" w:color="auto"/>
        <w:bottom w:val="none" w:sz="0" w:space="0" w:color="auto"/>
        <w:right w:val="none" w:sz="0" w:space="0" w:color="auto"/>
      </w:divBdr>
    </w:div>
    <w:div w:id="424376034">
      <w:marLeft w:val="0"/>
      <w:marRight w:val="0"/>
      <w:marTop w:val="0"/>
      <w:marBottom w:val="0"/>
      <w:divBdr>
        <w:top w:val="none" w:sz="0" w:space="0" w:color="auto"/>
        <w:left w:val="none" w:sz="0" w:space="0" w:color="auto"/>
        <w:bottom w:val="none" w:sz="0" w:space="0" w:color="auto"/>
        <w:right w:val="none" w:sz="0" w:space="0" w:color="auto"/>
      </w:divBdr>
    </w:div>
    <w:div w:id="424955475">
      <w:marLeft w:val="0"/>
      <w:marRight w:val="0"/>
      <w:marTop w:val="100"/>
      <w:marBottom w:val="100"/>
      <w:divBdr>
        <w:top w:val="none" w:sz="0" w:space="0" w:color="auto"/>
        <w:left w:val="none" w:sz="0" w:space="0" w:color="auto"/>
        <w:bottom w:val="none" w:sz="0" w:space="0" w:color="auto"/>
        <w:right w:val="none" w:sz="0" w:space="0" w:color="auto"/>
      </w:divBdr>
    </w:div>
    <w:div w:id="426074398">
      <w:marLeft w:val="0"/>
      <w:marRight w:val="0"/>
      <w:marTop w:val="0"/>
      <w:marBottom w:val="0"/>
      <w:divBdr>
        <w:top w:val="none" w:sz="0" w:space="0" w:color="auto"/>
        <w:left w:val="none" w:sz="0" w:space="0" w:color="auto"/>
        <w:bottom w:val="none" w:sz="0" w:space="0" w:color="auto"/>
        <w:right w:val="none" w:sz="0" w:space="0" w:color="auto"/>
      </w:divBdr>
    </w:div>
    <w:div w:id="426577677">
      <w:marLeft w:val="0"/>
      <w:marRight w:val="0"/>
      <w:marTop w:val="0"/>
      <w:marBottom w:val="100"/>
      <w:divBdr>
        <w:top w:val="none" w:sz="0" w:space="0" w:color="auto"/>
        <w:left w:val="none" w:sz="0" w:space="0" w:color="auto"/>
        <w:bottom w:val="none" w:sz="0" w:space="0" w:color="auto"/>
        <w:right w:val="none" w:sz="0" w:space="0" w:color="auto"/>
      </w:divBdr>
    </w:div>
    <w:div w:id="426652967">
      <w:marLeft w:val="0"/>
      <w:marRight w:val="0"/>
      <w:marTop w:val="100"/>
      <w:marBottom w:val="0"/>
      <w:divBdr>
        <w:top w:val="none" w:sz="0" w:space="0" w:color="auto"/>
        <w:left w:val="none" w:sz="0" w:space="0" w:color="auto"/>
        <w:bottom w:val="none" w:sz="0" w:space="0" w:color="auto"/>
        <w:right w:val="none" w:sz="0" w:space="0" w:color="auto"/>
      </w:divBdr>
    </w:div>
    <w:div w:id="426848938">
      <w:marLeft w:val="0"/>
      <w:marRight w:val="0"/>
      <w:marTop w:val="0"/>
      <w:marBottom w:val="0"/>
      <w:divBdr>
        <w:top w:val="none" w:sz="0" w:space="0" w:color="auto"/>
        <w:left w:val="none" w:sz="0" w:space="0" w:color="auto"/>
        <w:bottom w:val="none" w:sz="0" w:space="0" w:color="auto"/>
        <w:right w:val="none" w:sz="0" w:space="0" w:color="auto"/>
      </w:divBdr>
    </w:div>
    <w:div w:id="427968878">
      <w:marLeft w:val="0"/>
      <w:marRight w:val="0"/>
      <w:marTop w:val="180"/>
      <w:marBottom w:val="100"/>
      <w:divBdr>
        <w:top w:val="none" w:sz="0" w:space="0" w:color="auto"/>
        <w:left w:val="none" w:sz="0" w:space="0" w:color="auto"/>
        <w:bottom w:val="none" w:sz="0" w:space="0" w:color="auto"/>
        <w:right w:val="none" w:sz="0" w:space="0" w:color="auto"/>
      </w:divBdr>
    </w:div>
    <w:div w:id="427972739">
      <w:marLeft w:val="0"/>
      <w:marRight w:val="0"/>
      <w:marTop w:val="100"/>
      <w:marBottom w:val="100"/>
      <w:divBdr>
        <w:top w:val="none" w:sz="0" w:space="0" w:color="auto"/>
        <w:left w:val="none" w:sz="0" w:space="0" w:color="auto"/>
        <w:bottom w:val="none" w:sz="0" w:space="0" w:color="auto"/>
        <w:right w:val="none" w:sz="0" w:space="0" w:color="auto"/>
      </w:divBdr>
    </w:div>
    <w:div w:id="428737407">
      <w:marLeft w:val="0"/>
      <w:marRight w:val="0"/>
      <w:marTop w:val="0"/>
      <w:marBottom w:val="0"/>
      <w:divBdr>
        <w:top w:val="none" w:sz="0" w:space="0" w:color="auto"/>
        <w:left w:val="none" w:sz="0" w:space="0" w:color="auto"/>
        <w:bottom w:val="none" w:sz="0" w:space="0" w:color="auto"/>
        <w:right w:val="none" w:sz="0" w:space="0" w:color="auto"/>
      </w:divBdr>
    </w:div>
    <w:div w:id="430509674">
      <w:marLeft w:val="0"/>
      <w:marRight w:val="0"/>
      <w:marTop w:val="100"/>
      <w:marBottom w:val="100"/>
      <w:divBdr>
        <w:top w:val="none" w:sz="0" w:space="0" w:color="auto"/>
        <w:left w:val="none" w:sz="0" w:space="0" w:color="auto"/>
        <w:bottom w:val="none" w:sz="0" w:space="0" w:color="auto"/>
        <w:right w:val="none" w:sz="0" w:space="0" w:color="auto"/>
      </w:divBdr>
    </w:div>
    <w:div w:id="430860922">
      <w:marLeft w:val="0"/>
      <w:marRight w:val="0"/>
      <w:marTop w:val="100"/>
      <w:marBottom w:val="100"/>
      <w:divBdr>
        <w:top w:val="none" w:sz="0" w:space="0" w:color="auto"/>
        <w:left w:val="none" w:sz="0" w:space="0" w:color="auto"/>
        <w:bottom w:val="none" w:sz="0" w:space="0" w:color="auto"/>
        <w:right w:val="none" w:sz="0" w:space="0" w:color="auto"/>
      </w:divBdr>
    </w:div>
    <w:div w:id="434979694">
      <w:marLeft w:val="0"/>
      <w:marRight w:val="0"/>
      <w:marTop w:val="0"/>
      <w:marBottom w:val="100"/>
      <w:divBdr>
        <w:top w:val="none" w:sz="0" w:space="0" w:color="auto"/>
        <w:left w:val="none" w:sz="0" w:space="0" w:color="auto"/>
        <w:bottom w:val="none" w:sz="0" w:space="0" w:color="auto"/>
        <w:right w:val="none" w:sz="0" w:space="0" w:color="auto"/>
      </w:divBdr>
    </w:div>
    <w:div w:id="436367215">
      <w:marLeft w:val="0"/>
      <w:marRight w:val="0"/>
      <w:marTop w:val="180"/>
      <w:marBottom w:val="100"/>
      <w:divBdr>
        <w:top w:val="none" w:sz="0" w:space="0" w:color="auto"/>
        <w:left w:val="none" w:sz="0" w:space="0" w:color="auto"/>
        <w:bottom w:val="none" w:sz="0" w:space="0" w:color="auto"/>
        <w:right w:val="none" w:sz="0" w:space="0" w:color="auto"/>
      </w:divBdr>
    </w:div>
    <w:div w:id="437993729">
      <w:marLeft w:val="0"/>
      <w:marRight w:val="0"/>
      <w:marTop w:val="0"/>
      <w:marBottom w:val="0"/>
      <w:divBdr>
        <w:top w:val="none" w:sz="0" w:space="0" w:color="auto"/>
        <w:left w:val="none" w:sz="0" w:space="0" w:color="auto"/>
        <w:bottom w:val="none" w:sz="0" w:space="0" w:color="auto"/>
        <w:right w:val="none" w:sz="0" w:space="0" w:color="auto"/>
      </w:divBdr>
    </w:div>
    <w:div w:id="438573746">
      <w:marLeft w:val="0"/>
      <w:marRight w:val="0"/>
      <w:marTop w:val="0"/>
      <w:marBottom w:val="0"/>
      <w:divBdr>
        <w:top w:val="none" w:sz="0" w:space="0" w:color="auto"/>
        <w:left w:val="none" w:sz="0" w:space="0" w:color="auto"/>
        <w:bottom w:val="none" w:sz="0" w:space="0" w:color="auto"/>
        <w:right w:val="none" w:sz="0" w:space="0" w:color="auto"/>
      </w:divBdr>
    </w:div>
    <w:div w:id="439111237">
      <w:marLeft w:val="0"/>
      <w:marRight w:val="0"/>
      <w:marTop w:val="0"/>
      <w:marBottom w:val="0"/>
      <w:divBdr>
        <w:top w:val="none" w:sz="0" w:space="0" w:color="auto"/>
        <w:left w:val="none" w:sz="0" w:space="0" w:color="auto"/>
        <w:bottom w:val="none" w:sz="0" w:space="0" w:color="auto"/>
        <w:right w:val="none" w:sz="0" w:space="0" w:color="auto"/>
      </w:divBdr>
      <w:divsChild>
        <w:div w:id="36710163">
          <w:marLeft w:val="0"/>
          <w:marRight w:val="0"/>
          <w:marTop w:val="0"/>
          <w:marBottom w:val="100"/>
          <w:divBdr>
            <w:top w:val="none" w:sz="0" w:space="0" w:color="auto"/>
            <w:left w:val="none" w:sz="0" w:space="0" w:color="auto"/>
            <w:bottom w:val="none" w:sz="0" w:space="0" w:color="auto"/>
            <w:right w:val="none" w:sz="0" w:space="0" w:color="auto"/>
          </w:divBdr>
        </w:div>
      </w:divsChild>
    </w:div>
    <w:div w:id="439422572">
      <w:marLeft w:val="0"/>
      <w:marRight w:val="0"/>
      <w:marTop w:val="0"/>
      <w:marBottom w:val="0"/>
      <w:divBdr>
        <w:top w:val="none" w:sz="0" w:space="0" w:color="auto"/>
        <w:left w:val="none" w:sz="0" w:space="0" w:color="auto"/>
        <w:bottom w:val="none" w:sz="0" w:space="0" w:color="auto"/>
        <w:right w:val="none" w:sz="0" w:space="0" w:color="auto"/>
      </w:divBdr>
    </w:div>
    <w:div w:id="439762341">
      <w:marLeft w:val="0"/>
      <w:marRight w:val="0"/>
      <w:marTop w:val="180"/>
      <w:marBottom w:val="0"/>
      <w:divBdr>
        <w:top w:val="none" w:sz="0" w:space="0" w:color="auto"/>
        <w:left w:val="none" w:sz="0" w:space="0" w:color="auto"/>
        <w:bottom w:val="none" w:sz="0" w:space="0" w:color="auto"/>
        <w:right w:val="none" w:sz="0" w:space="0" w:color="auto"/>
      </w:divBdr>
    </w:div>
    <w:div w:id="439839035">
      <w:marLeft w:val="0"/>
      <w:marRight w:val="0"/>
      <w:marTop w:val="100"/>
      <w:marBottom w:val="100"/>
      <w:divBdr>
        <w:top w:val="none" w:sz="0" w:space="0" w:color="auto"/>
        <w:left w:val="none" w:sz="0" w:space="0" w:color="auto"/>
        <w:bottom w:val="none" w:sz="0" w:space="0" w:color="auto"/>
        <w:right w:val="none" w:sz="0" w:space="0" w:color="auto"/>
      </w:divBdr>
    </w:div>
    <w:div w:id="440421708">
      <w:marLeft w:val="0"/>
      <w:marRight w:val="0"/>
      <w:marTop w:val="180"/>
      <w:marBottom w:val="100"/>
      <w:divBdr>
        <w:top w:val="none" w:sz="0" w:space="0" w:color="auto"/>
        <w:left w:val="none" w:sz="0" w:space="0" w:color="auto"/>
        <w:bottom w:val="none" w:sz="0" w:space="0" w:color="auto"/>
        <w:right w:val="none" w:sz="0" w:space="0" w:color="auto"/>
      </w:divBdr>
    </w:div>
    <w:div w:id="442041497">
      <w:marLeft w:val="0"/>
      <w:marRight w:val="0"/>
      <w:marTop w:val="0"/>
      <w:marBottom w:val="0"/>
      <w:divBdr>
        <w:top w:val="none" w:sz="0" w:space="0" w:color="auto"/>
        <w:left w:val="none" w:sz="0" w:space="0" w:color="auto"/>
        <w:bottom w:val="none" w:sz="0" w:space="0" w:color="auto"/>
        <w:right w:val="none" w:sz="0" w:space="0" w:color="auto"/>
      </w:divBdr>
      <w:divsChild>
        <w:div w:id="434907650">
          <w:marLeft w:val="0"/>
          <w:marRight w:val="0"/>
          <w:marTop w:val="0"/>
          <w:marBottom w:val="100"/>
          <w:divBdr>
            <w:top w:val="none" w:sz="0" w:space="0" w:color="auto"/>
            <w:left w:val="none" w:sz="0" w:space="0" w:color="auto"/>
            <w:bottom w:val="none" w:sz="0" w:space="0" w:color="auto"/>
            <w:right w:val="none" w:sz="0" w:space="0" w:color="auto"/>
          </w:divBdr>
        </w:div>
      </w:divsChild>
    </w:div>
    <w:div w:id="445851987">
      <w:marLeft w:val="0"/>
      <w:marRight w:val="0"/>
      <w:marTop w:val="180"/>
      <w:marBottom w:val="100"/>
      <w:divBdr>
        <w:top w:val="none" w:sz="0" w:space="0" w:color="auto"/>
        <w:left w:val="none" w:sz="0" w:space="0" w:color="auto"/>
        <w:bottom w:val="none" w:sz="0" w:space="0" w:color="auto"/>
        <w:right w:val="none" w:sz="0" w:space="0" w:color="auto"/>
      </w:divBdr>
    </w:div>
    <w:div w:id="447548030">
      <w:marLeft w:val="0"/>
      <w:marRight w:val="0"/>
      <w:marTop w:val="0"/>
      <w:marBottom w:val="100"/>
      <w:divBdr>
        <w:top w:val="none" w:sz="0" w:space="0" w:color="auto"/>
        <w:left w:val="none" w:sz="0" w:space="0" w:color="auto"/>
        <w:bottom w:val="none" w:sz="0" w:space="0" w:color="auto"/>
        <w:right w:val="none" w:sz="0" w:space="0" w:color="auto"/>
      </w:divBdr>
    </w:div>
    <w:div w:id="448663099">
      <w:marLeft w:val="0"/>
      <w:marRight w:val="0"/>
      <w:marTop w:val="0"/>
      <w:marBottom w:val="0"/>
      <w:divBdr>
        <w:top w:val="none" w:sz="0" w:space="0" w:color="auto"/>
        <w:left w:val="none" w:sz="0" w:space="0" w:color="auto"/>
        <w:bottom w:val="none" w:sz="0" w:space="0" w:color="auto"/>
        <w:right w:val="none" w:sz="0" w:space="0" w:color="auto"/>
      </w:divBdr>
      <w:divsChild>
        <w:div w:id="1613396527">
          <w:marLeft w:val="0"/>
          <w:marRight w:val="0"/>
          <w:marTop w:val="0"/>
          <w:marBottom w:val="100"/>
          <w:divBdr>
            <w:top w:val="none" w:sz="0" w:space="0" w:color="auto"/>
            <w:left w:val="none" w:sz="0" w:space="0" w:color="auto"/>
            <w:bottom w:val="none" w:sz="0" w:space="0" w:color="auto"/>
            <w:right w:val="none" w:sz="0" w:space="0" w:color="auto"/>
          </w:divBdr>
        </w:div>
      </w:divsChild>
    </w:div>
    <w:div w:id="449084210">
      <w:marLeft w:val="0"/>
      <w:marRight w:val="0"/>
      <w:marTop w:val="0"/>
      <w:marBottom w:val="0"/>
      <w:divBdr>
        <w:top w:val="none" w:sz="0" w:space="0" w:color="auto"/>
        <w:left w:val="none" w:sz="0" w:space="0" w:color="auto"/>
        <w:bottom w:val="none" w:sz="0" w:space="0" w:color="auto"/>
        <w:right w:val="none" w:sz="0" w:space="0" w:color="auto"/>
      </w:divBdr>
    </w:div>
    <w:div w:id="451166886">
      <w:marLeft w:val="0"/>
      <w:marRight w:val="0"/>
      <w:marTop w:val="100"/>
      <w:marBottom w:val="100"/>
      <w:divBdr>
        <w:top w:val="none" w:sz="0" w:space="0" w:color="auto"/>
        <w:left w:val="none" w:sz="0" w:space="0" w:color="auto"/>
        <w:bottom w:val="none" w:sz="0" w:space="0" w:color="auto"/>
        <w:right w:val="none" w:sz="0" w:space="0" w:color="auto"/>
      </w:divBdr>
    </w:div>
    <w:div w:id="452210907">
      <w:marLeft w:val="0"/>
      <w:marRight w:val="0"/>
      <w:marTop w:val="340"/>
      <w:marBottom w:val="340"/>
      <w:divBdr>
        <w:top w:val="none" w:sz="0" w:space="0" w:color="auto"/>
        <w:left w:val="none" w:sz="0" w:space="0" w:color="auto"/>
        <w:bottom w:val="none" w:sz="0" w:space="0" w:color="auto"/>
        <w:right w:val="none" w:sz="0" w:space="0" w:color="auto"/>
      </w:divBdr>
    </w:div>
    <w:div w:id="452407939">
      <w:marLeft w:val="0"/>
      <w:marRight w:val="0"/>
      <w:marTop w:val="180"/>
      <w:marBottom w:val="0"/>
      <w:divBdr>
        <w:top w:val="none" w:sz="0" w:space="0" w:color="auto"/>
        <w:left w:val="none" w:sz="0" w:space="0" w:color="auto"/>
        <w:bottom w:val="none" w:sz="0" w:space="0" w:color="auto"/>
        <w:right w:val="none" w:sz="0" w:space="0" w:color="auto"/>
      </w:divBdr>
    </w:div>
    <w:div w:id="453210455">
      <w:marLeft w:val="0"/>
      <w:marRight w:val="0"/>
      <w:marTop w:val="0"/>
      <w:marBottom w:val="0"/>
      <w:divBdr>
        <w:top w:val="none" w:sz="0" w:space="0" w:color="auto"/>
        <w:left w:val="none" w:sz="0" w:space="0" w:color="auto"/>
        <w:bottom w:val="none" w:sz="0" w:space="0" w:color="auto"/>
        <w:right w:val="none" w:sz="0" w:space="0" w:color="auto"/>
      </w:divBdr>
      <w:divsChild>
        <w:div w:id="837814366">
          <w:marLeft w:val="0"/>
          <w:marRight w:val="0"/>
          <w:marTop w:val="0"/>
          <w:marBottom w:val="100"/>
          <w:divBdr>
            <w:top w:val="none" w:sz="0" w:space="0" w:color="auto"/>
            <w:left w:val="none" w:sz="0" w:space="0" w:color="auto"/>
            <w:bottom w:val="none" w:sz="0" w:space="0" w:color="auto"/>
            <w:right w:val="none" w:sz="0" w:space="0" w:color="auto"/>
          </w:divBdr>
        </w:div>
      </w:divsChild>
    </w:div>
    <w:div w:id="454057377">
      <w:marLeft w:val="0"/>
      <w:marRight w:val="0"/>
      <w:marTop w:val="0"/>
      <w:marBottom w:val="0"/>
      <w:divBdr>
        <w:top w:val="none" w:sz="0" w:space="0" w:color="auto"/>
        <w:left w:val="none" w:sz="0" w:space="0" w:color="auto"/>
        <w:bottom w:val="none" w:sz="0" w:space="0" w:color="auto"/>
        <w:right w:val="none" w:sz="0" w:space="0" w:color="auto"/>
      </w:divBdr>
      <w:divsChild>
        <w:div w:id="2130465548">
          <w:marLeft w:val="0"/>
          <w:marRight w:val="0"/>
          <w:marTop w:val="0"/>
          <w:marBottom w:val="0"/>
          <w:divBdr>
            <w:top w:val="none" w:sz="0" w:space="0" w:color="auto"/>
            <w:left w:val="none" w:sz="0" w:space="0" w:color="auto"/>
            <w:bottom w:val="none" w:sz="0" w:space="0" w:color="auto"/>
            <w:right w:val="none" w:sz="0" w:space="0" w:color="auto"/>
          </w:divBdr>
          <w:divsChild>
            <w:div w:id="206328431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5561072">
      <w:marLeft w:val="0"/>
      <w:marRight w:val="0"/>
      <w:marTop w:val="100"/>
      <w:marBottom w:val="100"/>
      <w:divBdr>
        <w:top w:val="none" w:sz="0" w:space="0" w:color="auto"/>
        <w:left w:val="none" w:sz="0" w:space="0" w:color="auto"/>
        <w:bottom w:val="none" w:sz="0" w:space="0" w:color="auto"/>
        <w:right w:val="none" w:sz="0" w:space="0" w:color="auto"/>
      </w:divBdr>
    </w:div>
    <w:div w:id="455607474">
      <w:marLeft w:val="0"/>
      <w:marRight w:val="0"/>
      <w:marTop w:val="0"/>
      <w:marBottom w:val="0"/>
      <w:divBdr>
        <w:top w:val="none" w:sz="0" w:space="0" w:color="auto"/>
        <w:left w:val="none" w:sz="0" w:space="0" w:color="auto"/>
        <w:bottom w:val="none" w:sz="0" w:space="0" w:color="auto"/>
        <w:right w:val="none" w:sz="0" w:space="0" w:color="auto"/>
      </w:divBdr>
      <w:divsChild>
        <w:div w:id="828595667">
          <w:marLeft w:val="0"/>
          <w:marRight w:val="0"/>
          <w:marTop w:val="0"/>
          <w:marBottom w:val="0"/>
          <w:divBdr>
            <w:top w:val="none" w:sz="0" w:space="0" w:color="auto"/>
            <w:left w:val="none" w:sz="0" w:space="0" w:color="auto"/>
            <w:bottom w:val="none" w:sz="0" w:space="0" w:color="auto"/>
            <w:right w:val="none" w:sz="0" w:space="0" w:color="auto"/>
          </w:divBdr>
          <w:divsChild>
            <w:div w:id="54522012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58646801">
      <w:marLeft w:val="0"/>
      <w:marRight w:val="0"/>
      <w:marTop w:val="180"/>
      <w:marBottom w:val="120"/>
      <w:divBdr>
        <w:top w:val="none" w:sz="0" w:space="0" w:color="auto"/>
        <w:left w:val="none" w:sz="0" w:space="0" w:color="auto"/>
        <w:bottom w:val="none" w:sz="0" w:space="0" w:color="auto"/>
        <w:right w:val="none" w:sz="0" w:space="0" w:color="auto"/>
      </w:divBdr>
    </w:div>
    <w:div w:id="461004372">
      <w:marLeft w:val="0"/>
      <w:marRight w:val="0"/>
      <w:marTop w:val="180"/>
      <w:marBottom w:val="0"/>
      <w:divBdr>
        <w:top w:val="none" w:sz="0" w:space="0" w:color="auto"/>
        <w:left w:val="none" w:sz="0" w:space="0" w:color="auto"/>
        <w:bottom w:val="none" w:sz="0" w:space="0" w:color="auto"/>
        <w:right w:val="none" w:sz="0" w:space="0" w:color="auto"/>
      </w:divBdr>
    </w:div>
    <w:div w:id="461970686">
      <w:marLeft w:val="0"/>
      <w:marRight w:val="0"/>
      <w:marTop w:val="0"/>
      <w:marBottom w:val="100"/>
      <w:divBdr>
        <w:top w:val="none" w:sz="0" w:space="0" w:color="auto"/>
        <w:left w:val="none" w:sz="0" w:space="0" w:color="auto"/>
        <w:bottom w:val="none" w:sz="0" w:space="0" w:color="auto"/>
        <w:right w:val="none" w:sz="0" w:space="0" w:color="auto"/>
      </w:divBdr>
    </w:div>
    <w:div w:id="465052452">
      <w:marLeft w:val="0"/>
      <w:marRight w:val="0"/>
      <w:marTop w:val="180"/>
      <w:marBottom w:val="100"/>
      <w:divBdr>
        <w:top w:val="none" w:sz="0" w:space="0" w:color="auto"/>
        <w:left w:val="none" w:sz="0" w:space="0" w:color="auto"/>
        <w:bottom w:val="none" w:sz="0" w:space="0" w:color="auto"/>
        <w:right w:val="none" w:sz="0" w:space="0" w:color="auto"/>
      </w:divBdr>
    </w:div>
    <w:div w:id="465896612">
      <w:marLeft w:val="0"/>
      <w:marRight w:val="0"/>
      <w:marTop w:val="100"/>
      <w:marBottom w:val="100"/>
      <w:divBdr>
        <w:top w:val="none" w:sz="0" w:space="0" w:color="auto"/>
        <w:left w:val="none" w:sz="0" w:space="0" w:color="auto"/>
        <w:bottom w:val="none" w:sz="0" w:space="0" w:color="auto"/>
        <w:right w:val="none" w:sz="0" w:space="0" w:color="auto"/>
      </w:divBdr>
    </w:div>
    <w:div w:id="466166871">
      <w:marLeft w:val="0"/>
      <w:marRight w:val="0"/>
      <w:marTop w:val="0"/>
      <w:marBottom w:val="100"/>
      <w:divBdr>
        <w:top w:val="none" w:sz="0" w:space="0" w:color="auto"/>
        <w:left w:val="none" w:sz="0" w:space="0" w:color="auto"/>
        <w:bottom w:val="none" w:sz="0" w:space="0" w:color="auto"/>
        <w:right w:val="none" w:sz="0" w:space="0" w:color="auto"/>
      </w:divBdr>
    </w:div>
    <w:div w:id="466704952">
      <w:marLeft w:val="0"/>
      <w:marRight w:val="0"/>
      <w:marTop w:val="0"/>
      <w:marBottom w:val="100"/>
      <w:divBdr>
        <w:top w:val="none" w:sz="0" w:space="0" w:color="auto"/>
        <w:left w:val="none" w:sz="0" w:space="0" w:color="auto"/>
        <w:bottom w:val="none" w:sz="0" w:space="0" w:color="auto"/>
        <w:right w:val="none" w:sz="0" w:space="0" w:color="auto"/>
      </w:divBdr>
    </w:div>
    <w:div w:id="472984511">
      <w:marLeft w:val="0"/>
      <w:marRight w:val="0"/>
      <w:marTop w:val="0"/>
      <w:marBottom w:val="0"/>
      <w:divBdr>
        <w:top w:val="none" w:sz="0" w:space="0" w:color="auto"/>
        <w:left w:val="none" w:sz="0" w:space="0" w:color="auto"/>
        <w:bottom w:val="none" w:sz="0" w:space="0" w:color="auto"/>
        <w:right w:val="none" w:sz="0" w:space="0" w:color="auto"/>
      </w:divBdr>
    </w:div>
    <w:div w:id="473331738">
      <w:marLeft w:val="0"/>
      <w:marRight w:val="0"/>
      <w:marTop w:val="180"/>
      <w:marBottom w:val="100"/>
      <w:divBdr>
        <w:top w:val="none" w:sz="0" w:space="0" w:color="auto"/>
        <w:left w:val="none" w:sz="0" w:space="0" w:color="auto"/>
        <w:bottom w:val="none" w:sz="0" w:space="0" w:color="auto"/>
        <w:right w:val="none" w:sz="0" w:space="0" w:color="auto"/>
      </w:divBdr>
    </w:div>
    <w:div w:id="474033368">
      <w:marLeft w:val="0"/>
      <w:marRight w:val="0"/>
      <w:marTop w:val="100"/>
      <w:marBottom w:val="120"/>
      <w:divBdr>
        <w:top w:val="none" w:sz="0" w:space="0" w:color="auto"/>
        <w:left w:val="none" w:sz="0" w:space="0" w:color="auto"/>
        <w:bottom w:val="none" w:sz="0" w:space="0" w:color="auto"/>
        <w:right w:val="none" w:sz="0" w:space="0" w:color="auto"/>
      </w:divBdr>
    </w:div>
    <w:div w:id="476192591">
      <w:marLeft w:val="0"/>
      <w:marRight w:val="0"/>
      <w:marTop w:val="180"/>
      <w:marBottom w:val="100"/>
      <w:divBdr>
        <w:top w:val="none" w:sz="0" w:space="0" w:color="auto"/>
        <w:left w:val="none" w:sz="0" w:space="0" w:color="auto"/>
        <w:bottom w:val="none" w:sz="0" w:space="0" w:color="auto"/>
        <w:right w:val="none" w:sz="0" w:space="0" w:color="auto"/>
      </w:divBdr>
    </w:div>
    <w:div w:id="478226817">
      <w:marLeft w:val="0"/>
      <w:marRight w:val="0"/>
      <w:marTop w:val="0"/>
      <w:marBottom w:val="0"/>
      <w:divBdr>
        <w:top w:val="none" w:sz="0" w:space="0" w:color="auto"/>
        <w:left w:val="none" w:sz="0" w:space="0" w:color="auto"/>
        <w:bottom w:val="none" w:sz="0" w:space="0" w:color="auto"/>
        <w:right w:val="none" w:sz="0" w:space="0" w:color="auto"/>
      </w:divBdr>
    </w:div>
    <w:div w:id="479661311">
      <w:marLeft w:val="0"/>
      <w:marRight w:val="0"/>
      <w:marTop w:val="0"/>
      <w:marBottom w:val="0"/>
      <w:divBdr>
        <w:top w:val="none" w:sz="0" w:space="0" w:color="auto"/>
        <w:left w:val="none" w:sz="0" w:space="0" w:color="auto"/>
        <w:bottom w:val="none" w:sz="0" w:space="0" w:color="auto"/>
        <w:right w:val="none" w:sz="0" w:space="0" w:color="auto"/>
      </w:divBdr>
    </w:div>
    <w:div w:id="483200084">
      <w:marLeft w:val="0"/>
      <w:marRight w:val="0"/>
      <w:marTop w:val="180"/>
      <w:marBottom w:val="0"/>
      <w:divBdr>
        <w:top w:val="none" w:sz="0" w:space="0" w:color="auto"/>
        <w:left w:val="none" w:sz="0" w:space="0" w:color="auto"/>
        <w:bottom w:val="none" w:sz="0" w:space="0" w:color="auto"/>
        <w:right w:val="none" w:sz="0" w:space="0" w:color="auto"/>
      </w:divBdr>
    </w:div>
    <w:div w:id="483201277">
      <w:marLeft w:val="0"/>
      <w:marRight w:val="0"/>
      <w:marTop w:val="340"/>
      <w:marBottom w:val="340"/>
      <w:divBdr>
        <w:top w:val="none" w:sz="0" w:space="0" w:color="auto"/>
        <w:left w:val="none" w:sz="0" w:space="0" w:color="auto"/>
        <w:bottom w:val="none" w:sz="0" w:space="0" w:color="auto"/>
        <w:right w:val="none" w:sz="0" w:space="0" w:color="auto"/>
      </w:divBdr>
    </w:div>
    <w:div w:id="485171250">
      <w:marLeft w:val="0"/>
      <w:marRight w:val="0"/>
      <w:marTop w:val="100"/>
      <w:marBottom w:val="100"/>
      <w:divBdr>
        <w:top w:val="none" w:sz="0" w:space="0" w:color="auto"/>
        <w:left w:val="none" w:sz="0" w:space="0" w:color="auto"/>
        <w:bottom w:val="none" w:sz="0" w:space="0" w:color="auto"/>
        <w:right w:val="none" w:sz="0" w:space="0" w:color="auto"/>
      </w:divBdr>
    </w:div>
    <w:div w:id="485441385">
      <w:marLeft w:val="0"/>
      <w:marRight w:val="0"/>
      <w:marTop w:val="180"/>
      <w:marBottom w:val="0"/>
      <w:divBdr>
        <w:top w:val="none" w:sz="0" w:space="0" w:color="auto"/>
        <w:left w:val="none" w:sz="0" w:space="0" w:color="auto"/>
        <w:bottom w:val="none" w:sz="0" w:space="0" w:color="auto"/>
        <w:right w:val="none" w:sz="0" w:space="0" w:color="auto"/>
      </w:divBdr>
    </w:div>
    <w:div w:id="485904761">
      <w:marLeft w:val="0"/>
      <w:marRight w:val="0"/>
      <w:marTop w:val="0"/>
      <w:marBottom w:val="0"/>
      <w:divBdr>
        <w:top w:val="none" w:sz="0" w:space="0" w:color="auto"/>
        <w:left w:val="none" w:sz="0" w:space="0" w:color="auto"/>
        <w:bottom w:val="none" w:sz="0" w:space="0" w:color="auto"/>
        <w:right w:val="none" w:sz="0" w:space="0" w:color="auto"/>
      </w:divBdr>
    </w:div>
    <w:div w:id="486476769">
      <w:marLeft w:val="0"/>
      <w:marRight w:val="0"/>
      <w:marTop w:val="180"/>
      <w:marBottom w:val="100"/>
      <w:divBdr>
        <w:top w:val="none" w:sz="0" w:space="0" w:color="auto"/>
        <w:left w:val="none" w:sz="0" w:space="0" w:color="auto"/>
        <w:bottom w:val="none" w:sz="0" w:space="0" w:color="auto"/>
        <w:right w:val="none" w:sz="0" w:space="0" w:color="auto"/>
      </w:divBdr>
    </w:div>
    <w:div w:id="489832423">
      <w:marLeft w:val="0"/>
      <w:marRight w:val="0"/>
      <w:marTop w:val="0"/>
      <w:marBottom w:val="0"/>
      <w:divBdr>
        <w:top w:val="none" w:sz="0" w:space="0" w:color="auto"/>
        <w:left w:val="none" w:sz="0" w:space="0" w:color="auto"/>
        <w:bottom w:val="none" w:sz="0" w:space="0" w:color="auto"/>
        <w:right w:val="none" w:sz="0" w:space="0" w:color="auto"/>
      </w:divBdr>
    </w:div>
    <w:div w:id="489905378">
      <w:marLeft w:val="0"/>
      <w:marRight w:val="0"/>
      <w:marTop w:val="0"/>
      <w:marBottom w:val="0"/>
      <w:divBdr>
        <w:top w:val="none" w:sz="0" w:space="0" w:color="auto"/>
        <w:left w:val="none" w:sz="0" w:space="0" w:color="auto"/>
        <w:bottom w:val="none" w:sz="0" w:space="0" w:color="auto"/>
        <w:right w:val="none" w:sz="0" w:space="0" w:color="auto"/>
      </w:divBdr>
      <w:divsChild>
        <w:div w:id="1129974932">
          <w:marLeft w:val="0"/>
          <w:marRight w:val="0"/>
          <w:marTop w:val="0"/>
          <w:marBottom w:val="100"/>
          <w:divBdr>
            <w:top w:val="none" w:sz="0" w:space="0" w:color="auto"/>
            <w:left w:val="none" w:sz="0" w:space="0" w:color="auto"/>
            <w:bottom w:val="none" w:sz="0" w:space="0" w:color="auto"/>
            <w:right w:val="none" w:sz="0" w:space="0" w:color="auto"/>
          </w:divBdr>
        </w:div>
      </w:divsChild>
    </w:div>
    <w:div w:id="491336793">
      <w:marLeft w:val="0"/>
      <w:marRight w:val="0"/>
      <w:marTop w:val="180"/>
      <w:marBottom w:val="0"/>
      <w:divBdr>
        <w:top w:val="none" w:sz="0" w:space="0" w:color="auto"/>
        <w:left w:val="none" w:sz="0" w:space="0" w:color="auto"/>
        <w:bottom w:val="none" w:sz="0" w:space="0" w:color="auto"/>
        <w:right w:val="none" w:sz="0" w:space="0" w:color="auto"/>
      </w:divBdr>
    </w:div>
    <w:div w:id="491527121">
      <w:marLeft w:val="0"/>
      <w:marRight w:val="0"/>
      <w:marTop w:val="100"/>
      <w:marBottom w:val="100"/>
      <w:divBdr>
        <w:top w:val="none" w:sz="0" w:space="0" w:color="auto"/>
        <w:left w:val="none" w:sz="0" w:space="0" w:color="auto"/>
        <w:bottom w:val="none" w:sz="0" w:space="0" w:color="auto"/>
        <w:right w:val="none" w:sz="0" w:space="0" w:color="auto"/>
      </w:divBdr>
      <w:divsChild>
        <w:div w:id="1093432229">
          <w:marLeft w:val="0"/>
          <w:marRight w:val="0"/>
          <w:marTop w:val="0"/>
          <w:marBottom w:val="0"/>
          <w:divBdr>
            <w:top w:val="none" w:sz="0" w:space="0" w:color="auto"/>
            <w:left w:val="none" w:sz="0" w:space="0" w:color="auto"/>
            <w:bottom w:val="none" w:sz="0" w:space="0" w:color="auto"/>
            <w:right w:val="none" w:sz="0" w:space="0" w:color="auto"/>
          </w:divBdr>
        </w:div>
        <w:div w:id="606893294">
          <w:marLeft w:val="0"/>
          <w:marRight w:val="0"/>
          <w:marTop w:val="0"/>
          <w:marBottom w:val="0"/>
          <w:divBdr>
            <w:top w:val="none" w:sz="0" w:space="0" w:color="auto"/>
            <w:left w:val="none" w:sz="0" w:space="0" w:color="auto"/>
            <w:bottom w:val="none" w:sz="0" w:space="0" w:color="auto"/>
            <w:right w:val="none" w:sz="0" w:space="0" w:color="auto"/>
          </w:divBdr>
        </w:div>
        <w:div w:id="2133133715">
          <w:marLeft w:val="0"/>
          <w:marRight w:val="0"/>
          <w:marTop w:val="0"/>
          <w:marBottom w:val="0"/>
          <w:divBdr>
            <w:top w:val="none" w:sz="0" w:space="0" w:color="auto"/>
            <w:left w:val="none" w:sz="0" w:space="0" w:color="auto"/>
            <w:bottom w:val="none" w:sz="0" w:space="0" w:color="auto"/>
            <w:right w:val="none" w:sz="0" w:space="0" w:color="auto"/>
          </w:divBdr>
        </w:div>
        <w:div w:id="1441336092">
          <w:marLeft w:val="0"/>
          <w:marRight w:val="0"/>
          <w:marTop w:val="0"/>
          <w:marBottom w:val="0"/>
          <w:divBdr>
            <w:top w:val="none" w:sz="0" w:space="0" w:color="auto"/>
            <w:left w:val="none" w:sz="0" w:space="0" w:color="auto"/>
            <w:bottom w:val="none" w:sz="0" w:space="0" w:color="auto"/>
            <w:right w:val="none" w:sz="0" w:space="0" w:color="auto"/>
          </w:divBdr>
        </w:div>
        <w:div w:id="905258667">
          <w:marLeft w:val="0"/>
          <w:marRight w:val="0"/>
          <w:marTop w:val="0"/>
          <w:marBottom w:val="0"/>
          <w:divBdr>
            <w:top w:val="none" w:sz="0" w:space="0" w:color="auto"/>
            <w:left w:val="none" w:sz="0" w:space="0" w:color="auto"/>
            <w:bottom w:val="none" w:sz="0" w:space="0" w:color="auto"/>
            <w:right w:val="none" w:sz="0" w:space="0" w:color="auto"/>
          </w:divBdr>
        </w:div>
        <w:div w:id="2078474957">
          <w:marLeft w:val="0"/>
          <w:marRight w:val="0"/>
          <w:marTop w:val="0"/>
          <w:marBottom w:val="0"/>
          <w:divBdr>
            <w:top w:val="none" w:sz="0" w:space="0" w:color="auto"/>
            <w:left w:val="none" w:sz="0" w:space="0" w:color="auto"/>
            <w:bottom w:val="none" w:sz="0" w:space="0" w:color="auto"/>
            <w:right w:val="none" w:sz="0" w:space="0" w:color="auto"/>
          </w:divBdr>
        </w:div>
        <w:div w:id="143590589">
          <w:marLeft w:val="0"/>
          <w:marRight w:val="0"/>
          <w:marTop w:val="0"/>
          <w:marBottom w:val="0"/>
          <w:divBdr>
            <w:top w:val="none" w:sz="0" w:space="0" w:color="auto"/>
            <w:left w:val="none" w:sz="0" w:space="0" w:color="auto"/>
            <w:bottom w:val="none" w:sz="0" w:space="0" w:color="auto"/>
            <w:right w:val="none" w:sz="0" w:space="0" w:color="auto"/>
          </w:divBdr>
        </w:div>
        <w:div w:id="1294941617">
          <w:marLeft w:val="0"/>
          <w:marRight w:val="0"/>
          <w:marTop w:val="0"/>
          <w:marBottom w:val="0"/>
          <w:divBdr>
            <w:top w:val="none" w:sz="0" w:space="0" w:color="auto"/>
            <w:left w:val="none" w:sz="0" w:space="0" w:color="auto"/>
            <w:bottom w:val="none" w:sz="0" w:space="0" w:color="auto"/>
            <w:right w:val="none" w:sz="0" w:space="0" w:color="auto"/>
          </w:divBdr>
        </w:div>
        <w:div w:id="1478183760">
          <w:marLeft w:val="0"/>
          <w:marRight w:val="0"/>
          <w:marTop w:val="0"/>
          <w:marBottom w:val="0"/>
          <w:divBdr>
            <w:top w:val="none" w:sz="0" w:space="0" w:color="auto"/>
            <w:left w:val="none" w:sz="0" w:space="0" w:color="auto"/>
            <w:bottom w:val="none" w:sz="0" w:space="0" w:color="auto"/>
            <w:right w:val="none" w:sz="0" w:space="0" w:color="auto"/>
          </w:divBdr>
        </w:div>
        <w:div w:id="1225530892">
          <w:marLeft w:val="0"/>
          <w:marRight w:val="0"/>
          <w:marTop w:val="0"/>
          <w:marBottom w:val="0"/>
          <w:divBdr>
            <w:top w:val="none" w:sz="0" w:space="0" w:color="auto"/>
            <w:left w:val="none" w:sz="0" w:space="0" w:color="auto"/>
            <w:bottom w:val="none" w:sz="0" w:space="0" w:color="auto"/>
            <w:right w:val="none" w:sz="0" w:space="0" w:color="auto"/>
          </w:divBdr>
        </w:div>
        <w:div w:id="1098477363">
          <w:marLeft w:val="0"/>
          <w:marRight w:val="0"/>
          <w:marTop w:val="0"/>
          <w:marBottom w:val="0"/>
          <w:divBdr>
            <w:top w:val="none" w:sz="0" w:space="0" w:color="auto"/>
            <w:left w:val="none" w:sz="0" w:space="0" w:color="auto"/>
            <w:bottom w:val="none" w:sz="0" w:space="0" w:color="auto"/>
            <w:right w:val="none" w:sz="0" w:space="0" w:color="auto"/>
          </w:divBdr>
        </w:div>
        <w:div w:id="344595346">
          <w:marLeft w:val="0"/>
          <w:marRight w:val="0"/>
          <w:marTop w:val="0"/>
          <w:marBottom w:val="0"/>
          <w:divBdr>
            <w:top w:val="none" w:sz="0" w:space="0" w:color="auto"/>
            <w:left w:val="none" w:sz="0" w:space="0" w:color="auto"/>
            <w:bottom w:val="none" w:sz="0" w:space="0" w:color="auto"/>
            <w:right w:val="none" w:sz="0" w:space="0" w:color="auto"/>
          </w:divBdr>
        </w:div>
        <w:div w:id="1270234295">
          <w:marLeft w:val="0"/>
          <w:marRight w:val="0"/>
          <w:marTop w:val="0"/>
          <w:marBottom w:val="0"/>
          <w:divBdr>
            <w:top w:val="none" w:sz="0" w:space="0" w:color="auto"/>
            <w:left w:val="none" w:sz="0" w:space="0" w:color="auto"/>
            <w:bottom w:val="none" w:sz="0" w:space="0" w:color="auto"/>
            <w:right w:val="none" w:sz="0" w:space="0" w:color="auto"/>
          </w:divBdr>
        </w:div>
        <w:div w:id="1092698549">
          <w:marLeft w:val="0"/>
          <w:marRight w:val="0"/>
          <w:marTop w:val="0"/>
          <w:marBottom w:val="0"/>
          <w:divBdr>
            <w:top w:val="none" w:sz="0" w:space="0" w:color="auto"/>
            <w:left w:val="none" w:sz="0" w:space="0" w:color="auto"/>
            <w:bottom w:val="none" w:sz="0" w:space="0" w:color="auto"/>
            <w:right w:val="none" w:sz="0" w:space="0" w:color="auto"/>
          </w:divBdr>
        </w:div>
        <w:div w:id="1529025833">
          <w:marLeft w:val="0"/>
          <w:marRight w:val="0"/>
          <w:marTop w:val="0"/>
          <w:marBottom w:val="0"/>
          <w:divBdr>
            <w:top w:val="none" w:sz="0" w:space="0" w:color="auto"/>
            <w:left w:val="none" w:sz="0" w:space="0" w:color="auto"/>
            <w:bottom w:val="none" w:sz="0" w:space="0" w:color="auto"/>
            <w:right w:val="none" w:sz="0" w:space="0" w:color="auto"/>
          </w:divBdr>
        </w:div>
        <w:div w:id="1283147319">
          <w:marLeft w:val="0"/>
          <w:marRight w:val="0"/>
          <w:marTop w:val="0"/>
          <w:marBottom w:val="0"/>
          <w:divBdr>
            <w:top w:val="none" w:sz="0" w:space="0" w:color="auto"/>
            <w:left w:val="none" w:sz="0" w:space="0" w:color="auto"/>
            <w:bottom w:val="none" w:sz="0" w:space="0" w:color="auto"/>
            <w:right w:val="none" w:sz="0" w:space="0" w:color="auto"/>
          </w:divBdr>
        </w:div>
        <w:div w:id="1523740272">
          <w:marLeft w:val="0"/>
          <w:marRight w:val="0"/>
          <w:marTop w:val="0"/>
          <w:marBottom w:val="0"/>
          <w:divBdr>
            <w:top w:val="none" w:sz="0" w:space="0" w:color="auto"/>
            <w:left w:val="none" w:sz="0" w:space="0" w:color="auto"/>
            <w:bottom w:val="none" w:sz="0" w:space="0" w:color="auto"/>
            <w:right w:val="none" w:sz="0" w:space="0" w:color="auto"/>
          </w:divBdr>
        </w:div>
        <w:div w:id="1825047023">
          <w:marLeft w:val="0"/>
          <w:marRight w:val="0"/>
          <w:marTop w:val="0"/>
          <w:marBottom w:val="0"/>
          <w:divBdr>
            <w:top w:val="none" w:sz="0" w:space="0" w:color="auto"/>
            <w:left w:val="none" w:sz="0" w:space="0" w:color="auto"/>
            <w:bottom w:val="none" w:sz="0" w:space="0" w:color="auto"/>
            <w:right w:val="none" w:sz="0" w:space="0" w:color="auto"/>
          </w:divBdr>
        </w:div>
        <w:div w:id="901451060">
          <w:marLeft w:val="0"/>
          <w:marRight w:val="0"/>
          <w:marTop w:val="0"/>
          <w:marBottom w:val="0"/>
          <w:divBdr>
            <w:top w:val="none" w:sz="0" w:space="0" w:color="auto"/>
            <w:left w:val="none" w:sz="0" w:space="0" w:color="auto"/>
            <w:bottom w:val="none" w:sz="0" w:space="0" w:color="auto"/>
            <w:right w:val="none" w:sz="0" w:space="0" w:color="auto"/>
          </w:divBdr>
        </w:div>
        <w:div w:id="372073289">
          <w:marLeft w:val="0"/>
          <w:marRight w:val="0"/>
          <w:marTop w:val="0"/>
          <w:marBottom w:val="0"/>
          <w:divBdr>
            <w:top w:val="none" w:sz="0" w:space="0" w:color="auto"/>
            <w:left w:val="none" w:sz="0" w:space="0" w:color="auto"/>
            <w:bottom w:val="none" w:sz="0" w:space="0" w:color="auto"/>
            <w:right w:val="none" w:sz="0" w:space="0" w:color="auto"/>
          </w:divBdr>
        </w:div>
        <w:div w:id="420568738">
          <w:marLeft w:val="0"/>
          <w:marRight w:val="0"/>
          <w:marTop w:val="0"/>
          <w:marBottom w:val="0"/>
          <w:divBdr>
            <w:top w:val="none" w:sz="0" w:space="0" w:color="auto"/>
            <w:left w:val="none" w:sz="0" w:space="0" w:color="auto"/>
            <w:bottom w:val="none" w:sz="0" w:space="0" w:color="auto"/>
            <w:right w:val="none" w:sz="0" w:space="0" w:color="auto"/>
          </w:divBdr>
        </w:div>
        <w:div w:id="250242988">
          <w:marLeft w:val="0"/>
          <w:marRight w:val="0"/>
          <w:marTop w:val="0"/>
          <w:marBottom w:val="0"/>
          <w:divBdr>
            <w:top w:val="none" w:sz="0" w:space="0" w:color="auto"/>
            <w:left w:val="none" w:sz="0" w:space="0" w:color="auto"/>
            <w:bottom w:val="none" w:sz="0" w:space="0" w:color="auto"/>
            <w:right w:val="none" w:sz="0" w:space="0" w:color="auto"/>
          </w:divBdr>
        </w:div>
      </w:divsChild>
    </w:div>
    <w:div w:id="493028081">
      <w:marLeft w:val="0"/>
      <w:marRight w:val="0"/>
      <w:marTop w:val="100"/>
      <w:marBottom w:val="100"/>
      <w:divBdr>
        <w:top w:val="none" w:sz="0" w:space="0" w:color="auto"/>
        <w:left w:val="none" w:sz="0" w:space="0" w:color="auto"/>
        <w:bottom w:val="none" w:sz="0" w:space="0" w:color="auto"/>
        <w:right w:val="none" w:sz="0" w:space="0" w:color="auto"/>
      </w:divBdr>
    </w:div>
    <w:div w:id="493836297">
      <w:marLeft w:val="0"/>
      <w:marRight w:val="0"/>
      <w:marTop w:val="100"/>
      <w:marBottom w:val="100"/>
      <w:divBdr>
        <w:top w:val="none" w:sz="0" w:space="0" w:color="auto"/>
        <w:left w:val="none" w:sz="0" w:space="0" w:color="auto"/>
        <w:bottom w:val="none" w:sz="0" w:space="0" w:color="auto"/>
        <w:right w:val="none" w:sz="0" w:space="0" w:color="auto"/>
      </w:divBdr>
    </w:div>
    <w:div w:id="494688861">
      <w:marLeft w:val="0"/>
      <w:marRight w:val="0"/>
      <w:marTop w:val="0"/>
      <w:marBottom w:val="100"/>
      <w:divBdr>
        <w:top w:val="none" w:sz="0" w:space="0" w:color="auto"/>
        <w:left w:val="none" w:sz="0" w:space="0" w:color="auto"/>
        <w:bottom w:val="none" w:sz="0" w:space="0" w:color="auto"/>
        <w:right w:val="none" w:sz="0" w:space="0" w:color="auto"/>
      </w:divBdr>
    </w:div>
    <w:div w:id="494692399">
      <w:marLeft w:val="0"/>
      <w:marRight w:val="0"/>
      <w:marTop w:val="0"/>
      <w:marBottom w:val="0"/>
      <w:divBdr>
        <w:top w:val="none" w:sz="0" w:space="0" w:color="auto"/>
        <w:left w:val="none" w:sz="0" w:space="0" w:color="auto"/>
        <w:bottom w:val="none" w:sz="0" w:space="0" w:color="auto"/>
        <w:right w:val="none" w:sz="0" w:space="0" w:color="auto"/>
      </w:divBdr>
    </w:div>
    <w:div w:id="496464821">
      <w:marLeft w:val="0"/>
      <w:marRight w:val="0"/>
      <w:marTop w:val="0"/>
      <w:marBottom w:val="0"/>
      <w:divBdr>
        <w:top w:val="none" w:sz="0" w:space="0" w:color="auto"/>
        <w:left w:val="none" w:sz="0" w:space="0" w:color="auto"/>
        <w:bottom w:val="none" w:sz="0" w:space="0" w:color="auto"/>
        <w:right w:val="none" w:sz="0" w:space="0" w:color="auto"/>
      </w:divBdr>
    </w:div>
    <w:div w:id="496653301">
      <w:marLeft w:val="0"/>
      <w:marRight w:val="0"/>
      <w:marTop w:val="0"/>
      <w:marBottom w:val="0"/>
      <w:divBdr>
        <w:top w:val="none" w:sz="0" w:space="0" w:color="auto"/>
        <w:left w:val="none" w:sz="0" w:space="0" w:color="auto"/>
        <w:bottom w:val="none" w:sz="0" w:space="0" w:color="auto"/>
        <w:right w:val="none" w:sz="0" w:space="0" w:color="auto"/>
      </w:divBdr>
      <w:divsChild>
        <w:div w:id="607002757">
          <w:marLeft w:val="0"/>
          <w:marRight w:val="0"/>
          <w:marTop w:val="0"/>
          <w:marBottom w:val="100"/>
          <w:divBdr>
            <w:top w:val="none" w:sz="0" w:space="0" w:color="auto"/>
            <w:left w:val="none" w:sz="0" w:space="0" w:color="auto"/>
            <w:bottom w:val="none" w:sz="0" w:space="0" w:color="auto"/>
            <w:right w:val="none" w:sz="0" w:space="0" w:color="auto"/>
          </w:divBdr>
        </w:div>
      </w:divsChild>
    </w:div>
    <w:div w:id="496918419">
      <w:marLeft w:val="0"/>
      <w:marRight w:val="0"/>
      <w:marTop w:val="100"/>
      <w:marBottom w:val="100"/>
      <w:divBdr>
        <w:top w:val="none" w:sz="0" w:space="0" w:color="auto"/>
        <w:left w:val="none" w:sz="0" w:space="0" w:color="auto"/>
        <w:bottom w:val="none" w:sz="0" w:space="0" w:color="auto"/>
        <w:right w:val="none" w:sz="0" w:space="0" w:color="auto"/>
      </w:divBdr>
    </w:div>
    <w:div w:id="497309543">
      <w:marLeft w:val="0"/>
      <w:marRight w:val="0"/>
      <w:marTop w:val="100"/>
      <w:marBottom w:val="100"/>
      <w:divBdr>
        <w:top w:val="none" w:sz="0" w:space="0" w:color="auto"/>
        <w:left w:val="none" w:sz="0" w:space="0" w:color="auto"/>
        <w:bottom w:val="none" w:sz="0" w:space="0" w:color="auto"/>
        <w:right w:val="none" w:sz="0" w:space="0" w:color="auto"/>
      </w:divBdr>
    </w:div>
    <w:div w:id="497691433">
      <w:marLeft w:val="0"/>
      <w:marRight w:val="0"/>
      <w:marTop w:val="0"/>
      <w:marBottom w:val="0"/>
      <w:divBdr>
        <w:top w:val="none" w:sz="0" w:space="0" w:color="auto"/>
        <w:left w:val="none" w:sz="0" w:space="0" w:color="auto"/>
        <w:bottom w:val="none" w:sz="0" w:space="0" w:color="auto"/>
        <w:right w:val="none" w:sz="0" w:space="0" w:color="auto"/>
      </w:divBdr>
      <w:divsChild>
        <w:div w:id="689071125">
          <w:marLeft w:val="0"/>
          <w:marRight w:val="0"/>
          <w:marTop w:val="0"/>
          <w:marBottom w:val="0"/>
          <w:divBdr>
            <w:top w:val="none" w:sz="0" w:space="0" w:color="auto"/>
            <w:left w:val="none" w:sz="0" w:space="0" w:color="auto"/>
            <w:bottom w:val="none" w:sz="0" w:space="0" w:color="auto"/>
            <w:right w:val="none" w:sz="0" w:space="0" w:color="auto"/>
          </w:divBdr>
          <w:divsChild>
            <w:div w:id="92461010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97891011">
      <w:marLeft w:val="0"/>
      <w:marRight w:val="0"/>
      <w:marTop w:val="0"/>
      <w:marBottom w:val="100"/>
      <w:divBdr>
        <w:top w:val="none" w:sz="0" w:space="0" w:color="auto"/>
        <w:left w:val="none" w:sz="0" w:space="0" w:color="auto"/>
        <w:bottom w:val="none" w:sz="0" w:space="0" w:color="auto"/>
        <w:right w:val="none" w:sz="0" w:space="0" w:color="auto"/>
      </w:divBdr>
    </w:div>
    <w:div w:id="498078469">
      <w:marLeft w:val="0"/>
      <w:marRight w:val="0"/>
      <w:marTop w:val="0"/>
      <w:marBottom w:val="100"/>
      <w:divBdr>
        <w:top w:val="none" w:sz="0" w:space="0" w:color="auto"/>
        <w:left w:val="none" w:sz="0" w:space="0" w:color="auto"/>
        <w:bottom w:val="none" w:sz="0" w:space="0" w:color="auto"/>
        <w:right w:val="none" w:sz="0" w:space="0" w:color="auto"/>
      </w:divBdr>
    </w:div>
    <w:div w:id="499196739">
      <w:marLeft w:val="0"/>
      <w:marRight w:val="0"/>
      <w:marTop w:val="0"/>
      <w:marBottom w:val="0"/>
      <w:divBdr>
        <w:top w:val="none" w:sz="0" w:space="0" w:color="auto"/>
        <w:left w:val="none" w:sz="0" w:space="0" w:color="auto"/>
        <w:bottom w:val="none" w:sz="0" w:space="0" w:color="auto"/>
        <w:right w:val="none" w:sz="0" w:space="0" w:color="auto"/>
      </w:divBdr>
    </w:div>
    <w:div w:id="500587786">
      <w:marLeft w:val="0"/>
      <w:marRight w:val="0"/>
      <w:marTop w:val="180"/>
      <w:marBottom w:val="100"/>
      <w:divBdr>
        <w:top w:val="none" w:sz="0" w:space="0" w:color="auto"/>
        <w:left w:val="none" w:sz="0" w:space="0" w:color="auto"/>
        <w:bottom w:val="none" w:sz="0" w:space="0" w:color="auto"/>
        <w:right w:val="none" w:sz="0" w:space="0" w:color="auto"/>
      </w:divBdr>
    </w:div>
    <w:div w:id="502355459">
      <w:marLeft w:val="0"/>
      <w:marRight w:val="0"/>
      <w:marTop w:val="0"/>
      <w:marBottom w:val="0"/>
      <w:divBdr>
        <w:top w:val="none" w:sz="0" w:space="0" w:color="auto"/>
        <w:left w:val="none" w:sz="0" w:space="0" w:color="auto"/>
        <w:bottom w:val="none" w:sz="0" w:space="0" w:color="auto"/>
        <w:right w:val="none" w:sz="0" w:space="0" w:color="auto"/>
      </w:divBdr>
    </w:div>
    <w:div w:id="504636181">
      <w:marLeft w:val="0"/>
      <w:marRight w:val="0"/>
      <w:marTop w:val="0"/>
      <w:marBottom w:val="0"/>
      <w:divBdr>
        <w:top w:val="none" w:sz="0" w:space="0" w:color="auto"/>
        <w:left w:val="none" w:sz="0" w:space="0" w:color="auto"/>
        <w:bottom w:val="none" w:sz="0" w:space="0" w:color="auto"/>
        <w:right w:val="none" w:sz="0" w:space="0" w:color="auto"/>
      </w:divBdr>
      <w:divsChild>
        <w:div w:id="906888930">
          <w:marLeft w:val="0"/>
          <w:marRight w:val="0"/>
          <w:marTop w:val="0"/>
          <w:marBottom w:val="0"/>
          <w:divBdr>
            <w:top w:val="none" w:sz="0" w:space="0" w:color="auto"/>
            <w:left w:val="none" w:sz="0" w:space="0" w:color="auto"/>
            <w:bottom w:val="none" w:sz="0" w:space="0" w:color="auto"/>
            <w:right w:val="none" w:sz="0" w:space="0" w:color="auto"/>
          </w:divBdr>
          <w:divsChild>
            <w:div w:id="22361355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04636670">
      <w:marLeft w:val="0"/>
      <w:marRight w:val="0"/>
      <w:marTop w:val="0"/>
      <w:marBottom w:val="100"/>
      <w:divBdr>
        <w:top w:val="none" w:sz="0" w:space="0" w:color="auto"/>
        <w:left w:val="none" w:sz="0" w:space="0" w:color="auto"/>
        <w:bottom w:val="none" w:sz="0" w:space="0" w:color="auto"/>
        <w:right w:val="none" w:sz="0" w:space="0" w:color="auto"/>
      </w:divBdr>
    </w:div>
    <w:div w:id="505560466">
      <w:marLeft w:val="0"/>
      <w:marRight w:val="0"/>
      <w:marTop w:val="0"/>
      <w:marBottom w:val="100"/>
      <w:divBdr>
        <w:top w:val="none" w:sz="0" w:space="0" w:color="auto"/>
        <w:left w:val="none" w:sz="0" w:space="0" w:color="auto"/>
        <w:bottom w:val="none" w:sz="0" w:space="0" w:color="auto"/>
        <w:right w:val="none" w:sz="0" w:space="0" w:color="auto"/>
      </w:divBdr>
    </w:div>
    <w:div w:id="506672814">
      <w:marLeft w:val="0"/>
      <w:marRight w:val="0"/>
      <w:marTop w:val="100"/>
      <w:marBottom w:val="0"/>
      <w:divBdr>
        <w:top w:val="none" w:sz="0" w:space="0" w:color="auto"/>
        <w:left w:val="none" w:sz="0" w:space="0" w:color="auto"/>
        <w:bottom w:val="none" w:sz="0" w:space="0" w:color="auto"/>
        <w:right w:val="none" w:sz="0" w:space="0" w:color="auto"/>
      </w:divBdr>
    </w:div>
    <w:div w:id="508981255">
      <w:marLeft w:val="0"/>
      <w:marRight w:val="0"/>
      <w:marTop w:val="0"/>
      <w:marBottom w:val="100"/>
      <w:divBdr>
        <w:top w:val="none" w:sz="0" w:space="0" w:color="auto"/>
        <w:left w:val="none" w:sz="0" w:space="0" w:color="auto"/>
        <w:bottom w:val="none" w:sz="0" w:space="0" w:color="auto"/>
        <w:right w:val="none" w:sz="0" w:space="0" w:color="auto"/>
      </w:divBdr>
    </w:div>
    <w:div w:id="509370511">
      <w:marLeft w:val="0"/>
      <w:marRight w:val="0"/>
      <w:marTop w:val="0"/>
      <w:marBottom w:val="100"/>
      <w:divBdr>
        <w:top w:val="none" w:sz="0" w:space="0" w:color="auto"/>
        <w:left w:val="none" w:sz="0" w:space="0" w:color="auto"/>
        <w:bottom w:val="none" w:sz="0" w:space="0" w:color="auto"/>
        <w:right w:val="none" w:sz="0" w:space="0" w:color="auto"/>
      </w:divBdr>
    </w:div>
    <w:div w:id="509687790">
      <w:marLeft w:val="0"/>
      <w:marRight w:val="0"/>
      <w:marTop w:val="0"/>
      <w:marBottom w:val="0"/>
      <w:divBdr>
        <w:top w:val="none" w:sz="0" w:space="0" w:color="auto"/>
        <w:left w:val="none" w:sz="0" w:space="0" w:color="auto"/>
        <w:bottom w:val="none" w:sz="0" w:space="0" w:color="auto"/>
        <w:right w:val="none" w:sz="0" w:space="0" w:color="auto"/>
      </w:divBdr>
      <w:divsChild>
        <w:div w:id="516891881">
          <w:marLeft w:val="0"/>
          <w:marRight w:val="0"/>
          <w:marTop w:val="0"/>
          <w:marBottom w:val="100"/>
          <w:divBdr>
            <w:top w:val="none" w:sz="0" w:space="0" w:color="auto"/>
            <w:left w:val="none" w:sz="0" w:space="0" w:color="auto"/>
            <w:bottom w:val="none" w:sz="0" w:space="0" w:color="auto"/>
            <w:right w:val="none" w:sz="0" w:space="0" w:color="auto"/>
          </w:divBdr>
        </w:div>
      </w:divsChild>
    </w:div>
    <w:div w:id="510334550">
      <w:marLeft w:val="0"/>
      <w:marRight w:val="0"/>
      <w:marTop w:val="100"/>
      <w:marBottom w:val="100"/>
      <w:divBdr>
        <w:top w:val="none" w:sz="0" w:space="0" w:color="auto"/>
        <w:left w:val="none" w:sz="0" w:space="0" w:color="auto"/>
        <w:bottom w:val="none" w:sz="0" w:space="0" w:color="auto"/>
        <w:right w:val="none" w:sz="0" w:space="0" w:color="auto"/>
      </w:divBdr>
      <w:divsChild>
        <w:div w:id="1188258284">
          <w:marLeft w:val="0"/>
          <w:marRight w:val="0"/>
          <w:marTop w:val="0"/>
          <w:marBottom w:val="0"/>
          <w:divBdr>
            <w:top w:val="none" w:sz="0" w:space="0" w:color="auto"/>
            <w:left w:val="none" w:sz="0" w:space="0" w:color="auto"/>
            <w:bottom w:val="none" w:sz="0" w:space="0" w:color="auto"/>
            <w:right w:val="none" w:sz="0" w:space="0" w:color="auto"/>
          </w:divBdr>
        </w:div>
        <w:div w:id="1328249010">
          <w:marLeft w:val="0"/>
          <w:marRight w:val="0"/>
          <w:marTop w:val="0"/>
          <w:marBottom w:val="0"/>
          <w:divBdr>
            <w:top w:val="none" w:sz="0" w:space="0" w:color="auto"/>
            <w:left w:val="none" w:sz="0" w:space="0" w:color="auto"/>
            <w:bottom w:val="none" w:sz="0" w:space="0" w:color="auto"/>
            <w:right w:val="none" w:sz="0" w:space="0" w:color="auto"/>
          </w:divBdr>
        </w:div>
      </w:divsChild>
    </w:div>
    <w:div w:id="512306817">
      <w:marLeft w:val="0"/>
      <w:marRight w:val="0"/>
      <w:marTop w:val="0"/>
      <w:marBottom w:val="0"/>
      <w:divBdr>
        <w:top w:val="none" w:sz="0" w:space="0" w:color="auto"/>
        <w:left w:val="none" w:sz="0" w:space="0" w:color="auto"/>
        <w:bottom w:val="none" w:sz="0" w:space="0" w:color="auto"/>
        <w:right w:val="none" w:sz="0" w:space="0" w:color="auto"/>
      </w:divBdr>
    </w:div>
    <w:div w:id="512450364">
      <w:marLeft w:val="0"/>
      <w:marRight w:val="0"/>
      <w:marTop w:val="0"/>
      <w:marBottom w:val="0"/>
      <w:divBdr>
        <w:top w:val="none" w:sz="0" w:space="0" w:color="auto"/>
        <w:left w:val="none" w:sz="0" w:space="0" w:color="auto"/>
        <w:bottom w:val="none" w:sz="0" w:space="0" w:color="auto"/>
        <w:right w:val="none" w:sz="0" w:space="0" w:color="auto"/>
      </w:divBdr>
    </w:div>
    <w:div w:id="513963682">
      <w:marLeft w:val="0"/>
      <w:marRight w:val="0"/>
      <w:marTop w:val="0"/>
      <w:marBottom w:val="100"/>
      <w:divBdr>
        <w:top w:val="none" w:sz="0" w:space="0" w:color="auto"/>
        <w:left w:val="none" w:sz="0" w:space="0" w:color="auto"/>
        <w:bottom w:val="none" w:sz="0" w:space="0" w:color="auto"/>
        <w:right w:val="none" w:sz="0" w:space="0" w:color="auto"/>
      </w:divBdr>
    </w:div>
    <w:div w:id="514149273">
      <w:marLeft w:val="0"/>
      <w:marRight w:val="0"/>
      <w:marTop w:val="0"/>
      <w:marBottom w:val="0"/>
      <w:divBdr>
        <w:top w:val="none" w:sz="0" w:space="0" w:color="auto"/>
        <w:left w:val="none" w:sz="0" w:space="0" w:color="auto"/>
        <w:bottom w:val="none" w:sz="0" w:space="0" w:color="auto"/>
        <w:right w:val="none" w:sz="0" w:space="0" w:color="auto"/>
      </w:divBdr>
    </w:div>
    <w:div w:id="515122449">
      <w:marLeft w:val="0"/>
      <w:marRight w:val="0"/>
      <w:marTop w:val="0"/>
      <w:marBottom w:val="0"/>
      <w:divBdr>
        <w:top w:val="none" w:sz="0" w:space="0" w:color="auto"/>
        <w:left w:val="none" w:sz="0" w:space="0" w:color="auto"/>
        <w:bottom w:val="none" w:sz="0" w:space="0" w:color="auto"/>
        <w:right w:val="none" w:sz="0" w:space="0" w:color="auto"/>
      </w:divBdr>
    </w:div>
    <w:div w:id="515312392">
      <w:marLeft w:val="0"/>
      <w:marRight w:val="0"/>
      <w:marTop w:val="180"/>
      <w:marBottom w:val="100"/>
      <w:divBdr>
        <w:top w:val="none" w:sz="0" w:space="0" w:color="auto"/>
        <w:left w:val="none" w:sz="0" w:space="0" w:color="auto"/>
        <w:bottom w:val="none" w:sz="0" w:space="0" w:color="auto"/>
        <w:right w:val="none" w:sz="0" w:space="0" w:color="auto"/>
      </w:divBdr>
    </w:div>
    <w:div w:id="517157625">
      <w:marLeft w:val="0"/>
      <w:marRight w:val="0"/>
      <w:marTop w:val="0"/>
      <w:marBottom w:val="0"/>
      <w:divBdr>
        <w:top w:val="none" w:sz="0" w:space="0" w:color="auto"/>
        <w:left w:val="none" w:sz="0" w:space="0" w:color="auto"/>
        <w:bottom w:val="none" w:sz="0" w:space="0" w:color="auto"/>
        <w:right w:val="none" w:sz="0" w:space="0" w:color="auto"/>
      </w:divBdr>
    </w:div>
    <w:div w:id="517736962">
      <w:marLeft w:val="0"/>
      <w:marRight w:val="0"/>
      <w:marTop w:val="0"/>
      <w:marBottom w:val="100"/>
      <w:divBdr>
        <w:top w:val="none" w:sz="0" w:space="0" w:color="auto"/>
        <w:left w:val="none" w:sz="0" w:space="0" w:color="auto"/>
        <w:bottom w:val="none" w:sz="0" w:space="0" w:color="auto"/>
        <w:right w:val="none" w:sz="0" w:space="0" w:color="auto"/>
      </w:divBdr>
    </w:div>
    <w:div w:id="519854747">
      <w:marLeft w:val="0"/>
      <w:marRight w:val="0"/>
      <w:marTop w:val="180"/>
      <w:marBottom w:val="100"/>
      <w:divBdr>
        <w:top w:val="none" w:sz="0" w:space="0" w:color="auto"/>
        <w:left w:val="none" w:sz="0" w:space="0" w:color="auto"/>
        <w:bottom w:val="none" w:sz="0" w:space="0" w:color="auto"/>
        <w:right w:val="none" w:sz="0" w:space="0" w:color="auto"/>
      </w:divBdr>
    </w:div>
    <w:div w:id="521940305">
      <w:marLeft w:val="0"/>
      <w:marRight w:val="0"/>
      <w:marTop w:val="0"/>
      <w:marBottom w:val="0"/>
      <w:divBdr>
        <w:top w:val="none" w:sz="0" w:space="0" w:color="auto"/>
        <w:left w:val="none" w:sz="0" w:space="0" w:color="auto"/>
        <w:bottom w:val="none" w:sz="0" w:space="0" w:color="auto"/>
        <w:right w:val="none" w:sz="0" w:space="0" w:color="auto"/>
      </w:divBdr>
    </w:div>
    <w:div w:id="522062206">
      <w:marLeft w:val="0"/>
      <w:marRight w:val="0"/>
      <w:marTop w:val="100"/>
      <w:marBottom w:val="100"/>
      <w:divBdr>
        <w:top w:val="none" w:sz="0" w:space="0" w:color="auto"/>
        <w:left w:val="none" w:sz="0" w:space="0" w:color="auto"/>
        <w:bottom w:val="none" w:sz="0" w:space="0" w:color="auto"/>
        <w:right w:val="none" w:sz="0" w:space="0" w:color="auto"/>
      </w:divBdr>
    </w:div>
    <w:div w:id="522204170">
      <w:marLeft w:val="0"/>
      <w:marRight w:val="0"/>
      <w:marTop w:val="100"/>
      <w:marBottom w:val="100"/>
      <w:divBdr>
        <w:top w:val="none" w:sz="0" w:space="0" w:color="auto"/>
        <w:left w:val="none" w:sz="0" w:space="0" w:color="auto"/>
        <w:bottom w:val="none" w:sz="0" w:space="0" w:color="auto"/>
        <w:right w:val="none" w:sz="0" w:space="0" w:color="auto"/>
      </w:divBdr>
    </w:div>
    <w:div w:id="522479048">
      <w:marLeft w:val="0"/>
      <w:marRight w:val="0"/>
      <w:marTop w:val="100"/>
      <w:marBottom w:val="100"/>
      <w:divBdr>
        <w:top w:val="none" w:sz="0" w:space="0" w:color="auto"/>
        <w:left w:val="none" w:sz="0" w:space="0" w:color="auto"/>
        <w:bottom w:val="none" w:sz="0" w:space="0" w:color="auto"/>
        <w:right w:val="none" w:sz="0" w:space="0" w:color="auto"/>
      </w:divBdr>
    </w:div>
    <w:div w:id="525095788">
      <w:marLeft w:val="0"/>
      <w:marRight w:val="0"/>
      <w:marTop w:val="100"/>
      <w:marBottom w:val="100"/>
      <w:divBdr>
        <w:top w:val="none" w:sz="0" w:space="0" w:color="auto"/>
        <w:left w:val="none" w:sz="0" w:space="0" w:color="auto"/>
        <w:bottom w:val="none" w:sz="0" w:space="0" w:color="auto"/>
        <w:right w:val="none" w:sz="0" w:space="0" w:color="auto"/>
      </w:divBdr>
    </w:div>
    <w:div w:id="526219096">
      <w:marLeft w:val="0"/>
      <w:marRight w:val="0"/>
      <w:marTop w:val="180"/>
      <w:marBottom w:val="0"/>
      <w:divBdr>
        <w:top w:val="none" w:sz="0" w:space="0" w:color="auto"/>
        <w:left w:val="none" w:sz="0" w:space="0" w:color="auto"/>
        <w:bottom w:val="none" w:sz="0" w:space="0" w:color="auto"/>
        <w:right w:val="none" w:sz="0" w:space="0" w:color="auto"/>
      </w:divBdr>
    </w:div>
    <w:div w:id="526455529">
      <w:marLeft w:val="0"/>
      <w:marRight w:val="0"/>
      <w:marTop w:val="180"/>
      <w:marBottom w:val="0"/>
      <w:divBdr>
        <w:top w:val="none" w:sz="0" w:space="0" w:color="auto"/>
        <w:left w:val="none" w:sz="0" w:space="0" w:color="auto"/>
        <w:bottom w:val="none" w:sz="0" w:space="0" w:color="auto"/>
        <w:right w:val="none" w:sz="0" w:space="0" w:color="auto"/>
      </w:divBdr>
    </w:div>
    <w:div w:id="526674091">
      <w:marLeft w:val="0"/>
      <w:marRight w:val="0"/>
      <w:marTop w:val="0"/>
      <w:marBottom w:val="100"/>
      <w:divBdr>
        <w:top w:val="none" w:sz="0" w:space="0" w:color="auto"/>
        <w:left w:val="none" w:sz="0" w:space="0" w:color="auto"/>
        <w:bottom w:val="none" w:sz="0" w:space="0" w:color="auto"/>
        <w:right w:val="none" w:sz="0" w:space="0" w:color="auto"/>
      </w:divBdr>
    </w:div>
    <w:div w:id="528033452">
      <w:marLeft w:val="0"/>
      <w:marRight w:val="0"/>
      <w:marTop w:val="100"/>
      <w:marBottom w:val="100"/>
      <w:divBdr>
        <w:top w:val="none" w:sz="0" w:space="0" w:color="auto"/>
        <w:left w:val="none" w:sz="0" w:space="0" w:color="auto"/>
        <w:bottom w:val="none" w:sz="0" w:space="0" w:color="auto"/>
        <w:right w:val="none" w:sz="0" w:space="0" w:color="auto"/>
      </w:divBdr>
    </w:div>
    <w:div w:id="529685948">
      <w:marLeft w:val="0"/>
      <w:marRight w:val="0"/>
      <w:marTop w:val="0"/>
      <w:marBottom w:val="0"/>
      <w:divBdr>
        <w:top w:val="none" w:sz="0" w:space="0" w:color="auto"/>
        <w:left w:val="none" w:sz="0" w:space="0" w:color="auto"/>
        <w:bottom w:val="none" w:sz="0" w:space="0" w:color="auto"/>
        <w:right w:val="none" w:sz="0" w:space="0" w:color="auto"/>
      </w:divBdr>
    </w:div>
    <w:div w:id="529732010">
      <w:marLeft w:val="0"/>
      <w:marRight w:val="0"/>
      <w:marTop w:val="100"/>
      <w:marBottom w:val="100"/>
      <w:divBdr>
        <w:top w:val="none" w:sz="0" w:space="0" w:color="auto"/>
        <w:left w:val="none" w:sz="0" w:space="0" w:color="auto"/>
        <w:bottom w:val="none" w:sz="0" w:space="0" w:color="auto"/>
        <w:right w:val="none" w:sz="0" w:space="0" w:color="auto"/>
      </w:divBdr>
    </w:div>
    <w:div w:id="532233424">
      <w:marLeft w:val="0"/>
      <w:marRight w:val="0"/>
      <w:marTop w:val="100"/>
      <w:marBottom w:val="100"/>
      <w:divBdr>
        <w:top w:val="none" w:sz="0" w:space="0" w:color="auto"/>
        <w:left w:val="none" w:sz="0" w:space="0" w:color="auto"/>
        <w:bottom w:val="none" w:sz="0" w:space="0" w:color="auto"/>
        <w:right w:val="none" w:sz="0" w:space="0" w:color="auto"/>
      </w:divBdr>
    </w:div>
    <w:div w:id="532498100">
      <w:marLeft w:val="0"/>
      <w:marRight w:val="0"/>
      <w:marTop w:val="100"/>
      <w:marBottom w:val="0"/>
      <w:divBdr>
        <w:top w:val="none" w:sz="0" w:space="0" w:color="auto"/>
        <w:left w:val="none" w:sz="0" w:space="0" w:color="auto"/>
        <w:bottom w:val="none" w:sz="0" w:space="0" w:color="auto"/>
        <w:right w:val="none" w:sz="0" w:space="0" w:color="auto"/>
      </w:divBdr>
    </w:div>
    <w:div w:id="532578248">
      <w:marLeft w:val="0"/>
      <w:marRight w:val="0"/>
      <w:marTop w:val="100"/>
      <w:marBottom w:val="100"/>
      <w:divBdr>
        <w:top w:val="none" w:sz="0" w:space="0" w:color="auto"/>
        <w:left w:val="none" w:sz="0" w:space="0" w:color="auto"/>
        <w:bottom w:val="none" w:sz="0" w:space="0" w:color="auto"/>
        <w:right w:val="none" w:sz="0" w:space="0" w:color="auto"/>
      </w:divBdr>
    </w:div>
    <w:div w:id="533007415">
      <w:marLeft w:val="0"/>
      <w:marRight w:val="0"/>
      <w:marTop w:val="0"/>
      <w:marBottom w:val="0"/>
      <w:divBdr>
        <w:top w:val="none" w:sz="0" w:space="0" w:color="auto"/>
        <w:left w:val="none" w:sz="0" w:space="0" w:color="auto"/>
        <w:bottom w:val="none" w:sz="0" w:space="0" w:color="auto"/>
        <w:right w:val="none" w:sz="0" w:space="0" w:color="auto"/>
      </w:divBdr>
    </w:div>
    <w:div w:id="538588776">
      <w:marLeft w:val="0"/>
      <w:marRight w:val="0"/>
      <w:marTop w:val="180"/>
      <w:marBottom w:val="0"/>
      <w:divBdr>
        <w:top w:val="none" w:sz="0" w:space="0" w:color="auto"/>
        <w:left w:val="none" w:sz="0" w:space="0" w:color="auto"/>
        <w:bottom w:val="none" w:sz="0" w:space="0" w:color="auto"/>
        <w:right w:val="none" w:sz="0" w:space="0" w:color="auto"/>
      </w:divBdr>
    </w:div>
    <w:div w:id="541021899">
      <w:marLeft w:val="0"/>
      <w:marRight w:val="0"/>
      <w:marTop w:val="100"/>
      <w:marBottom w:val="100"/>
      <w:divBdr>
        <w:top w:val="none" w:sz="0" w:space="0" w:color="auto"/>
        <w:left w:val="none" w:sz="0" w:space="0" w:color="auto"/>
        <w:bottom w:val="none" w:sz="0" w:space="0" w:color="auto"/>
        <w:right w:val="none" w:sz="0" w:space="0" w:color="auto"/>
      </w:divBdr>
    </w:div>
    <w:div w:id="543905105">
      <w:marLeft w:val="0"/>
      <w:marRight w:val="0"/>
      <w:marTop w:val="100"/>
      <w:marBottom w:val="100"/>
      <w:divBdr>
        <w:top w:val="none" w:sz="0" w:space="0" w:color="auto"/>
        <w:left w:val="none" w:sz="0" w:space="0" w:color="auto"/>
        <w:bottom w:val="none" w:sz="0" w:space="0" w:color="auto"/>
        <w:right w:val="none" w:sz="0" w:space="0" w:color="auto"/>
      </w:divBdr>
    </w:div>
    <w:div w:id="543980212">
      <w:marLeft w:val="0"/>
      <w:marRight w:val="0"/>
      <w:marTop w:val="0"/>
      <w:marBottom w:val="100"/>
      <w:divBdr>
        <w:top w:val="none" w:sz="0" w:space="0" w:color="auto"/>
        <w:left w:val="none" w:sz="0" w:space="0" w:color="auto"/>
        <w:bottom w:val="none" w:sz="0" w:space="0" w:color="auto"/>
        <w:right w:val="none" w:sz="0" w:space="0" w:color="auto"/>
      </w:divBdr>
    </w:div>
    <w:div w:id="545291233">
      <w:marLeft w:val="0"/>
      <w:marRight w:val="0"/>
      <w:marTop w:val="0"/>
      <w:marBottom w:val="0"/>
      <w:divBdr>
        <w:top w:val="none" w:sz="0" w:space="0" w:color="auto"/>
        <w:left w:val="none" w:sz="0" w:space="0" w:color="auto"/>
        <w:bottom w:val="none" w:sz="0" w:space="0" w:color="auto"/>
        <w:right w:val="none" w:sz="0" w:space="0" w:color="auto"/>
      </w:divBdr>
    </w:div>
    <w:div w:id="545914895">
      <w:marLeft w:val="0"/>
      <w:marRight w:val="0"/>
      <w:marTop w:val="100"/>
      <w:marBottom w:val="100"/>
      <w:divBdr>
        <w:top w:val="none" w:sz="0" w:space="0" w:color="auto"/>
        <w:left w:val="none" w:sz="0" w:space="0" w:color="auto"/>
        <w:bottom w:val="none" w:sz="0" w:space="0" w:color="auto"/>
        <w:right w:val="none" w:sz="0" w:space="0" w:color="auto"/>
      </w:divBdr>
    </w:div>
    <w:div w:id="548497258">
      <w:marLeft w:val="0"/>
      <w:marRight w:val="0"/>
      <w:marTop w:val="0"/>
      <w:marBottom w:val="100"/>
      <w:divBdr>
        <w:top w:val="none" w:sz="0" w:space="0" w:color="auto"/>
        <w:left w:val="none" w:sz="0" w:space="0" w:color="auto"/>
        <w:bottom w:val="none" w:sz="0" w:space="0" w:color="auto"/>
        <w:right w:val="none" w:sz="0" w:space="0" w:color="auto"/>
      </w:divBdr>
    </w:div>
    <w:div w:id="548804133">
      <w:marLeft w:val="0"/>
      <w:marRight w:val="0"/>
      <w:marTop w:val="100"/>
      <w:marBottom w:val="0"/>
      <w:divBdr>
        <w:top w:val="none" w:sz="0" w:space="0" w:color="auto"/>
        <w:left w:val="none" w:sz="0" w:space="0" w:color="auto"/>
        <w:bottom w:val="none" w:sz="0" w:space="0" w:color="auto"/>
        <w:right w:val="none" w:sz="0" w:space="0" w:color="auto"/>
      </w:divBdr>
    </w:div>
    <w:div w:id="552159800">
      <w:marLeft w:val="0"/>
      <w:marRight w:val="0"/>
      <w:marTop w:val="0"/>
      <w:marBottom w:val="100"/>
      <w:divBdr>
        <w:top w:val="none" w:sz="0" w:space="0" w:color="auto"/>
        <w:left w:val="none" w:sz="0" w:space="0" w:color="auto"/>
        <w:bottom w:val="none" w:sz="0" w:space="0" w:color="auto"/>
        <w:right w:val="none" w:sz="0" w:space="0" w:color="auto"/>
      </w:divBdr>
    </w:div>
    <w:div w:id="552809588">
      <w:marLeft w:val="0"/>
      <w:marRight w:val="0"/>
      <w:marTop w:val="100"/>
      <w:marBottom w:val="100"/>
      <w:divBdr>
        <w:top w:val="none" w:sz="0" w:space="0" w:color="auto"/>
        <w:left w:val="none" w:sz="0" w:space="0" w:color="auto"/>
        <w:bottom w:val="none" w:sz="0" w:space="0" w:color="auto"/>
        <w:right w:val="none" w:sz="0" w:space="0" w:color="auto"/>
      </w:divBdr>
    </w:div>
    <w:div w:id="553275694">
      <w:marLeft w:val="0"/>
      <w:marRight w:val="0"/>
      <w:marTop w:val="340"/>
      <w:marBottom w:val="340"/>
      <w:divBdr>
        <w:top w:val="none" w:sz="0" w:space="0" w:color="auto"/>
        <w:left w:val="none" w:sz="0" w:space="0" w:color="auto"/>
        <w:bottom w:val="none" w:sz="0" w:space="0" w:color="auto"/>
        <w:right w:val="none" w:sz="0" w:space="0" w:color="auto"/>
      </w:divBdr>
    </w:div>
    <w:div w:id="555093198">
      <w:marLeft w:val="0"/>
      <w:marRight w:val="0"/>
      <w:marTop w:val="0"/>
      <w:marBottom w:val="100"/>
      <w:divBdr>
        <w:top w:val="none" w:sz="0" w:space="0" w:color="auto"/>
        <w:left w:val="none" w:sz="0" w:space="0" w:color="auto"/>
        <w:bottom w:val="none" w:sz="0" w:space="0" w:color="auto"/>
        <w:right w:val="none" w:sz="0" w:space="0" w:color="auto"/>
      </w:divBdr>
    </w:div>
    <w:div w:id="555435100">
      <w:marLeft w:val="0"/>
      <w:marRight w:val="0"/>
      <w:marTop w:val="180"/>
      <w:marBottom w:val="0"/>
      <w:divBdr>
        <w:top w:val="none" w:sz="0" w:space="0" w:color="auto"/>
        <w:left w:val="none" w:sz="0" w:space="0" w:color="auto"/>
        <w:bottom w:val="none" w:sz="0" w:space="0" w:color="auto"/>
        <w:right w:val="none" w:sz="0" w:space="0" w:color="auto"/>
      </w:divBdr>
    </w:div>
    <w:div w:id="556280895">
      <w:marLeft w:val="0"/>
      <w:marRight w:val="0"/>
      <w:marTop w:val="0"/>
      <w:marBottom w:val="0"/>
      <w:divBdr>
        <w:top w:val="none" w:sz="0" w:space="0" w:color="auto"/>
        <w:left w:val="none" w:sz="0" w:space="0" w:color="auto"/>
        <w:bottom w:val="none" w:sz="0" w:space="0" w:color="auto"/>
        <w:right w:val="none" w:sz="0" w:space="0" w:color="auto"/>
      </w:divBdr>
      <w:divsChild>
        <w:div w:id="1532183017">
          <w:marLeft w:val="0"/>
          <w:marRight w:val="0"/>
          <w:marTop w:val="0"/>
          <w:marBottom w:val="100"/>
          <w:divBdr>
            <w:top w:val="none" w:sz="0" w:space="0" w:color="auto"/>
            <w:left w:val="none" w:sz="0" w:space="0" w:color="auto"/>
            <w:bottom w:val="none" w:sz="0" w:space="0" w:color="auto"/>
            <w:right w:val="none" w:sz="0" w:space="0" w:color="auto"/>
          </w:divBdr>
        </w:div>
      </w:divsChild>
    </w:div>
    <w:div w:id="557740564">
      <w:marLeft w:val="0"/>
      <w:marRight w:val="0"/>
      <w:marTop w:val="180"/>
      <w:marBottom w:val="0"/>
      <w:divBdr>
        <w:top w:val="none" w:sz="0" w:space="0" w:color="auto"/>
        <w:left w:val="none" w:sz="0" w:space="0" w:color="auto"/>
        <w:bottom w:val="none" w:sz="0" w:space="0" w:color="auto"/>
        <w:right w:val="none" w:sz="0" w:space="0" w:color="auto"/>
      </w:divBdr>
    </w:div>
    <w:div w:id="558440629">
      <w:marLeft w:val="0"/>
      <w:marRight w:val="0"/>
      <w:marTop w:val="0"/>
      <w:marBottom w:val="0"/>
      <w:divBdr>
        <w:top w:val="none" w:sz="0" w:space="0" w:color="auto"/>
        <w:left w:val="none" w:sz="0" w:space="0" w:color="auto"/>
        <w:bottom w:val="none" w:sz="0" w:space="0" w:color="auto"/>
        <w:right w:val="none" w:sz="0" w:space="0" w:color="auto"/>
      </w:divBdr>
      <w:divsChild>
        <w:div w:id="1814717738">
          <w:marLeft w:val="0"/>
          <w:marRight w:val="0"/>
          <w:marTop w:val="0"/>
          <w:marBottom w:val="0"/>
          <w:divBdr>
            <w:top w:val="none" w:sz="0" w:space="0" w:color="auto"/>
            <w:left w:val="none" w:sz="0" w:space="0" w:color="auto"/>
            <w:bottom w:val="none" w:sz="0" w:space="0" w:color="auto"/>
            <w:right w:val="none" w:sz="0" w:space="0" w:color="auto"/>
          </w:divBdr>
          <w:divsChild>
            <w:div w:id="205665974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58829091">
      <w:marLeft w:val="0"/>
      <w:marRight w:val="0"/>
      <w:marTop w:val="0"/>
      <w:marBottom w:val="0"/>
      <w:divBdr>
        <w:top w:val="none" w:sz="0" w:space="0" w:color="auto"/>
        <w:left w:val="none" w:sz="0" w:space="0" w:color="auto"/>
        <w:bottom w:val="none" w:sz="0" w:space="0" w:color="auto"/>
        <w:right w:val="none" w:sz="0" w:space="0" w:color="auto"/>
      </w:divBdr>
      <w:divsChild>
        <w:div w:id="1948659176">
          <w:marLeft w:val="0"/>
          <w:marRight w:val="0"/>
          <w:marTop w:val="0"/>
          <w:marBottom w:val="0"/>
          <w:divBdr>
            <w:top w:val="none" w:sz="0" w:space="0" w:color="auto"/>
            <w:left w:val="none" w:sz="0" w:space="0" w:color="auto"/>
            <w:bottom w:val="none" w:sz="0" w:space="0" w:color="auto"/>
            <w:right w:val="none" w:sz="0" w:space="0" w:color="auto"/>
          </w:divBdr>
          <w:divsChild>
            <w:div w:id="108252761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59051778">
      <w:marLeft w:val="0"/>
      <w:marRight w:val="0"/>
      <w:marTop w:val="100"/>
      <w:marBottom w:val="100"/>
      <w:divBdr>
        <w:top w:val="none" w:sz="0" w:space="0" w:color="auto"/>
        <w:left w:val="none" w:sz="0" w:space="0" w:color="auto"/>
        <w:bottom w:val="none" w:sz="0" w:space="0" w:color="auto"/>
        <w:right w:val="none" w:sz="0" w:space="0" w:color="auto"/>
      </w:divBdr>
    </w:div>
    <w:div w:id="561064075">
      <w:marLeft w:val="0"/>
      <w:marRight w:val="0"/>
      <w:marTop w:val="0"/>
      <w:marBottom w:val="0"/>
      <w:divBdr>
        <w:top w:val="none" w:sz="0" w:space="0" w:color="auto"/>
        <w:left w:val="none" w:sz="0" w:space="0" w:color="auto"/>
        <w:bottom w:val="none" w:sz="0" w:space="0" w:color="auto"/>
        <w:right w:val="none" w:sz="0" w:space="0" w:color="auto"/>
      </w:divBdr>
    </w:div>
    <w:div w:id="561864791">
      <w:marLeft w:val="0"/>
      <w:marRight w:val="0"/>
      <w:marTop w:val="0"/>
      <w:marBottom w:val="0"/>
      <w:divBdr>
        <w:top w:val="none" w:sz="0" w:space="0" w:color="auto"/>
        <w:left w:val="none" w:sz="0" w:space="0" w:color="auto"/>
        <w:bottom w:val="none" w:sz="0" w:space="0" w:color="auto"/>
        <w:right w:val="none" w:sz="0" w:space="0" w:color="auto"/>
      </w:divBdr>
      <w:divsChild>
        <w:div w:id="886380513">
          <w:marLeft w:val="0"/>
          <w:marRight w:val="0"/>
          <w:marTop w:val="0"/>
          <w:marBottom w:val="100"/>
          <w:divBdr>
            <w:top w:val="none" w:sz="0" w:space="0" w:color="auto"/>
            <w:left w:val="none" w:sz="0" w:space="0" w:color="auto"/>
            <w:bottom w:val="none" w:sz="0" w:space="0" w:color="auto"/>
            <w:right w:val="none" w:sz="0" w:space="0" w:color="auto"/>
          </w:divBdr>
        </w:div>
      </w:divsChild>
    </w:div>
    <w:div w:id="566499026">
      <w:marLeft w:val="0"/>
      <w:marRight w:val="0"/>
      <w:marTop w:val="100"/>
      <w:marBottom w:val="100"/>
      <w:divBdr>
        <w:top w:val="none" w:sz="0" w:space="0" w:color="auto"/>
        <w:left w:val="none" w:sz="0" w:space="0" w:color="auto"/>
        <w:bottom w:val="none" w:sz="0" w:space="0" w:color="auto"/>
        <w:right w:val="none" w:sz="0" w:space="0" w:color="auto"/>
      </w:divBdr>
    </w:div>
    <w:div w:id="566721919">
      <w:marLeft w:val="0"/>
      <w:marRight w:val="0"/>
      <w:marTop w:val="0"/>
      <w:marBottom w:val="0"/>
      <w:divBdr>
        <w:top w:val="none" w:sz="0" w:space="0" w:color="auto"/>
        <w:left w:val="none" w:sz="0" w:space="0" w:color="auto"/>
        <w:bottom w:val="none" w:sz="0" w:space="0" w:color="auto"/>
        <w:right w:val="none" w:sz="0" w:space="0" w:color="auto"/>
      </w:divBdr>
    </w:div>
    <w:div w:id="567225057">
      <w:marLeft w:val="0"/>
      <w:marRight w:val="0"/>
      <w:marTop w:val="180"/>
      <w:marBottom w:val="0"/>
      <w:divBdr>
        <w:top w:val="none" w:sz="0" w:space="0" w:color="auto"/>
        <w:left w:val="none" w:sz="0" w:space="0" w:color="auto"/>
        <w:bottom w:val="none" w:sz="0" w:space="0" w:color="auto"/>
        <w:right w:val="none" w:sz="0" w:space="0" w:color="auto"/>
      </w:divBdr>
    </w:div>
    <w:div w:id="569002459">
      <w:marLeft w:val="0"/>
      <w:marRight w:val="0"/>
      <w:marTop w:val="0"/>
      <w:marBottom w:val="0"/>
      <w:divBdr>
        <w:top w:val="none" w:sz="0" w:space="0" w:color="auto"/>
        <w:left w:val="none" w:sz="0" w:space="0" w:color="auto"/>
        <w:bottom w:val="none" w:sz="0" w:space="0" w:color="auto"/>
        <w:right w:val="none" w:sz="0" w:space="0" w:color="auto"/>
      </w:divBdr>
      <w:divsChild>
        <w:div w:id="171072426">
          <w:marLeft w:val="0"/>
          <w:marRight w:val="0"/>
          <w:marTop w:val="0"/>
          <w:marBottom w:val="0"/>
          <w:divBdr>
            <w:top w:val="none" w:sz="0" w:space="0" w:color="auto"/>
            <w:left w:val="none" w:sz="0" w:space="0" w:color="auto"/>
            <w:bottom w:val="none" w:sz="0" w:space="0" w:color="auto"/>
            <w:right w:val="none" w:sz="0" w:space="0" w:color="auto"/>
          </w:divBdr>
          <w:divsChild>
            <w:div w:id="11832826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69853287">
      <w:marLeft w:val="0"/>
      <w:marRight w:val="0"/>
      <w:marTop w:val="0"/>
      <w:marBottom w:val="100"/>
      <w:divBdr>
        <w:top w:val="none" w:sz="0" w:space="0" w:color="auto"/>
        <w:left w:val="none" w:sz="0" w:space="0" w:color="auto"/>
        <w:bottom w:val="none" w:sz="0" w:space="0" w:color="auto"/>
        <w:right w:val="none" w:sz="0" w:space="0" w:color="auto"/>
      </w:divBdr>
    </w:div>
    <w:div w:id="569996757">
      <w:marLeft w:val="0"/>
      <w:marRight w:val="0"/>
      <w:marTop w:val="100"/>
      <w:marBottom w:val="100"/>
      <w:divBdr>
        <w:top w:val="none" w:sz="0" w:space="0" w:color="auto"/>
        <w:left w:val="none" w:sz="0" w:space="0" w:color="auto"/>
        <w:bottom w:val="none" w:sz="0" w:space="0" w:color="auto"/>
        <w:right w:val="none" w:sz="0" w:space="0" w:color="auto"/>
      </w:divBdr>
    </w:div>
    <w:div w:id="569998367">
      <w:marLeft w:val="0"/>
      <w:marRight w:val="0"/>
      <w:marTop w:val="0"/>
      <w:marBottom w:val="0"/>
      <w:divBdr>
        <w:top w:val="none" w:sz="0" w:space="0" w:color="auto"/>
        <w:left w:val="none" w:sz="0" w:space="0" w:color="auto"/>
        <w:bottom w:val="none" w:sz="0" w:space="0" w:color="auto"/>
        <w:right w:val="none" w:sz="0" w:space="0" w:color="auto"/>
      </w:divBdr>
      <w:divsChild>
        <w:div w:id="1046371816">
          <w:marLeft w:val="0"/>
          <w:marRight w:val="0"/>
          <w:marTop w:val="0"/>
          <w:marBottom w:val="100"/>
          <w:divBdr>
            <w:top w:val="none" w:sz="0" w:space="0" w:color="auto"/>
            <w:left w:val="none" w:sz="0" w:space="0" w:color="auto"/>
            <w:bottom w:val="none" w:sz="0" w:space="0" w:color="auto"/>
            <w:right w:val="none" w:sz="0" w:space="0" w:color="auto"/>
          </w:divBdr>
        </w:div>
      </w:divsChild>
    </w:div>
    <w:div w:id="573011183">
      <w:marLeft w:val="0"/>
      <w:marRight w:val="0"/>
      <w:marTop w:val="0"/>
      <w:marBottom w:val="100"/>
      <w:divBdr>
        <w:top w:val="none" w:sz="0" w:space="0" w:color="auto"/>
        <w:left w:val="none" w:sz="0" w:space="0" w:color="auto"/>
        <w:bottom w:val="none" w:sz="0" w:space="0" w:color="auto"/>
        <w:right w:val="none" w:sz="0" w:space="0" w:color="auto"/>
      </w:divBdr>
    </w:div>
    <w:div w:id="574818793">
      <w:marLeft w:val="0"/>
      <w:marRight w:val="0"/>
      <w:marTop w:val="0"/>
      <w:marBottom w:val="100"/>
      <w:divBdr>
        <w:top w:val="none" w:sz="0" w:space="0" w:color="auto"/>
        <w:left w:val="none" w:sz="0" w:space="0" w:color="auto"/>
        <w:bottom w:val="none" w:sz="0" w:space="0" w:color="auto"/>
        <w:right w:val="none" w:sz="0" w:space="0" w:color="auto"/>
      </w:divBdr>
    </w:div>
    <w:div w:id="575866329">
      <w:marLeft w:val="0"/>
      <w:marRight w:val="0"/>
      <w:marTop w:val="0"/>
      <w:marBottom w:val="0"/>
      <w:divBdr>
        <w:top w:val="none" w:sz="0" w:space="0" w:color="auto"/>
        <w:left w:val="none" w:sz="0" w:space="0" w:color="auto"/>
        <w:bottom w:val="none" w:sz="0" w:space="0" w:color="auto"/>
        <w:right w:val="none" w:sz="0" w:space="0" w:color="auto"/>
      </w:divBdr>
    </w:div>
    <w:div w:id="577832278">
      <w:marLeft w:val="0"/>
      <w:marRight w:val="0"/>
      <w:marTop w:val="180"/>
      <w:marBottom w:val="100"/>
      <w:divBdr>
        <w:top w:val="none" w:sz="0" w:space="0" w:color="auto"/>
        <w:left w:val="none" w:sz="0" w:space="0" w:color="auto"/>
        <w:bottom w:val="none" w:sz="0" w:space="0" w:color="auto"/>
        <w:right w:val="none" w:sz="0" w:space="0" w:color="auto"/>
      </w:divBdr>
    </w:div>
    <w:div w:id="578488880">
      <w:marLeft w:val="0"/>
      <w:marRight w:val="0"/>
      <w:marTop w:val="0"/>
      <w:marBottom w:val="0"/>
      <w:divBdr>
        <w:top w:val="none" w:sz="0" w:space="0" w:color="auto"/>
        <w:left w:val="none" w:sz="0" w:space="0" w:color="auto"/>
        <w:bottom w:val="none" w:sz="0" w:space="0" w:color="auto"/>
        <w:right w:val="none" w:sz="0" w:space="0" w:color="auto"/>
      </w:divBdr>
      <w:divsChild>
        <w:div w:id="1594052524">
          <w:marLeft w:val="0"/>
          <w:marRight w:val="0"/>
          <w:marTop w:val="0"/>
          <w:marBottom w:val="100"/>
          <w:divBdr>
            <w:top w:val="none" w:sz="0" w:space="0" w:color="auto"/>
            <w:left w:val="none" w:sz="0" w:space="0" w:color="auto"/>
            <w:bottom w:val="none" w:sz="0" w:space="0" w:color="auto"/>
            <w:right w:val="none" w:sz="0" w:space="0" w:color="auto"/>
          </w:divBdr>
        </w:div>
      </w:divsChild>
    </w:div>
    <w:div w:id="580526085">
      <w:marLeft w:val="0"/>
      <w:marRight w:val="0"/>
      <w:marTop w:val="0"/>
      <w:marBottom w:val="0"/>
      <w:divBdr>
        <w:top w:val="none" w:sz="0" w:space="0" w:color="auto"/>
        <w:left w:val="none" w:sz="0" w:space="0" w:color="auto"/>
        <w:bottom w:val="none" w:sz="0" w:space="0" w:color="auto"/>
        <w:right w:val="none" w:sz="0" w:space="0" w:color="auto"/>
      </w:divBdr>
      <w:divsChild>
        <w:div w:id="1838114937">
          <w:marLeft w:val="0"/>
          <w:marRight w:val="0"/>
          <w:marTop w:val="0"/>
          <w:marBottom w:val="100"/>
          <w:divBdr>
            <w:top w:val="none" w:sz="0" w:space="0" w:color="auto"/>
            <w:left w:val="none" w:sz="0" w:space="0" w:color="auto"/>
            <w:bottom w:val="none" w:sz="0" w:space="0" w:color="auto"/>
            <w:right w:val="none" w:sz="0" w:space="0" w:color="auto"/>
          </w:divBdr>
        </w:div>
      </w:divsChild>
    </w:div>
    <w:div w:id="583225602">
      <w:marLeft w:val="0"/>
      <w:marRight w:val="0"/>
      <w:marTop w:val="180"/>
      <w:marBottom w:val="0"/>
      <w:divBdr>
        <w:top w:val="none" w:sz="0" w:space="0" w:color="auto"/>
        <w:left w:val="none" w:sz="0" w:space="0" w:color="auto"/>
        <w:bottom w:val="none" w:sz="0" w:space="0" w:color="auto"/>
        <w:right w:val="none" w:sz="0" w:space="0" w:color="auto"/>
      </w:divBdr>
    </w:div>
    <w:div w:id="583609119">
      <w:marLeft w:val="0"/>
      <w:marRight w:val="0"/>
      <w:marTop w:val="180"/>
      <w:marBottom w:val="0"/>
      <w:divBdr>
        <w:top w:val="none" w:sz="0" w:space="0" w:color="auto"/>
        <w:left w:val="none" w:sz="0" w:space="0" w:color="auto"/>
        <w:bottom w:val="none" w:sz="0" w:space="0" w:color="auto"/>
        <w:right w:val="none" w:sz="0" w:space="0" w:color="auto"/>
      </w:divBdr>
    </w:div>
    <w:div w:id="583997694">
      <w:marLeft w:val="0"/>
      <w:marRight w:val="0"/>
      <w:marTop w:val="100"/>
      <w:marBottom w:val="100"/>
      <w:divBdr>
        <w:top w:val="none" w:sz="0" w:space="0" w:color="auto"/>
        <w:left w:val="none" w:sz="0" w:space="0" w:color="auto"/>
        <w:bottom w:val="none" w:sz="0" w:space="0" w:color="auto"/>
        <w:right w:val="none" w:sz="0" w:space="0" w:color="auto"/>
      </w:divBdr>
    </w:div>
    <w:div w:id="584993816">
      <w:marLeft w:val="0"/>
      <w:marRight w:val="0"/>
      <w:marTop w:val="0"/>
      <w:marBottom w:val="0"/>
      <w:divBdr>
        <w:top w:val="none" w:sz="0" w:space="0" w:color="auto"/>
        <w:left w:val="none" w:sz="0" w:space="0" w:color="auto"/>
        <w:bottom w:val="none" w:sz="0" w:space="0" w:color="auto"/>
        <w:right w:val="none" w:sz="0" w:space="0" w:color="auto"/>
      </w:divBdr>
      <w:divsChild>
        <w:div w:id="1968312322">
          <w:marLeft w:val="0"/>
          <w:marRight w:val="0"/>
          <w:marTop w:val="0"/>
          <w:marBottom w:val="0"/>
          <w:divBdr>
            <w:top w:val="none" w:sz="0" w:space="0" w:color="auto"/>
            <w:left w:val="none" w:sz="0" w:space="0" w:color="auto"/>
            <w:bottom w:val="none" w:sz="0" w:space="0" w:color="auto"/>
            <w:right w:val="none" w:sz="0" w:space="0" w:color="auto"/>
          </w:divBdr>
          <w:divsChild>
            <w:div w:id="124230076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85505352">
      <w:marLeft w:val="0"/>
      <w:marRight w:val="0"/>
      <w:marTop w:val="0"/>
      <w:marBottom w:val="0"/>
      <w:divBdr>
        <w:top w:val="none" w:sz="0" w:space="0" w:color="auto"/>
        <w:left w:val="none" w:sz="0" w:space="0" w:color="auto"/>
        <w:bottom w:val="none" w:sz="0" w:space="0" w:color="auto"/>
        <w:right w:val="none" w:sz="0" w:space="0" w:color="auto"/>
      </w:divBdr>
    </w:div>
    <w:div w:id="586497025">
      <w:marLeft w:val="0"/>
      <w:marRight w:val="0"/>
      <w:marTop w:val="0"/>
      <w:marBottom w:val="100"/>
      <w:divBdr>
        <w:top w:val="none" w:sz="0" w:space="0" w:color="auto"/>
        <w:left w:val="none" w:sz="0" w:space="0" w:color="auto"/>
        <w:bottom w:val="none" w:sz="0" w:space="0" w:color="auto"/>
        <w:right w:val="none" w:sz="0" w:space="0" w:color="auto"/>
      </w:divBdr>
    </w:div>
    <w:div w:id="586888207">
      <w:marLeft w:val="0"/>
      <w:marRight w:val="0"/>
      <w:marTop w:val="0"/>
      <w:marBottom w:val="100"/>
      <w:divBdr>
        <w:top w:val="none" w:sz="0" w:space="0" w:color="auto"/>
        <w:left w:val="none" w:sz="0" w:space="0" w:color="auto"/>
        <w:bottom w:val="none" w:sz="0" w:space="0" w:color="auto"/>
        <w:right w:val="none" w:sz="0" w:space="0" w:color="auto"/>
      </w:divBdr>
    </w:div>
    <w:div w:id="588733444">
      <w:marLeft w:val="0"/>
      <w:marRight w:val="0"/>
      <w:marTop w:val="0"/>
      <w:marBottom w:val="0"/>
      <w:divBdr>
        <w:top w:val="none" w:sz="0" w:space="0" w:color="auto"/>
        <w:left w:val="none" w:sz="0" w:space="0" w:color="auto"/>
        <w:bottom w:val="none" w:sz="0" w:space="0" w:color="auto"/>
        <w:right w:val="none" w:sz="0" w:space="0" w:color="auto"/>
      </w:divBdr>
      <w:divsChild>
        <w:div w:id="1516921307">
          <w:marLeft w:val="0"/>
          <w:marRight w:val="0"/>
          <w:marTop w:val="0"/>
          <w:marBottom w:val="0"/>
          <w:divBdr>
            <w:top w:val="none" w:sz="0" w:space="0" w:color="auto"/>
            <w:left w:val="none" w:sz="0" w:space="0" w:color="auto"/>
            <w:bottom w:val="none" w:sz="0" w:space="0" w:color="auto"/>
            <w:right w:val="none" w:sz="0" w:space="0" w:color="auto"/>
          </w:divBdr>
          <w:divsChild>
            <w:div w:id="21902263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89896497">
      <w:marLeft w:val="0"/>
      <w:marRight w:val="0"/>
      <w:marTop w:val="0"/>
      <w:marBottom w:val="0"/>
      <w:divBdr>
        <w:top w:val="none" w:sz="0" w:space="0" w:color="auto"/>
        <w:left w:val="none" w:sz="0" w:space="0" w:color="auto"/>
        <w:bottom w:val="none" w:sz="0" w:space="0" w:color="auto"/>
        <w:right w:val="none" w:sz="0" w:space="0" w:color="auto"/>
      </w:divBdr>
      <w:divsChild>
        <w:div w:id="1897231986">
          <w:marLeft w:val="0"/>
          <w:marRight w:val="0"/>
          <w:marTop w:val="0"/>
          <w:marBottom w:val="0"/>
          <w:divBdr>
            <w:top w:val="none" w:sz="0" w:space="0" w:color="auto"/>
            <w:left w:val="none" w:sz="0" w:space="0" w:color="auto"/>
            <w:bottom w:val="none" w:sz="0" w:space="0" w:color="auto"/>
            <w:right w:val="none" w:sz="0" w:space="0" w:color="auto"/>
          </w:divBdr>
          <w:divsChild>
            <w:div w:id="135367819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0091747">
      <w:marLeft w:val="0"/>
      <w:marRight w:val="0"/>
      <w:marTop w:val="100"/>
      <w:marBottom w:val="100"/>
      <w:divBdr>
        <w:top w:val="none" w:sz="0" w:space="0" w:color="auto"/>
        <w:left w:val="none" w:sz="0" w:space="0" w:color="auto"/>
        <w:bottom w:val="none" w:sz="0" w:space="0" w:color="auto"/>
        <w:right w:val="none" w:sz="0" w:space="0" w:color="auto"/>
      </w:divBdr>
    </w:div>
    <w:div w:id="590941469">
      <w:marLeft w:val="0"/>
      <w:marRight w:val="0"/>
      <w:marTop w:val="0"/>
      <w:marBottom w:val="0"/>
      <w:divBdr>
        <w:top w:val="none" w:sz="0" w:space="0" w:color="auto"/>
        <w:left w:val="none" w:sz="0" w:space="0" w:color="auto"/>
        <w:bottom w:val="none" w:sz="0" w:space="0" w:color="auto"/>
        <w:right w:val="none" w:sz="0" w:space="0" w:color="auto"/>
      </w:divBdr>
      <w:divsChild>
        <w:div w:id="10105233">
          <w:marLeft w:val="0"/>
          <w:marRight w:val="0"/>
          <w:marTop w:val="0"/>
          <w:marBottom w:val="0"/>
          <w:divBdr>
            <w:top w:val="none" w:sz="0" w:space="0" w:color="auto"/>
            <w:left w:val="none" w:sz="0" w:space="0" w:color="auto"/>
            <w:bottom w:val="none" w:sz="0" w:space="0" w:color="auto"/>
            <w:right w:val="none" w:sz="0" w:space="0" w:color="auto"/>
          </w:divBdr>
          <w:divsChild>
            <w:div w:id="171777984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2511295">
      <w:marLeft w:val="0"/>
      <w:marRight w:val="0"/>
      <w:marTop w:val="0"/>
      <w:marBottom w:val="0"/>
      <w:divBdr>
        <w:top w:val="none" w:sz="0" w:space="0" w:color="auto"/>
        <w:left w:val="none" w:sz="0" w:space="0" w:color="auto"/>
        <w:bottom w:val="none" w:sz="0" w:space="0" w:color="auto"/>
        <w:right w:val="none" w:sz="0" w:space="0" w:color="auto"/>
      </w:divBdr>
    </w:div>
    <w:div w:id="592934211">
      <w:marLeft w:val="0"/>
      <w:marRight w:val="0"/>
      <w:marTop w:val="0"/>
      <w:marBottom w:val="0"/>
      <w:divBdr>
        <w:top w:val="none" w:sz="0" w:space="0" w:color="auto"/>
        <w:left w:val="none" w:sz="0" w:space="0" w:color="auto"/>
        <w:bottom w:val="none" w:sz="0" w:space="0" w:color="auto"/>
        <w:right w:val="none" w:sz="0" w:space="0" w:color="auto"/>
      </w:divBdr>
      <w:divsChild>
        <w:div w:id="177350026">
          <w:marLeft w:val="0"/>
          <w:marRight w:val="0"/>
          <w:marTop w:val="0"/>
          <w:marBottom w:val="100"/>
          <w:divBdr>
            <w:top w:val="none" w:sz="0" w:space="0" w:color="auto"/>
            <w:left w:val="none" w:sz="0" w:space="0" w:color="auto"/>
            <w:bottom w:val="none" w:sz="0" w:space="0" w:color="auto"/>
            <w:right w:val="none" w:sz="0" w:space="0" w:color="auto"/>
          </w:divBdr>
        </w:div>
      </w:divsChild>
    </w:div>
    <w:div w:id="595135323">
      <w:marLeft w:val="0"/>
      <w:marRight w:val="0"/>
      <w:marTop w:val="100"/>
      <w:marBottom w:val="100"/>
      <w:divBdr>
        <w:top w:val="none" w:sz="0" w:space="0" w:color="auto"/>
        <w:left w:val="none" w:sz="0" w:space="0" w:color="auto"/>
        <w:bottom w:val="none" w:sz="0" w:space="0" w:color="auto"/>
        <w:right w:val="none" w:sz="0" w:space="0" w:color="auto"/>
      </w:divBdr>
    </w:div>
    <w:div w:id="596402196">
      <w:marLeft w:val="0"/>
      <w:marRight w:val="0"/>
      <w:marTop w:val="180"/>
      <w:marBottom w:val="0"/>
      <w:divBdr>
        <w:top w:val="none" w:sz="0" w:space="0" w:color="auto"/>
        <w:left w:val="none" w:sz="0" w:space="0" w:color="auto"/>
        <w:bottom w:val="none" w:sz="0" w:space="0" w:color="auto"/>
        <w:right w:val="none" w:sz="0" w:space="0" w:color="auto"/>
      </w:divBdr>
    </w:div>
    <w:div w:id="596597611">
      <w:marLeft w:val="0"/>
      <w:marRight w:val="0"/>
      <w:marTop w:val="60"/>
      <w:marBottom w:val="0"/>
      <w:divBdr>
        <w:top w:val="none" w:sz="0" w:space="0" w:color="auto"/>
        <w:left w:val="none" w:sz="0" w:space="0" w:color="auto"/>
        <w:bottom w:val="none" w:sz="0" w:space="0" w:color="auto"/>
        <w:right w:val="none" w:sz="0" w:space="0" w:color="auto"/>
      </w:divBdr>
    </w:div>
    <w:div w:id="596863193">
      <w:marLeft w:val="0"/>
      <w:marRight w:val="0"/>
      <w:marTop w:val="180"/>
      <w:marBottom w:val="0"/>
      <w:divBdr>
        <w:top w:val="none" w:sz="0" w:space="0" w:color="auto"/>
        <w:left w:val="none" w:sz="0" w:space="0" w:color="auto"/>
        <w:bottom w:val="none" w:sz="0" w:space="0" w:color="auto"/>
        <w:right w:val="none" w:sz="0" w:space="0" w:color="auto"/>
      </w:divBdr>
    </w:div>
    <w:div w:id="597182825">
      <w:marLeft w:val="0"/>
      <w:marRight w:val="0"/>
      <w:marTop w:val="0"/>
      <w:marBottom w:val="0"/>
      <w:divBdr>
        <w:top w:val="none" w:sz="0" w:space="0" w:color="auto"/>
        <w:left w:val="none" w:sz="0" w:space="0" w:color="auto"/>
        <w:bottom w:val="none" w:sz="0" w:space="0" w:color="auto"/>
        <w:right w:val="none" w:sz="0" w:space="0" w:color="auto"/>
      </w:divBdr>
      <w:divsChild>
        <w:div w:id="1185483858">
          <w:marLeft w:val="0"/>
          <w:marRight w:val="0"/>
          <w:marTop w:val="0"/>
          <w:marBottom w:val="100"/>
          <w:divBdr>
            <w:top w:val="none" w:sz="0" w:space="0" w:color="auto"/>
            <w:left w:val="none" w:sz="0" w:space="0" w:color="auto"/>
            <w:bottom w:val="none" w:sz="0" w:space="0" w:color="auto"/>
            <w:right w:val="none" w:sz="0" w:space="0" w:color="auto"/>
          </w:divBdr>
        </w:div>
      </w:divsChild>
    </w:div>
    <w:div w:id="598174304">
      <w:marLeft w:val="0"/>
      <w:marRight w:val="0"/>
      <w:marTop w:val="0"/>
      <w:marBottom w:val="0"/>
      <w:divBdr>
        <w:top w:val="none" w:sz="0" w:space="0" w:color="auto"/>
        <w:left w:val="none" w:sz="0" w:space="0" w:color="auto"/>
        <w:bottom w:val="none" w:sz="0" w:space="0" w:color="auto"/>
        <w:right w:val="none" w:sz="0" w:space="0" w:color="auto"/>
      </w:divBdr>
    </w:div>
    <w:div w:id="598754533">
      <w:marLeft w:val="0"/>
      <w:marRight w:val="0"/>
      <w:marTop w:val="100"/>
      <w:marBottom w:val="100"/>
      <w:divBdr>
        <w:top w:val="none" w:sz="0" w:space="0" w:color="auto"/>
        <w:left w:val="none" w:sz="0" w:space="0" w:color="auto"/>
        <w:bottom w:val="none" w:sz="0" w:space="0" w:color="auto"/>
        <w:right w:val="none" w:sz="0" w:space="0" w:color="auto"/>
      </w:divBdr>
    </w:div>
    <w:div w:id="599139293">
      <w:marLeft w:val="0"/>
      <w:marRight w:val="0"/>
      <w:marTop w:val="180"/>
      <w:marBottom w:val="100"/>
      <w:divBdr>
        <w:top w:val="none" w:sz="0" w:space="0" w:color="auto"/>
        <w:left w:val="none" w:sz="0" w:space="0" w:color="auto"/>
        <w:bottom w:val="none" w:sz="0" w:space="0" w:color="auto"/>
        <w:right w:val="none" w:sz="0" w:space="0" w:color="auto"/>
      </w:divBdr>
    </w:div>
    <w:div w:id="600383013">
      <w:marLeft w:val="0"/>
      <w:marRight w:val="0"/>
      <w:marTop w:val="0"/>
      <w:marBottom w:val="0"/>
      <w:divBdr>
        <w:top w:val="none" w:sz="0" w:space="0" w:color="auto"/>
        <w:left w:val="none" w:sz="0" w:space="0" w:color="auto"/>
        <w:bottom w:val="none" w:sz="0" w:space="0" w:color="auto"/>
        <w:right w:val="none" w:sz="0" w:space="0" w:color="auto"/>
      </w:divBdr>
      <w:divsChild>
        <w:div w:id="1170754566">
          <w:marLeft w:val="0"/>
          <w:marRight w:val="0"/>
          <w:marTop w:val="0"/>
          <w:marBottom w:val="0"/>
          <w:divBdr>
            <w:top w:val="none" w:sz="0" w:space="0" w:color="auto"/>
            <w:left w:val="none" w:sz="0" w:space="0" w:color="auto"/>
            <w:bottom w:val="none" w:sz="0" w:space="0" w:color="auto"/>
            <w:right w:val="none" w:sz="0" w:space="0" w:color="auto"/>
          </w:divBdr>
          <w:divsChild>
            <w:div w:id="159681719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00407362">
      <w:marLeft w:val="0"/>
      <w:marRight w:val="0"/>
      <w:marTop w:val="180"/>
      <w:marBottom w:val="100"/>
      <w:divBdr>
        <w:top w:val="none" w:sz="0" w:space="0" w:color="auto"/>
        <w:left w:val="none" w:sz="0" w:space="0" w:color="auto"/>
        <w:bottom w:val="none" w:sz="0" w:space="0" w:color="auto"/>
        <w:right w:val="none" w:sz="0" w:space="0" w:color="auto"/>
      </w:divBdr>
    </w:div>
    <w:div w:id="602425137">
      <w:marLeft w:val="0"/>
      <w:marRight w:val="0"/>
      <w:marTop w:val="180"/>
      <w:marBottom w:val="0"/>
      <w:divBdr>
        <w:top w:val="none" w:sz="0" w:space="0" w:color="auto"/>
        <w:left w:val="none" w:sz="0" w:space="0" w:color="auto"/>
        <w:bottom w:val="none" w:sz="0" w:space="0" w:color="auto"/>
        <w:right w:val="none" w:sz="0" w:space="0" w:color="auto"/>
      </w:divBdr>
    </w:div>
    <w:div w:id="602541086">
      <w:marLeft w:val="0"/>
      <w:marRight w:val="0"/>
      <w:marTop w:val="100"/>
      <w:marBottom w:val="0"/>
      <w:divBdr>
        <w:top w:val="none" w:sz="0" w:space="0" w:color="auto"/>
        <w:left w:val="none" w:sz="0" w:space="0" w:color="auto"/>
        <w:bottom w:val="none" w:sz="0" w:space="0" w:color="auto"/>
        <w:right w:val="none" w:sz="0" w:space="0" w:color="auto"/>
      </w:divBdr>
    </w:div>
    <w:div w:id="607586425">
      <w:marLeft w:val="0"/>
      <w:marRight w:val="0"/>
      <w:marTop w:val="100"/>
      <w:marBottom w:val="100"/>
      <w:divBdr>
        <w:top w:val="none" w:sz="0" w:space="0" w:color="auto"/>
        <w:left w:val="none" w:sz="0" w:space="0" w:color="auto"/>
        <w:bottom w:val="none" w:sz="0" w:space="0" w:color="auto"/>
        <w:right w:val="none" w:sz="0" w:space="0" w:color="auto"/>
      </w:divBdr>
    </w:div>
    <w:div w:id="610626430">
      <w:marLeft w:val="0"/>
      <w:marRight w:val="0"/>
      <w:marTop w:val="100"/>
      <w:marBottom w:val="100"/>
      <w:divBdr>
        <w:top w:val="none" w:sz="0" w:space="0" w:color="auto"/>
        <w:left w:val="none" w:sz="0" w:space="0" w:color="auto"/>
        <w:bottom w:val="none" w:sz="0" w:space="0" w:color="auto"/>
        <w:right w:val="none" w:sz="0" w:space="0" w:color="auto"/>
      </w:divBdr>
      <w:divsChild>
        <w:div w:id="681206623">
          <w:marLeft w:val="0"/>
          <w:marRight w:val="0"/>
          <w:marTop w:val="0"/>
          <w:marBottom w:val="0"/>
          <w:divBdr>
            <w:top w:val="none" w:sz="0" w:space="0" w:color="auto"/>
            <w:left w:val="none" w:sz="0" w:space="0" w:color="auto"/>
            <w:bottom w:val="none" w:sz="0" w:space="0" w:color="auto"/>
            <w:right w:val="none" w:sz="0" w:space="0" w:color="auto"/>
          </w:divBdr>
        </w:div>
        <w:div w:id="1690787912">
          <w:marLeft w:val="0"/>
          <w:marRight w:val="0"/>
          <w:marTop w:val="0"/>
          <w:marBottom w:val="0"/>
          <w:divBdr>
            <w:top w:val="none" w:sz="0" w:space="0" w:color="auto"/>
            <w:left w:val="none" w:sz="0" w:space="0" w:color="auto"/>
            <w:bottom w:val="none" w:sz="0" w:space="0" w:color="auto"/>
            <w:right w:val="none" w:sz="0" w:space="0" w:color="auto"/>
          </w:divBdr>
        </w:div>
        <w:div w:id="1553999030">
          <w:marLeft w:val="0"/>
          <w:marRight w:val="0"/>
          <w:marTop w:val="0"/>
          <w:marBottom w:val="0"/>
          <w:divBdr>
            <w:top w:val="none" w:sz="0" w:space="0" w:color="auto"/>
            <w:left w:val="none" w:sz="0" w:space="0" w:color="auto"/>
            <w:bottom w:val="none" w:sz="0" w:space="0" w:color="auto"/>
            <w:right w:val="none" w:sz="0" w:space="0" w:color="auto"/>
          </w:divBdr>
        </w:div>
        <w:div w:id="1674332952">
          <w:marLeft w:val="0"/>
          <w:marRight w:val="0"/>
          <w:marTop w:val="0"/>
          <w:marBottom w:val="0"/>
          <w:divBdr>
            <w:top w:val="none" w:sz="0" w:space="0" w:color="auto"/>
            <w:left w:val="none" w:sz="0" w:space="0" w:color="auto"/>
            <w:bottom w:val="none" w:sz="0" w:space="0" w:color="auto"/>
            <w:right w:val="none" w:sz="0" w:space="0" w:color="auto"/>
          </w:divBdr>
        </w:div>
      </w:divsChild>
    </w:div>
    <w:div w:id="612588564">
      <w:marLeft w:val="0"/>
      <w:marRight w:val="0"/>
      <w:marTop w:val="0"/>
      <w:marBottom w:val="0"/>
      <w:divBdr>
        <w:top w:val="none" w:sz="0" w:space="0" w:color="auto"/>
        <w:left w:val="none" w:sz="0" w:space="0" w:color="auto"/>
        <w:bottom w:val="none" w:sz="0" w:space="0" w:color="auto"/>
        <w:right w:val="none" w:sz="0" w:space="0" w:color="auto"/>
      </w:divBdr>
    </w:div>
    <w:div w:id="613053293">
      <w:marLeft w:val="0"/>
      <w:marRight w:val="0"/>
      <w:marTop w:val="100"/>
      <w:marBottom w:val="100"/>
      <w:divBdr>
        <w:top w:val="none" w:sz="0" w:space="0" w:color="auto"/>
        <w:left w:val="none" w:sz="0" w:space="0" w:color="auto"/>
        <w:bottom w:val="none" w:sz="0" w:space="0" w:color="auto"/>
        <w:right w:val="none" w:sz="0" w:space="0" w:color="auto"/>
      </w:divBdr>
    </w:div>
    <w:div w:id="613244386">
      <w:marLeft w:val="0"/>
      <w:marRight w:val="0"/>
      <w:marTop w:val="0"/>
      <w:marBottom w:val="100"/>
      <w:divBdr>
        <w:top w:val="none" w:sz="0" w:space="0" w:color="auto"/>
        <w:left w:val="none" w:sz="0" w:space="0" w:color="auto"/>
        <w:bottom w:val="none" w:sz="0" w:space="0" w:color="auto"/>
        <w:right w:val="none" w:sz="0" w:space="0" w:color="auto"/>
      </w:divBdr>
    </w:div>
    <w:div w:id="613294853">
      <w:marLeft w:val="0"/>
      <w:marRight w:val="0"/>
      <w:marTop w:val="100"/>
      <w:marBottom w:val="100"/>
      <w:divBdr>
        <w:top w:val="none" w:sz="0" w:space="0" w:color="auto"/>
        <w:left w:val="none" w:sz="0" w:space="0" w:color="auto"/>
        <w:bottom w:val="none" w:sz="0" w:space="0" w:color="auto"/>
        <w:right w:val="none" w:sz="0" w:space="0" w:color="auto"/>
      </w:divBdr>
    </w:div>
    <w:div w:id="613904862">
      <w:marLeft w:val="0"/>
      <w:marRight w:val="0"/>
      <w:marTop w:val="100"/>
      <w:marBottom w:val="100"/>
      <w:divBdr>
        <w:top w:val="none" w:sz="0" w:space="0" w:color="auto"/>
        <w:left w:val="none" w:sz="0" w:space="0" w:color="auto"/>
        <w:bottom w:val="none" w:sz="0" w:space="0" w:color="auto"/>
        <w:right w:val="none" w:sz="0" w:space="0" w:color="auto"/>
      </w:divBdr>
    </w:div>
    <w:div w:id="614167912">
      <w:marLeft w:val="0"/>
      <w:marRight w:val="0"/>
      <w:marTop w:val="0"/>
      <w:marBottom w:val="0"/>
      <w:divBdr>
        <w:top w:val="none" w:sz="0" w:space="0" w:color="auto"/>
        <w:left w:val="none" w:sz="0" w:space="0" w:color="auto"/>
        <w:bottom w:val="none" w:sz="0" w:space="0" w:color="auto"/>
        <w:right w:val="none" w:sz="0" w:space="0" w:color="auto"/>
      </w:divBdr>
      <w:divsChild>
        <w:div w:id="1848399539">
          <w:marLeft w:val="0"/>
          <w:marRight w:val="0"/>
          <w:marTop w:val="0"/>
          <w:marBottom w:val="0"/>
          <w:divBdr>
            <w:top w:val="none" w:sz="0" w:space="0" w:color="auto"/>
            <w:left w:val="none" w:sz="0" w:space="0" w:color="auto"/>
            <w:bottom w:val="none" w:sz="0" w:space="0" w:color="auto"/>
            <w:right w:val="none" w:sz="0" w:space="0" w:color="auto"/>
          </w:divBdr>
          <w:divsChild>
            <w:div w:id="22997268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14213012">
      <w:marLeft w:val="0"/>
      <w:marRight w:val="0"/>
      <w:marTop w:val="100"/>
      <w:marBottom w:val="0"/>
      <w:divBdr>
        <w:top w:val="none" w:sz="0" w:space="0" w:color="auto"/>
        <w:left w:val="none" w:sz="0" w:space="0" w:color="auto"/>
        <w:bottom w:val="none" w:sz="0" w:space="0" w:color="auto"/>
        <w:right w:val="none" w:sz="0" w:space="0" w:color="auto"/>
      </w:divBdr>
    </w:div>
    <w:div w:id="614336543">
      <w:marLeft w:val="0"/>
      <w:marRight w:val="0"/>
      <w:marTop w:val="180"/>
      <w:marBottom w:val="100"/>
      <w:divBdr>
        <w:top w:val="none" w:sz="0" w:space="0" w:color="auto"/>
        <w:left w:val="none" w:sz="0" w:space="0" w:color="auto"/>
        <w:bottom w:val="none" w:sz="0" w:space="0" w:color="auto"/>
        <w:right w:val="none" w:sz="0" w:space="0" w:color="auto"/>
      </w:divBdr>
    </w:div>
    <w:div w:id="614409545">
      <w:marLeft w:val="0"/>
      <w:marRight w:val="0"/>
      <w:marTop w:val="180"/>
      <w:marBottom w:val="0"/>
      <w:divBdr>
        <w:top w:val="none" w:sz="0" w:space="0" w:color="auto"/>
        <w:left w:val="none" w:sz="0" w:space="0" w:color="auto"/>
        <w:bottom w:val="none" w:sz="0" w:space="0" w:color="auto"/>
        <w:right w:val="none" w:sz="0" w:space="0" w:color="auto"/>
      </w:divBdr>
    </w:div>
    <w:div w:id="614823485">
      <w:marLeft w:val="0"/>
      <w:marRight w:val="0"/>
      <w:marTop w:val="0"/>
      <w:marBottom w:val="0"/>
      <w:divBdr>
        <w:top w:val="none" w:sz="0" w:space="0" w:color="auto"/>
        <w:left w:val="none" w:sz="0" w:space="0" w:color="auto"/>
        <w:bottom w:val="none" w:sz="0" w:space="0" w:color="auto"/>
        <w:right w:val="none" w:sz="0" w:space="0" w:color="auto"/>
      </w:divBdr>
    </w:div>
    <w:div w:id="616251559">
      <w:marLeft w:val="0"/>
      <w:marRight w:val="0"/>
      <w:marTop w:val="0"/>
      <w:marBottom w:val="100"/>
      <w:divBdr>
        <w:top w:val="none" w:sz="0" w:space="0" w:color="auto"/>
        <w:left w:val="none" w:sz="0" w:space="0" w:color="auto"/>
        <w:bottom w:val="none" w:sz="0" w:space="0" w:color="auto"/>
        <w:right w:val="none" w:sz="0" w:space="0" w:color="auto"/>
      </w:divBdr>
    </w:div>
    <w:div w:id="617301581">
      <w:marLeft w:val="0"/>
      <w:marRight w:val="0"/>
      <w:marTop w:val="0"/>
      <w:marBottom w:val="0"/>
      <w:divBdr>
        <w:top w:val="none" w:sz="0" w:space="0" w:color="auto"/>
        <w:left w:val="none" w:sz="0" w:space="0" w:color="auto"/>
        <w:bottom w:val="none" w:sz="0" w:space="0" w:color="auto"/>
        <w:right w:val="none" w:sz="0" w:space="0" w:color="auto"/>
      </w:divBdr>
    </w:div>
    <w:div w:id="618415597">
      <w:marLeft w:val="0"/>
      <w:marRight w:val="0"/>
      <w:marTop w:val="100"/>
      <w:marBottom w:val="100"/>
      <w:divBdr>
        <w:top w:val="none" w:sz="0" w:space="0" w:color="auto"/>
        <w:left w:val="none" w:sz="0" w:space="0" w:color="auto"/>
        <w:bottom w:val="none" w:sz="0" w:space="0" w:color="auto"/>
        <w:right w:val="none" w:sz="0" w:space="0" w:color="auto"/>
      </w:divBdr>
    </w:div>
    <w:div w:id="618536223">
      <w:marLeft w:val="0"/>
      <w:marRight w:val="0"/>
      <w:marTop w:val="180"/>
      <w:marBottom w:val="100"/>
      <w:divBdr>
        <w:top w:val="none" w:sz="0" w:space="0" w:color="auto"/>
        <w:left w:val="none" w:sz="0" w:space="0" w:color="auto"/>
        <w:bottom w:val="none" w:sz="0" w:space="0" w:color="auto"/>
        <w:right w:val="none" w:sz="0" w:space="0" w:color="auto"/>
      </w:divBdr>
    </w:div>
    <w:div w:id="618997416">
      <w:marLeft w:val="0"/>
      <w:marRight w:val="0"/>
      <w:marTop w:val="0"/>
      <w:marBottom w:val="0"/>
      <w:divBdr>
        <w:top w:val="none" w:sz="0" w:space="0" w:color="auto"/>
        <w:left w:val="none" w:sz="0" w:space="0" w:color="auto"/>
        <w:bottom w:val="none" w:sz="0" w:space="0" w:color="auto"/>
        <w:right w:val="none" w:sz="0" w:space="0" w:color="auto"/>
      </w:divBdr>
    </w:div>
    <w:div w:id="619192116">
      <w:marLeft w:val="0"/>
      <w:marRight w:val="0"/>
      <w:marTop w:val="100"/>
      <w:marBottom w:val="0"/>
      <w:divBdr>
        <w:top w:val="none" w:sz="0" w:space="0" w:color="auto"/>
        <w:left w:val="none" w:sz="0" w:space="0" w:color="auto"/>
        <w:bottom w:val="none" w:sz="0" w:space="0" w:color="auto"/>
        <w:right w:val="none" w:sz="0" w:space="0" w:color="auto"/>
      </w:divBdr>
    </w:div>
    <w:div w:id="621614024">
      <w:marLeft w:val="0"/>
      <w:marRight w:val="0"/>
      <w:marTop w:val="180"/>
      <w:marBottom w:val="0"/>
      <w:divBdr>
        <w:top w:val="none" w:sz="0" w:space="0" w:color="auto"/>
        <w:left w:val="none" w:sz="0" w:space="0" w:color="auto"/>
        <w:bottom w:val="none" w:sz="0" w:space="0" w:color="auto"/>
        <w:right w:val="none" w:sz="0" w:space="0" w:color="auto"/>
      </w:divBdr>
    </w:div>
    <w:div w:id="624508021">
      <w:marLeft w:val="0"/>
      <w:marRight w:val="0"/>
      <w:marTop w:val="180"/>
      <w:marBottom w:val="100"/>
      <w:divBdr>
        <w:top w:val="none" w:sz="0" w:space="0" w:color="auto"/>
        <w:left w:val="none" w:sz="0" w:space="0" w:color="auto"/>
        <w:bottom w:val="none" w:sz="0" w:space="0" w:color="auto"/>
        <w:right w:val="none" w:sz="0" w:space="0" w:color="auto"/>
      </w:divBdr>
    </w:div>
    <w:div w:id="624847732">
      <w:marLeft w:val="0"/>
      <w:marRight w:val="0"/>
      <w:marTop w:val="100"/>
      <w:marBottom w:val="100"/>
      <w:divBdr>
        <w:top w:val="none" w:sz="0" w:space="0" w:color="auto"/>
        <w:left w:val="none" w:sz="0" w:space="0" w:color="auto"/>
        <w:bottom w:val="none" w:sz="0" w:space="0" w:color="auto"/>
        <w:right w:val="none" w:sz="0" w:space="0" w:color="auto"/>
      </w:divBdr>
    </w:div>
    <w:div w:id="626666787">
      <w:marLeft w:val="0"/>
      <w:marRight w:val="0"/>
      <w:marTop w:val="0"/>
      <w:marBottom w:val="0"/>
      <w:divBdr>
        <w:top w:val="none" w:sz="0" w:space="0" w:color="auto"/>
        <w:left w:val="none" w:sz="0" w:space="0" w:color="auto"/>
        <w:bottom w:val="none" w:sz="0" w:space="0" w:color="auto"/>
        <w:right w:val="none" w:sz="0" w:space="0" w:color="auto"/>
      </w:divBdr>
    </w:div>
    <w:div w:id="628432991">
      <w:marLeft w:val="0"/>
      <w:marRight w:val="0"/>
      <w:marTop w:val="180"/>
      <w:marBottom w:val="0"/>
      <w:divBdr>
        <w:top w:val="none" w:sz="0" w:space="0" w:color="auto"/>
        <w:left w:val="none" w:sz="0" w:space="0" w:color="auto"/>
        <w:bottom w:val="none" w:sz="0" w:space="0" w:color="auto"/>
        <w:right w:val="none" w:sz="0" w:space="0" w:color="auto"/>
      </w:divBdr>
    </w:div>
    <w:div w:id="631715544">
      <w:marLeft w:val="0"/>
      <w:marRight w:val="0"/>
      <w:marTop w:val="0"/>
      <w:marBottom w:val="100"/>
      <w:divBdr>
        <w:top w:val="none" w:sz="0" w:space="0" w:color="auto"/>
        <w:left w:val="none" w:sz="0" w:space="0" w:color="auto"/>
        <w:bottom w:val="none" w:sz="0" w:space="0" w:color="auto"/>
        <w:right w:val="none" w:sz="0" w:space="0" w:color="auto"/>
      </w:divBdr>
    </w:div>
    <w:div w:id="632366024">
      <w:marLeft w:val="0"/>
      <w:marRight w:val="0"/>
      <w:marTop w:val="180"/>
      <w:marBottom w:val="0"/>
      <w:divBdr>
        <w:top w:val="none" w:sz="0" w:space="0" w:color="auto"/>
        <w:left w:val="none" w:sz="0" w:space="0" w:color="auto"/>
        <w:bottom w:val="none" w:sz="0" w:space="0" w:color="auto"/>
        <w:right w:val="none" w:sz="0" w:space="0" w:color="auto"/>
      </w:divBdr>
    </w:div>
    <w:div w:id="632637087">
      <w:marLeft w:val="0"/>
      <w:marRight w:val="0"/>
      <w:marTop w:val="0"/>
      <w:marBottom w:val="100"/>
      <w:divBdr>
        <w:top w:val="none" w:sz="0" w:space="0" w:color="auto"/>
        <w:left w:val="none" w:sz="0" w:space="0" w:color="auto"/>
        <w:bottom w:val="none" w:sz="0" w:space="0" w:color="auto"/>
        <w:right w:val="none" w:sz="0" w:space="0" w:color="auto"/>
      </w:divBdr>
    </w:div>
    <w:div w:id="633826878">
      <w:marLeft w:val="0"/>
      <w:marRight w:val="0"/>
      <w:marTop w:val="0"/>
      <w:marBottom w:val="100"/>
      <w:divBdr>
        <w:top w:val="none" w:sz="0" w:space="0" w:color="auto"/>
        <w:left w:val="none" w:sz="0" w:space="0" w:color="auto"/>
        <w:bottom w:val="none" w:sz="0" w:space="0" w:color="auto"/>
        <w:right w:val="none" w:sz="0" w:space="0" w:color="auto"/>
      </w:divBdr>
    </w:div>
    <w:div w:id="634918821">
      <w:marLeft w:val="0"/>
      <w:marRight w:val="0"/>
      <w:marTop w:val="100"/>
      <w:marBottom w:val="100"/>
      <w:divBdr>
        <w:top w:val="none" w:sz="0" w:space="0" w:color="auto"/>
        <w:left w:val="none" w:sz="0" w:space="0" w:color="auto"/>
        <w:bottom w:val="none" w:sz="0" w:space="0" w:color="auto"/>
        <w:right w:val="none" w:sz="0" w:space="0" w:color="auto"/>
      </w:divBdr>
    </w:div>
    <w:div w:id="635569944">
      <w:marLeft w:val="0"/>
      <w:marRight w:val="0"/>
      <w:marTop w:val="0"/>
      <w:marBottom w:val="0"/>
      <w:divBdr>
        <w:top w:val="none" w:sz="0" w:space="0" w:color="auto"/>
        <w:left w:val="none" w:sz="0" w:space="0" w:color="auto"/>
        <w:bottom w:val="none" w:sz="0" w:space="0" w:color="auto"/>
        <w:right w:val="none" w:sz="0" w:space="0" w:color="auto"/>
      </w:divBdr>
      <w:divsChild>
        <w:div w:id="1994676434">
          <w:marLeft w:val="0"/>
          <w:marRight w:val="0"/>
          <w:marTop w:val="0"/>
          <w:marBottom w:val="0"/>
          <w:divBdr>
            <w:top w:val="none" w:sz="0" w:space="0" w:color="auto"/>
            <w:left w:val="none" w:sz="0" w:space="0" w:color="auto"/>
            <w:bottom w:val="none" w:sz="0" w:space="0" w:color="auto"/>
            <w:right w:val="none" w:sz="0" w:space="0" w:color="auto"/>
          </w:divBdr>
          <w:divsChild>
            <w:div w:id="16695570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35570571">
      <w:marLeft w:val="0"/>
      <w:marRight w:val="0"/>
      <w:marTop w:val="100"/>
      <w:marBottom w:val="100"/>
      <w:divBdr>
        <w:top w:val="none" w:sz="0" w:space="0" w:color="auto"/>
        <w:left w:val="none" w:sz="0" w:space="0" w:color="auto"/>
        <w:bottom w:val="none" w:sz="0" w:space="0" w:color="auto"/>
        <w:right w:val="none" w:sz="0" w:space="0" w:color="auto"/>
      </w:divBdr>
    </w:div>
    <w:div w:id="635598352">
      <w:marLeft w:val="0"/>
      <w:marRight w:val="0"/>
      <w:marTop w:val="0"/>
      <w:marBottom w:val="100"/>
      <w:divBdr>
        <w:top w:val="none" w:sz="0" w:space="0" w:color="auto"/>
        <w:left w:val="none" w:sz="0" w:space="0" w:color="auto"/>
        <w:bottom w:val="none" w:sz="0" w:space="0" w:color="auto"/>
        <w:right w:val="none" w:sz="0" w:space="0" w:color="auto"/>
      </w:divBdr>
    </w:div>
    <w:div w:id="638263928">
      <w:marLeft w:val="0"/>
      <w:marRight w:val="0"/>
      <w:marTop w:val="0"/>
      <w:marBottom w:val="0"/>
      <w:divBdr>
        <w:top w:val="none" w:sz="0" w:space="0" w:color="auto"/>
        <w:left w:val="none" w:sz="0" w:space="0" w:color="auto"/>
        <w:bottom w:val="none" w:sz="0" w:space="0" w:color="auto"/>
        <w:right w:val="none" w:sz="0" w:space="0" w:color="auto"/>
      </w:divBdr>
    </w:div>
    <w:div w:id="638538025">
      <w:marLeft w:val="0"/>
      <w:marRight w:val="0"/>
      <w:marTop w:val="180"/>
      <w:marBottom w:val="0"/>
      <w:divBdr>
        <w:top w:val="none" w:sz="0" w:space="0" w:color="auto"/>
        <w:left w:val="none" w:sz="0" w:space="0" w:color="auto"/>
        <w:bottom w:val="none" w:sz="0" w:space="0" w:color="auto"/>
        <w:right w:val="none" w:sz="0" w:space="0" w:color="auto"/>
      </w:divBdr>
    </w:div>
    <w:div w:id="639070391">
      <w:marLeft w:val="0"/>
      <w:marRight w:val="0"/>
      <w:marTop w:val="0"/>
      <w:marBottom w:val="0"/>
      <w:divBdr>
        <w:top w:val="none" w:sz="0" w:space="0" w:color="auto"/>
        <w:left w:val="none" w:sz="0" w:space="0" w:color="auto"/>
        <w:bottom w:val="none" w:sz="0" w:space="0" w:color="auto"/>
        <w:right w:val="none" w:sz="0" w:space="0" w:color="auto"/>
      </w:divBdr>
      <w:divsChild>
        <w:div w:id="326906281">
          <w:marLeft w:val="0"/>
          <w:marRight w:val="0"/>
          <w:marTop w:val="0"/>
          <w:marBottom w:val="0"/>
          <w:divBdr>
            <w:top w:val="none" w:sz="0" w:space="0" w:color="auto"/>
            <w:left w:val="none" w:sz="0" w:space="0" w:color="auto"/>
            <w:bottom w:val="none" w:sz="0" w:space="0" w:color="auto"/>
            <w:right w:val="none" w:sz="0" w:space="0" w:color="auto"/>
          </w:divBdr>
          <w:divsChild>
            <w:div w:id="158703761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39387091">
      <w:marLeft w:val="0"/>
      <w:marRight w:val="0"/>
      <w:marTop w:val="100"/>
      <w:marBottom w:val="100"/>
      <w:divBdr>
        <w:top w:val="none" w:sz="0" w:space="0" w:color="auto"/>
        <w:left w:val="none" w:sz="0" w:space="0" w:color="auto"/>
        <w:bottom w:val="none" w:sz="0" w:space="0" w:color="auto"/>
        <w:right w:val="none" w:sz="0" w:space="0" w:color="auto"/>
      </w:divBdr>
    </w:div>
    <w:div w:id="640497554">
      <w:marLeft w:val="0"/>
      <w:marRight w:val="0"/>
      <w:marTop w:val="0"/>
      <w:marBottom w:val="100"/>
      <w:divBdr>
        <w:top w:val="none" w:sz="0" w:space="0" w:color="auto"/>
        <w:left w:val="none" w:sz="0" w:space="0" w:color="auto"/>
        <w:bottom w:val="none" w:sz="0" w:space="0" w:color="auto"/>
        <w:right w:val="none" w:sz="0" w:space="0" w:color="auto"/>
      </w:divBdr>
    </w:div>
    <w:div w:id="641274726">
      <w:marLeft w:val="0"/>
      <w:marRight w:val="0"/>
      <w:marTop w:val="0"/>
      <w:marBottom w:val="100"/>
      <w:divBdr>
        <w:top w:val="none" w:sz="0" w:space="0" w:color="auto"/>
        <w:left w:val="none" w:sz="0" w:space="0" w:color="auto"/>
        <w:bottom w:val="none" w:sz="0" w:space="0" w:color="auto"/>
        <w:right w:val="none" w:sz="0" w:space="0" w:color="auto"/>
      </w:divBdr>
    </w:div>
    <w:div w:id="641346558">
      <w:marLeft w:val="0"/>
      <w:marRight w:val="0"/>
      <w:marTop w:val="60"/>
      <w:marBottom w:val="100"/>
      <w:divBdr>
        <w:top w:val="none" w:sz="0" w:space="0" w:color="auto"/>
        <w:left w:val="none" w:sz="0" w:space="0" w:color="auto"/>
        <w:bottom w:val="none" w:sz="0" w:space="0" w:color="auto"/>
        <w:right w:val="none" w:sz="0" w:space="0" w:color="auto"/>
      </w:divBdr>
    </w:div>
    <w:div w:id="643896937">
      <w:marLeft w:val="0"/>
      <w:marRight w:val="0"/>
      <w:marTop w:val="0"/>
      <w:marBottom w:val="100"/>
      <w:divBdr>
        <w:top w:val="none" w:sz="0" w:space="0" w:color="auto"/>
        <w:left w:val="none" w:sz="0" w:space="0" w:color="auto"/>
        <w:bottom w:val="none" w:sz="0" w:space="0" w:color="auto"/>
        <w:right w:val="none" w:sz="0" w:space="0" w:color="auto"/>
      </w:divBdr>
    </w:div>
    <w:div w:id="644895892">
      <w:marLeft w:val="0"/>
      <w:marRight w:val="0"/>
      <w:marTop w:val="180"/>
      <w:marBottom w:val="0"/>
      <w:divBdr>
        <w:top w:val="none" w:sz="0" w:space="0" w:color="auto"/>
        <w:left w:val="none" w:sz="0" w:space="0" w:color="auto"/>
        <w:bottom w:val="none" w:sz="0" w:space="0" w:color="auto"/>
        <w:right w:val="none" w:sz="0" w:space="0" w:color="auto"/>
      </w:divBdr>
    </w:div>
    <w:div w:id="650326375">
      <w:marLeft w:val="0"/>
      <w:marRight w:val="0"/>
      <w:marTop w:val="180"/>
      <w:marBottom w:val="100"/>
      <w:divBdr>
        <w:top w:val="none" w:sz="0" w:space="0" w:color="auto"/>
        <w:left w:val="none" w:sz="0" w:space="0" w:color="auto"/>
        <w:bottom w:val="none" w:sz="0" w:space="0" w:color="auto"/>
        <w:right w:val="none" w:sz="0" w:space="0" w:color="auto"/>
      </w:divBdr>
    </w:div>
    <w:div w:id="651177452">
      <w:marLeft w:val="0"/>
      <w:marRight w:val="0"/>
      <w:marTop w:val="0"/>
      <w:marBottom w:val="0"/>
      <w:divBdr>
        <w:top w:val="none" w:sz="0" w:space="0" w:color="auto"/>
        <w:left w:val="none" w:sz="0" w:space="0" w:color="auto"/>
        <w:bottom w:val="none" w:sz="0" w:space="0" w:color="auto"/>
        <w:right w:val="none" w:sz="0" w:space="0" w:color="auto"/>
      </w:divBdr>
    </w:div>
    <w:div w:id="651720984">
      <w:marLeft w:val="0"/>
      <w:marRight w:val="0"/>
      <w:marTop w:val="0"/>
      <w:marBottom w:val="0"/>
      <w:divBdr>
        <w:top w:val="none" w:sz="0" w:space="0" w:color="auto"/>
        <w:left w:val="none" w:sz="0" w:space="0" w:color="auto"/>
        <w:bottom w:val="none" w:sz="0" w:space="0" w:color="auto"/>
        <w:right w:val="none" w:sz="0" w:space="0" w:color="auto"/>
      </w:divBdr>
    </w:div>
    <w:div w:id="652488069">
      <w:marLeft w:val="0"/>
      <w:marRight w:val="0"/>
      <w:marTop w:val="0"/>
      <w:marBottom w:val="0"/>
      <w:divBdr>
        <w:top w:val="none" w:sz="0" w:space="0" w:color="auto"/>
        <w:left w:val="none" w:sz="0" w:space="0" w:color="auto"/>
        <w:bottom w:val="none" w:sz="0" w:space="0" w:color="auto"/>
        <w:right w:val="none" w:sz="0" w:space="0" w:color="auto"/>
      </w:divBdr>
      <w:divsChild>
        <w:div w:id="2014605738">
          <w:marLeft w:val="0"/>
          <w:marRight w:val="0"/>
          <w:marTop w:val="0"/>
          <w:marBottom w:val="100"/>
          <w:divBdr>
            <w:top w:val="none" w:sz="0" w:space="0" w:color="auto"/>
            <w:left w:val="none" w:sz="0" w:space="0" w:color="auto"/>
            <w:bottom w:val="none" w:sz="0" w:space="0" w:color="auto"/>
            <w:right w:val="none" w:sz="0" w:space="0" w:color="auto"/>
          </w:divBdr>
        </w:div>
      </w:divsChild>
    </w:div>
    <w:div w:id="653024722">
      <w:marLeft w:val="0"/>
      <w:marRight w:val="0"/>
      <w:marTop w:val="100"/>
      <w:marBottom w:val="0"/>
      <w:divBdr>
        <w:top w:val="none" w:sz="0" w:space="0" w:color="auto"/>
        <w:left w:val="none" w:sz="0" w:space="0" w:color="auto"/>
        <w:bottom w:val="none" w:sz="0" w:space="0" w:color="auto"/>
        <w:right w:val="none" w:sz="0" w:space="0" w:color="auto"/>
      </w:divBdr>
    </w:div>
    <w:div w:id="654721613">
      <w:marLeft w:val="0"/>
      <w:marRight w:val="0"/>
      <w:marTop w:val="0"/>
      <w:marBottom w:val="0"/>
      <w:divBdr>
        <w:top w:val="none" w:sz="0" w:space="0" w:color="auto"/>
        <w:left w:val="none" w:sz="0" w:space="0" w:color="auto"/>
        <w:bottom w:val="none" w:sz="0" w:space="0" w:color="auto"/>
        <w:right w:val="none" w:sz="0" w:space="0" w:color="auto"/>
      </w:divBdr>
      <w:divsChild>
        <w:div w:id="1445347974">
          <w:marLeft w:val="0"/>
          <w:marRight w:val="0"/>
          <w:marTop w:val="0"/>
          <w:marBottom w:val="0"/>
          <w:divBdr>
            <w:top w:val="none" w:sz="0" w:space="0" w:color="auto"/>
            <w:left w:val="none" w:sz="0" w:space="0" w:color="auto"/>
            <w:bottom w:val="none" w:sz="0" w:space="0" w:color="auto"/>
            <w:right w:val="none" w:sz="0" w:space="0" w:color="auto"/>
          </w:divBdr>
          <w:divsChild>
            <w:div w:id="3115693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55231892">
      <w:marLeft w:val="0"/>
      <w:marRight w:val="0"/>
      <w:marTop w:val="0"/>
      <w:marBottom w:val="100"/>
      <w:divBdr>
        <w:top w:val="none" w:sz="0" w:space="0" w:color="auto"/>
        <w:left w:val="none" w:sz="0" w:space="0" w:color="auto"/>
        <w:bottom w:val="none" w:sz="0" w:space="0" w:color="auto"/>
        <w:right w:val="none" w:sz="0" w:space="0" w:color="auto"/>
      </w:divBdr>
    </w:div>
    <w:div w:id="655299521">
      <w:marLeft w:val="0"/>
      <w:marRight w:val="0"/>
      <w:marTop w:val="180"/>
      <w:marBottom w:val="100"/>
      <w:divBdr>
        <w:top w:val="none" w:sz="0" w:space="0" w:color="auto"/>
        <w:left w:val="none" w:sz="0" w:space="0" w:color="auto"/>
        <w:bottom w:val="none" w:sz="0" w:space="0" w:color="auto"/>
        <w:right w:val="none" w:sz="0" w:space="0" w:color="auto"/>
      </w:divBdr>
      <w:divsChild>
        <w:div w:id="547835358">
          <w:marLeft w:val="0"/>
          <w:marRight w:val="0"/>
          <w:marTop w:val="0"/>
          <w:marBottom w:val="0"/>
          <w:divBdr>
            <w:top w:val="none" w:sz="0" w:space="0" w:color="auto"/>
            <w:left w:val="none" w:sz="0" w:space="0" w:color="auto"/>
            <w:bottom w:val="none" w:sz="0" w:space="0" w:color="auto"/>
            <w:right w:val="none" w:sz="0" w:space="0" w:color="auto"/>
          </w:divBdr>
        </w:div>
      </w:divsChild>
    </w:div>
    <w:div w:id="656609591">
      <w:marLeft w:val="0"/>
      <w:marRight w:val="0"/>
      <w:marTop w:val="180"/>
      <w:marBottom w:val="0"/>
      <w:divBdr>
        <w:top w:val="none" w:sz="0" w:space="0" w:color="auto"/>
        <w:left w:val="none" w:sz="0" w:space="0" w:color="auto"/>
        <w:bottom w:val="none" w:sz="0" w:space="0" w:color="auto"/>
        <w:right w:val="none" w:sz="0" w:space="0" w:color="auto"/>
      </w:divBdr>
    </w:div>
    <w:div w:id="656767408">
      <w:marLeft w:val="0"/>
      <w:marRight w:val="0"/>
      <w:marTop w:val="0"/>
      <w:marBottom w:val="0"/>
      <w:divBdr>
        <w:top w:val="none" w:sz="0" w:space="0" w:color="auto"/>
        <w:left w:val="none" w:sz="0" w:space="0" w:color="auto"/>
        <w:bottom w:val="none" w:sz="0" w:space="0" w:color="auto"/>
        <w:right w:val="none" w:sz="0" w:space="0" w:color="auto"/>
      </w:divBdr>
      <w:divsChild>
        <w:div w:id="914051282">
          <w:marLeft w:val="0"/>
          <w:marRight w:val="0"/>
          <w:marTop w:val="0"/>
          <w:marBottom w:val="0"/>
          <w:divBdr>
            <w:top w:val="none" w:sz="0" w:space="0" w:color="auto"/>
            <w:left w:val="none" w:sz="0" w:space="0" w:color="auto"/>
            <w:bottom w:val="none" w:sz="0" w:space="0" w:color="auto"/>
            <w:right w:val="none" w:sz="0" w:space="0" w:color="auto"/>
          </w:divBdr>
          <w:divsChild>
            <w:div w:id="21222567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58314306">
      <w:marLeft w:val="0"/>
      <w:marRight w:val="0"/>
      <w:marTop w:val="180"/>
      <w:marBottom w:val="0"/>
      <w:divBdr>
        <w:top w:val="none" w:sz="0" w:space="0" w:color="auto"/>
        <w:left w:val="none" w:sz="0" w:space="0" w:color="auto"/>
        <w:bottom w:val="none" w:sz="0" w:space="0" w:color="auto"/>
        <w:right w:val="none" w:sz="0" w:space="0" w:color="auto"/>
      </w:divBdr>
    </w:div>
    <w:div w:id="659575518">
      <w:marLeft w:val="0"/>
      <w:marRight w:val="0"/>
      <w:marTop w:val="100"/>
      <w:marBottom w:val="100"/>
      <w:divBdr>
        <w:top w:val="none" w:sz="0" w:space="0" w:color="auto"/>
        <w:left w:val="none" w:sz="0" w:space="0" w:color="auto"/>
        <w:bottom w:val="none" w:sz="0" w:space="0" w:color="auto"/>
        <w:right w:val="none" w:sz="0" w:space="0" w:color="auto"/>
      </w:divBdr>
      <w:divsChild>
        <w:div w:id="896669112">
          <w:marLeft w:val="0"/>
          <w:marRight w:val="0"/>
          <w:marTop w:val="0"/>
          <w:marBottom w:val="0"/>
          <w:divBdr>
            <w:top w:val="none" w:sz="0" w:space="0" w:color="auto"/>
            <w:left w:val="none" w:sz="0" w:space="0" w:color="auto"/>
            <w:bottom w:val="none" w:sz="0" w:space="0" w:color="auto"/>
            <w:right w:val="none" w:sz="0" w:space="0" w:color="auto"/>
          </w:divBdr>
        </w:div>
        <w:div w:id="968246601">
          <w:marLeft w:val="0"/>
          <w:marRight w:val="0"/>
          <w:marTop w:val="0"/>
          <w:marBottom w:val="0"/>
          <w:divBdr>
            <w:top w:val="none" w:sz="0" w:space="0" w:color="auto"/>
            <w:left w:val="none" w:sz="0" w:space="0" w:color="auto"/>
            <w:bottom w:val="none" w:sz="0" w:space="0" w:color="auto"/>
            <w:right w:val="none" w:sz="0" w:space="0" w:color="auto"/>
          </w:divBdr>
        </w:div>
        <w:div w:id="682435228">
          <w:marLeft w:val="0"/>
          <w:marRight w:val="0"/>
          <w:marTop w:val="0"/>
          <w:marBottom w:val="0"/>
          <w:divBdr>
            <w:top w:val="none" w:sz="0" w:space="0" w:color="auto"/>
            <w:left w:val="none" w:sz="0" w:space="0" w:color="auto"/>
            <w:bottom w:val="none" w:sz="0" w:space="0" w:color="auto"/>
            <w:right w:val="none" w:sz="0" w:space="0" w:color="auto"/>
          </w:divBdr>
        </w:div>
        <w:div w:id="1059479363">
          <w:marLeft w:val="0"/>
          <w:marRight w:val="0"/>
          <w:marTop w:val="0"/>
          <w:marBottom w:val="0"/>
          <w:divBdr>
            <w:top w:val="none" w:sz="0" w:space="0" w:color="auto"/>
            <w:left w:val="none" w:sz="0" w:space="0" w:color="auto"/>
            <w:bottom w:val="none" w:sz="0" w:space="0" w:color="auto"/>
            <w:right w:val="none" w:sz="0" w:space="0" w:color="auto"/>
          </w:divBdr>
        </w:div>
        <w:div w:id="842941427">
          <w:marLeft w:val="0"/>
          <w:marRight w:val="0"/>
          <w:marTop w:val="0"/>
          <w:marBottom w:val="0"/>
          <w:divBdr>
            <w:top w:val="none" w:sz="0" w:space="0" w:color="auto"/>
            <w:left w:val="none" w:sz="0" w:space="0" w:color="auto"/>
            <w:bottom w:val="none" w:sz="0" w:space="0" w:color="auto"/>
            <w:right w:val="none" w:sz="0" w:space="0" w:color="auto"/>
          </w:divBdr>
        </w:div>
        <w:div w:id="1739596456">
          <w:marLeft w:val="0"/>
          <w:marRight w:val="0"/>
          <w:marTop w:val="0"/>
          <w:marBottom w:val="0"/>
          <w:divBdr>
            <w:top w:val="none" w:sz="0" w:space="0" w:color="auto"/>
            <w:left w:val="none" w:sz="0" w:space="0" w:color="auto"/>
            <w:bottom w:val="none" w:sz="0" w:space="0" w:color="auto"/>
            <w:right w:val="none" w:sz="0" w:space="0" w:color="auto"/>
          </w:divBdr>
        </w:div>
        <w:div w:id="210771819">
          <w:marLeft w:val="0"/>
          <w:marRight w:val="0"/>
          <w:marTop w:val="0"/>
          <w:marBottom w:val="0"/>
          <w:divBdr>
            <w:top w:val="none" w:sz="0" w:space="0" w:color="auto"/>
            <w:left w:val="none" w:sz="0" w:space="0" w:color="auto"/>
            <w:bottom w:val="none" w:sz="0" w:space="0" w:color="auto"/>
            <w:right w:val="none" w:sz="0" w:space="0" w:color="auto"/>
          </w:divBdr>
        </w:div>
      </w:divsChild>
    </w:div>
    <w:div w:id="661081616">
      <w:marLeft w:val="0"/>
      <w:marRight w:val="0"/>
      <w:marTop w:val="180"/>
      <w:marBottom w:val="0"/>
      <w:divBdr>
        <w:top w:val="none" w:sz="0" w:space="0" w:color="auto"/>
        <w:left w:val="none" w:sz="0" w:space="0" w:color="auto"/>
        <w:bottom w:val="none" w:sz="0" w:space="0" w:color="auto"/>
        <w:right w:val="none" w:sz="0" w:space="0" w:color="auto"/>
      </w:divBdr>
    </w:div>
    <w:div w:id="661280902">
      <w:marLeft w:val="0"/>
      <w:marRight w:val="0"/>
      <w:marTop w:val="0"/>
      <w:marBottom w:val="100"/>
      <w:divBdr>
        <w:top w:val="none" w:sz="0" w:space="0" w:color="auto"/>
        <w:left w:val="none" w:sz="0" w:space="0" w:color="auto"/>
        <w:bottom w:val="none" w:sz="0" w:space="0" w:color="auto"/>
        <w:right w:val="none" w:sz="0" w:space="0" w:color="auto"/>
      </w:divBdr>
    </w:div>
    <w:div w:id="662047983">
      <w:marLeft w:val="0"/>
      <w:marRight w:val="0"/>
      <w:marTop w:val="0"/>
      <w:marBottom w:val="0"/>
      <w:divBdr>
        <w:top w:val="none" w:sz="0" w:space="0" w:color="auto"/>
        <w:left w:val="none" w:sz="0" w:space="0" w:color="auto"/>
        <w:bottom w:val="none" w:sz="0" w:space="0" w:color="auto"/>
        <w:right w:val="none" w:sz="0" w:space="0" w:color="auto"/>
      </w:divBdr>
    </w:div>
    <w:div w:id="662851054">
      <w:marLeft w:val="0"/>
      <w:marRight w:val="0"/>
      <w:marTop w:val="0"/>
      <w:marBottom w:val="0"/>
      <w:divBdr>
        <w:top w:val="none" w:sz="0" w:space="0" w:color="auto"/>
        <w:left w:val="none" w:sz="0" w:space="0" w:color="auto"/>
        <w:bottom w:val="none" w:sz="0" w:space="0" w:color="auto"/>
        <w:right w:val="none" w:sz="0" w:space="0" w:color="auto"/>
      </w:divBdr>
    </w:div>
    <w:div w:id="663357205">
      <w:marLeft w:val="0"/>
      <w:marRight w:val="0"/>
      <w:marTop w:val="100"/>
      <w:marBottom w:val="100"/>
      <w:divBdr>
        <w:top w:val="none" w:sz="0" w:space="0" w:color="auto"/>
        <w:left w:val="none" w:sz="0" w:space="0" w:color="auto"/>
        <w:bottom w:val="none" w:sz="0" w:space="0" w:color="auto"/>
        <w:right w:val="none" w:sz="0" w:space="0" w:color="auto"/>
      </w:divBdr>
    </w:div>
    <w:div w:id="663901147">
      <w:marLeft w:val="0"/>
      <w:marRight w:val="0"/>
      <w:marTop w:val="100"/>
      <w:marBottom w:val="100"/>
      <w:divBdr>
        <w:top w:val="none" w:sz="0" w:space="0" w:color="auto"/>
        <w:left w:val="none" w:sz="0" w:space="0" w:color="auto"/>
        <w:bottom w:val="none" w:sz="0" w:space="0" w:color="auto"/>
        <w:right w:val="none" w:sz="0" w:space="0" w:color="auto"/>
      </w:divBdr>
    </w:div>
    <w:div w:id="664016210">
      <w:marLeft w:val="0"/>
      <w:marRight w:val="0"/>
      <w:marTop w:val="0"/>
      <w:marBottom w:val="100"/>
      <w:divBdr>
        <w:top w:val="none" w:sz="0" w:space="0" w:color="auto"/>
        <w:left w:val="none" w:sz="0" w:space="0" w:color="auto"/>
        <w:bottom w:val="none" w:sz="0" w:space="0" w:color="auto"/>
        <w:right w:val="none" w:sz="0" w:space="0" w:color="auto"/>
      </w:divBdr>
    </w:div>
    <w:div w:id="664358689">
      <w:marLeft w:val="0"/>
      <w:marRight w:val="0"/>
      <w:marTop w:val="0"/>
      <w:marBottom w:val="100"/>
      <w:divBdr>
        <w:top w:val="none" w:sz="0" w:space="0" w:color="auto"/>
        <w:left w:val="none" w:sz="0" w:space="0" w:color="auto"/>
        <w:bottom w:val="none" w:sz="0" w:space="0" w:color="auto"/>
        <w:right w:val="none" w:sz="0" w:space="0" w:color="auto"/>
      </w:divBdr>
    </w:div>
    <w:div w:id="664434499">
      <w:marLeft w:val="0"/>
      <w:marRight w:val="0"/>
      <w:marTop w:val="100"/>
      <w:marBottom w:val="100"/>
      <w:divBdr>
        <w:top w:val="none" w:sz="0" w:space="0" w:color="auto"/>
        <w:left w:val="none" w:sz="0" w:space="0" w:color="auto"/>
        <w:bottom w:val="none" w:sz="0" w:space="0" w:color="auto"/>
        <w:right w:val="none" w:sz="0" w:space="0" w:color="auto"/>
      </w:divBdr>
    </w:div>
    <w:div w:id="665086964">
      <w:marLeft w:val="0"/>
      <w:marRight w:val="0"/>
      <w:marTop w:val="0"/>
      <w:marBottom w:val="100"/>
      <w:divBdr>
        <w:top w:val="none" w:sz="0" w:space="0" w:color="auto"/>
        <w:left w:val="none" w:sz="0" w:space="0" w:color="auto"/>
        <w:bottom w:val="none" w:sz="0" w:space="0" w:color="auto"/>
        <w:right w:val="none" w:sz="0" w:space="0" w:color="auto"/>
      </w:divBdr>
    </w:div>
    <w:div w:id="666515570">
      <w:marLeft w:val="0"/>
      <w:marRight w:val="0"/>
      <w:marTop w:val="100"/>
      <w:marBottom w:val="100"/>
      <w:divBdr>
        <w:top w:val="none" w:sz="0" w:space="0" w:color="auto"/>
        <w:left w:val="none" w:sz="0" w:space="0" w:color="auto"/>
        <w:bottom w:val="none" w:sz="0" w:space="0" w:color="auto"/>
        <w:right w:val="none" w:sz="0" w:space="0" w:color="auto"/>
      </w:divBdr>
      <w:divsChild>
        <w:div w:id="377822039">
          <w:marLeft w:val="0"/>
          <w:marRight w:val="0"/>
          <w:marTop w:val="0"/>
          <w:marBottom w:val="0"/>
          <w:divBdr>
            <w:top w:val="none" w:sz="0" w:space="0" w:color="auto"/>
            <w:left w:val="none" w:sz="0" w:space="0" w:color="auto"/>
            <w:bottom w:val="none" w:sz="0" w:space="0" w:color="auto"/>
            <w:right w:val="none" w:sz="0" w:space="0" w:color="auto"/>
          </w:divBdr>
        </w:div>
      </w:divsChild>
    </w:div>
    <w:div w:id="666904747">
      <w:marLeft w:val="0"/>
      <w:marRight w:val="0"/>
      <w:marTop w:val="180"/>
      <w:marBottom w:val="0"/>
      <w:divBdr>
        <w:top w:val="none" w:sz="0" w:space="0" w:color="auto"/>
        <w:left w:val="none" w:sz="0" w:space="0" w:color="auto"/>
        <w:bottom w:val="none" w:sz="0" w:space="0" w:color="auto"/>
        <w:right w:val="none" w:sz="0" w:space="0" w:color="auto"/>
      </w:divBdr>
    </w:div>
    <w:div w:id="667489674">
      <w:marLeft w:val="0"/>
      <w:marRight w:val="0"/>
      <w:marTop w:val="100"/>
      <w:marBottom w:val="100"/>
      <w:divBdr>
        <w:top w:val="none" w:sz="0" w:space="0" w:color="auto"/>
        <w:left w:val="none" w:sz="0" w:space="0" w:color="auto"/>
        <w:bottom w:val="none" w:sz="0" w:space="0" w:color="auto"/>
        <w:right w:val="none" w:sz="0" w:space="0" w:color="auto"/>
      </w:divBdr>
    </w:div>
    <w:div w:id="667899781">
      <w:marLeft w:val="0"/>
      <w:marRight w:val="0"/>
      <w:marTop w:val="0"/>
      <w:marBottom w:val="0"/>
      <w:divBdr>
        <w:top w:val="none" w:sz="0" w:space="0" w:color="auto"/>
        <w:left w:val="none" w:sz="0" w:space="0" w:color="auto"/>
        <w:bottom w:val="none" w:sz="0" w:space="0" w:color="auto"/>
        <w:right w:val="none" w:sz="0" w:space="0" w:color="auto"/>
      </w:divBdr>
    </w:div>
    <w:div w:id="668799153">
      <w:marLeft w:val="0"/>
      <w:marRight w:val="0"/>
      <w:marTop w:val="0"/>
      <w:marBottom w:val="100"/>
      <w:divBdr>
        <w:top w:val="none" w:sz="0" w:space="0" w:color="auto"/>
        <w:left w:val="none" w:sz="0" w:space="0" w:color="auto"/>
        <w:bottom w:val="none" w:sz="0" w:space="0" w:color="auto"/>
        <w:right w:val="none" w:sz="0" w:space="0" w:color="auto"/>
      </w:divBdr>
    </w:div>
    <w:div w:id="669987439">
      <w:marLeft w:val="0"/>
      <w:marRight w:val="0"/>
      <w:marTop w:val="0"/>
      <w:marBottom w:val="100"/>
      <w:divBdr>
        <w:top w:val="none" w:sz="0" w:space="0" w:color="auto"/>
        <w:left w:val="none" w:sz="0" w:space="0" w:color="auto"/>
        <w:bottom w:val="none" w:sz="0" w:space="0" w:color="auto"/>
        <w:right w:val="none" w:sz="0" w:space="0" w:color="auto"/>
      </w:divBdr>
    </w:div>
    <w:div w:id="670062648">
      <w:marLeft w:val="0"/>
      <w:marRight w:val="0"/>
      <w:marTop w:val="0"/>
      <w:marBottom w:val="0"/>
      <w:divBdr>
        <w:top w:val="none" w:sz="0" w:space="0" w:color="auto"/>
        <w:left w:val="none" w:sz="0" w:space="0" w:color="auto"/>
        <w:bottom w:val="none" w:sz="0" w:space="0" w:color="auto"/>
        <w:right w:val="none" w:sz="0" w:space="0" w:color="auto"/>
      </w:divBdr>
    </w:div>
    <w:div w:id="672877158">
      <w:marLeft w:val="0"/>
      <w:marRight w:val="0"/>
      <w:marTop w:val="0"/>
      <w:marBottom w:val="0"/>
      <w:divBdr>
        <w:top w:val="none" w:sz="0" w:space="0" w:color="auto"/>
        <w:left w:val="none" w:sz="0" w:space="0" w:color="auto"/>
        <w:bottom w:val="none" w:sz="0" w:space="0" w:color="auto"/>
        <w:right w:val="none" w:sz="0" w:space="0" w:color="auto"/>
      </w:divBdr>
      <w:divsChild>
        <w:div w:id="1364400921">
          <w:marLeft w:val="0"/>
          <w:marRight w:val="0"/>
          <w:marTop w:val="0"/>
          <w:marBottom w:val="100"/>
          <w:divBdr>
            <w:top w:val="none" w:sz="0" w:space="0" w:color="auto"/>
            <w:left w:val="none" w:sz="0" w:space="0" w:color="auto"/>
            <w:bottom w:val="none" w:sz="0" w:space="0" w:color="auto"/>
            <w:right w:val="none" w:sz="0" w:space="0" w:color="auto"/>
          </w:divBdr>
        </w:div>
      </w:divsChild>
    </w:div>
    <w:div w:id="673650039">
      <w:marLeft w:val="0"/>
      <w:marRight w:val="0"/>
      <w:marTop w:val="0"/>
      <w:marBottom w:val="0"/>
      <w:divBdr>
        <w:top w:val="none" w:sz="0" w:space="0" w:color="auto"/>
        <w:left w:val="none" w:sz="0" w:space="0" w:color="auto"/>
        <w:bottom w:val="none" w:sz="0" w:space="0" w:color="auto"/>
        <w:right w:val="none" w:sz="0" w:space="0" w:color="auto"/>
      </w:divBdr>
      <w:divsChild>
        <w:div w:id="2144738257">
          <w:marLeft w:val="0"/>
          <w:marRight w:val="0"/>
          <w:marTop w:val="0"/>
          <w:marBottom w:val="0"/>
          <w:divBdr>
            <w:top w:val="none" w:sz="0" w:space="0" w:color="auto"/>
            <w:left w:val="none" w:sz="0" w:space="0" w:color="auto"/>
            <w:bottom w:val="none" w:sz="0" w:space="0" w:color="auto"/>
            <w:right w:val="none" w:sz="0" w:space="0" w:color="auto"/>
          </w:divBdr>
          <w:divsChild>
            <w:div w:id="16775350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75117198">
      <w:marLeft w:val="0"/>
      <w:marRight w:val="0"/>
      <w:marTop w:val="0"/>
      <w:marBottom w:val="0"/>
      <w:divBdr>
        <w:top w:val="none" w:sz="0" w:space="0" w:color="auto"/>
        <w:left w:val="none" w:sz="0" w:space="0" w:color="auto"/>
        <w:bottom w:val="none" w:sz="0" w:space="0" w:color="auto"/>
        <w:right w:val="none" w:sz="0" w:space="0" w:color="auto"/>
      </w:divBdr>
    </w:div>
    <w:div w:id="676616045">
      <w:marLeft w:val="0"/>
      <w:marRight w:val="0"/>
      <w:marTop w:val="180"/>
      <w:marBottom w:val="0"/>
      <w:divBdr>
        <w:top w:val="none" w:sz="0" w:space="0" w:color="auto"/>
        <w:left w:val="none" w:sz="0" w:space="0" w:color="auto"/>
        <w:bottom w:val="none" w:sz="0" w:space="0" w:color="auto"/>
        <w:right w:val="none" w:sz="0" w:space="0" w:color="auto"/>
      </w:divBdr>
    </w:div>
    <w:div w:id="676882891">
      <w:marLeft w:val="0"/>
      <w:marRight w:val="0"/>
      <w:marTop w:val="100"/>
      <w:marBottom w:val="100"/>
      <w:divBdr>
        <w:top w:val="none" w:sz="0" w:space="0" w:color="auto"/>
        <w:left w:val="none" w:sz="0" w:space="0" w:color="auto"/>
        <w:bottom w:val="none" w:sz="0" w:space="0" w:color="auto"/>
        <w:right w:val="none" w:sz="0" w:space="0" w:color="auto"/>
      </w:divBdr>
    </w:div>
    <w:div w:id="677733893">
      <w:marLeft w:val="0"/>
      <w:marRight w:val="0"/>
      <w:marTop w:val="100"/>
      <w:marBottom w:val="100"/>
      <w:divBdr>
        <w:top w:val="none" w:sz="0" w:space="0" w:color="auto"/>
        <w:left w:val="none" w:sz="0" w:space="0" w:color="auto"/>
        <w:bottom w:val="none" w:sz="0" w:space="0" w:color="auto"/>
        <w:right w:val="none" w:sz="0" w:space="0" w:color="auto"/>
      </w:divBdr>
    </w:div>
    <w:div w:id="679042385">
      <w:marLeft w:val="0"/>
      <w:marRight w:val="0"/>
      <w:marTop w:val="90"/>
      <w:marBottom w:val="190"/>
      <w:divBdr>
        <w:top w:val="none" w:sz="0" w:space="0" w:color="auto"/>
        <w:left w:val="none" w:sz="0" w:space="0" w:color="auto"/>
        <w:bottom w:val="none" w:sz="0" w:space="0" w:color="auto"/>
        <w:right w:val="none" w:sz="0" w:space="0" w:color="auto"/>
      </w:divBdr>
    </w:div>
    <w:div w:id="679116052">
      <w:marLeft w:val="0"/>
      <w:marRight w:val="0"/>
      <w:marTop w:val="100"/>
      <w:marBottom w:val="100"/>
      <w:divBdr>
        <w:top w:val="none" w:sz="0" w:space="0" w:color="auto"/>
        <w:left w:val="none" w:sz="0" w:space="0" w:color="auto"/>
        <w:bottom w:val="none" w:sz="0" w:space="0" w:color="auto"/>
        <w:right w:val="none" w:sz="0" w:space="0" w:color="auto"/>
      </w:divBdr>
    </w:div>
    <w:div w:id="681706011">
      <w:marLeft w:val="0"/>
      <w:marRight w:val="0"/>
      <w:marTop w:val="0"/>
      <w:marBottom w:val="0"/>
      <w:divBdr>
        <w:top w:val="none" w:sz="0" w:space="0" w:color="auto"/>
        <w:left w:val="none" w:sz="0" w:space="0" w:color="auto"/>
        <w:bottom w:val="none" w:sz="0" w:space="0" w:color="auto"/>
        <w:right w:val="none" w:sz="0" w:space="0" w:color="auto"/>
      </w:divBdr>
    </w:div>
    <w:div w:id="686099180">
      <w:marLeft w:val="0"/>
      <w:marRight w:val="0"/>
      <w:marTop w:val="0"/>
      <w:marBottom w:val="0"/>
      <w:divBdr>
        <w:top w:val="none" w:sz="0" w:space="0" w:color="auto"/>
        <w:left w:val="none" w:sz="0" w:space="0" w:color="auto"/>
        <w:bottom w:val="none" w:sz="0" w:space="0" w:color="auto"/>
        <w:right w:val="none" w:sz="0" w:space="0" w:color="auto"/>
      </w:divBdr>
      <w:divsChild>
        <w:div w:id="1749960426">
          <w:marLeft w:val="0"/>
          <w:marRight w:val="0"/>
          <w:marTop w:val="0"/>
          <w:marBottom w:val="0"/>
          <w:divBdr>
            <w:top w:val="none" w:sz="0" w:space="0" w:color="auto"/>
            <w:left w:val="none" w:sz="0" w:space="0" w:color="auto"/>
            <w:bottom w:val="none" w:sz="0" w:space="0" w:color="auto"/>
            <w:right w:val="none" w:sz="0" w:space="0" w:color="auto"/>
          </w:divBdr>
          <w:divsChild>
            <w:div w:id="138374921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86181027">
      <w:marLeft w:val="0"/>
      <w:marRight w:val="0"/>
      <w:marTop w:val="100"/>
      <w:marBottom w:val="100"/>
      <w:divBdr>
        <w:top w:val="none" w:sz="0" w:space="0" w:color="auto"/>
        <w:left w:val="none" w:sz="0" w:space="0" w:color="auto"/>
        <w:bottom w:val="none" w:sz="0" w:space="0" w:color="auto"/>
        <w:right w:val="none" w:sz="0" w:space="0" w:color="auto"/>
      </w:divBdr>
    </w:div>
    <w:div w:id="687214107">
      <w:marLeft w:val="0"/>
      <w:marRight w:val="0"/>
      <w:marTop w:val="0"/>
      <w:marBottom w:val="100"/>
      <w:divBdr>
        <w:top w:val="none" w:sz="0" w:space="0" w:color="auto"/>
        <w:left w:val="none" w:sz="0" w:space="0" w:color="auto"/>
        <w:bottom w:val="none" w:sz="0" w:space="0" w:color="auto"/>
        <w:right w:val="none" w:sz="0" w:space="0" w:color="auto"/>
      </w:divBdr>
    </w:div>
    <w:div w:id="687409530">
      <w:marLeft w:val="0"/>
      <w:marRight w:val="0"/>
      <w:marTop w:val="0"/>
      <w:marBottom w:val="0"/>
      <w:divBdr>
        <w:top w:val="none" w:sz="0" w:space="0" w:color="auto"/>
        <w:left w:val="none" w:sz="0" w:space="0" w:color="auto"/>
        <w:bottom w:val="none" w:sz="0" w:space="0" w:color="auto"/>
        <w:right w:val="none" w:sz="0" w:space="0" w:color="auto"/>
      </w:divBdr>
    </w:div>
    <w:div w:id="687483971">
      <w:marLeft w:val="0"/>
      <w:marRight w:val="0"/>
      <w:marTop w:val="0"/>
      <w:marBottom w:val="0"/>
      <w:divBdr>
        <w:top w:val="none" w:sz="0" w:space="0" w:color="auto"/>
        <w:left w:val="none" w:sz="0" w:space="0" w:color="auto"/>
        <w:bottom w:val="none" w:sz="0" w:space="0" w:color="auto"/>
        <w:right w:val="none" w:sz="0" w:space="0" w:color="auto"/>
      </w:divBdr>
      <w:divsChild>
        <w:div w:id="26416394">
          <w:marLeft w:val="0"/>
          <w:marRight w:val="0"/>
          <w:marTop w:val="0"/>
          <w:marBottom w:val="100"/>
          <w:divBdr>
            <w:top w:val="none" w:sz="0" w:space="0" w:color="auto"/>
            <w:left w:val="none" w:sz="0" w:space="0" w:color="auto"/>
            <w:bottom w:val="none" w:sz="0" w:space="0" w:color="auto"/>
            <w:right w:val="none" w:sz="0" w:space="0" w:color="auto"/>
          </w:divBdr>
        </w:div>
      </w:divsChild>
    </w:div>
    <w:div w:id="690031361">
      <w:marLeft w:val="0"/>
      <w:marRight w:val="0"/>
      <w:marTop w:val="0"/>
      <w:marBottom w:val="100"/>
      <w:divBdr>
        <w:top w:val="none" w:sz="0" w:space="0" w:color="auto"/>
        <w:left w:val="none" w:sz="0" w:space="0" w:color="auto"/>
        <w:bottom w:val="none" w:sz="0" w:space="0" w:color="auto"/>
        <w:right w:val="none" w:sz="0" w:space="0" w:color="auto"/>
      </w:divBdr>
    </w:div>
    <w:div w:id="690183267">
      <w:marLeft w:val="0"/>
      <w:marRight w:val="0"/>
      <w:marTop w:val="100"/>
      <w:marBottom w:val="100"/>
      <w:divBdr>
        <w:top w:val="none" w:sz="0" w:space="0" w:color="auto"/>
        <w:left w:val="none" w:sz="0" w:space="0" w:color="auto"/>
        <w:bottom w:val="none" w:sz="0" w:space="0" w:color="auto"/>
        <w:right w:val="none" w:sz="0" w:space="0" w:color="auto"/>
      </w:divBdr>
    </w:div>
    <w:div w:id="691960417">
      <w:marLeft w:val="0"/>
      <w:marRight w:val="0"/>
      <w:marTop w:val="180"/>
      <w:marBottom w:val="0"/>
      <w:divBdr>
        <w:top w:val="none" w:sz="0" w:space="0" w:color="auto"/>
        <w:left w:val="none" w:sz="0" w:space="0" w:color="auto"/>
        <w:bottom w:val="none" w:sz="0" w:space="0" w:color="auto"/>
        <w:right w:val="none" w:sz="0" w:space="0" w:color="auto"/>
      </w:divBdr>
    </w:div>
    <w:div w:id="692193459">
      <w:marLeft w:val="0"/>
      <w:marRight w:val="0"/>
      <w:marTop w:val="0"/>
      <w:marBottom w:val="180"/>
      <w:divBdr>
        <w:top w:val="none" w:sz="0" w:space="0" w:color="auto"/>
        <w:left w:val="none" w:sz="0" w:space="0" w:color="auto"/>
        <w:bottom w:val="none" w:sz="0" w:space="0" w:color="auto"/>
        <w:right w:val="none" w:sz="0" w:space="0" w:color="auto"/>
      </w:divBdr>
    </w:div>
    <w:div w:id="692877217">
      <w:marLeft w:val="0"/>
      <w:marRight w:val="0"/>
      <w:marTop w:val="100"/>
      <w:marBottom w:val="100"/>
      <w:divBdr>
        <w:top w:val="none" w:sz="0" w:space="0" w:color="auto"/>
        <w:left w:val="none" w:sz="0" w:space="0" w:color="auto"/>
        <w:bottom w:val="none" w:sz="0" w:space="0" w:color="auto"/>
        <w:right w:val="none" w:sz="0" w:space="0" w:color="auto"/>
      </w:divBdr>
    </w:div>
    <w:div w:id="696083004">
      <w:marLeft w:val="0"/>
      <w:marRight w:val="0"/>
      <w:marTop w:val="0"/>
      <w:marBottom w:val="100"/>
      <w:divBdr>
        <w:top w:val="none" w:sz="0" w:space="0" w:color="auto"/>
        <w:left w:val="none" w:sz="0" w:space="0" w:color="auto"/>
        <w:bottom w:val="none" w:sz="0" w:space="0" w:color="auto"/>
        <w:right w:val="none" w:sz="0" w:space="0" w:color="auto"/>
      </w:divBdr>
    </w:div>
    <w:div w:id="696780756">
      <w:marLeft w:val="0"/>
      <w:marRight w:val="0"/>
      <w:marTop w:val="100"/>
      <w:marBottom w:val="100"/>
      <w:divBdr>
        <w:top w:val="none" w:sz="0" w:space="0" w:color="auto"/>
        <w:left w:val="none" w:sz="0" w:space="0" w:color="auto"/>
        <w:bottom w:val="none" w:sz="0" w:space="0" w:color="auto"/>
        <w:right w:val="none" w:sz="0" w:space="0" w:color="auto"/>
      </w:divBdr>
      <w:divsChild>
        <w:div w:id="632253601">
          <w:marLeft w:val="0"/>
          <w:marRight w:val="0"/>
          <w:marTop w:val="0"/>
          <w:marBottom w:val="0"/>
          <w:divBdr>
            <w:top w:val="none" w:sz="0" w:space="0" w:color="auto"/>
            <w:left w:val="none" w:sz="0" w:space="0" w:color="auto"/>
            <w:bottom w:val="none" w:sz="0" w:space="0" w:color="auto"/>
            <w:right w:val="none" w:sz="0" w:space="0" w:color="auto"/>
          </w:divBdr>
        </w:div>
        <w:div w:id="2117433510">
          <w:marLeft w:val="0"/>
          <w:marRight w:val="0"/>
          <w:marTop w:val="0"/>
          <w:marBottom w:val="0"/>
          <w:divBdr>
            <w:top w:val="none" w:sz="0" w:space="0" w:color="auto"/>
            <w:left w:val="none" w:sz="0" w:space="0" w:color="auto"/>
            <w:bottom w:val="none" w:sz="0" w:space="0" w:color="auto"/>
            <w:right w:val="none" w:sz="0" w:space="0" w:color="auto"/>
          </w:divBdr>
        </w:div>
        <w:div w:id="317464586">
          <w:marLeft w:val="0"/>
          <w:marRight w:val="0"/>
          <w:marTop w:val="0"/>
          <w:marBottom w:val="0"/>
          <w:divBdr>
            <w:top w:val="none" w:sz="0" w:space="0" w:color="auto"/>
            <w:left w:val="none" w:sz="0" w:space="0" w:color="auto"/>
            <w:bottom w:val="none" w:sz="0" w:space="0" w:color="auto"/>
            <w:right w:val="none" w:sz="0" w:space="0" w:color="auto"/>
          </w:divBdr>
        </w:div>
        <w:div w:id="908854353">
          <w:marLeft w:val="0"/>
          <w:marRight w:val="0"/>
          <w:marTop w:val="0"/>
          <w:marBottom w:val="0"/>
          <w:divBdr>
            <w:top w:val="none" w:sz="0" w:space="0" w:color="auto"/>
            <w:left w:val="none" w:sz="0" w:space="0" w:color="auto"/>
            <w:bottom w:val="none" w:sz="0" w:space="0" w:color="auto"/>
            <w:right w:val="none" w:sz="0" w:space="0" w:color="auto"/>
          </w:divBdr>
        </w:div>
        <w:div w:id="818038454">
          <w:marLeft w:val="0"/>
          <w:marRight w:val="0"/>
          <w:marTop w:val="0"/>
          <w:marBottom w:val="0"/>
          <w:divBdr>
            <w:top w:val="none" w:sz="0" w:space="0" w:color="auto"/>
            <w:left w:val="none" w:sz="0" w:space="0" w:color="auto"/>
            <w:bottom w:val="none" w:sz="0" w:space="0" w:color="auto"/>
            <w:right w:val="none" w:sz="0" w:space="0" w:color="auto"/>
          </w:divBdr>
        </w:div>
        <w:div w:id="1375082495">
          <w:marLeft w:val="0"/>
          <w:marRight w:val="0"/>
          <w:marTop w:val="0"/>
          <w:marBottom w:val="0"/>
          <w:divBdr>
            <w:top w:val="none" w:sz="0" w:space="0" w:color="auto"/>
            <w:left w:val="none" w:sz="0" w:space="0" w:color="auto"/>
            <w:bottom w:val="none" w:sz="0" w:space="0" w:color="auto"/>
            <w:right w:val="none" w:sz="0" w:space="0" w:color="auto"/>
          </w:divBdr>
        </w:div>
      </w:divsChild>
    </w:div>
    <w:div w:id="696782978">
      <w:marLeft w:val="0"/>
      <w:marRight w:val="0"/>
      <w:marTop w:val="100"/>
      <w:marBottom w:val="100"/>
      <w:divBdr>
        <w:top w:val="none" w:sz="0" w:space="0" w:color="auto"/>
        <w:left w:val="none" w:sz="0" w:space="0" w:color="auto"/>
        <w:bottom w:val="none" w:sz="0" w:space="0" w:color="auto"/>
        <w:right w:val="none" w:sz="0" w:space="0" w:color="auto"/>
      </w:divBdr>
    </w:div>
    <w:div w:id="697776482">
      <w:marLeft w:val="0"/>
      <w:marRight w:val="0"/>
      <w:marTop w:val="100"/>
      <w:marBottom w:val="100"/>
      <w:divBdr>
        <w:top w:val="none" w:sz="0" w:space="0" w:color="auto"/>
        <w:left w:val="none" w:sz="0" w:space="0" w:color="auto"/>
        <w:bottom w:val="none" w:sz="0" w:space="0" w:color="auto"/>
        <w:right w:val="none" w:sz="0" w:space="0" w:color="auto"/>
      </w:divBdr>
    </w:div>
    <w:div w:id="698090078">
      <w:marLeft w:val="0"/>
      <w:marRight w:val="0"/>
      <w:marTop w:val="0"/>
      <w:marBottom w:val="0"/>
      <w:divBdr>
        <w:top w:val="none" w:sz="0" w:space="0" w:color="auto"/>
        <w:left w:val="none" w:sz="0" w:space="0" w:color="auto"/>
        <w:bottom w:val="none" w:sz="0" w:space="0" w:color="auto"/>
        <w:right w:val="none" w:sz="0" w:space="0" w:color="auto"/>
      </w:divBdr>
      <w:divsChild>
        <w:div w:id="1934699761">
          <w:marLeft w:val="0"/>
          <w:marRight w:val="0"/>
          <w:marTop w:val="0"/>
          <w:marBottom w:val="100"/>
          <w:divBdr>
            <w:top w:val="none" w:sz="0" w:space="0" w:color="auto"/>
            <w:left w:val="none" w:sz="0" w:space="0" w:color="auto"/>
            <w:bottom w:val="none" w:sz="0" w:space="0" w:color="auto"/>
            <w:right w:val="none" w:sz="0" w:space="0" w:color="auto"/>
          </w:divBdr>
        </w:div>
      </w:divsChild>
    </w:div>
    <w:div w:id="699939920">
      <w:marLeft w:val="0"/>
      <w:marRight w:val="0"/>
      <w:marTop w:val="180"/>
      <w:marBottom w:val="100"/>
      <w:divBdr>
        <w:top w:val="none" w:sz="0" w:space="0" w:color="auto"/>
        <w:left w:val="none" w:sz="0" w:space="0" w:color="auto"/>
        <w:bottom w:val="none" w:sz="0" w:space="0" w:color="auto"/>
        <w:right w:val="none" w:sz="0" w:space="0" w:color="auto"/>
      </w:divBdr>
    </w:div>
    <w:div w:id="700711999">
      <w:marLeft w:val="0"/>
      <w:marRight w:val="0"/>
      <w:marTop w:val="180"/>
      <w:marBottom w:val="100"/>
      <w:divBdr>
        <w:top w:val="none" w:sz="0" w:space="0" w:color="auto"/>
        <w:left w:val="none" w:sz="0" w:space="0" w:color="auto"/>
        <w:bottom w:val="none" w:sz="0" w:space="0" w:color="auto"/>
        <w:right w:val="none" w:sz="0" w:space="0" w:color="auto"/>
      </w:divBdr>
      <w:divsChild>
        <w:div w:id="786628913">
          <w:marLeft w:val="0"/>
          <w:marRight w:val="0"/>
          <w:marTop w:val="0"/>
          <w:marBottom w:val="0"/>
          <w:divBdr>
            <w:top w:val="none" w:sz="0" w:space="0" w:color="auto"/>
            <w:left w:val="none" w:sz="0" w:space="0" w:color="auto"/>
            <w:bottom w:val="none" w:sz="0" w:space="0" w:color="auto"/>
            <w:right w:val="none" w:sz="0" w:space="0" w:color="auto"/>
          </w:divBdr>
        </w:div>
        <w:div w:id="1098717949">
          <w:marLeft w:val="0"/>
          <w:marRight w:val="0"/>
          <w:marTop w:val="0"/>
          <w:marBottom w:val="0"/>
          <w:divBdr>
            <w:top w:val="none" w:sz="0" w:space="0" w:color="auto"/>
            <w:left w:val="none" w:sz="0" w:space="0" w:color="auto"/>
            <w:bottom w:val="none" w:sz="0" w:space="0" w:color="auto"/>
            <w:right w:val="none" w:sz="0" w:space="0" w:color="auto"/>
          </w:divBdr>
        </w:div>
        <w:div w:id="1718621540">
          <w:marLeft w:val="0"/>
          <w:marRight w:val="0"/>
          <w:marTop w:val="0"/>
          <w:marBottom w:val="0"/>
          <w:divBdr>
            <w:top w:val="none" w:sz="0" w:space="0" w:color="auto"/>
            <w:left w:val="none" w:sz="0" w:space="0" w:color="auto"/>
            <w:bottom w:val="none" w:sz="0" w:space="0" w:color="auto"/>
            <w:right w:val="none" w:sz="0" w:space="0" w:color="auto"/>
          </w:divBdr>
        </w:div>
        <w:div w:id="845480825">
          <w:marLeft w:val="0"/>
          <w:marRight w:val="0"/>
          <w:marTop w:val="0"/>
          <w:marBottom w:val="0"/>
          <w:divBdr>
            <w:top w:val="none" w:sz="0" w:space="0" w:color="auto"/>
            <w:left w:val="none" w:sz="0" w:space="0" w:color="auto"/>
            <w:bottom w:val="none" w:sz="0" w:space="0" w:color="auto"/>
            <w:right w:val="none" w:sz="0" w:space="0" w:color="auto"/>
          </w:divBdr>
        </w:div>
        <w:div w:id="904295740">
          <w:marLeft w:val="0"/>
          <w:marRight w:val="0"/>
          <w:marTop w:val="0"/>
          <w:marBottom w:val="0"/>
          <w:divBdr>
            <w:top w:val="none" w:sz="0" w:space="0" w:color="auto"/>
            <w:left w:val="none" w:sz="0" w:space="0" w:color="auto"/>
            <w:bottom w:val="none" w:sz="0" w:space="0" w:color="auto"/>
            <w:right w:val="none" w:sz="0" w:space="0" w:color="auto"/>
          </w:divBdr>
        </w:div>
        <w:div w:id="721103391">
          <w:marLeft w:val="0"/>
          <w:marRight w:val="0"/>
          <w:marTop w:val="0"/>
          <w:marBottom w:val="0"/>
          <w:divBdr>
            <w:top w:val="none" w:sz="0" w:space="0" w:color="auto"/>
            <w:left w:val="none" w:sz="0" w:space="0" w:color="auto"/>
            <w:bottom w:val="none" w:sz="0" w:space="0" w:color="auto"/>
            <w:right w:val="none" w:sz="0" w:space="0" w:color="auto"/>
          </w:divBdr>
        </w:div>
        <w:div w:id="1779837762">
          <w:marLeft w:val="0"/>
          <w:marRight w:val="0"/>
          <w:marTop w:val="0"/>
          <w:marBottom w:val="0"/>
          <w:divBdr>
            <w:top w:val="none" w:sz="0" w:space="0" w:color="auto"/>
            <w:left w:val="none" w:sz="0" w:space="0" w:color="auto"/>
            <w:bottom w:val="none" w:sz="0" w:space="0" w:color="auto"/>
            <w:right w:val="none" w:sz="0" w:space="0" w:color="auto"/>
          </w:divBdr>
        </w:div>
        <w:div w:id="427694663">
          <w:marLeft w:val="0"/>
          <w:marRight w:val="0"/>
          <w:marTop w:val="0"/>
          <w:marBottom w:val="0"/>
          <w:divBdr>
            <w:top w:val="none" w:sz="0" w:space="0" w:color="auto"/>
            <w:left w:val="none" w:sz="0" w:space="0" w:color="auto"/>
            <w:bottom w:val="none" w:sz="0" w:space="0" w:color="auto"/>
            <w:right w:val="none" w:sz="0" w:space="0" w:color="auto"/>
          </w:divBdr>
        </w:div>
        <w:div w:id="490027381">
          <w:marLeft w:val="0"/>
          <w:marRight w:val="0"/>
          <w:marTop w:val="0"/>
          <w:marBottom w:val="0"/>
          <w:divBdr>
            <w:top w:val="none" w:sz="0" w:space="0" w:color="auto"/>
            <w:left w:val="none" w:sz="0" w:space="0" w:color="auto"/>
            <w:bottom w:val="none" w:sz="0" w:space="0" w:color="auto"/>
            <w:right w:val="none" w:sz="0" w:space="0" w:color="auto"/>
          </w:divBdr>
        </w:div>
        <w:div w:id="1286041608">
          <w:marLeft w:val="0"/>
          <w:marRight w:val="0"/>
          <w:marTop w:val="0"/>
          <w:marBottom w:val="0"/>
          <w:divBdr>
            <w:top w:val="none" w:sz="0" w:space="0" w:color="auto"/>
            <w:left w:val="none" w:sz="0" w:space="0" w:color="auto"/>
            <w:bottom w:val="none" w:sz="0" w:space="0" w:color="auto"/>
            <w:right w:val="none" w:sz="0" w:space="0" w:color="auto"/>
          </w:divBdr>
        </w:div>
        <w:div w:id="179391437">
          <w:marLeft w:val="0"/>
          <w:marRight w:val="0"/>
          <w:marTop w:val="0"/>
          <w:marBottom w:val="0"/>
          <w:divBdr>
            <w:top w:val="none" w:sz="0" w:space="0" w:color="auto"/>
            <w:left w:val="none" w:sz="0" w:space="0" w:color="auto"/>
            <w:bottom w:val="none" w:sz="0" w:space="0" w:color="auto"/>
            <w:right w:val="none" w:sz="0" w:space="0" w:color="auto"/>
          </w:divBdr>
        </w:div>
        <w:div w:id="383870818">
          <w:marLeft w:val="0"/>
          <w:marRight w:val="0"/>
          <w:marTop w:val="0"/>
          <w:marBottom w:val="0"/>
          <w:divBdr>
            <w:top w:val="none" w:sz="0" w:space="0" w:color="auto"/>
            <w:left w:val="none" w:sz="0" w:space="0" w:color="auto"/>
            <w:bottom w:val="none" w:sz="0" w:space="0" w:color="auto"/>
            <w:right w:val="none" w:sz="0" w:space="0" w:color="auto"/>
          </w:divBdr>
        </w:div>
        <w:div w:id="1052314635">
          <w:marLeft w:val="0"/>
          <w:marRight w:val="0"/>
          <w:marTop w:val="0"/>
          <w:marBottom w:val="0"/>
          <w:divBdr>
            <w:top w:val="none" w:sz="0" w:space="0" w:color="auto"/>
            <w:left w:val="none" w:sz="0" w:space="0" w:color="auto"/>
            <w:bottom w:val="none" w:sz="0" w:space="0" w:color="auto"/>
            <w:right w:val="none" w:sz="0" w:space="0" w:color="auto"/>
          </w:divBdr>
        </w:div>
      </w:divsChild>
    </w:div>
    <w:div w:id="700936158">
      <w:marLeft w:val="0"/>
      <w:marRight w:val="0"/>
      <w:marTop w:val="180"/>
      <w:marBottom w:val="100"/>
      <w:divBdr>
        <w:top w:val="none" w:sz="0" w:space="0" w:color="auto"/>
        <w:left w:val="none" w:sz="0" w:space="0" w:color="auto"/>
        <w:bottom w:val="none" w:sz="0" w:space="0" w:color="auto"/>
        <w:right w:val="none" w:sz="0" w:space="0" w:color="auto"/>
      </w:divBdr>
    </w:div>
    <w:div w:id="703867820">
      <w:marLeft w:val="0"/>
      <w:marRight w:val="0"/>
      <w:marTop w:val="100"/>
      <w:marBottom w:val="100"/>
      <w:divBdr>
        <w:top w:val="none" w:sz="0" w:space="0" w:color="auto"/>
        <w:left w:val="none" w:sz="0" w:space="0" w:color="auto"/>
        <w:bottom w:val="none" w:sz="0" w:space="0" w:color="auto"/>
        <w:right w:val="none" w:sz="0" w:space="0" w:color="auto"/>
      </w:divBdr>
    </w:div>
    <w:div w:id="706026820">
      <w:marLeft w:val="0"/>
      <w:marRight w:val="0"/>
      <w:marTop w:val="0"/>
      <w:marBottom w:val="0"/>
      <w:divBdr>
        <w:top w:val="none" w:sz="0" w:space="0" w:color="auto"/>
        <w:left w:val="none" w:sz="0" w:space="0" w:color="auto"/>
        <w:bottom w:val="none" w:sz="0" w:space="0" w:color="auto"/>
        <w:right w:val="none" w:sz="0" w:space="0" w:color="auto"/>
      </w:divBdr>
    </w:div>
    <w:div w:id="706682297">
      <w:marLeft w:val="0"/>
      <w:marRight w:val="0"/>
      <w:marTop w:val="100"/>
      <w:marBottom w:val="100"/>
      <w:divBdr>
        <w:top w:val="none" w:sz="0" w:space="0" w:color="auto"/>
        <w:left w:val="none" w:sz="0" w:space="0" w:color="auto"/>
        <w:bottom w:val="none" w:sz="0" w:space="0" w:color="auto"/>
        <w:right w:val="none" w:sz="0" w:space="0" w:color="auto"/>
      </w:divBdr>
    </w:div>
    <w:div w:id="707946724">
      <w:marLeft w:val="0"/>
      <w:marRight w:val="0"/>
      <w:marTop w:val="0"/>
      <w:marBottom w:val="0"/>
      <w:divBdr>
        <w:top w:val="none" w:sz="0" w:space="0" w:color="auto"/>
        <w:left w:val="none" w:sz="0" w:space="0" w:color="auto"/>
        <w:bottom w:val="none" w:sz="0" w:space="0" w:color="auto"/>
        <w:right w:val="none" w:sz="0" w:space="0" w:color="auto"/>
      </w:divBdr>
      <w:divsChild>
        <w:div w:id="1439375036">
          <w:marLeft w:val="0"/>
          <w:marRight w:val="0"/>
          <w:marTop w:val="0"/>
          <w:marBottom w:val="100"/>
          <w:divBdr>
            <w:top w:val="none" w:sz="0" w:space="0" w:color="auto"/>
            <w:left w:val="none" w:sz="0" w:space="0" w:color="auto"/>
            <w:bottom w:val="none" w:sz="0" w:space="0" w:color="auto"/>
            <w:right w:val="none" w:sz="0" w:space="0" w:color="auto"/>
          </w:divBdr>
        </w:div>
      </w:divsChild>
    </w:div>
    <w:div w:id="710610991">
      <w:marLeft w:val="0"/>
      <w:marRight w:val="0"/>
      <w:marTop w:val="0"/>
      <w:marBottom w:val="0"/>
      <w:divBdr>
        <w:top w:val="none" w:sz="0" w:space="0" w:color="auto"/>
        <w:left w:val="none" w:sz="0" w:space="0" w:color="auto"/>
        <w:bottom w:val="none" w:sz="0" w:space="0" w:color="auto"/>
        <w:right w:val="none" w:sz="0" w:space="0" w:color="auto"/>
      </w:divBdr>
      <w:divsChild>
        <w:div w:id="1915889444">
          <w:marLeft w:val="0"/>
          <w:marRight w:val="0"/>
          <w:marTop w:val="0"/>
          <w:marBottom w:val="100"/>
          <w:divBdr>
            <w:top w:val="none" w:sz="0" w:space="0" w:color="auto"/>
            <w:left w:val="none" w:sz="0" w:space="0" w:color="auto"/>
            <w:bottom w:val="none" w:sz="0" w:space="0" w:color="auto"/>
            <w:right w:val="none" w:sz="0" w:space="0" w:color="auto"/>
          </w:divBdr>
        </w:div>
      </w:divsChild>
    </w:div>
    <w:div w:id="711854303">
      <w:marLeft w:val="0"/>
      <w:marRight w:val="0"/>
      <w:marTop w:val="0"/>
      <w:marBottom w:val="100"/>
      <w:divBdr>
        <w:top w:val="none" w:sz="0" w:space="0" w:color="auto"/>
        <w:left w:val="none" w:sz="0" w:space="0" w:color="auto"/>
        <w:bottom w:val="none" w:sz="0" w:space="0" w:color="auto"/>
        <w:right w:val="none" w:sz="0" w:space="0" w:color="auto"/>
      </w:divBdr>
    </w:div>
    <w:div w:id="711996604">
      <w:marLeft w:val="0"/>
      <w:marRight w:val="0"/>
      <w:marTop w:val="0"/>
      <w:marBottom w:val="0"/>
      <w:divBdr>
        <w:top w:val="none" w:sz="0" w:space="0" w:color="auto"/>
        <w:left w:val="none" w:sz="0" w:space="0" w:color="auto"/>
        <w:bottom w:val="none" w:sz="0" w:space="0" w:color="auto"/>
        <w:right w:val="none" w:sz="0" w:space="0" w:color="auto"/>
      </w:divBdr>
      <w:divsChild>
        <w:div w:id="365563059">
          <w:marLeft w:val="0"/>
          <w:marRight w:val="0"/>
          <w:marTop w:val="0"/>
          <w:marBottom w:val="100"/>
          <w:divBdr>
            <w:top w:val="none" w:sz="0" w:space="0" w:color="auto"/>
            <w:left w:val="none" w:sz="0" w:space="0" w:color="auto"/>
            <w:bottom w:val="none" w:sz="0" w:space="0" w:color="auto"/>
            <w:right w:val="none" w:sz="0" w:space="0" w:color="auto"/>
          </w:divBdr>
        </w:div>
      </w:divsChild>
    </w:div>
    <w:div w:id="715857497">
      <w:marLeft w:val="0"/>
      <w:marRight w:val="0"/>
      <w:marTop w:val="0"/>
      <w:marBottom w:val="0"/>
      <w:divBdr>
        <w:top w:val="none" w:sz="0" w:space="0" w:color="auto"/>
        <w:left w:val="none" w:sz="0" w:space="0" w:color="auto"/>
        <w:bottom w:val="none" w:sz="0" w:space="0" w:color="auto"/>
        <w:right w:val="none" w:sz="0" w:space="0" w:color="auto"/>
      </w:divBdr>
      <w:divsChild>
        <w:div w:id="1694191549">
          <w:marLeft w:val="0"/>
          <w:marRight w:val="0"/>
          <w:marTop w:val="0"/>
          <w:marBottom w:val="100"/>
          <w:divBdr>
            <w:top w:val="none" w:sz="0" w:space="0" w:color="auto"/>
            <w:left w:val="none" w:sz="0" w:space="0" w:color="auto"/>
            <w:bottom w:val="none" w:sz="0" w:space="0" w:color="auto"/>
            <w:right w:val="none" w:sz="0" w:space="0" w:color="auto"/>
          </w:divBdr>
        </w:div>
      </w:divsChild>
    </w:div>
    <w:div w:id="717826933">
      <w:marLeft w:val="0"/>
      <w:marRight w:val="0"/>
      <w:marTop w:val="100"/>
      <w:marBottom w:val="100"/>
      <w:divBdr>
        <w:top w:val="none" w:sz="0" w:space="0" w:color="auto"/>
        <w:left w:val="none" w:sz="0" w:space="0" w:color="auto"/>
        <w:bottom w:val="none" w:sz="0" w:space="0" w:color="auto"/>
        <w:right w:val="none" w:sz="0" w:space="0" w:color="auto"/>
      </w:divBdr>
    </w:div>
    <w:div w:id="718087141">
      <w:marLeft w:val="0"/>
      <w:marRight w:val="0"/>
      <w:marTop w:val="0"/>
      <w:marBottom w:val="0"/>
      <w:divBdr>
        <w:top w:val="none" w:sz="0" w:space="0" w:color="auto"/>
        <w:left w:val="none" w:sz="0" w:space="0" w:color="auto"/>
        <w:bottom w:val="none" w:sz="0" w:space="0" w:color="auto"/>
        <w:right w:val="none" w:sz="0" w:space="0" w:color="auto"/>
      </w:divBdr>
      <w:divsChild>
        <w:div w:id="322391310">
          <w:marLeft w:val="0"/>
          <w:marRight w:val="0"/>
          <w:marTop w:val="0"/>
          <w:marBottom w:val="100"/>
          <w:divBdr>
            <w:top w:val="none" w:sz="0" w:space="0" w:color="auto"/>
            <w:left w:val="none" w:sz="0" w:space="0" w:color="auto"/>
            <w:bottom w:val="none" w:sz="0" w:space="0" w:color="auto"/>
            <w:right w:val="none" w:sz="0" w:space="0" w:color="auto"/>
          </w:divBdr>
        </w:div>
      </w:divsChild>
    </w:div>
    <w:div w:id="720060080">
      <w:marLeft w:val="0"/>
      <w:marRight w:val="0"/>
      <w:marTop w:val="180"/>
      <w:marBottom w:val="0"/>
      <w:divBdr>
        <w:top w:val="none" w:sz="0" w:space="0" w:color="auto"/>
        <w:left w:val="none" w:sz="0" w:space="0" w:color="auto"/>
        <w:bottom w:val="none" w:sz="0" w:space="0" w:color="auto"/>
        <w:right w:val="none" w:sz="0" w:space="0" w:color="auto"/>
      </w:divBdr>
    </w:div>
    <w:div w:id="721247525">
      <w:marLeft w:val="0"/>
      <w:marRight w:val="0"/>
      <w:marTop w:val="100"/>
      <w:marBottom w:val="100"/>
      <w:divBdr>
        <w:top w:val="none" w:sz="0" w:space="0" w:color="auto"/>
        <w:left w:val="none" w:sz="0" w:space="0" w:color="auto"/>
        <w:bottom w:val="none" w:sz="0" w:space="0" w:color="auto"/>
        <w:right w:val="none" w:sz="0" w:space="0" w:color="auto"/>
      </w:divBdr>
    </w:div>
    <w:div w:id="721290285">
      <w:marLeft w:val="0"/>
      <w:marRight w:val="0"/>
      <w:marTop w:val="0"/>
      <w:marBottom w:val="0"/>
      <w:divBdr>
        <w:top w:val="none" w:sz="0" w:space="0" w:color="auto"/>
        <w:left w:val="none" w:sz="0" w:space="0" w:color="auto"/>
        <w:bottom w:val="none" w:sz="0" w:space="0" w:color="auto"/>
        <w:right w:val="none" w:sz="0" w:space="0" w:color="auto"/>
      </w:divBdr>
    </w:div>
    <w:div w:id="721640474">
      <w:marLeft w:val="0"/>
      <w:marRight w:val="0"/>
      <w:marTop w:val="100"/>
      <w:marBottom w:val="100"/>
      <w:divBdr>
        <w:top w:val="none" w:sz="0" w:space="0" w:color="auto"/>
        <w:left w:val="none" w:sz="0" w:space="0" w:color="auto"/>
        <w:bottom w:val="none" w:sz="0" w:space="0" w:color="auto"/>
        <w:right w:val="none" w:sz="0" w:space="0" w:color="auto"/>
      </w:divBdr>
    </w:div>
    <w:div w:id="722486581">
      <w:marLeft w:val="0"/>
      <w:marRight w:val="0"/>
      <w:marTop w:val="0"/>
      <w:marBottom w:val="0"/>
      <w:divBdr>
        <w:top w:val="none" w:sz="0" w:space="0" w:color="auto"/>
        <w:left w:val="none" w:sz="0" w:space="0" w:color="auto"/>
        <w:bottom w:val="none" w:sz="0" w:space="0" w:color="auto"/>
        <w:right w:val="none" w:sz="0" w:space="0" w:color="auto"/>
      </w:divBdr>
    </w:div>
    <w:div w:id="724912814">
      <w:marLeft w:val="0"/>
      <w:marRight w:val="0"/>
      <w:marTop w:val="0"/>
      <w:marBottom w:val="100"/>
      <w:divBdr>
        <w:top w:val="none" w:sz="0" w:space="0" w:color="auto"/>
        <w:left w:val="none" w:sz="0" w:space="0" w:color="auto"/>
        <w:bottom w:val="none" w:sz="0" w:space="0" w:color="auto"/>
        <w:right w:val="none" w:sz="0" w:space="0" w:color="auto"/>
      </w:divBdr>
    </w:div>
    <w:div w:id="725571848">
      <w:marLeft w:val="0"/>
      <w:marRight w:val="0"/>
      <w:marTop w:val="0"/>
      <w:marBottom w:val="0"/>
      <w:divBdr>
        <w:top w:val="none" w:sz="0" w:space="0" w:color="auto"/>
        <w:left w:val="none" w:sz="0" w:space="0" w:color="auto"/>
        <w:bottom w:val="none" w:sz="0" w:space="0" w:color="auto"/>
        <w:right w:val="none" w:sz="0" w:space="0" w:color="auto"/>
      </w:divBdr>
    </w:div>
    <w:div w:id="726882343">
      <w:marLeft w:val="0"/>
      <w:marRight w:val="0"/>
      <w:marTop w:val="180"/>
      <w:marBottom w:val="0"/>
      <w:divBdr>
        <w:top w:val="none" w:sz="0" w:space="0" w:color="auto"/>
        <w:left w:val="none" w:sz="0" w:space="0" w:color="auto"/>
        <w:bottom w:val="none" w:sz="0" w:space="0" w:color="auto"/>
        <w:right w:val="none" w:sz="0" w:space="0" w:color="auto"/>
      </w:divBdr>
    </w:div>
    <w:div w:id="728727546">
      <w:marLeft w:val="0"/>
      <w:marRight w:val="0"/>
      <w:marTop w:val="0"/>
      <w:marBottom w:val="0"/>
      <w:divBdr>
        <w:top w:val="none" w:sz="0" w:space="0" w:color="auto"/>
        <w:left w:val="none" w:sz="0" w:space="0" w:color="auto"/>
        <w:bottom w:val="none" w:sz="0" w:space="0" w:color="auto"/>
        <w:right w:val="none" w:sz="0" w:space="0" w:color="auto"/>
      </w:divBdr>
      <w:divsChild>
        <w:div w:id="317269890">
          <w:marLeft w:val="0"/>
          <w:marRight w:val="0"/>
          <w:marTop w:val="0"/>
          <w:marBottom w:val="0"/>
          <w:divBdr>
            <w:top w:val="none" w:sz="0" w:space="0" w:color="auto"/>
            <w:left w:val="none" w:sz="0" w:space="0" w:color="auto"/>
            <w:bottom w:val="none" w:sz="0" w:space="0" w:color="auto"/>
            <w:right w:val="none" w:sz="0" w:space="0" w:color="auto"/>
          </w:divBdr>
          <w:divsChild>
            <w:div w:id="3173428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28962559">
      <w:marLeft w:val="0"/>
      <w:marRight w:val="0"/>
      <w:marTop w:val="180"/>
      <w:marBottom w:val="0"/>
      <w:divBdr>
        <w:top w:val="none" w:sz="0" w:space="0" w:color="auto"/>
        <w:left w:val="none" w:sz="0" w:space="0" w:color="auto"/>
        <w:bottom w:val="none" w:sz="0" w:space="0" w:color="auto"/>
        <w:right w:val="none" w:sz="0" w:space="0" w:color="auto"/>
      </w:divBdr>
    </w:div>
    <w:div w:id="729378196">
      <w:marLeft w:val="0"/>
      <w:marRight w:val="0"/>
      <w:marTop w:val="100"/>
      <w:marBottom w:val="100"/>
      <w:divBdr>
        <w:top w:val="none" w:sz="0" w:space="0" w:color="auto"/>
        <w:left w:val="none" w:sz="0" w:space="0" w:color="auto"/>
        <w:bottom w:val="none" w:sz="0" w:space="0" w:color="auto"/>
        <w:right w:val="none" w:sz="0" w:space="0" w:color="auto"/>
      </w:divBdr>
    </w:div>
    <w:div w:id="729766976">
      <w:marLeft w:val="0"/>
      <w:marRight w:val="0"/>
      <w:marTop w:val="180"/>
      <w:marBottom w:val="0"/>
      <w:divBdr>
        <w:top w:val="none" w:sz="0" w:space="0" w:color="auto"/>
        <w:left w:val="none" w:sz="0" w:space="0" w:color="auto"/>
        <w:bottom w:val="none" w:sz="0" w:space="0" w:color="auto"/>
        <w:right w:val="none" w:sz="0" w:space="0" w:color="auto"/>
      </w:divBdr>
    </w:div>
    <w:div w:id="730083737">
      <w:marLeft w:val="0"/>
      <w:marRight w:val="0"/>
      <w:marTop w:val="180"/>
      <w:marBottom w:val="100"/>
      <w:divBdr>
        <w:top w:val="none" w:sz="0" w:space="0" w:color="auto"/>
        <w:left w:val="none" w:sz="0" w:space="0" w:color="auto"/>
        <w:bottom w:val="none" w:sz="0" w:space="0" w:color="auto"/>
        <w:right w:val="none" w:sz="0" w:space="0" w:color="auto"/>
      </w:divBdr>
    </w:div>
    <w:div w:id="732388151">
      <w:marLeft w:val="0"/>
      <w:marRight w:val="0"/>
      <w:marTop w:val="100"/>
      <w:marBottom w:val="100"/>
      <w:divBdr>
        <w:top w:val="none" w:sz="0" w:space="0" w:color="auto"/>
        <w:left w:val="none" w:sz="0" w:space="0" w:color="auto"/>
        <w:bottom w:val="none" w:sz="0" w:space="0" w:color="auto"/>
        <w:right w:val="none" w:sz="0" w:space="0" w:color="auto"/>
      </w:divBdr>
    </w:div>
    <w:div w:id="732654269">
      <w:marLeft w:val="0"/>
      <w:marRight w:val="0"/>
      <w:marTop w:val="0"/>
      <w:marBottom w:val="0"/>
      <w:divBdr>
        <w:top w:val="none" w:sz="0" w:space="0" w:color="auto"/>
        <w:left w:val="none" w:sz="0" w:space="0" w:color="auto"/>
        <w:bottom w:val="none" w:sz="0" w:space="0" w:color="auto"/>
        <w:right w:val="none" w:sz="0" w:space="0" w:color="auto"/>
      </w:divBdr>
    </w:div>
    <w:div w:id="732964681">
      <w:marLeft w:val="0"/>
      <w:marRight w:val="0"/>
      <w:marTop w:val="0"/>
      <w:marBottom w:val="0"/>
      <w:divBdr>
        <w:top w:val="none" w:sz="0" w:space="0" w:color="auto"/>
        <w:left w:val="none" w:sz="0" w:space="0" w:color="auto"/>
        <w:bottom w:val="none" w:sz="0" w:space="0" w:color="auto"/>
        <w:right w:val="none" w:sz="0" w:space="0" w:color="auto"/>
      </w:divBdr>
    </w:div>
    <w:div w:id="733047378">
      <w:marLeft w:val="0"/>
      <w:marRight w:val="0"/>
      <w:marTop w:val="0"/>
      <w:marBottom w:val="0"/>
      <w:divBdr>
        <w:top w:val="none" w:sz="0" w:space="0" w:color="auto"/>
        <w:left w:val="none" w:sz="0" w:space="0" w:color="auto"/>
        <w:bottom w:val="none" w:sz="0" w:space="0" w:color="auto"/>
        <w:right w:val="none" w:sz="0" w:space="0" w:color="auto"/>
      </w:divBdr>
      <w:divsChild>
        <w:div w:id="1801418932">
          <w:marLeft w:val="0"/>
          <w:marRight w:val="0"/>
          <w:marTop w:val="0"/>
          <w:marBottom w:val="100"/>
          <w:divBdr>
            <w:top w:val="none" w:sz="0" w:space="0" w:color="auto"/>
            <w:left w:val="none" w:sz="0" w:space="0" w:color="auto"/>
            <w:bottom w:val="none" w:sz="0" w:space="0" w:color="auto"/>
            <w:right w:val="none" w:sz="0" w:space="0" w:color="auto"/>
          </w:divBdr>
        </w:div>
      </w:divsChild>
    </w:div>
    <w:div w:id="734817812">
      <w:marLeft w:val="0"/>
      <w:marRight w:val="0"/>
      <w:marTop w:val="0"/>
      <w:marBottom w:val="0"/>
      <w:divBdr>
        <w:top w:val="none" w:sz="0" w:space="0" w:color="auto"/>
        <w:left w:val="none" w:sz="0" w:space="0" w:color="auto"/>
        <w:bottom w:val="none" w:sz="0" w:space="0" w:color="auto"/>
        <w:right w:val="none" w:sz="0" w:space="0" w:color="auto"/>
      </w:divBdr>
    </w:div>
    <w:div w:id="736166349">
      <w:marLeft w:val="0"/>
      <w:marRight w:val="0"/>
      <w:marTop w:val="100"/>
      <w:marBottom w:val="100"/>
      <w:divBdr>
        <w:top w:val="none" w:sz="0" w:space="0" w:color="auto"/>
        <w:left w:val="none" w:sz="0" w:space="0" w:color="auto"/>
        <w:bottom w:val="none" w:sz="0" w:space="0" w:color="auto"/>
        <w:right w:val="none" w:sz="0" w:space="0" w:color="auto"/>
      </w:divBdr>
    </w:div>
    <w:div w:id="736559453">
      <w:marLeft w:val="0"/>
      <w:marRight w:val="0"/>
      <w:marTop w:val="100"/>
      <w:marBottom w:val="100"/>
      <w:divBdr>
        <w:top w:val="none" w:sz="0" w:space="0" w:color="auto"/>
        <w:left w:val="none" w:sz="0" w:space="0" w:color="auto"/>
        <w:bottom w:val="none" w:sz="0" w:space="0" w:color="auto"/>
        <w:right w:val="none" w:sz="0" w:space="0" w:color="auto"/>
      </w:divBdr>
    </w:div>
    <w:div w:id="740179861">
      <w:marLeft w:val="0"/>
      <w:marRight w:val="0"/>
      <w:marTop w:val="0"/>
      <w:marBottom w:val="0"/>
      <w:divBdr>
        <w:top w:val="none" w:sz="0" w:space="0" w:color="auto"/>
        <w:left w:val="none" w:sz="0" w:space="0" w:color="auto"/>
        <w:bottom w:val="none" w:sz="0" w:space="0" w:color="auto"/>
        <w:right w:val="none" w:sz="0" w:space="0" w:color="auto"/>
      </w:divBdr>
    </w:div>
    <w:div w:id="740182329">
      <w:marLeft w:val="0"/>
      <w:marRight w:val="0"/>
      <w:marTop w:val="0"/>
      <w:marBottom w:val="0"/>
      <w:divBdr>
        <w:top w:val="none" w:sz="0" w:space="0" w:color="auto"/>
        <w:left w:val="none" w:sz="0" w:space="0" w:color="auto"/>
        <w:bottom w:val="none" w:sz="0" w:space="0" w:color="auto"/>
        <w:right w:val="none" w:sz="0" w:space="0" w:color="auto"/>
      </w:divBdr>
    </w:div>
    <w:div w:id="740442843">
      <w:marLeft w:val="0"/>
      <w:marRight w:val="0"/>
      <w:marTop w:val="180"/>
      <w:marBottom w:val="0"/>
      <w:divBdr>
        <w:top w:val="none" w:sz="0" w:space="0" w:color="auto"/>
        <w:left w:val="none" w:sz="0" w:space="0" w:color="auto"/>
        <w:bottom w:val="none" w:sz="0" w:space="0" w:color="auto"/>
        <w:right w:val="none" w:sz="0" w:space="0" w:color="auto"/>
      </w:divBdr>
    </w:div>
    <w:div w:id="742803283">
      <w:marLeft w:val="0"/>
      <w:marRight w:val="0"/>
      <w:marTop w:val="0"/>
      <w:marBottom w:val="100"/>
      <w:divBdr>
        <w:top w:val="none" w:sz="0" w:space="0" w:color="auto"/>
        <w:left w:val="none" w:sz="0" w:space="0" w:color="auto"/>
        <w:bottom w:val="none" w:sz="0" w:space="0" w:color="auto"/>
        <w:right w:val="none" w:sz="0" w:space="0" w:color="auto"/>
      </w:divBdr>
    </w:div>
    <w:div w:id="743718855">
      <w:marLeft w:val="0"/>
      <w:marRight w:val="0"/>
      <w:marTop w:val="0"/>
      <w:marBottom w:val="0"/>
      <w:divBdr>
        <w:top w:val="none" w:sz="0" w:space="0" w:color="auto"/>
        <w:left w:val="none" w:sz="0" w:space="0" w:color="auto"/>
        <w:bottom w:val="none" w:sz="0" w:space="0" w:color="auto"/>
        <w:right w:val="none" w:sz="0" w:space="0" w:color="auto"/>
      </w:divBdr>
    </w:div>
    <w:div w:id="744455604">
      <w:marLeft w:val="0"/>
      <w:marRight w:val="0"/>
      <w:marTop w:val="0"/>
      <w:marBottom w:val="0"/>
      <w:divBdr>
        <w:top w:val="none" w:sz="0" w:space="0" w:color="auto"/>
        <w:left w:val="none" w:sz="0" w:space="0" w:color="auto"/>
        <w:bottom w:val="none" w:sz="0" w:space="0" w:color="auto"/>
        <w:right w:val="none" w:sz="0" w:space="0" w:color="auto"/>
      </w:divBdr>
    </w:div>
    <w:div w:id="745230019">
      <w:marLeft w:val="0"/>
      <w:marRight w:val="0"/>
      <w:marTop w:val="0"/>
      <w:marBottom w:val="0"/>
      <w:divBdr>
        <w:top w:val="none" w:sz="0" w:space="0" w:color="auto"/>
        <w:left w:val="none" w:sz="0" w:space="0" w:color="auto"/>
        <w:bottom w:val="none" w:sz="0" w:space="0" w:color="auto"/>
        <w:right w:val="none" w:sz="0" w:space="0" w:color="auto"/>
      </w:divBdr>
      <w:divsChild>
        <w:div w:id="2092966996">
          <w:marLeft w:val="0"/>
          <w:marRight w:val="0"/>
          <w:marTop w:val="0"/>
          <w:marBottom w:val="100"/>
          <w:divBdr>
            <w:top w:val="none" w:sz="0" w:space="0" w:color="auto"/>
            <w:left w:val="none" w:sz="0" w:space="0" w:color="auto"/>
            <w:bottom w:val="none" w:sz="0" w:space="0" w:color="auto"/>
            <w:right w:val="none" w:sz="0" w:space="0" w:color="auto"/>
          </w:divBdr>
        </w:div>
      </w:divsChild>
    </w:div>
    <w:div w:id="749347166">
      <w:marLeft w:val="0"/>
      <w:marRight w:val="0"/>
      <w:marTop w:val="0"/>
      <w:marBottom w:val="100"/>
      <w:divBdr>
        <w:top w:val="none" w:sz="0" w:space="0" w:color="auto"/>
        <w:left w:val="none" w:sz="0" w:space="0" w:color="auto"/>
        <w:bottom w:val="none" w:sz="0" w:space="0" w:color="auto"/>
        <w:right w:val="none" w:sz="0" w:space="0" w:color="auto"/>
      </w:divBdr>
    </w:div>
    <w:div w:id="749355732">
      <w:marLeft w:val="0"/>
      <w:marRight w:val="0"/>
      <w:marTop w:val="0"/>
      <w:marBottom w:val="100"/>
      <w:divBdr>
        <w:top w:val="none" w:sz="0" w:space="0" w:color="auto"/>
        <w:left w:val="none" w:sz="0" w:space="0" w:color="auto"/>
        <w:bottom w:val="none" w:sz="0" w:space="0" w:color="auto"/>
        <w:right w:val="none" w:sz="0" w:space="0" w:color="auto"/>
      </w:divBdr>
    </w:div>
    <w:div w:id="750589813">
      <w:marLeft w:val="0"/>
      <w:marRight w:val="0"/>
      <w:marTop w:val="180"/>
      <w:marBottom w:val="0"/>
      <w:divBdr>
        <w:top w:val="none" w:sz="0" w:space="0" w:color="auto"/>
        <w:left w:val="none" w:sz="0" w:space="0" w:color="auto"/>
        <w:bottom w:val="none" w:sz="0" w:space="0" w:color="auto"/>
        <w:right w:val="none" w:sz="0" w:space="0" w:color="auto"/>
      </w:divBdr>
    </w:div>
    <w:div w:id="750811823">
      <w:marLeft w:val="0"/>
      <w:marRight w:val="0"/>
      <w:marTop w:val="100"/>
      <w:marBottom w:val="100"/>
      <w:divBdr>
        <w:top w:val="none" w:sz="0" w:space="0" w:color="auto"/>
        <w:left w:val="none" w:sz="0" w:space="0" w:color="auto"/>
        <w:bottom w:val="none" w:sz="0" w:space="0" w:color="auto"/>
        <w:right w:val="none" w:sz="0" w:space="0" w:color="auto"/>
      </w:divBdr>
    </w:div>
    <w:div w:id="752094107">
      <w:marLeft w:val="0"/>
      <w:marRight w:val="0"/>
      <w:marTop w:val="0"/>
      <w:marBottom w:val="0"/>
      <w:divBdr>
        <w:top w:val="none" w:sz="0" w:space="0" w:color="auto"/>
        <w:left w:val="none" w:sz="0" w:space="0" w:color="auto"/>
        <w:bottom w:val="none" w:sz="0" w:space="0" w:color="auto"/>
        <w:right w:val="none" w:sz="0" w:space="0" w:color="auto"/>
      </w:divBdr>
    </w:div>
    <w:div w:id="752891481">
      <w:marLeft w:val="0"/>
      <w:marRight w:val="0"/>
      <w:marTop w:val="180"/>
      <w:marBottom w:val="100"/>
      <w:divBdr>
        <w:top w:val="none" w:sz="0" w:space="0" w:color="auto"/>
        <w:left w:val="none" w:sz="0" w:space="0" w:color="auto"/>
        <w:bottom w:val="none" w:sz="0" w:space="0" w:color="auto"/>
        <w:right w:val="none" w:sz="0" w:space="0" w:color="auto"/>
      </w:divBdr>
    </w:div>
    <w:div w:id="754130269">
      <w:marLeft w:val="0"/>
      <w:marRight w:val="0"/>
      <w:marTop w:val="180"/>
      <w:marBottom w:val="100"/>
      <w:divBdr>
        <w:top w:val="none" w:sz="0" w:space="0" w:color="auto"/>
        <w:left w:val="none" w:sz="0" w:space="0" w:color="auto"/>
        <w:bottom w:val="none" w:sz="0" w:space="0" w:color="auto"/>
        <w:right w:val="none" w:sz="0" w:space="0" w:color="auto"/>
      </w:divBdr>
    </w:div>
    <w:div w:id="754715143">
      <w:marLeft w:val="0"/>
      <w:marRight w:val="0"/>
      <w:marTop w:val="0"/>
      <w:marBottom w:val="0"/>
      <w:divBdr>
        <w:top w:val="none" w:sz="0" w:space="0" w:color="auto"/>
        <w:left w:val="none" w:sz="0" w:space="0" w:color="auto"/>
        <w:bottom w:val="none" w:sz="0" w:space="0" w:color="auto"/>
        <w:right w:val="none" w:sz="0" w:space="0" w:color="auto"/>
      </w:divBdr>
    </w:div>
    <w:div w:id="756250915">
      <w:marLeft w:val="0"/>
      <w:marRight w:val="0"/>
      <w:marTop w:val="0"/>
      <w:marBottom w:val="100"/>
      <w:divBdr>
        <w:top w:val="none" w:sz="0" w:space="0" w:color="auto"/>
        <w:left w:val="none" w:sz="0" w:space="0" w:color="auto"/>
        <w:bottom w:val="none" w:sz="0" w:space="0" w:color="auto"/>
        <w:right w:val="none" w:sz="0" w:space="0" w:color="auto"/>
      </w:divBdr>
    </w:div>
    <w:div w:id="757096659">
      <w:marLeft w:val="0"/>
      <w:marRight w:val="0"/>
      <w:marTop w:val="100"/>
      <w:marBottom w:val="0"/>
      <w:divBdr>
        <w:top w:val="none" w:sz="0" w:space="0" w:color="auto"/>
        <w:left w:val="none" w:sz="0" w:space="0" w:color="auto"/>
        <w:bottom w:val="none" w:sz="0" w:space="0" w:color="auto"/>
        <w:right w:val="none" w:sz="0" w:space="0" w:color="auto"/>
      </w:divBdr>
    </w:div>
    <w:div w:id="760102816">
      <w:marLeft w:val="0"/>
      <w:marRight w:val="0"/>
      <w:marTop w:val="0"/>
      <w:marBottom w:val="100"/>
      <w:divBdr>
        <w:top w:val="none" w:sz="0" w:space="0" w:color="auto"/>
        <w:left w:val="none" w:sz="0" w:space="0" w:color="auto"/>
        <w:bottom w:val="none" w:sz="0" w:space="0" w:color="auto"/>
        <w:right w:val="none" w:sz="0" w:space="0" w:color="auto"/>
      </w:divBdr>
    </w:div>
    <w:div w:id="763764217">
      <w:marLeft w:val="0"/>
      <w:marRight w:val="0"/>
      <w:marTop w:val="180"/>
      <w:marBottom w:val="100"/>
      <w:divBdr>
        <w:top w:val="none" w:sz="0" w:space="0" w:color="auto"/>
        <w:left w:val="none" w:sz="0" w:space="0" w:color="auto"/>
        <w:bottom w:val="none" w:sz="0" w:space="0" w:color="auto"/>
        <w:right w:val="none" w:sz="0" w:space="0" w:color="auto"/>
      </w:divBdr>
    </w:div>
    <w:div w:id="764378213">
      <w:marLeft w:val="0"/>
      <w:marRight w:val="0"/>
      <w:marTop w:val="340"/>
      <w:marBottom w:val="340"/>
      <w:divBdr>
        <w:top w:val="none" w:sz="0" w:space="0" w:color="auto"/>
        <w:left w:val="none" w:sz="0" w:space="0" w:color="auto"/>
        <w:bottom w:val="none" w:sz="0" w:space="0" w:color="auto"/>
        <w:right w:val="none" w:sz="0" w:space="0" w:color="auto"/>
      </w:divBdr>
    </w:div>
    <w:div w:id="764543784">
      <w:marLeft w:val="0"/>
      <w:marRight w:val="0"/>
      <w:marTop w:val="0"/>
      <w:marBottom w:val="0"/>
      <w:divBdr>
        <w:top w:val="none" w:sz="0" w:space="0" w:color="auto"/>
        <w:left w:val="none" w:sz="0" w:space="0" w:color="auto"/>
        <w:bottom w:val="none" w:sz="0" w:space="0" w:color="auto"/>
        <w:right w:val="none" w:sz="0" w:space="0" w:color="auto"/>
      </w:divBdr>
    </w:div>
    <w:div w:id="765421354">
      <w:marLeft w:val="0"/>
      <w:marRight w:val="0"/>
      <w:marTop w:val="0"/>
      <w:marBottom w:val="100"/>
      <w:divBdr>
        <w:top w:val="none" w:sz="0" w:space="0" w:color="auto"/>
        <w:left w:val="none" w:sz="0" w:space="0" w:color="auto"/>
        <w:bottom w:val="none" w:sz="0" w:space="0" w:color="auto"/>
        <w:right w:val="none" w:sz="0" w:space="0" w:color="auto"/>
      </w:divBdr>
    </w:div>
    <w:div w:id="766120866">
      <w:marLeft w:val="0"/>
      <w:marRight w:val="0"/>
      <w:marTop w:val="0"/>
      <w:marBottom w:val="0"/>
      <w:divBdr>
        <w:top w:val="none" w:sz="0" w:space="0" w:color="auto"/>
        <w:left w:val="none" w:sz="0" w:space="0" w:color="auto"/>
        <w:bottom w:val="none" w:sz="0" w:space="0" w:color="auto"/>
        <w:right w:val="none" w:sz="0" w:space="0" w:color="auto"/>
      </w:divBdr>
    </w:div>
    <w:div w:id="766733254">
      <w:marLeft w:val="0"/>
      <w:marRight w:val="0"/>
      <w:marTop w:val="0"/>
      <w:marBottom w:val="0"/>
      <w:divBdr>
        <w:top w:val="none" w:sz="0" w:space="0" w:color="auto"/>
        <w:left w:val="none" w:sz="0" w:space="0" w:color="auto"/>
        <w:bottom w:val="none" w:sz="0" w:space="0" w:color="auto"/>
        <w:right w:val="none" w:sz="0" w:space="0" w:color="auto"/>
      </w:divBdr>
    </w:div>
    <w:div w:id="767044887">
      <w:marLeft w:val="0"/>
      <w:marRight w:val="0"/>
      <w:marTop w:val="0"/>
      <w:marBottom w:val="0"/>
      <w:divBdr>
        <w:top w:val="none" w:sz="0" w:space="0" w:color="auto"/>
        <w:left w:val="none" w:sz="0" w:space="0" w:color="auto"/>
        <w:bottom w:val="none" w:sz="0" w:space="0" w:color="auto"/>
        <w:right w:val="none" w:sz="0" w:space="0" w:color="auto"/>
      </w:divBdr>
      <w:divsChild>
        <w:div w:id="199435975">
          <w:marLeft w:val="0"/>
          <w:marRight w:val="0"/>
          <w:marTop w:val="0"/>
          <w:marBottom w:val="100"/>
          <w:divBdr>
            <w:top w:val="none" w:sz="0" w:space="0" w:color="auto"/>
            <w:left w:val="none" w:sz="0" w:space="0" w:color="auto"/>
            <w:bottom w:val="none" w:sz="0" w:space="0" w:color="auto"/>
            <w:right w:val="none" w:sz="0" w:space="0" w:color="auto"/>
          </w:divBdr>
        </w:div>
      </w:divsChild>
    </w:div>
    <w:div w:id="767771186">
      <w:marLeft w:val="0"/>
      <w:marRight w:val="0"/>
      <w:marTop w:val="0"/>
      <w:marBottom w:val="0"/>
      <w:divBdr>
        <w:top w:val="none" w:sz="0" w:space="0" w:color="auto"/>
        <w:left w:val="none" w:sz="0" w:space="0" w:color="auto"/>
        <w:bottom w:val="none" w:sz="0" w:space="0" w:color="auto"/>
        <w:right w:val="none" w:sz="0" w:space="0" w:color="auto"/>
      </w:divBdr>
      <w:divsChild>
        <w:div w:id="1203983507">
          <w:marLeft w:val="0"/>
          <w:marRight w:val="0"/>
          <w:marTop w:val="0"/>
          <w:marBottom w:val="0"/>
          <w:divBdr>
            <w:top w:val="none" w:sz="0" w:space="0" w:color="auto"/>
            <w:left w:val="none" w:sz="0" w:space="0" w:color="auto"/>
            <w:bottom w:val="none" w:sz="0" w:space="0" w:color="auto"/>
            <w:right w:val="none" w:sz="0" w:space="0" w:color="auto"/>
          </w:divBdr>
          <w:divsChild>
            <w:div w:id="16173716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73749859">
      <w:marLeft w:val="0"/>
      <w:marRight w:val="0"/>
      <w:marTop w:val="100"/>
      <w:marBottom w:val="100"/>
      <w:divBdr>
        <w:top w:val="none" w:sz="0" w:space="0" w:color="auto"/>
        <w:left w:val="none" w:sz="0" w:space="0" w:color="auto"/>
        <w:bottom w:val="none" w:sz="0" w:space="0" w:color="auto"/>
        <w:right w:val="none" w:sz="0" w:space="0" w:color="auto"/>
      </w:divBdr>
    </w:div>
    <w:div w:id="774254950">
      <w:marLeft w:val="0"/>
      <w:marRight w:val="0"/>
      <w:marTop w:val="0"/>
      <w:marBottom w:val="0"/>
      <w:divBdr>
        <w:top w:val="none" w:sz="0" w:space="0" w:color="auto"/>
        <w:left w:val="none" w:sz="0" w:space="0" w:color="auto"/>
        <w:bottom w:val="none" w:sz="0" w:space="0" w:color="auto"/>
        <w:right w:val="none" w:sz="0" w:space="0" w:color="auto"/>
      </w:divBdr>
    </w:div>
    <w:div w:id="774515685">
      <w:marLeft w:val="0"/>
      <w:marRight w:val="0"/>
      <w:marTop w:val="100"/>
      <w:marBottom w:val="100"/>
      <w:divBdr>
        <w:top w:val="none" w:sz="0" w:space="0" w:color="auto"/>
        <w:left w:val="none" w:sz="0" w:space="0" w:color="auto"/>
        <w:bottom w:val="none" w:sz="0" w:space="0" w:color="auto"/>
        <w:right w:val="none" w:sz="0" w:space="0" w:color="auto"/>
      </w:divBdr>
    </w:div>
    <w:div w:id="776682775">
      <w:marLeft w:val="0"/>
      <w:marRight w:val="0"/>
      <w:marTop w:val="180"/>
      <w:marBottom w:val="100"/>
      <w:divBdr>
        <w:top w:val="none" w:sz="0" w:space="0" w:color="auto"/>
        <w:left w:val="none" w:sz="0" w:space="0" w:color="auto"/>
        <w:bottom w:val="none" w:sz="0" w:space="0" w:color="auto"/>
        <w:right w:val="none" w:sz="0" w:space="0" w:color="auto"/>
      </w:divBdr>
    </w:div>
    <w:div w:id="776945420">
      <w:marLeft w:val="0"/>
      <w:marRight w:val="0"/>
      <w:marTop w:val="0"/>
      <w:marBottom w:val="100"/>
      <w:divBdr>
        <w:top w:val="none" w:sz="0" w:space="0" w:color="auto"/>
        <w:left w:val="none" w:sz="0" w:space="0" w:color="auto"/>
        <w:bottom w:val="none" w:sz="0" w:space="0" w:color="auto"/>
        <w:right w:val="none" w:sz="0" w:space="0" w:color="auto"/>
      </w:divBdr>
    </w:div>
    <w:div w:id="778723588">
      <w:marLeft w:val="0"/>
      <w:marRight w:val="0"/>
      <w:marTop w:val="100"/>
      <w:marBottom w:val="100"/>
      <w:divBdr>
        <w:top w:val="none" w:sz="0" w:space="0" w:color="auto"/>
        <w:left w:val="none" w:sz="0" w:space="0" w:color="auto"/>
        <w:bottom w:val="none" w:sz="0" w:space="0" w:color="auto"/>
        <w:right w:val="none" w:sz="0" w:space="0" w:color="auto"/>
      </w:divBdr>
    </w:div>
    <w:div w:id="780146362">
      <w:marLeft w:val="0"/>
      <w:marRight w:val="0"/>
      <w:marTop w:val="180"/>
      <w:marBottom w:val="100"/>
      <w:divBdr>
        <w:top w:val="none" w:sz="0" w:space="0" w:color="auto"/>
        <w:left w:val="none" w:sz="0" w:space="0" w:color="auto"/>
        <w:bottom w:val="none" w:sz="0" w:space="0" w:color="auto"/>
        <w:right w:val="none" w:sz="0" w:space="0" w:color="auto"/>
      </w:divBdr>
    </w:div>
    <w:div w:id="780681544">
      <w:marLeft w:val="0"/>
      <w:marRight w:val="0"/>
      <w:marTop w:val="0"/>
      <w:marBottom w:val="0"/>
      <w:divBdr>
        <w:top w:val="none" w:sz="0" w:space="0" w:color="auto"/>
        <w:left w:val="none" w:sz="0" w:space="0" w:color="auto"/>
        <w:bottom w:val="none" w:sz="0" w:space="0" w:color="auto"/>
        <w:right w:val="none" w:sz="0" w:space="0" w:color="auto"/>
      </w:divBdr>
    </w:div>
    <w:div w:id="780804026">
      <w:marLeft w:val="0"/>
      <w:marRight w:val="0"/>
      <w:marTop w:val="180"/>
      <w:marBottom w:val="0"/>
      <w:divBdr>
        <w:top w:val="none" w:sz="0" w:space="0" w:color="auto"/>
        <w:left w:val="none" w:sz="0" w:space="0" w:color="auto"/>
        <w:bottom w:val="none" w:sz="0" w:space="0" w:color="auto"/>
        <w:right w:val="none" w:sz="0" w:space="0" w:color="auto"/>
      </w:divBdr>
    </w:div>
    <w:div w:id="781535692">
      <w:marLeft w:val="0"/>
      <w:marRight w:val="0"/>
      <w:marTop w:val="90"/>
      <w:marBottom w:val="90"/>
      <w:divBdr>
        <w:top w:val="none" w:sz="0" w:space="0" w:color="auto"/>
        <w:left w:val="none" w:sz="0" w:space="0" w:color="auto"/>
        <w:bottom w:val="none" w:sz="0" w:space="0" w:color="auto"/>
        <w:right w:val="none" w:sz="0" w:space="0" w:color="auto"/>
      </w:divBdr>
    </w:div>
    <w:div w:id="781729847">
      <w:marLeft w:val="0"/>
      <w:marRight w:val="0"/>
      <w:marTop w:val="0"/>
      <w:marBottom w:val="100"/>
      <w:divBdr>
        <w:top w:val="none" w:sz="0" w:space="0" w:color="auto"/>
        <w:left w:val="none" w:sz="0" w:space="0" w:color="auto"/>
        <w:bottom w:val="none" w:sz="0" w:space="0" w:color="auto"/>
        <w:right w:val="none" w:sz="0" w:space="0" w:color="auto"/>
      </w:divBdr>
    </w:div>
    <w:div w:id="784691056">
      <w:marLeft w:val="0"/>
      <w:marRight w:val="0"/>
      <w:marTop w:val="100"/>
      <w:marBottom w:val="100"/>
      <w:divBdr>
        <w:top w:val="none" w:sz="0" w:space="0" w:color="auto"/>
        <w:left w:val="none" w:sz="0" w:space="0" w:color="auto"/>
        <w:bottom w:val="none" w:sz="0" w:space="0" w:color="auto"/>
        <w:right w:val="none" w:sz="0" w:space="0" w:color="auto"/>
      </w:divBdr>
    </w:div>
    <w:div w:id="785544011">
      <w:marLeft w:val="0"/>
      <w:marRight w:val="0"/>
      <w:marTop w:val="180"/>
      <w:marBottom w:val="100"/>
      <w:divBdr>
        <w:top w:val="none" w:sz="0" w:space="0" w:color="auto"/>
        <w:left w:val="none" w:sz="0" w:space="0" w:color="auto"/>
        <w:bottom w:val="none" w:sz="0" w:space="0" w:color="auto"/>
        <w:right w:val="none" w:sz="0" w:space="0" w:color="auto"/>
      </w:divBdr>
    </w:div>
    <w:div w:id="788206948">
      <w:marLeft w:val="0"/>
      <w:marRight w:val="0"/>
      <w:marTop w:val="100"/>
      <w:marBottom w:val="100"/>
      <w:divBdr>
        <w:top w:val="none" w:sz="0" w:space="0" w:color="auto"/>
        <w:left w:val="none" w:sz="0" w:space="0" w:color="auto"/>
        <w:bottom w:val="none" w:sz="0" w:space="0" w:color="auto"/>
        <w:right w:val="none" w:sz="0" w:space="0" w:color="auto"/>
      </w:divBdr>
    </w:div>
    <w:div w:id="791823016">
      <w:marLeft w:val="0"/>
      <w:marRight w:val="0"/>
      <w:marTop w:val="100"/>
      <w:marBottom w:val="100"/>
      <w:divBdr>
        <w:top w:val="none" w:sz="0" w:space="0" w:color="auto"/>
        <w:left w:val="none" w:sz="0" w:space="0" w:color="auto"/>
        <w:bottom w:val="none" w:sz="0" w:space="0" w:color="auto"/>
        <w:right w:val="none" w:sz="0" w:space="0" w:color="auto"/>
      </w:divBdr>
    </w:div>
    <w:div w:id="792481638">
      <w:marLeft w:val="0"/>
      <w:marRight w:val="0"/>
      <w:marTop w:val="0"/>
      <w:marBottom w:val="0"/>
      <w:divBdr>
        <w:top w:val="none" w:sz="0" w:space="0" w:color="auto"/>
        <w:left w:val="none" w:sz="0" w:space="0" w:color="auto"/>
        <w:bottom w:val="none" w:sz="0" w:space="0" w:color="auto"/>
        <w:right w:val="none" w:sz="0" w:space="0" w:color="auto"/>
      </w:divBdr>
    </w:div>
    <w:div w:id="797911856">
      <w:marLeft w:val="0"/>
      <w:marRight w:val="0"/>
      <w:marTop w:val="100"/>
      <w:marBottom w:val="100"/>
      <w:divBdr>
        <w:top w:val="none" w:sz="0" w:space="0" w:color="auto"/>
        <w:left w:val="none" w:sz="0" w:space="0" w:color="auto"/>
        <w:bottom w:val="none" w:sz="0" w:space="0" w:color="auto"/>
        <w:right w:val="none" w:sz="0" w:space="0" w:color="auto"/>
      </w:divBdr>
    </w:div>
    <w:div w:id="798885054">
      <w:marLeft w:val="0"/>
      <w:marRight w:val="0"/>
      <w:marTop w:val="0"/>
      <w:marBottom w:val="0"/>
      <w:divBdr>
        <w:top w:val="none" w:sz="0" w:space="0" w:color="auto"/>
        <w:left w:val="none" w:sz="0" w:space="0" w:color="auto"/>
        <w:bottom w:val="none" w:sz="0" w:space="0" w:color="auto"/>
        <w:right w:val="none" w:sz="0" w:space="0" w:color="auto"/>
      </w:divBdr>
      <w:divsChild>
        <w:div w:id="143817050">
          <w:marLeft w:val="0"/>
          <w:marRight w:val="0"/>
          <w:marTop w:val="0"/>
          <w:marBottom w:val="0"/>
          <w:divBdr>
            <w:top w:val="none" w:sz="0" w:space="0" w:color="auto"/>
            <w:left w:val="none" w:sz="0" w:space="0" w:color="auto"/>
            <w:bottom w:val="none" w:sz="0" w:space="0" w:color="auto"/>
            <w:right w:val="none" w:sz="0" w:space="0" w:color="auto"/>
          </w:divBdr>
          <w:divsChild>
            <w:div w:id="208144069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99035354">
      <w:marLeft w:val="0"/>
      <w:marRight w:val="0"/>
      <w:marTop w:val="0"/>
      <w:marBottom w:val="0"/>
      <w:divBdr>
        <w:top w:val="none" w:sz="0" w:space="0" w:color="auto"/>
        <w:left w:val="none" w:sz="0" w:space="0" w:color="auto"/>
        <w:bottom w:val="none" w:sz="0" w:space="0" w:color="auto"/>
        <w:right w:val="none" w:sz="0" w:space="0" w:color="auto"/>
      </w:divBdr>
      <w:divsChild>
        <w:div w:id="13504517">
          <w:marLeft w:val="0"/>
          <w:marRight w:val="0"/>
          <w:marTop w:val="0"/>
          <w:marBottom w:val="100"/>
          <w:divBdr>
            <w:top w:val="none" w:sz="0" w:space="0" w:color="auto"/>
            <w:left w:val="none" w:sz="0" w:space="0" w:color="auto"/>
            <w:bottom w:val="none" w:sz="0" w:space="0" w:color="auto"/>
            <w:right w:val="none" w:sz="0" w:space="0" w:color="auto"/>
          </w:divBdr>
        </w:div>
      </w:divsChild>
    </w:div>
    <w:div w:id="799540069">
      <w:marLeft w:val="0"/>
      <w:marRight w:val="0"/>
      <w:marTop w:val="0"/>
      <w:marBottom w:val="0"/>
      <w:divBdr>
        <w:top w:val="none" w:sz="0" w:space="0" w:color="auto"/>
        <w:left w:val="none" w:sz="0" w:space="0" w:color="auto"/>
        <w:bottom w:val="none" w:sz="0" w:space="0" w:color="auto"/>
        <w:right w:val="none" w:sz="0" w:space="0" w:color="auto"/>
      </w:divBdr>
    </w:div>
    <w:div w:id="801733207">
      <w:marLeft w:val="0"/>
      <w:marRight w:val="0"/>
      <w:marTop w:val="0"/>
      <w:marBottom w:val="0"/>
      <w:divBdr>
        <w:top w:val="none" w:sz="0" w:space="0" w:color="auto"/>
        <w:left w:val="none" w:sz="0" w:space="0" w:color="auto"/>
        <w:bottom w:val="none" w:sz="0" w:space="0" w:color="auto"/>
        <w:right w:val="none" w:sz="0" w:space="0" w:color="auto"/>
      </w:divBdr>
    </w:div>
    <w:div w:id="802581372">
      <w:marLeft w:val="0"/>
      <w:marRight w:val="0"/>
      <w:marTop w:val="0"/>
      <w:marBottom w:val="0"/>
      <w:divBdr>
        <w:top w:val="none" w:sz="0" w:space="0" w:color="auto"/>
        <w:left w:val="none" w:sz="0" w:space="0" w:color="auto"/>
        <w:bottom w:val="none" w:sz="0" w:space="0" w:color="auto"/>
        <w:right w:val="none" w:sz="0" w:space="0" w:color="auto"/>
      </w:divBdr>
      <w:divsChild>
        <w:div w:id="1782339621">
          <w:marLeft w:val="0"/>
          <w:marRight w:val="0"/>
          <w:marTop w:val="0"/>
          <w:marBottom w:val="0"/>
          <w:divBdr>
            <w:top w:val="none" w:sz="0" w:space="0" w:color="auto"/>
            <w:left w:val="none" w:sz="0" w:space="0" w:color="auto"/>
            <w:bottom w:val="none" w:sz="0" w:space="0" w:color="auto"/>
            <w:right w:val="none" w:sz="0" w:space="0" w:color="auto"/>
          </w:divBdr>
          <w:divsChild>
            <w:div w:id="5237168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02889946">
      <w:marLeft w:val="0"/>
      <w:marRight w:val="0"/>
      <w:marTop w:val="100"/>
      <w:marBottom w:val="100"/>
      <w:divBdr>
        <w:top w:val="none" w:sz="0" w:space="0" w:color="auto"/>
        <w:left w:val="none" w:sz="0" w:space="0" w:color="auto"/>
        <w:bottom w:val="none" w:sz="0" w:space="0" w:color="auto"/>
        <w:right w:val="none" w:sz="0" w:space="0" w:color="auto"/>
      </w:divBdr>
    </w:div>
    <w:div w:id="803162336">
      <w:marLeft w:val="0"/>
      <w:marRight w:val="0"/>
      <w:marTop w:val="100"/>
      <w:marBottom w:val="100"/>
      <w:divBdr>
        <w:top w:val="none" w:sz="0" w:space="0" w:color="auto"/>
        <w:left w:val="none" w:sz="0" w:space="0" w:color="auto"/>
        <w:bottom w:val="none" w:sz="0" w:space="0" w:color="auto"/>
        <w:right w:val="none" w:sz="0" w:space="0" w:color="auto"/>
      </w:divBdr>
    </w:div>
    <w:div w:id="807674963">
      <w:marLeft w:val="0"/>
      <w:marRight w:val="0"/>
      <w:marTop w:val="0"/>
      <w:marBottom w:val="0"/>
      <w:divBdr>
        <w:top w:val="none" w:sz="0" w:space="0" w:color="auto"/>
        <w:left w:val="none" w:sz="0" w:space="0" w:color="auto"/>
        <w:bottom w:val="none" w:sz="0" w:space="0" w:color="auto"/>
        <w:right w:val="none" w:sz="0" w:space="0" w:color="auto"/>
      </w:divBdr>
    </w:div>
    <w:div w:id="807821007">
      <w:marLeft w:val="0"/>
      <w:marRight w:val="0"/>
      <w:marTop w:val="0"/>
      <w:marBottom w:val="100"/>
      <w:divBdr>
        <w:top w:val="none" w:sz="0" w:space="0" w:color="auto"/>
        <w:left w:val="none" w:sz="0" w:space="0" w:color="auto"/>
        <w:bottom w:val="none" w:sz="0" w:space="0" w:color="auto"/>
        <w:right w:val="none" w:sz="0" w:space="0" w:color="auto"/>
      </w:divBdr>
    </w:div>
    <w:div w:id="808285396">
      <w:marLeft w:val="0"/>
      <w:marRight w:val="0"/>
      <w:marTop w:val="0"/>
      <w:marBottom w:val="0"/>
      <w:divBdr>
        <w:top w:val="none" w:sz="0" w:space="0" w:color="auto"/>
        <w:left w:val="none" w:sz="0" w:space="0" w:color="auto"/>
        <w:bottom w:val="none" w:sz="0" w:space="0" w:color="auto"/>
        <w:right w:val="none" w:sz="0" w:space="0" w:color="auto"/>
      </w:divBdr>
    </w:div>
    <w:div w:id="809635610">
      <w:marLeft w:val="0"/>
      <w:marRight w:val="0"/>
      <w:marTop w:val="180"/>
      <w:marBottom w:val="100"/>
      <w:divBdr>
        <w:top w:val="none" w:sz="0" w:space="0" w:color="auto"/>
        <w:left w:val="none" w:sz="0" w:space="0" w:color="auto"/>
        <w:bottom w:val="none" w:sz="0" w:space="0" w:color="auto"/>
        <w:right w:val="none" w:sz="0" w:space="0" w:color="auto"/>
      </w:divBdr>
    </w:div>
    <w:div w:id="809832428">
      <w:marLeft w:val="0"/>
      <w:marRight w:val="0"/>
      <w:marTop w:val="100"/>
      <w:marBottom w:val="100"/>
      <w:divBdr>
        <w:top w:val="none" w:sz="0" w:space="0" w:color="auto"/>
        <w:left w:val="none" w:sz="0" w:space="0" w:color="auto"/>
        <w:bottom w:val="none" w:sz="0" w:space="0" w:color="auto"/>
        <w:right w:val="none" w:sz="0" w:space="0" w:color="auto"/>
      </w:divBdr>
    </w:div>
    <w:div w:id="810291300">
      <w:marLeft w:val="0"/>
      <w:marRight w:val="0"/>
      <w:marTop w:val="180"/>
      <w:marBottom w:val="0"/>
      <w:divBdr>
        <w:top w:val="none" w:sz="0" w:space="0" w:color="auto"/>
        <w:left w:val="none" w:sz="0" w:space="0" w:color="auto"/>
        <w:bottom w:val="none" w:sz="0" w:space="0" w:color="auto"/>
        <w:right w:val="none" w:sz="0" w:space="0" w:color="auto"/>
      </w:divBdr>
    </w:div>
    <w:div w:id="810367686">
      <w:marLeft w:val="0"/>
      <w:marRight w:val="0"/>
      <w:marTop w:val="0"/>
      <w:marBottom w:val="0"/>
      <w:divBdr>
        <w:top w:val="none" w:sz="0" w:space="0" w:color="auto"/>
        <w:left w:val="none" w:sz="0" w:space="0" w:color="auto"/>
        <w:bottom w:val="none" w:sz="0" w:space="0" w:color="auto"/>
        <w:right w:val="none" w:sz="0" w:space="0" w:color="auto"/>
      </w:divBdr>
    </w:div>
    <w:div w:id="812601854">
      <w:marLeft w:val="0"/>
      <w:marRight w:val="0"/>
      <w:marTop w:val="100"/>
      <w:marBottom w:val="100"/>
      <w:divBdr>
        <w:top w:val="none" w:sz="0" w:space="0" w:color="auto"/>
        <w:left w:val="none" w:sz="0" w:space="0" w:color="auto"/>
        <w:bottom w:val="none" w:sz="0" w:space="0" w:color="auto"/>
        <w:right w:val="none" w:sz="0" w:space="0" w:color="auto"/>
      </w:divBdr>
    </w:div>
    <w:div w:id="814375493">
      <w:marLeft w:val="0"/>
      <w:marRight w:val="0"/>
      <w:marTop w:val="100"/>
      <w:marBottom w:val="100"/>
      <w:divBdr>
        <w:top w:val="none" w:sz="0" w:space="0" w:color="auto"/>
        <w:left w:val="none" w:sz="0" w:space="0" w:color="auto"/>
        <w:bottom w:val="none" w:sz="0" w:space="0" w:color="auto"/>
        <w:right w:val="none" w:sz="0" w:space="0" w:color="auto"/>
      </w:divBdr>
    </w:div>
    <w:div w:id="815684355">
      <w:marLeft w:val="0"/>
      <w:marRight w:val="0"/>
      <w:marTop w:val="0"/>
      <w:marBottom w:val="100"/>
      <w:divBdr>
        <w:top w:val="none" w:sz="0" w:space="0" w:color="auto"/>
        <w:left w:val="none" w:sz="0" w:space="0" w:color="auto"/>
        <w:bottom w:val="none" w:sz="0" w:space="0" w:color="auto"/>
        <w:right w:val="none" w:sz="0" w:space="0" w:color="auto"/>
      </w:divBdr>
    </w:div>
    <w:div w:id="816189022">
      <w:marLeft w:val="0"/>
      <w:marRight w:val="0"/>
      <w:marTop w:val="100"/>
      <w:marBottom w:val="100"/>
      <w:divBdr>
        <w:top w:val="none" w:sz="0" w:space="0" w:color="auto"/>
        <w:left w:val="none" w:sz="0" w:space="0" w:color="auto"/>
        <w:bottom w:val="none" w:sz="0" w:space="0" w:color="auto"/>
        <w:right w:val="none" w:sz="0" w:space="0" w:color="auto"/>
      </w:divBdr>
    </w:div>
    <w:div w:id="818376331">
      <w:marLeft w:val="0"/>
      <w:marRight w:val="0"/>
      <w:marTop w:val="180"/>
      <w:marBottom w:val="100"/>
      <w:divBdr>
        <w:top w:val="none" w:sz="0" w:space="0" w:color="auto"/>
        <w:left w:val="none" w:sz="0" w:space="0" w:color="auto"/>
        <w:bottom w:val="none" w:sz="0" w:space="0" w:color="auto"/>
        <w:right w:val="none" w:sz="0" w:space="0" w:color="auto"/>
      </w:divBdr>
    </w:div>
    <w:div w:id="818378978">
      <w:marLeft w:val="0"/>
      <w:marRight w:val="0"/>
      <w:marTop w:val="0"/>
      <w:marBottom w:val="0"/>
      <w:divBdr>
        <w:top w:val="none" w:sz="0" w:space="0" w:color="auto"/>
        <w:left w:val="none" w:sz="0" w:space="0" w:color="auto"/>
        <w:bottom w:val="none" w:sz="0" w:space="0" w:color="auto"/>
        <w:right w:val="none" w:sz="0" w:space="0" w:color="auto"/>
      </w:divBdr>
      <w:divsChild>
        <w:div w:id="2020543860">
          <w:marLeft w:val="0"/>
          <w:marRight w:val="0"/>
          <w:marTop w:val="0"/>
          <w:marBottom w:val="100"/>
          <w:divBdr>
            <w:top w:val="none" w:sz="0" w:space="0" w:color="auto"/>
            <w:left w:val="none" w:sz="0" w:space="0" w:color="auto"/>
            <w:bottom w:val="none" w:sz="0" w:space="0" w:color="auto"/>
            <w:right w:val="none" w:sz="0" w:space="0" w:color="auto"/>
          </w:divBdr>
        </w:div>
      </w:divsChild>
    </w:div>
    <w:div w:id="820653222">
      <w:marLeft w:val="0"/>
      <w:marRight w:val="0"/>
      <w:marTop w:val="100"/>
      <w:marBottom w:val="0"/>
      <w:divBdr>
        <w:top w:val="none" w:sz="0" w:space="0" w:color="auto"/>
        <w:left w:val="none" w:sz="0" w:space="0" w:color="auto"/>
        <w:bottom w:val="none" w:sz="0" w:space="0" w:color="auto"/>
        <w:right w:val="none" w:sz="0" w:space="0" w:color="auto"/>
      </w:divBdr>
    </w:div>
    <w:div w:id="822089961">
      <w:marLeft w:val="0"/>
      <w:marRight w:val="0"/>
      <w:marTop w:val="180"/>
      <w:marBottom w:val="0"/>
      <w:divBdr>
        <w:top w:val="none" w:sz="0" w:space="0" w:color="auto"/>
        <w:left w:val="none" w:sz="0" w:space="0" w:color="auto"/>
        <w:bottom w:val="none" w:sz="0" w:space="0" w:color="auto"/>
        <w:right w:val="none" w:sz="0" w:space="0" w:color="auto"/>
      </w:divBdr>
    </w:div>
    <w:div w:id="823273992">
      <w:marLeft w:val="0"/>
      <w:marRight w:val="0"/>
      <w:marTop w:val="0"/>
      <w:marBottom w:val="0"/>
      <w:divBdr>
        <w:top w:val="none" w:sz="0" w:space="0" w:color="auto"/>
        <w:left w:val="none" w:sz="0" w:space="0" w:color="auto"/>
        <w:bottom w:val="none" w:sz="0" w:space="0" w:color="auto"/>
        <w:right w:val="none" w:sz="0" w:space="0" w:color="auto"/>
      </w:divBdr>
      <w:divsChild>
        <w:div w:id="2049648384">
          <w:marLeft w:val="0"/>
          <w:marRight w:val="0"/>
          <w:marTop w:val="0"/>
          <w:marBottom w:val="100"/>
          <w:divBdr>
            <w:top w:val="none" w:sz="0" w:space="0" w:color="auto"/>
            <w:left w:val="none" w:sz="0" w:space="0" w:color="auto"/>
            <w:bottom w:val="none" w:sz="0" w:space="0" w:color="auto"/>
            <w:right w:val="none" w:sz="0" w:space="0" w:color="auto"/>
          </w:divBdr>
        </w:div>
      </w:divsChild>
    </w:div>
    <w:div w:id="823547453">
      <w:marLeft w:val="0"/>
      <w:marRight w:val="0"/>
      <w:marTop w:val="100"/>
      <w:marBottom w:val="100"/>
      <w:divBdr>
        <w:top w:val="none" w:sz="0" w:space="0" w:color="auto"/>
        <w:left w:val="none" w:sz="0" w:space="0" w:color="auto"/>
        <w:bottom w:val="none" w:sz="0" w:space="0" w:color="auto"/>
        <w:right w:val="none" w:sz="0" w:space="0" w:color="auto"/>
      </w:divBdr>
    </w:div>
    <w:div w:id="823938665">
      <w:marLeft w:val="0"/>
      <w:marRight w:val="0"/>
      <w:marTop w:val="0"/>
      <w:marBottom w:val="0"/>
      <w:divBdr>
        <w:top w:val="none" w:sz="0" w:space="0" w:color="auto"/>
        <w:left w:val="none" w:sz="0" w:space="0" w:color="auto"/>
        <w:bottom w:val="none" w:sz="0" w:space="0" w:color="auto"/>
        <w:right w:val="none" w:sz="0" w:space="0" w:color="auto"/>
      </w:divBdr>
      <w:divsChild>
        <w:div w:id="1643732126">
          <w:marLeft w:val="0"/>
          <w:marRight w:val="0"/>
          <w:marTop w:val="0"/>
          <w:marBottom w:val="0"/>
          <w:divBdr>
            <w:top w:val="none" w:sz="0" w:space="0" w:color="auto"/>
            <w:left w:val="none" w:sz="0" w:space="0" w:color="auto"/>
            <w:bottom w:val="none" w:sz="0" w:space="0" w:color="auto"/>
            <w:right w:val="none" w:sz="0" w:space="0" w:color="auto"/>
          </w:divBdr>
          <w:divsChild>
            <w:div w:id="9734893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26938774">
      <w:marLeft w:val="0"/>
      <w:marRight w:val="0"/>
      <w:marTop w:val="180"/>
      <w:marBottom w:val="0"/>
      <w:divBdr>
        <w:top w:val="none" w:sz="0" w:space="0" w:color="auto"/>
        <w:left w:val="none" w:sz="0" w:space="0" w:color="auto"/>
        <w:bottom w:val="none" w:sz="0" w:space="0" w:color="auto"/>
        <w:right w:val="none" w:sz="0" w:space="0" w:color="auto"/>
      </w:divBdr>
    </w:div>
    <w:div w:id="828059092">
      <w:marLeft w:val="0"/>
      <w:marRight w:val="0"/>
      <w:marTop w:val="180"/>
      <w:marBottom w:val="100"/>
      <w:divBdr>
        <w:top w:val="none" w:sz="0" w:space="0" w:color="auto"/>
        <w:left w:val="none" w:sz="0" w:space="0" w:color="auto"/>
        <w:bottom w:val="none" w:sz="0" w:space="0" w:color="auto"/>
        <w:right w:val="none" w:sz="0" w:space="0" w:color="auto"/>
      </w:divBdr>
    </w:div>
    <w:div w:id="832262585">
      <w:marLeft w:val="0"/>
      <w:marRight w:val="0"/>
      <w:marTop w:val="0"/>
      <w:marBottom w:val="0"/>
      <w:divBdr>
        <w:top w:val="none" w:sz="0" w:space="0" w:color="auto"/>
        <w:left w:val="none" w:sz="0" w:space="0" w:color="auto"/>
        <w:bottom w:val="none" w:sz="0" w:space="0" w:color="auto"/>
        <w:right w:val="none" w:sz="0" w:space="0" w:color="auto"/>
      </w:divBdr>
      <w:divsChild>
        <w:div w:id="8798811">
          <w:marLeft w:val="0"/>
          <w:marRight w:val="0"/>
          <w:marTop w:val="0"/>
          <w:marBottom w:val="100"/>
          <w:divBdr>
            <w:top w:val="none" w:sz="0" w:space="0" w:color="auto"/>
            <w:left w:val="none" w:sz="0" w:space="0" w:color="auto"/>
            <w:bottom w:val="none" w:sz="0" w:space="0" w:color="auto"/>
            <w:right w:val="none" w:sz="0" w:space="0" w:color="auto"/>
          </w:divBdr>
        </w:div>
      </w:divsChild>
    </w:div>
    <w:div w:id="832912261">
      <w:marLeft w:val="0"/>
      <w:marRight w:val="0"/>
      <w:marTop w:val="100"/>
      <w:marBottom w:val="100"/>
      <w:divBdr>
        <w:top w:val="none" w:sz="0" w:space="0" w:color="auto"/>
        <w:left w:val="none" w:sz="0" w:space="0" w:color="auto"/>
        <w:bottom w:val="none" w:sz="0" w:space="0" w:color="auto"/>
        <w:right w:val="none" w:sz="0" w:space="0" w:color="auto"/>
      </w:divBdr>
    </w:div>
    <w:div w:id="835262147">
      <w:marLeft w:val="0"/>
      <w:marRight w:val="0"/>
      <w:marTop w:val="100"/>
      <w:marBottom w:val="100"/>
      <w:divBdr>
        <w:top w:val="none" w:sz="0" w:space="0" w:color="auto"/>
        <w:left w:val="none" w:sz="0" w:space="0" w:color="auto"/>
        <w:bottom w:val="none" w:sz="0" w:space="0" w:color="auto"/>
        <w:right w:val="none" w:sz="0" w:space="0" w:color="auto"/>
      </w:divBdr>
    </w:div>
    <w:div w:id="835416407">
      <w:marLeft w:val="0"/>
      <w:marRight w:val="0"/>
      <w:marTop w:val="0"/>
      <w:marBottom w:val="100"/>
      <w:divBdr>
        <w:top w:val="none" w:sz="0" w:space="0" w:color="auto"/>
        <w:left w:val="none" w:sz="0" w:space="0" w:color="auto"/>
        <w:bottom w:val="none" w:sz="0" w:space="0" w:color="auto"/>
        <w:right w:val="none" w:sz="0" w:space="0" w:color="auto"/>
      </w:divBdr>
    </w:div>
    <w:div w:id="841898239">
      <w:marLeft w:val="0"/>
      <w:marRight w:val="0"/>
      <w:marTop w:val="0"/>
      <w:marBottom w:val="0"/>
      <w:divBdr>
        <w:top w:val="none" w:sz="0" w:space="0" w:color="auto"/>
        <w:left w:val="none" w:sz="0" w:space="0" w:color="auto"/>
        <w:bottom w:val="none" w:sz="0" w:space="0" w:color="auto"/>
        <w:right w:val="none" w:sz="0" w:space="0" w:color="auto"/>
      </w:divBdr>
    </w:div>
    <w:div w:id="842626338">
      <w:marLeft w:val="0"/>
      <w:marRight w:val="0"/>
      <w:marTop w:val="180"/>
      <w:marBottom w:val="0"/>
      <w:divBdr>
        <w:top w:val="none" w:sz="0" w:space="0" w:color="auto"/>
        <w:left w:val="none" w:sz="0" w:space="0" w:color="auto"/>
        <w:bottom w:val="none" w:sz="0" w:space="0" w:color="auto"/>
        <w:right w:val="none" w:sz="0" w:space="0" w:color="auto"/>
      </w:divBdr>
    </w:div>
    <w:div w:id="843546185">
      <w:marLeft w:val="0"/>
      <w:marRight w:val="0"/>
      <w:marTop w:val="100"/>
      <w:marBottom w:val="100"/>
      <w:divBdr>
        <w:top w:val="none" w:sz="0" w:space="0" w:color="auto"/>
        <w:left w:val="none" w:sz="0" w:space="0" w:color="auto"/>
        <w:bottom w:val="none" w:sz="0" w:space="0" w:color="auto"/>
        <w:right w:val="none" w:sz="0" w:space="0" w:color="auto"/>
      </w:divBdr>
    </w:div>
    <w:div w:id="847863376">
      <w:marLeft w:val="0"/>
      <w:marRight w:val="0"/>
      <w:marTop w:val="0"/>
      <w:marBottom w:val="0"/>
      <w:divBdr>
        <w:top w:val="none" w:sz="0" w:space="0" w:color="auto"/>
        <w:left w:val="none" w:sz="0" w:space="0" w:color="auto"/>
        <w:bottom w:val="none" w:sz="0" w:space="0" w:color="auto"/>
        <w:right w:val="none" w:sz="0" w:space="0" w:color="auto"/>
      </w:divBdr>
    </w:div>
    <w:div w:id="848065763">
      <w:marLeft w:val="0"/>
      <w:marRight w:val="0"/>
      <w:marTop w:val="180"/>
      <w:marBottom w:val="100"/>
      <w:divBdr>
        <w:top w:val="none" w:sz="0" w:space="0" w:color="auto"/>
        <w:left w:val="none" w:sz="0" w:space="0" w:color="auto"/>
        <w:bottom w:val="none" w:sz="0" w:space="0" w:color="auto"/>
        <w:right w:val="none" w:sz="0" w:space="0" w:color="auto"/>
      </w:divBdr>
    </w:div>
    <w:div w:id="849292928">
      <w:marLeft w:val="0"/>
      <w:marRight w:val="0"/>
      <w:marTop w:val="100"/>
      <w:marBottom w:val="100"/>
      <w:divBdr>
        <w:top w:val="none" w:sz="0" w:space="0" w:color="auto"/>
        <w:left w:val="none" w:sz="0" w:space="0" w:color="auto"/>
        <w:bottom w:val="none" w:sz="0" w:space="0" w:color="auto"/>
        <w:right w:val="none" w:sz="0" w:space="0" w:color="auto"/>
      </w:divBdr>
    </w:div>
    <w:div w:id="849684653">
      <w:marLeft w:val="0"/>
      <w:marRight w:val="0"/>
      <w:marTop w:val="0"/>
      <w:marBottom w:val="100"/>
      <w:divBdr>
        <w:top w:val="none" w:sz="0" w:space="0" w:color="auto"/>
        <w:left w:val="none" w:sz="0" w:space="0" w:color="auto"/>
        <w:bottom w:val="none" w:sz="0" w:space="0" w:color="auto"/>
        <w:right w:val="none" w:sz="0" w:space="0" w:color="auto"/>
      </w:divBdr>
    </w:div>
    <w:div w:id="849880657">
      <w:marLeft w:val="0"/>
      <w:marRight w:val="0"/>
      <w:marTop w:val="100"/>
      <w:marBottom w:val="100"/>
      <w:divBdr>
        <w:top w:val="none" w:sz="0" w:space="0" w:color="auto"/>
        <w:left w:val="none" w:sz="0" w:space="0" w:color="auto"/>
        <w:bottom w:val="none" w:sz="0" w:space="0" w:color="auto"/>
        <w:right w:val="none" w:sz="0" w:space="0" w:color="auto"/>
      </w:divBdr>
    </w:div>
    <w:div w:id="850950716">
      <w:marLeft w:val="0"/>
      <w:marRight w:val="0"/>
      <w:marTop w:val="100"/>
      <w:marBottom w:val="0"/>
      <w:divBdr>
        <w:top w:val="none" w:sz="0" w:space="0" w:color="auto"/>
        <w:left w:val="none" w:sz="0" w:space="0" w:color="auto"/>
        <w:bottom w:val="none" w:sz="0" w:space="0" w:color="auto"/>
        <w:right w:val="none" w:sz="0" w:space="0" w:color="auto"/>
      </w:divBdr>
    </w:div>
    <w:div w:id="851258345">
      <w:marLeft w:val="0"/>
      <w:marRight w:val="0"/>
      <w:marTop w:val="0"/>
      <w:marBottom w:val="0"/>
      <w:divBdr>
        <w:top w:val="none" w:sz="0" w:space="0" w:color="auto"/>
        <w:left w:val="none" w:sz="0" w:space="0" w:color="auto"/>
        <w:bottom w:val="none" w:sz="0" w:space="0" w:color="auto"/>
        <w:right w:val="none" w:sz="0" w:space="0" w:color="auto"/>
      </w:divBdr>
      <w:divsChild>
        <w:div w:id="122699365">
          <w:marLeft w:val="0"/>
          <w:marRight w:val="0"/>
          <w:marTop w:val="0"/>
          <w:marBottom w:val="0"/>
          <w:divBdr>
            <w:top w:val="none" w:sz="0" w:space="0" w:color="auto"/>
            <w:left w:val="none" w:sz="0" w:space="0" w:color="auto"/>
            <w:bottom w:val="none" w:sz="0" w:space="0" w:color="auto"/>
            <w:right w:val="none" w:sz="0" w:space="0" w:color="auto"/>
          </w:divBdr>
          <w:divsChild>
            <w:div w:id="124059934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51335720">
      <w:marLeft w:val="0"/>
      <w:marRight w:val="0"/>
      <w:marTop w:val="100"/>
      <w:marBottom w:val="100"/>
      <w:divBdr>
        <w:top w:val="none" w:sz="0" w:space="0" w:color="auto"/>
        <w:left w:val="none" w:sz="0" w:space="0" w:color="auto"/>
        <w:bottom w:val="none" w:sz="0" w:space="0" w:color="auto"/>
        <w:right w:val="none" w:sz="0" w:space="0" w:color="auto"/>
      </w:divBdr>
    </w:div>
    <w:div w:id="851803254">
      <w:marLeft w:val="0"/>
      <w:marRight w:val="0"/>
      <w:marTop w:val="100"/>
      <w:marBottom w:val="100"/>
      <w:divBdr>
        <w:top w:val="none" w:sz="0" w:space="0" w:color="auto"/>
        <w:left w:val="none" w:sz="0" w:space="0" w:color="auto"/>
        <w:bottom w:val="none" w:sz="0" w:space="0" w:color="auto"/>
        <w:right w:val="none" w:sz="0" w:space="0" w:color="auto"/>
      </w:divBdr>
    </w:div>
    <w:div w:id="852652689">
      <w:marLeft w:val="0"/>
      <w:marRight w:val="0"/>
      <w:marTop w:val="0"/>
      <w:marBottom w:val="0"/>
      <w:divBdr>
        <w:top w:val="none" w:sz="0" w:space="0" w:color="auto"/>
        <w:left w:val="none" w:sz="0" w:space="0" w:color="auto"/>
        <w:bottom w:val="none" w:sz="0" w:space="0" w:color="auto"/>
        <w:right w:val="none" w:sz="0" w:space="0" w:color="auto"/>
      </w:divBdr>
      <w:divsChild>
        <w:div w:id="1929462987">
          <w:marLeft w:val="0"/>
          <w:marRight w:val="0"/>
          <w:marTop w:val="0"/>
          <w:marBottom w:val="0"/>
          <w:divBdr>
            <w:top w:val="none" w:sz="0" w:space="0" w:color="auto"/>
            <w:left w:val="none" w:sz="0" w:space="0" w:color="auto"/>
            <w:bottom w:val="none" w:sz="0" w:space="0" w:color="auto"/>
            <w:right w:val="none" w:sz="0" w:space="0" w:color="auto"/>
          </w:divBdr>
          <w:divsChild>
            <w:div w:id="183619061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53541595">
      <w:marLeft w:val="0"/>
      <w:marRight w:val="0"/>
      <w:marTop w:val="100"/>
      <w:marBottom w:val="0"/>
      <w:divBdr>
        <w:top w:val="none" w:sz="0" w:space="0" w:color="auto"/>
        <w:left w:val="none" w:sz="0" w:space="0" w:color="auto"/>
        <w:bottom w:val="none" w:sz="0" w:space="0" w:color="auto"/>
        <w:right w:val="none" w:sz="0" w:space="0" w:color="auto"/>
      </w:divBdr>
    </w:div>
    <w:div w:id="854075844">
      <w:marLeft w:val="0"/>
      <w:marRight w:val="0"/>
      <w:marTop w:val="0"/>
      <w:marBottom w:val="0"/>
      <w:divBdr>
        <w:top w:val="none" w:sz="0" w:space="0" w:color="auto"/>
        <w:left w:val="none" w:sz="0" w:space="0" w:color="auto"/>
        <w:bottom w:val="none" w:sz="0" w:space="0" w:color="auto"/>
        <w:right w:val="none" w:sz="0" w:space="0" w:color="auto"/>
      </w:divBdr>
    </w:div>
    <w:div w:id="858082952">
      <w:marLeft w:val="0"/>
      <w:marRight w:val="0"/>
      <w:marTop w:val="180"/>
      <w:marBottom w:val="0"/>
      <w:divBdr>
        <w:top w:val="none" w:sz="0" w:space="0" w:color="auto"/>
        <w:left w:val="none" w:sz="0" w:space="0" w:color="auto"/>
        <w:bottom w:val="none" w:sz="0" w:space="0" w:color="auto"/>
        <w:right w:val="none" w:sz="0" w:space="0" w:color="auto"/>
      </w:divBdr>
    </w:div>
    <w:div w:id="858742472">
      <w:marLeft w:val="0"/>
      <w:marRight w:val="0"/>
      <w:marTop w:val="180"/>
      <w:marBottom w:val="0"/>
      <w:divBdr>
        <w:top w:val="none" w:sz="0" w:space="0" w:color="auto"/>
        <w:left w:val="none" w:sz="0" w:space="0" w:color="auto"/>
        <w:bottom w:val="none" w:sz="0" w:space="0" w:color="auto"/>
        <w:right w:val="none" w:sz="0" w:space="0" w:color="auto"/>
      </w:divBdr>
    </w:div>
    <w:div w:id="859784458">
      <w:marLeft w:val="0"/>
      <w:marRight w:val="0"/>
      <w:marTop w:val="0"/>
      <w:marBottom w:val="100"/>
      <w:divBdr>
        <w:top w:val="none" w:sz="0" w:space="0" w:color="auto"/>
        <w:left w:val="none" w:sz="0" w:space="0" w:color="auto"/>
        <w:bottom w:val="none" w:sz="0" w:space="0" w:color="auto"/>
        <w:right w:val="none" w:sz="0" w:space="0" w:color="auto"/>
      </w:divBdr>
    </w:div>
    <w:div w:id="860122272">
      <w:marLeft w:val="0"/>
      <w:marRight w:val="0"/>
      <w:marTop w:val="100"/>
      <w:marBottom w:val="100"/>
      <w:divBdr>
        <w:top w:val="none" w:sz="0" w:space="0" w:color="auto"/>
        <w:left w:val="none" w:sz="0" w:space="0" w:color="auto"/>
        <w:bottom w:val="none" w:sz="0" w:space="0" w:color="auto"/>
        <w:right w:val="none" w:sz="0" w:space="0" w:color="auto"/>
      </w:divBdr>
    </w:div>
    <w:div w:id="860237626">
      <w:marLeft w:val="0"/>
      <w:marRight w:val="0"/>
      <w:marTop w:val="0"/>
      <w:marBottom w:val="100"/>
      <w:divBdr>
        <w:top w:val="none" w:sz="0" w:space="0" w:color="auto"/>
        <w:left w:val="none" w:sz="0" w:space="0" w:color="auto"/>
        <w:bottom w:val="none" w:sz="0" w:space="0" w:color="auto"/>
        <w:right w:val="none" w:sz="0" w:space="0" w:color="auto"/>
      </w:divBdr>
    </w:div>
    <w:div w:id="861238507">
      <w:marLeft w:val="0"/>
      <w:marRight w:val="0"/>
      <w:marTop w:val="0"/>
      <w:marBottom w:val="0"/>
      <w:divBdr>
        <w:top w:val="none" w:sz="0" w:space="0" w:color="auto"/>
        <w:left w:val="none" w:sz="0" w:space="0" w:color="auto"/>
        <w:bottom w:val="none" w:sz="0" w:space="0" w:color="auto"/>
        <w:right w:val="none" w:sz="0" w:space="0" w:color="auto"/>
      </w:divBdr>
      <w:divsChild>
        <w:div w:id="1036925504">
          <w:marLeft w:val="0"/>
          <w:marRight w:val="0"/>
          <w:marTop w:val="0"/>
          <w:marBottom w:val="0"/>
          <w:divBdr>
            <w:top w:val="none" w:sz="0" w:space="0" w:color="auto"/>
            <w:left w:val="none" w:sz="0" w:space="0" w:color="auto"/>
            <w:bottom w:val="none" w:sz="0" w:space="0" w:color="auto"/>
            <w:right w:val="none" w:sz="0" w:space="0" w:color="auto"/>
          </w:divBdr>
          <w:divsChild>
            <w:div w:id="101562099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62014102">
      <w:marLeft w:val="0"/>
      <w:marRight w:val="0"/>
      <w:marTop w:val="0"/>
      <w:marBottom w:val="0"/>
      <w:divBdr>
        <w:top w:val="none" w:sz="0" w:space="0" w:color="auto"/>
        <w:left w:val="none" w:sz="0" w:space="0" w:color="auto"/>
        <w:bottom w:val="none" w:sz="0" w:space="0" w:color="auto"/>
        <w:right w:val="none" w:sz="0" w:space="0" w:color="auto"/>
      </w:divBdr>
      <w:divsChild>
        <w:div w:id="1406369755">
          <w:marLeft w:val="0"/>
          <w:marRight w:val="0"/>
          <w:marTop w:val="0"/>
          <w:marBottom w:val="0"/>
          <w:divBdr>
            <w:top w:val="none" w:sz="0" w:space="0" w:color="auto"/>
            <w:left w:val="none" w:sz="0" w:space="0" w:color="auto"/>
            <w:bottom w:val="none" w:sz="0" w:space="0" w:color="auto"/>
            <w:right w:val="none" w:sz="0" w:space="0" w:color="auto"/>
          </w:divBdr>
          <w:divsChild>
            <w:div w:id="12773691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63325902">
      <w:marLeft w:val="0"/>
      <w:marRight w:val="0"/>
      <w:marTop w:val="0"/>
      <w:marBottom w:val="100"/>
      <w:divBdr>
        <w:top w:val="none" w:sz="0" w:space="0" w:color="auto"/>
        <w:left w:val="none" w:sz="0" w:space="0" w:color="auto"/>
        <w:bottom w:val="none" w:sz="0" w:space="0" w:color="auto"/>
        <w:right w:val="none" w:sz="0" w:space="0" w:color="auto"/>
      </w:divBdr>
    </w:div>
    <w:div w:id="863637524">
      <w:marLeft w:val="0"/>
      <w:marRight w:val="0"/>
      <w:marTop w:val="100"/>
      <w:marBottom w:val="100"/>
      <w:divBdr>
        <w:top w:val="none" w:sz="0" w:space="0" w:color="auto"/>
        <w:left w:val="none" w:sz="0" w:space="0" w:color="auto"/>
        <w:bottom w:val="none" w:sz="0" w:space="0" w:color="auto"/>
        <w:right w:val="none" w:sz="0" w:space="0" w:color="auto"/>
      </w:divBdr>
    </w:div>
    <w:div w:id="864640318">
      <w:marLeft w:val="0"/>
      <w:marRight w:val="0"/>
      <w:marTop w:val="0"/>
      <w:marBottom w:val="100"/>
      <w:divBdr>
        <w:top w:val="none" w:sz="0" w:space="0" w:color="auto"/>
        <w:left w:val="none" w:sz="0" w:space="0" w:color="auto"/>
        <w:bottom w:val="none" w:sz="0" w:space="0" w:color="auto"/>
        <w:right w:val="none" w:sz="0" w:space="0" w:color="auto"/>
      </w:divBdr>
    </w:div>
    <w:div w:id="865365289">
      <w:marLeft w:val="0"/>
      <w:marRight w:val="0"/>
      <w:marTop w:val="0"/>
      <w:marBottom w:val="100"/>
      <w:divBdr>
        <w:top w:val="none" w:sz="0" w:space="0" w:color="auto"/>
        <w:left w:val="none" w:sz="0" w:space="0" w:color="auto"/>
        <w:bottom w:val="none" w:sz="0" w:space="0" w:color="auto"/>
        <w:right w:val="none" w:sz="0" w:space="0" w:color="auto"/>
      </w:divBdr>
    </w:div>
    <w:div w:id="867915105">
      <w:marLeft w:val="0"/>
      <w:marRight w:val="0"/>
      <w:marTop w:val="0"/>
      <w:marBottom w:val="100"/>
      <w:divBdr>
        <w:top w:val="none" w:sz="0" w:space="0" w:color="auto"/>
        <w:left w:val="none" w:sz="0" w:space="0" w:color="auto"/>
        <w:bottom w:val="none" w:sz="0" w:space="0" w:color="auto"/>
        <w:right w:val="none" w:sz="0" w:space="0" w:color="auto"/>
      </w:divBdr>
    </w:div>
    <w:div w:id="869024836">
      <w:marLeft w:val="0"/>
      <w:marRight w:val="0"/>
      <w:marTop w:val="0"/>
      <w:marBottom w:val="200"/>
      <w:divBdr>
        <w:top w:val="none" w:sz="0" w:space="0" w:color="auto"/>
        <w:left w:val="none" w:sz="0" w:space="0" w:color="auto"/>
        <w:bottom w:val="none" w:sz="0" w:space="0" w:color="auto"/>
        <w:right w:val="none" w:sz="0" w:space="0" w:color="auto"/>
      </w:divBdr>
    </w:div>
    <w:div w:id="870454138">
      <w:marLeft w:val="0"/>
      <w:marRight w:val="0"/>
      <w:marTop w:val="0"/>
      <w:marBottom w:val="0"/>
      <w:divBdr>
        <w:top w:val="none" w:sz="0" w:space="0" w:color="auto"/>
        <w:left w:val="none" w:sz="0" w:space="0" w:color="auto"/>
        <w:bottom w:val="none" w:sz="0" w:space="0" w:color="auto"/>
        <w:right w:val="none" w:sz="0" w:space="0" w:color="auto"/>
      </w:divBdr>
    </w:div>
    <w:div w:id="873814426">
      <w:marLeft w:val="0"/>
      <w:marRight w:val="0"/>
      <w:marTop w:val="0"/>
      <w:marBottom w:val="0"/>
      <w:divBdr>
        <w:top w:val="none" w:sz="0" w:space="0" w:color="auto"/>
        <w:left w:val="none" w:sz="0" w:space="0" w:color="auto"/>
        <w:bottom w:val="none" w:sz="0" w:space="0" w:color="auto"/>
        <w:right w:val="none" w:sz="0" w:space="0" w:color="auto"/>
      </w:divBdr>
      <w:divsChild>
        <w:div w:id="303898587">
          <w:marLeft w:val="0"/>
          <w:marRight w:val="0"/>
          <w:marTop w:val="0"/>
          <w:marBottom w:val="0"/>
          <w:divBdr>
            <w:top w:val="none" w:sz="0" w:space="0" w:color="auto"/>
            <w:left w:val="none" w:sz="0" w:space="0" w:color="auto"/>
            <w:bottom w:val="none" w:sz="0" w:space="0" w:color="auto"/>
            <w:right w:val="none" w:sz="0" w:space="0" w:color="auto"/>
          </w:divBdr>
          <w:divsChild>
            <w:div w:id="199013541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74007736">
      <w:marLeft w:val="0"/>
      <w:marRight w:val="0"/>
      <w:marTop w:val="100"/>
      <w:marBottom w:val="100"/>
      <w:divBdr>
        <w:top w:val="none" w:sz="0" w:space="0" w:color="auto"/>
        <w:left w:val="none" w:sz="0" w:space="0" w:color="auto"/>
        <w:bottom w:val="none" w:sz="0" w:space="0" w:color="auto"/>
        <w:right w:val="none" w:sz="0" w:space="0" w:color="auto"/>
      </w:divBdr>
    </w:div>
    <w:div w:id="874347218">
      <w:marLeft w:val="0"/>
      <w:marRight w:val="0"/>
      <w:marTop w:val="0"/>
      <w:marBottom w:val="0"/>
      <w:divBdr>
        <w:top w:val="none" w:sz="0" w:space="0" w:color="auto"/>
        <w:left w:val="none" w:sz="0" w:space="0" w:color="auto"/>
        <w:bottom w:val="none" w:sz="0" w:space="0" w:color="auto"/>
        <w:right w:val="none" w:sz="0" w:space="0" w:color="auto"/>
      </w:divBdr>
      <w:divsChild>
        <w:div w:id="1028917603">
          <w:marLeft w:val="0"/>
          <w:marRight w:val="0"/>
          <w:marTop w:val="0"/>
          <w:marBottom w:val="100"/>
          <w:divBdr>
            <w:top w:val="none" w:sz="0" w:space="0" w:color="auto"/>
            <w:left w:val="none" w:sz="0" w:space="0" w:color="auto"/>
            <w:bottom w:val="none" w:sz="0" w:space="0" w:color="auto"/>
            <w:right w:val="none" w:sz="0" w:space="0" w:color="auto"/>
          </w:divBdr>
        </w:div>
      </w:divsChild>
    </w:div>
    <w:div w:id="875199855">
      <w:marLeft w:val="0"/>
      <w:marRight w:val="0"/>
      <w:marTop w:val="0"/>
      <w:marBottom w:val="100"/>
      <w:divBdr>
        <w:top w:val="none" w:sz="0" w:space="0" w:color="auto"/>
        <w:left w:val="none" w:sz="0" w:space="0" w:color="auto"/>
        <w:bottom w:val="none" w:sz="0" w:space="0" w:color="auto"/>
        <w:right w:val="none" w:sz="0" w:space="0" w:color="auto"/>
      </w:divBdr>
    </w:div>
    <w:div w:id="875510616">
      <w:marLeft w:val="0"/>
      <w:marRight w:val="0"/>
      <w:marTop w:val="100"/>
      <w:marBottom w:val="100"/>
      <w:divBdr>
        <w:top w:val="none" w:sz="0" w:space="0" w:color="auto"/>
        <w:left w:val="none" w:sz="0" w:space="0" w:color="auto"/>
        <w:bottom w:val="none" w:sz="0" w:space="0" w:color="auto"/>
        <w:right w:val="none" w:sz="0" w:space="0" w:color="auto"/>
      </w:divBdr>
    </w:div>
    <w:div w:id="876283399">
      <w:marLeft w:val="0"/>
      <w:marRight w:val="0"/>
      <w:marTop w:val="0"/>
      <w:marBottom w:val="0"/>
      <w:divBdr>
        <w:top w:val="none" w:sz="0" w:space="0" w:color="auto"/>
        <w:left w:val="none" w:sz="0" w:space="0" w:color="auto"/>
        <w:bottom w:val="none" w:sz="0" w:space="0" w:color="auto"/>
        <w:right w:val="none" w:sz="0" w:space="0" w:color="auto"/>
      </w:divBdr>
      <w:divsChild>
        <w:div w:id="159732750">
          <w:marLeft w:val="0"/>
          <w:marRight w:val="0"/>
          <w:marTop w:val="0"/>
          <w:marBottom w:val="0"/>
          <w:divBdr>
            <w:top w:val="none" w:sz="0" w:space="0" w:color="auto"/>
            <w:left w:val="none" w:sz="0" w:space="0" w:color="auto"/>
            <w:bottom w:val="none" w:sz="0" w:space="0" w:color="auto"/>
            <w:right w:val="none" w:sz="0" w:space="0" w:color="auto"/>
          </w:divBdr>
          <w:divsChild>
            <w:div w:id="144195173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76505152">
      <w:marLeft w:val="0"/>
      <w:marRight w:val="0"/>
      <w:marTop w:val="0"/>
      <w:marBottom w:val="100"/>
      <w:divBdr>
        <w:top w:val="none" w:sz="0" w:space="0" w:color="auto"/>
        <w:left w:val="none" w:sz="0" w:space="0" w:color="auto"/>
        <w:bottom w:val="none" w:sz="0" w:space="0" w:color="auto"/>
        <w:right w:val="none" w:sz="0" w:space="0" w:color="auto"/>
      </w:divBdr>
    </w:div>
    <w:div w:id="877009607">
      <w:marLeft w:val="0"/>
      <w:marRight w:val="0"/>
      <w:marTop w:val="0"/>
      <w:marBottom w:val="0"/>
      <w:divBdr>
        <w:top w:val="none" w:sz="0" w:space="0" w:color="auto"/>
        <w:left w:val="none" w:sz="0" w:space="0" w:color="auto"/>
        <w:bottom w:val="none" w:sz="0" w:space="0" w:color="auto"/>
        <w:right w:val="none" w:sz="0" w:space="0" w:color="auto"/>
      </w:divBdr>
      <w:divsChild>
        <w:div w:id="238490643">
          <w:marLeft w:val="0"/>
          <w:marRight w:val="0"/>
          <w:marTop w:val="0"/>
          <w:marBottom w:val="0"/>
          <w:divBdr>
            <w:top w:val="none" w:sz="0" w:space="0" w:color="auto"/>
            <w:left w:val="none" w:sz="0" w:space="0" w:color="auto"/>
            <w:bottom w:val="none" w:sz="0" w:space="0" w:color="auto"/>
            <w:right w:val="none" w:sz="0" w:space="0" w:color="auto"/>
          </w:divBdr>
          <w:divsChild>
            <w:div w:id="20692606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77663291">
      <w:marLeft w:val="0"/>
      <w:marRight w:val="0"/>
      <w:marTop w:val="0"/>
      <w:marBottom w:val="0"/>
      <w:divBdr>
        <w:top w:val="none" w:sz="0" w:space="0" w:color="auto"/>
        <w:left w:val="none" w:sz="0" w:space="0" w:color="auto"/>
        <w:bottom w:val="none" w:sz="0" w:space="0" w:color="auto"/>
        <w:right w:val="none" w:sz="0" w:space="0" w:color="auto"/>
      </w:divBdr>
      <w:divsChild>
        <w:div w:id="1081945289">
          <w:marLeft w:val="0"/>
          <w:marRight w:val="0"/>
          <w:marTop w:val="0"/>
          <w:marBottom w:val="0"/>
          <w:divBdr>
            <w:top w:val="none" w:sz="0" w:space="0" w:color="auto"/>
            <w:left w:val="none" w:sz="0" w:space="0" w:color="auto"/>
            <w:bottom w:val="none" w:sz="0" w:space="0" w:color="auto"/>
            <w:right w:val="none" w:sz="0" w:space="0" w:color="auto"/>
          </w:divBdr>
          <w:divsChild>
            <w:div w:id="16488272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78736320">
      <w:marLeft w:val="0"/>
      <w:marRight w:val="0"/>
      <w:marTop w:val="0"/>
      <w:marBottom w:val="0"/>
      <w:divBdr>
        <w:top w:val="none" w:sz="0" w:space="0" w:color="auto"/>
        <w:left w:val="none" w:sz="0" w:space="0" w:color="auto"/>
        <w:bottom w:val="none" w:sz="0" w:space="0" w:color="auto"/>
        <w:right w:val="none" w:sz="0" w:space="0" w:color="auto"/>
      </w:divBdr>
    </w:div>
    <w:div w:id="879980773">
      <w:marLeft w:val="0"/>
      <w:marRight w:val="0"/>
      <w:marTop w:val="0"/>
      <w:marBottom w:val="100"/>
      <w:divBdr>
        <w:top w:val="none" w:sz="0" w:space="0" w:color="auto"/>
        <w:left w:val="none" w:sz="0" w:space="0" w:color="auto"/>
        <w:bottom w:val="none" w:sz="0" w:space="0" w:color="auto"/>
        <w:right w:val="none" w:sz="0" w:space="0" w:color="auto"/>
      </w:divBdr>
    </w:div>
    <w:div w:id="882865585">
      <w:marLeft w:val="0"/>
      <w:marRight w:val="0"/>
      <w:marTop w:val="0"/>
      <w:marBottom w:val="0"/>
      <w:divBdr>
        <w:top w:val="none" w:sz="0" w:space="0" w:color="auto"/>
        <w:left w:val="none" w:sz="0" w:space="0" w:color="auto"/>
        <w:bottom w:val="none" w:sz="0" w:space="0" w:color="auto"/>
        <w:right w:val="none" w:sz="0" w:space="0" w:color="auto"/>
      </w:divBdr>
      <w:divsChild>
        <w:div w:id="597446066">
          <w:marLeft w:val="0"/>
          <w:marRight w:val="0"/>
          <w:marTop w:val="0"/>
          <w:marBottom w:val="0"/>
          <w:divBdr>
            <w:top w:val="none" w:sz="0" w:space="0" w:color="auto"/>
            <w:left w:val="none" w:sz="0" w:space="0" w:color="auto"/>
            <w:bottom w:val="none" w:sz="0" w:space="0" w:color="auto"/>
            <w:right w:val="none" w:sz="0" w:space="0" w:color="auto"/>
          </w:divBdr>
          <w:divsChild>
            <w:div w:id="19796782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83635588">
      <w:marLeft w:val="0"/>
      <w:marRight w:val="0"/>
      <w:marTop w:val="0"/>
      <w:marBottom w:val="0"/>
      <w:divBdr>
        <w:top w:val="none" w:sz="0" w:space="0" w:color="auto"/>
        <w:left w:val="none" w:sz="0" w:space="0" w:color="auto"/>
        <w:bottom w:val="none" w:sz="0" w:space="0" w:color="auto"/>
        <w:right w:val="none" w:sz="0" w:space="0" w:color="auto"/>
      </w:divBdr>
    </w:div>
    <w:div w:id="884146302">
      <w:marLeft w:val="0"/>
      <w:marRight w:val="0"/>
      <w:marTop w:val="0"/>
      <w:marBottom w:val="100"/>
      <w:divBdr>
        <w:top w:val="none" w:sz="0" w:space="0" w:color="auto"/>
        <w:left w:val="none" w:sz="0" w:space="0" w:color="auto"/>
        <w:bottom w:val="none" w:sz="0" w:space="0" w:color="auto"/>
        <w:right w:val="none" w:sz="0" w:space="0" w:color="auto"/>
      </w:divBdr>
    </w:div>
    <w:div w:id="884216152">
      <w:marLeft w:val="0"/>
      <w:marRight w:val="0"/>
      <w:marTop w:val="0"/>
      <w:marBottom w:val="0"/>
      <w:divBdr>
        <w:top w:val="none" w:sz="0" w:space="0" w:color="auto"/>
        <w:left w:val="none" w:sz="0" w:space="0" w:color="auto"/>
        <w:bottom w:val="none" w:sz="0" w:space="0" w:color="auto"/>
        <w:right w:val="none" w:sz="0" w:space="0" w:color="auto"/>
      </w:divBdr>
      <w:divsChild>
        <w:div w:id="1006976412">
          <w:marLeft w:val="0"/>
          <w:marRight w:val="0"/>
          <w:marTop w:val="0"/>
          <w:marBottom w:val="100"/>
          <w:divBdr>
            <w:top w:val="none" w:sz="0" w:space="0" w:color="auto"/>
            <w:left w:val="none" w:sz="0" w:space="0" w:color="auto"/>
            <w:bottom w:val="none" w:sz="0" w:space="0" w:color="auto"/>
            <w:right w:val="none" w:sz="0" w:space="0" w:color="auto"/>
          </w:divBdr>
        </w:div>
      </w:divsChild>
    </w:div>
    <w:div w:id="884291896">
      <w:marLeft w:val="0"/>
      <w:marRight w:val="0"/>
      <w:marTop w:val="0"/>
      <w:marBottom w:val="100"/>
      <w:divBdr>
        <w:top w:val="none" w:sz="0" w:space="0" w:color="auto"/>
        <w:left w:val="none" w:sz="0" w:space="0" w:color="auto"/>
        <w:bottom w:val="none" w:sz="0" w:space="0" w:color="auto"/>
        <w:right w:val="none" w:sz="0" w:space="0" w:color="auto"/>
      </w:divBdr>
    </w:div>
    <w:div w:id="884607066">
      <w:marLeft w:val="0"/>
      <w:marRight w:val="0"/>
      <w:marTop w:val="180"/>
      <w:marBottom w:val="100"/>
      <w:divBdr>
        <w:top w:val="none" w:sz="0" w:space="0" w:color="auto"/>
        <w:left w:val="none" w:sz="0" w:space="0" w:color="auto"/>
        <w:bottom w:val="none" w:sz="0" w:space="0" w:color="auto"/>
        <w:right w:val="none" w:sz="0" w:space="0" w:color="auto"/>
      </w:divBdr>
    </w:div>
    <w:div w:id="884680624">
      <w:marLeft w:val="0"/>
      <w:marRight w:val="0"/>
      <w:marTop w:val="0"/>
      <w:marBottom w:val="0"/>
      <w:divBdr>
        <w:top w:val="none" w:sz="0" w:space="0" w:color="auto"/>
        <w:left w:val="none" w:sz="0" w:space="0" w:color="auto"/>
        <w:bottom w:val="none" w:sz="0" w:space="0" w:color="auto"/>
        <w:right w:val="none" w:sz="0" w:space="0" w:color="auto"/>
      </w:divBdr>
      <w:divsChild>
        <w:div w:id="1074157565">
          <w:marLeft w:val="0"/>
          <w:marRight w:val="0"/>
          <w:marTop w:val="0"/>
          <w:marBottom w:val="100"/>
          <w:divBdr>
            <w:top w:val="none" w:sz="0" w:space="0" w:color="auto"/>
            <w:left w:val="none" w:sz="0" w:space="0" w:color="auto"/>
            <w:bottom w:val="none" w:sz="0" w:space="0" w:color="auto"/>
            <w:right w:val="none" w:sz="0" w:space="0" w:color="auto"/>
          </w:divBdr>
        </w:div>
      </w:divsChild>
    </w:div>
    <w:div w:id="884828418">
      <w:marLeft w:val="0"/>
      <w:marRight w:val="0"/>
      <w:marTop w:val="0"/>
      <w:marBottom w:val="0"/>
      <w:divBdr>
        <w:top w:val="none" w:sz="0" w:space="0" w:color="auto"/>
        <w:left w:val="none" w:sz="0" w:space="0" w:color="auto"/>
        <w:bottom w:val="none" w:sz="0" w:space="0" w:color="auto"/>
        <w:right w:val="none" w:sz="0" w:space="0" w:color="auto"/>
      </w:divBdr>
      <w:divsChild>
        <w:div w:id="1911185726">
          <w:marLeft w:val="0"/>
          <w:marRight w:val="0"/>
          <w:marTop w:val="0"/>
          <w:marBottom w:val="0"/>
          <w:divBdr>
            <w:top w:val="none" w:sz="0" w:space="0" w:color="auto"/>
            <w:left w:val="none" w:sz="0" w:space="0" w:color="auto"/>
            <w:bottom w:val="none" w:sz="0" w:space="0" w:color="auto"/>
            <w:right w:val="none" w:sz="0" w:space="0" w:color="auto"/>
          </w:divBdr>
          <w:divsChild>
            <w:div w:id="19563245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87762171">
      <w:marLeft w:val="0"/>
      <w:marRight w:val="0"/>
      <w:marTop w:val="180"/>
      <w:marBottom w:val="0"/>
      <w:divBdr>
        <w:top w:val="none" w:sz="0" w:space="0" w:color="auto"/>
        <w:left w:val="none" w:sz="0" w:space="0" w:color="auto"/>
        <w:bottom w:val="none" w:sz="0" w:space="0" w:color="auto"/>
        <w:right w:val="none" w:sz="0" w:space="0" w:color="auto"/>
      </w:divBdr>
    </w:div>
    <w:div w:id="889221324">
      <w:marLeft w:val="0"/>
      <w:marRight w:val="0"/>
      <w:marTop w:val="180"/>
      <w:marBottom w:val="0"/>
      <w:divBdr>
        <w:top w:val="none" w:sz="0" w:space="0" w:color="auto"/>
        <w:left w:val="none" w:sz="0" w:space="0" w:color="auto"/>
        <w:bottom w:val="none" w:sz="0" w:space="0" w:color="auto"/>
        <w:right w:val="none" w:sz="0" w:space="0" w:color="auto"/>
      </w:divBdr>
    </w:div>
    <w:div w:id="890074895">
      <w:marLeft w:val="0"/>
      <w:marRight w:val="0"/>
      <w:marTop w:val="0"/>
      <w:marBottom w:val="0"/>
      <w:divBdr>
        <w:top w:val="none" w:sz="0" w:space="0" w:color="auto"/>
        <w:left w:val="none" w:sz="0" w:space="0" w:color="auto"/>
        <w:bottom w:val="none" w:sz="0" w:space="0" w:color="auto"/>
        <w:right w:val="none" w:sz="0" w:space="0" w:color="auto"/>
      </w:divBdr>
    </w:div>
    <w:div w:id="891232080">
      <w:marLeft w:val="0"/>
      <w:marRight w:val="0"/>
      <w:marTop w:val="0"/>
      <w:marBottom w:val="0"/>
      <w:divBdr>
        <w:top w:val="none" w:sz="0" w:space="0" w:color="auto"/>
        <w:left w:val="none" w:sz="0" w:space="0" w:color="auto"/>
        <w:bottom w:val="none" w:sz="0" w:space="0" w:color="auto"/>
        <w:right w:val="none" w:sz="0" w:space="0" w:color="auto"/>
      </w:divBdr>
    </w:div>
    <w:div w:id="892426353">
      <w:marLeft w:val="0"/>
      <w:marRight w:val="0"/>
      <w:marTop w:val="0"/>
      <w:marBottom w:val="100"/>
      <w:divBdr>
        <w:top w:val="none" w:sz="0" w:space="0" w:color="auto"/>
        <w:left w:val="none" w:sz="0" w:space="0" w:color="auto"/>
        <w:bottom w:val="none" w:sz="0" w:space="0" w:color="auto"/>
        <w:right w:val="none" w:sz="0" w:space="0" w:color="auto"/>
      </w:divBdr>
    </w:div>
    <w:div w:id="893811738">
      <w:marLeft w:val="0"/>
      <w:marRight w:val="0"/>
      <w:marTop w:val="100"/>
      <w:marBottom w:val="100"/>
      <w:divBdr>
        <w:top w:val="none" w:sz="0" w:space="0" w:color="auto"/>
        <w:left w:val="none" w:sz="0" w:space="0" w:color="auto"/>
        <w:bottom w:val="none" w:sz="0" w:space="0" w:color="auto"/>
        <w:right w:val="none" w:sz="0" w:space="0" w:color="auto"/>
      </w:divBdr>
    </w:div>
    <w:div w:id="893930302">
      <w:marLeft w:val="0"/>
      <w:marRight w:val="0"/>
      <w:marTop w:val="0"/>
      <w:marBottom w:val="0"/>
      <w:divBdr>
        <w:top w:val="none" w:sz="0" w:space="0" w:color="auto"/>
        <w:left w:val="none" w:sz="0" w:space="0" w:color="auto"/>
        <w:bottom w:val="none" w:sz="0" w:space="0" w:color="auto"/>
        <w:right w:val="none" w:sz="0" w:space="0" w:color="auto"/>
      </w:divBdr>
    </w:div>
    <w:div w:id="895049512">
      <w:marLeft w:val="0"/>
      <w:marRight w:val="0"/>
      <w:marTop w:val="0"/>
      <w:marBottom w:val="0"/>
      <w:divBdr>
        <w:top w:val="none" w:sz="0" w:space="0" w:color="auto"/>
        <w:left w:val="none" w:sz="0" w:space="0" w:color="auto"/>
        <w:bottom w:val="none" w:sz="0" w:space="0" w:color="auto"/>
        <w:right w:val="none" w:sz="0" w:space="0" w:color="auto"/>
      </w:divBdr>
      <w:divsChild>
        <w:div w:id="852106123">
          <w:marLeft w:val="0"/>
          <w:marRight w:val="0"/>
          <w:marTop w:val="0"/>
          <w:marBottom w:val="0"/>
          <w:divBdr>
            <w:top w:val="none" w:sz="0" w:space="0" w:color="auto"/>
            <w:left w:val="none" w:sz="0" w:space="0" w:color="auto"/>
            <w:bottom w:val="none" w:sz="0" w:space="0" w:color="auto"/>
            <w:right w:val="none" w:sz="0" w:space="0" w:color="auto"/>
          </w:divBdr>
          <w:divsChild>
            <w:div w:id="10558608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96479907">
      <w:marLeft w:val="0"/>
      <w:marRight w:val="0"/>
      <w:marTop w:val="0"/>
      <w:marBottom w:val="0"/>
      <w:divBdr>
        <w:top w:val="none" w:sz="0" w:space="0" w:color="auto"/>
        <w:left w:val="none" w:sz="0" w:space="0" w:color="auto"/>
        <w:bottom w:val="none" w:sz="0" w:space="0" w:color="auto"/>
        <w:right w:val="none" w:sz="0" w:space="0" w:color="auto"/>
      </w:divBdr>
    </w:div>
    <w:div w:id="898786336">
      <w:marLeft w:val="0"/>
      <w:marRight w:val="0"/>
      <w:marTop w:val="180"/>
      <w:marBottom w:val="100"/>
      <w:divBdr>
        <w:top w:val="none" w:sz="0" w:space="0" w:color="auto"/>
        <w:left w:val="none" w:sz="0" w:space="0" w:color="auto"/>
        <w:bottom w:val="none" w:sz="0" w:space="0" w:color="auto"/>
        <w:right w:val="none" w:sz="0" w:space="0" w:color="auto"/>
      </w:divBdr>
    </w:div>
    <w:div w:id="900942646">
      <w:marLeft w:val="0"/>
      <w:marRight w:val="0"/>
      <w:marTop w:val="0"/>
      <w:marBottom w:val="0"/>
      <w:divBdr>
        <w:top w:val="none" w:sz="0" w:space="0" w:color="auto"/>
        <w:left w:val="none" w:sz="0" w:space="0" w:color="auto"/>
        <w:bottom w:val="none" w:sz="0" w:space="0" w:color="auto"/>
        <w:right w:val="none" w:sz="0" w:space="0" w:color="auto"/>
      </w:divBdr>
      <w:divsChild>
        <w:div w:id="110979024">
          <w:marLeft w:val="0"/>
          <w:marRight w:val="0"/>
          <w:marTop w:val="0"/>
          <w:marBottom w:val="100"/>
          <w:divBdr>
            <w:top w:val="none" w:sz="0" w:space="0" w:color="auto"/>
            <w:left w:val="none" w:sz="0" w:space="0" w:color="auto"/>
            <w:bottom w:val="none" w:sz="0" w:space="0" w:color="auto"/>
            <w:right w:val="none" w:sz="0" w:space="0" w:color="auto"/>
          </w:divBdr>
        </w:div>
      </w:divsChild>
    </w:div>
    <w:div w:id="901064239">
      <w:marLeft w:val="0"/>
      <w:marRight w:val="0"/>
      <w:marTop w:val="0"/>
      <w:marBottom w:val="100"/>
      <w:divBdr>
        <w:top w:val="none" w:sz="0" w:space="0" w:color="auto"/>
        <w:left w:val="none" w:sz="0" w:space="0" w:color="auto"/>
        <w:bottom w:val="none" w:sz="0" w:space="0" w:color="auto"/>
        <w:right w:val="none" w:sz="0" w:space="0" w:color="auto"/>
      </w:divBdr>
    </w:div>
    <w:div w:id="903636745">
      <w:marLeft w:val="0"/>
      <w:marRight w:val="0"/>
      <w:marTop w:val="0"/>
      <w:marBottom w:val="0"/>
      <w:divBdr>
        <w:top w:val="none" w:sz="0" w:space="0" w:color="auto"/>
        <w:left w:val="none" w:sz="0" w:space="0" w:color="auto"/>
        <w:bottom w:val="none" w:sz="0" w:space="0" w:color="auto"/>
        <w:right w:val="none" w:sz="0" w:space="0" w:color="auto"/>
      </w:divBdr>
    </w:div>
    <w:div w:id="905183546">
      <w:marLeft w:val="0"/>
      <w:marRight w:val="0"/>
      <w:marTop w:val="0"/>
      <w:marBottom w:val="100"/>
      <w:divBdr>
        <w:top w:val="none" w:sz="0" w:space="0" w:color="auto"/>
        <w:left w:val="none" w:sz="0" w:space="0" w:color="auto"/>
        <w:bottom w:val="none" w:sz="0" w:space="0" w:color="auto"/>
        <w:right w:val="none" w:sz="0" w:space="0" w:color="auto"/>
      </w:divBdr>
    </w:div>
    <w:div w:id="906644407">
      <w:marLeft w:val="0"/>
      <w:marRight w:val="0"/>
      <w:marTop w:val="0"/>
      <w:marBottom w:val="0"/>
      <w:divBdr>
        <w:top w:val="none" w:sz="0" w:space="0" w:color="auto"/>
        <w:left w:val="none" w:sz="0" w:space="0" w:color="auto"/>
        <w:bottom w:val="none" w:sz="0" w:space="0" w:color="auto"/>
        <w:right w:val="none" w:sz="0" w:space="0" w:color="auto"/>
      </w:divBdr>
    </w:div>
    <w:div w:id="908151749">
      <w:marLeft w:val="0"/>
      <w:marRight w:val="0"/>
      <w:marTop w:val="180"/>
      <w:marBottom w:val="0"/>
      <w:divBdr>
        <w:top w:val="none" w:sz="0" w:space="0" w:color="auto"/>
        <w:left w:val="none" w:sz="0" w:space="0" w:color="auto"/>
        <w:bottom w:val="none" w:sz="0" w:space="0" w:color="auto"/>
        <w:right w:val="none" w:sz="0" w:space="0" w:color="auto"/>
      </w:divBdr>
    </w:div>
    <w:div w:id="908735093">
      <w:marLeft w:val="0"/>
      <w:marRight w:val="0"/>
      <w:marTop w:val="100"/>
      <w:marBottom w:val="100"/>
      <w:divBdr>
        <w:top w:val="none" w:sz="0" w:space="0" w:color="auto"/>
        <w:left w:val="none" w:sz="0" w:space="0" w:color="auto"/>
        <w:bottom w:val="none" w:sz="0" w:space="0" w:color="auto"/>
        <w:right w:val="none" w:sz="0" w:space="0" w:color="auto"/>
      </w:divBdr>
    </w:div>
    <w:div w:id="910651949">
      <w:marLeft w:val="0"/>
      <w:marRight w:val="0"/>
      <w:marTop w:val="0"/>
      <w:marBottom w:val="0"/>
      <w:divBdr>
        <w:top w:val="none" w:sz="0" w:space="0" w:color="auto"/>
        <w:left w:val="none" w:sz="0" w:space="0" w:color="auto"/>
        <w:bottom w:val="none" w:sz="0" w:space="0" w:color="auto"/>
        <w:right w:val="none" w:sz="0" w:space="0" w:color="auto"/>
      </w:divBdr>
    </w:div>
    <w:div w:id="913465877">
      <w:marLeft w:val="0"/>
      <w:marRight w:val="0"/>
      <w:marTop w:val="100"/>
      <w:marBottom w:val="100"/>
      <w:divBdr>
        <w:top w:val="none" w:sz="0" w:space="0" w:color="auto"/>
        <w:left w:val="none" w:sz="0" w:space="0" w:color="auto"/>
        <w:bottom w:val="none" w:sz="0" w:space="0" w:color="auto"/>
        <w:right w:val="none" w:sz="0" w:space="0" w:color="auto"/>
      </w:divBdr>
    </w:div>
    <w:div w:id="914977003">
      <w:marLeft w:val="0"/>
      <w:marRight w:val="0"/>
      <w:marTop w:val="100"/>
      <w:marBottom w:val="0"/>
      <w:divBdr>
        <w:top w:val="none" w:sz="0" w:space="0" w:color="auto"/>
        <w:left w:val="none" w:sz="0" w:space="0" w:color="auto"/>
        <w:bottom w:val="none" w:sz="0" w:space="0" w:color="auto"/>
        <w:right w:val="none" w:sz="0" w:space="0" w:color="auto"/>
      </w:divBdr>
    </w:div>
    <w:div w:id="915437877">
      <w:marLeft w:val="0"/>
      <w:marRight w:val="0"/>
      <w:marTop w:val="0"/>
      <w:marBottom w:val="0"/>
      <w:divBdr>
        <w:top w:val="none" w:sz="0" w:space="0" w:color="auto"/>
        <w:left w:val="none" w:sz="0" w:space="0" w:color="auto"/>
        <w:bottom w:val="none" w:sz="0" w:space="0" w:color="auto"/>
        <w:right w:val="none" w:sz="0" w:space="0" w:color="auto"/>
      </w:divBdr>
    </w:div>
    <w:div w:id="919607925">
      <w:marLeft w:val="0"/>
      <w:marRight w:val="0"/>
      <w:marTop w:val="100"/>
      <w:marBottom w:val="100"/>
      <w:divBdr>
        <w:top w:val="none" w:sz="0" w:space="0" w:color="auto"/>
        <w:left w:val="none" w:sz="0" w:space="0" w:color="auto"/>
        <w:bottom w:val="none" w:sz="0" w:space="0" w:color="auto"/>
        <w:right w:val="none" w:sz="0" w:space="0" w:color="auto"/>
      </w:divBdr>
    </w:div>
    <w:div w:id="920599888">
      <w:marLeft w:val="0"/>
      <w:marRight w:val="0"/>
      <w:marTop w:val="100"/>
      <w:marBottom w:val="100"/>
      <w:divBdr>
        <w:top w:val="none" w:sz="0" w:space="0" w:color="auto"/>
        <w:left w:val="none" w:sz="0" w:space="0" w:color="auto"/>
        <w:bottom w:val="none" w:sz="0" w:space="0" w:color="auto"/>
        <w:right w:val="none" w:sz="0" w:space="0" w:color="auto"/>
      </w:divBdr>
    </w:div>
    <w:div w:id="921648219">
      <w:marLeft w:val="0"/>
      <w:marRight w:val="0"/>
      <w:marTop w:val="0"/>
      <w:marBottom w:val="0"/>
      <w:divBdr>
        <w:top w:val="none" w:sz="0" w:space="0" w:color="auto"/>
        <w:left w:val="none" w:sz="0" w:space="0" w:color="auto"/>
        <w:bottom w:val="none" w:sz="0" w:space="0" w:color="auto"/>
        <w:right w:val="none" w:sz="0" w:space="0" w:color="auto"/>
      </w:divBdr>
    </w:div>
    <w:div w:id="922909033">
      <w:marLeft w:val="0"/>
      <w:marRight w:val="0"/>
      <w:marTop w:val="0"/>
      <w:marBottom w:val="0"/>
      <w:divBdr>
        <w:top w:val="none" w:sz="0" w:space="0" w:color="auto"/>
        <w:left w:val="none" w:sz="0" w:space="0" w:color="auto"/>
        <w:bottom w:val="none" w:sz="0" w:space="0" w:color="auto"/>
        <w:right w:val="none" w:sz="0" w:space="0" w:color="auto"/>
      </w:divBdr>
      <w:divsChild>
        <w:div w:id="2073648970">
          <w:marLeft w:val="0"/>
          <w:marRight w:val="0"/>
          <w:marTop w:val="0"/>
          <w:marBottom w:val="0"/>
          <w:divBdr>
            <w:top w:val="none" w:sz="0" w:space="0" w:color="auto"/>
            <w:left w:val="none" w:sz="0" w:space="0" w:color="auto"/>
            <w:bottom w:val="none" w:sz="0" w:space="0" w:color="auto"/>
            <w:right w:val="none" w:sz="0" w:space="0" w:color="auto"/>
          </w:divBdr>
          <w:divsChild>
            <w:div w:id="52410293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23301436">
      <w:marLeft w:val="0"/>
      <w:marRight w:val="0"/>
      <w:marTop w:val="0"/>
      <w:marBottom w:val="100"/>
      <w:divBdr>
        <w:top w:val="none" w:sz="0" w:space="0" w:color="auto"/>
        <w:left w:val="none" w:sz="0" w:space="0" w:color="auto"/>
        <w:bottom w:val="none" w:sz="0" w:space="0" w:color="auto"/>
        <w:right w:val="none" w:sz="0" w:space="0" w:color="auto"/>
      </w:divBdr>
    </w:div>
    <w:div w:id="923536154">
      <w:marLeft w:val="0"/>
      <w:marRight w:val="0"/>
      <w:marTop w:val="180"/>
      <w:marBottom w:val="0"/>
      <w:divBdr>
        <w:top w:val="none" w:sz="0" w:space="0" w:color="auto"/>
        <w:left w:val="none" w:sz="0" w:space="0" w:color="auto"/>
        <w:bottom w:val="none" w:sz="0" w:space="0" w:color="auto"/>
        <w:right w:val="none" w:sz="0" w:space="0" w:color="auto"/>
      </w:divBdr>
    </w:div>
    <w:div w:id="925110670">
      <w:marLeft w:val="0"/>
      <w:marRight w:val="0"/>
      <w:marTop w:val="100"/>
      <w:marBottom w:val="100"/>
      <w:divBdr>
        <w:top w:val="none" w:sz="0" w:space="0" w:color="auto"/>
        <w:left w:val="none" w:sz="0" w:space="0" w:color="auto"/>
        <w:bottom w:val="none" w:sz="0" w:space="0" w:color="auto"/>
        <w:right w:val="none" w:sz="0" w:space="0" w:color="auto"/>
      </w:divBdr>
    </w:div>
    <w:div w:id="925310562">
      <w:marLeft w:val="0"/>
      <w:marRight w:val="0"/>
      <w:marTop w:val="0"/>
      <w:marBottom w:val="0"/>
      <w:divBdr>
        <w:top w:val="none" w:sz="0" w:space="0" w:color="auto"/>
        <w:left w:val="none" w:sz="0" w:space="0" w:color="auto"/>
        <w:bottom w:val="none" w:sz="0" w:space="0" w:color="auto"/>
        <w:right w:val="none" w:sz="0" w:space="0" w:color="auto"/>
      </w:divBdr>
      <w:divsChild>
        <w:div w:id="940069545">
          <w:marLeft w:val="0"/>
          <w:marRight w:val="0"/>
          <w:marTop w:val="0"/>
          <w:marBottom w:val="0"/>
          <w:divBdr>
            <w:top w:val="none" w:sz="0" w:space="0" w:color="auto"/>
            <w:left w:val="none" w:sz="0" w:space="0" w:color="auto"/>
            <w:bottom w:val="none" w:sz="0" w:space="0" w:color="auto"/>
            <w:right w:val="none" w:sz="0" w:space="0" w:color="auto"/>
          </w:divBdr>
          <w:divsChild>
            <w:div w:id="6681453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25966028">
      <w:marLeft w:val="0"/>
      <w:marRight w:val="0"/>
      <w:marTop w:val="100"/>
      <w:marBottom w:val="100"/>
      <w:divBdr>
        <w:top w:val="none" w:sz="0" w:space="0" w:color="auto"/>
        <w:left w:val="none" w:sz="0" w:space="0" w:color="auto"/>
        <w:bottom w:val="none" w:sz="0" w:space="0" w:color="auto"/>
        <w:right w:val="none" w:sz="0" w:space="0" w:color="auto"/>
      </w:divBdr>
      <w:divsChild>
        <w:div w:id="1758558571">
          <w:marLeft w:val="0"/>
          <w:marRight w:val="0"/>
          <w:marTop w:val="0"/>
          <w:marBottom w:val="0"/>
          <w:divBdr>
            <w:top w:val="none" w:sz="0" w:space="0" w:color="auto"/>
            <w:left w:val="none" w:sz="0" w:space="0" w:color="auto"/>
            <w:bottom w:val="none" w:sz="0" w:space="0" w:color="auto"/>
            <w:right w:val="none" w:sz="0" w:space="0" w:color="auto"/>
          </w:divBdr>
        </w:div>
      </w:divsChild>
    </w:div>
    <w:div w:id="927618078">
      <w:marLeft w:val="0"/>
      <w:marRight w:val="0"/>
      <w:marTop w:val="180"/>
      <w:marBottom w:val="100"/>
      <w:divBdr>
        <w:top w:val="none" w:sz="0" w:space="0" w:color="auto"/>
        <w:left w:val="none" w:sz="0" w:space="0" w:color="auto"/>
        <w:bottom w:val="none" w:sz="0" w:space="0" w:color="auto"/>
        <w:right w:val="none" w:sz="0" w:space="0" w:color="auto"/>
      </w:divBdr>
    </w:div>
    <w:div w:id="928350156">
      <w:marLeft w:val="0"/>
      <w:marRight w:val="0"/>
      <w:marTop w:val="100"/>
      <w:marBottom w:val="100"/>
      <w:divBdr>
        <w:top w:val="none" w:sz="0" w:space="0" w:color="auto"/>
        <w:left w:val="none" w:sz="0" w:space="0" w:color="auto"/>
        <w:bottom w:val="none" w:sz="0" w:space="0" w:color="auto"/>
        <w:right w:val="none" w:sz="0" w:space="0" w:color="auto"/>
      </w:divBdr>
    </w:div>
    <w:div w:id="928848217">
      <w:marLeft w:val="0"/>
      <w:marRight w:val="0"/>
      <w:marTop w:val="100"/>
      <w:marBottom w:val="100"/>
      <w:divBdr>
        <w:top w:val="none" w:sz="0" w:space="0" w:color="auto"/>
        <w:left w:val="none" w:sz="0" w:space="0" w:color="auto"/>
        <w:bottom w:val="none" w:sz="0" w:space="0" w:color="auto"/>
        <w:right w:val="none" w:sz="0" w:space="0" w:color="auto"/>
      </w:divBdr>
    </w:div>
    <w:div w:id="929389586">
      <w:marLeft w:val="0"/>
      <w:marRight w:val="0"/>
      <w:marTop w:val="100"/>
      <w:marBottom w:val="100"/>
      <w:divBdr>
        <w:top w:val="none" w:sz="0" w:space="0" w:color="auto"/>
        <w:left w:val="none" w:sz="0" w:space="0" w:color="auto"/>
        <w:bottom w:val="none" w:sz="0" w:space="0" w:color="auto"/>
        <w:right w:val="none" w:sz="0" w:space="0" w:color="auto"/>
      </w:divBdr>
    </w:div>
    <w:div w:id="929655304">
      <w:marLeft w:val="0"/>
      <w:marRight w:val="0"/>
      <w:marTop w:val="0"/>
      <w:marBottom w:val="0"/>
      <w:divBdr>
        <w:top w:val="none" w:sz="0" w:space="0" w:color="auto"/>
        <w:left w:val="none" w:sz="0" w:space="0" w:color="auto"/>
        <w:bottom w:val="none" w:sz="0" w:space="0" w:color="auto"/>
        <w:right w:val="none" w:sz="0" w:space="0" w:color="auto"/>
      </w:divBdr>
    </w:div>
    <w:div w:id="930893872">
      <w:marLeft w:val="0"/>
      <w:marRight w:val="0"/>
      <w:marTop w:val="0"/>
      <w:marBottom w:val="100"/>
      <w:divBdr>
        <w:top w:val="none" w:sz="0" w:space="0" w:color="auto"/>
        <w:left w:val="none" w:sz="0" w:space="0" w:color="auto"/>
        <w:bottom w:val="none" w:sz="0" w:space="0" w:color="auto"/>
        <w:right w:val="none" w:sz="0" w:space="0" w:color="auto"/>
      </w:divBdr>
    </w:div>
    <w:div w:id="932083101">
      <w:marLeft w:val="0"/>
      <w:marRight w:val="0"/>
      <w:marTop w:val="0"/>
      <w:marBottom w:val="0"/>
      <w:divBdr>
        <w:top w:val="none" w:sz="0" w:space="0" w:color="auto"/>
        <w:left w:val="none" w:sz="0" w:space="0" w:color="auto"/>
        <w:bottom w:val="none" w:sz="0" w:space="0" w:color="auto"/>
        <w:right w:val="none" w:sz="0" w:space="0" w:color="auto"/>
      </w:divBdr>
      <w:divsChild>
        <w:div w:id="852260190">
          <w:marLeft w:val="0"/>
          <w:marRight w:val="0"/>
          <w:marTop w:val="0"/>
          <w:marBottom w:val="0"/>
          <w:divBdr>
            <w:top w:val="none" w:sz="0" w:space="0" w:color="auto"/>
            <w:left w:val="none" w:sz="0" w:space="0" w:color="auto"/>
            <w:bottom w:val="none" w:sz="0" w:space="0" w:color="auto"/>
            <w:right w:val="none" w:sz="0" w:space="0" w:color="auto"/>
          </w:divBdr>
          <w:divsChild>
            <w:div w:id="33569670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32593955">
      <w:marLeft w:val="0"/>
      <w:marRight w:val="0"/>
      <w:marTop w:val="0"/>
      <w:marBottom w:val="0"/>
      <w:divBdr>
        <w:top w:val="none" w:sz="0" w:space="0" w:color="auto"/>
        <w:left w:val="none" w:sz="0" w:space="0" w:color="auto"/>
        <w:bottom w:val="none" w:sz="0" w:space="0" w:color="auto"/>
        <w:right w:val="none" w:sz="0" w:space="0" w:color="auto"/>
      </w:divBdr>
    </w:div>
    <w:div w:id="933129801">
      <w:marLeft w:val="0"/>
      <w:marRight w:val="0"/>
      <w:marTop w:val="100"/>
      <w:marBottom w:val="0"/>
      <w:divBdr>
        <w:top w:val="none" w:sz="0" w:space="0" w:color="auto"/>
        <w:left w:val="none" w:sz="0" w:space="0" w:color="auto"/>
        <w:bottom w:val="none" w:sz="0" w:space="0" w:color="auto"/>
        <w:right w:val="none" w:sz="0" w:space="0" w:color="auto"/>
      </w:divBdr>
    </w:div>
    <w:div w:id="933635056">
      <w:marLeft w:val="0"/>
      <w:marRight w:val="0"/>
      <w:marTop w:val="0"/>
      <w:marBottom w:val="100"/>
      <w:divBdr>
        <w:top w:val="none" w:sz="0" w:space="0" w:color="auto"/>
        <w:left w:val="none" w:sz="0" w:space="0" w:color="auto"/>
        <w:bottom w:val="none" w:sz="0" w:space="0" w:color="auto"/>
        <w:right w:val="none" w:sz="0" w:space="0" w:color="auto"/>
      </w:divBdr>
    </w:div>
    <w:div w:id="934479025">
      <w:marLeft w:val="0"/>
      <w:marRight w:val="0"/>
      <w:marTop w:val="100"/>
      <w:marBottom w:val="100"/>
      <w:divBdr>
        <w:top w:val="none" w:sz="0" w:space="0" w:color="auto"/>
        <w:left w:val="none" w:sz="0" w:space="0" w:color="auto"/>
        <w:bottom w:val="none" w:sz="0" w:space="0" w:color="auto"/>
        <w:right w:val="none" w:sz="0" w:space="0" w:color="auto"/>
      </w:divBdr>
      <w:divsChild>
        <w:div w:id="445471583">
          <w:marLeft w:val="0"/>
          <w:marRight w:val="0"/>
          <w:marTop w:val="0"/>
          <w:marBottom w:val="0"/>
          <w:divBdr>
            <w:top w:val="none" w:sz="0" w:space="0" w:color="auto"/>
            <w:left w:val="none" w:sz="0" w:space="0" w:color="auto"/>
            <w:bottom w:val="none" w:sz="0" w:space="0" w:color="auto"/>
            <w:right w:val="none" w:sz="0" w:space="0" w:color="auto"/>
          </w:divBdr>
        </w:div>
        <w:div w:id="1997492024">
          <w:marLeft w:val="0"/>
          <w:marRight w:val="0"/>
          <w:marTop w:val="0"/>
          <w:marBottom w:val="0"/>
          <w:divBdr>
            <w:top w:val="none" w:sz="0" w:space="0" w:color="auto"/>
            <w:left w:val="none" w:sz="0" w:space="0" w:color="auto"/>
            <w:bottom w:val="none" w:sz="0" w:space="0" w:color="auto"/>
            <w:right w:val="none" w:sz="0" w:space="0" w:color="auto"/>
          </w:divBdr>
        </w:div>
        <w:div w:id="853693547">
          <w:marLeft w:val="0"/>
          <w:marRight w:val="0"/>
          <w:marTop w:val="0"/>
          <w:marBottom w:val="0"/>
          <w:divBdr>
            <w:top w:val="none" w:sz="0" w:space="0" w:color="auto"/>
            <w:left w:val="none" w:sz="0" w:space="0" w:color="auto"/>
            <w:bottom w:val="none" w:sz="0" w:space="0" w:color="auto"/>
            <w:right w:val="none" w:sz="0" w:space="0" w:color="auto"/>
          </w:divBdr>
        </w:div>
      </w:divsChild>
    </w:div>
    <w:div w:id="936792335">
      <w:marLeft w:val="0"/>
      <w:marRight w:val="0"/>
      <w:marTop w:val="0"/>
      <w:marBottom w:val="0"/>
      <w:divBdr>
        <w:top w:val="none" w:sz="0" w:space="0" w:color="auto"/>
        <w:left w:val="none" w:sz="0" w:space="0" w:color="auto"/>
        <w:bottom w:val="none" w:sz="0" w:space="0" w:color="auto"/>
        <w:right w:val="none" w:sz="0" w:space="0" w:color="auto"/>
      </w:divBdr>
      <w:divsChild>
        <w:div w:id="384526665">
          <w:marLeft w:val="0"/>
          <w:marRight w:val="0"/>
          <w:marTop w:val="0"/>
          <w:marBottom w:val="100"/>
          <w:divBdr>
            <w:top w:val="none" w:sz="0" w:space="0" w:color="auto"/>
            <w:left w:val="none" w:sz="0" w:space="0" w:color="auto"/>
            <w:bottom w:val="none" w:sz="0" w:space="0" w:color="auto"/>
            <w:right w:val="none" w:sz="0" w:space="0" w:color="auto"/>
          </w:divBdr>
        </w:div>
      </w:divsChild>
    </w:div>
    <w:div w:id="938760992">
      <w:marLeft w:val="0"/>
      <w:marRight w:val="0"/>
      <w:marTop w:val="180"/>
      <w:marBottom w:val="0"/>
      <w:divBdr>
        <w:top w:val="none" w:sz="0" w:space="0" w:color="auto"/>
        <w:left w:val="none" w:sz="0" w:space="0" w:color="auto"/>
        <w:bottom w:val="none" w:sz="0" w:space="0" w:color="auto"/>
        <w:right w:val="none" w:sz="0" w:space="0" w:color="auto"/>
      </w:divBdr>
    </w:div>
    <w:div w:id="940574269">
      <w:marLeft w:val="0"/>
      <w:marRight w:val="0"/>
      <w:marTop w:val="180"/>
      <w:marBottom w:val="0"/>
      <w:divBdr>
        <w:top w:val="none" w:sz="0" w:space="0" w:color="auto"/>
        <w:left w:val="none" w:sz="0" w:space="0" w:color="auto"/>
        <w:bottom w:val="none" w:sz="0" w:space="0" w:color="auto"/>
        <w:right w:val="none" w:sz="0" w:space="0" w:color="auto"/>
      </w:divBdr>
    </w:div>
    <w:div w:id="942343131">
      <w:marLeft w:val="0"/>
      <w:marRight w:val="0"/>
      <w:marTop w:val="180"/>
      <w:marBottom w:val="100"/>
      <w:divBdr>
        <w:top w:val="none" w:sz="0" w:space="0" w:color="auto"/>
        <w:left w:val="none" w:sz="0" w:space="0" w:color="auto"/>
        <w:bottom w:val="none" w:sz="0" w:space="0" w:color="auto"/>
        <w:right w:val="none" w:sz="0" w:space="0" w:color="auto"/>
      </w:divBdr>
    </w:div>
    <w:div w:id="944115306">
      <w:marLeft w:val="0"/>
      <w:marRight w:val="0"/>
      <w:marTop w:val="190"/>
      <w:marBottom w:val="190"/>
      <w:divBdr>
        <w:top w:val="none" w:sz="0" w:space="0" w:color="auto"/>
        <w:left w:val="none" w:sz="0" w:space="0" w:color="auto"/>
        <w:bottom w:val="none" w:sz="0" w:space="0" w:color="auto"/>
        <w:right w:val="none" w:sz="0" w:space="0" w:color="auto"/>
      </w:divBdr>
      <w:divsChild>
        <w:div w:id="133448975">
          <w:marLeft w:val="0"/>
          <w:marRight w:val="0"/>
          <w:marTop w:val="0"/>
          <w:marBottom w:val="0"/>
          <w:divBdr>
            <w:top w:val="none" w:sz="0" w:space="0" w:color="auto"/>
            <w:left w:val="none" w:sz="0" w:space="0" w:color="auto"/>
            <w:bottom w:val="none" w:sz="0" w:space="0" w:color="auto"/>
            <w:right w:val="none" w:sz="0" w:space="0" w:color="auto"/>
          </w:divBdr>
        </w:div>
        <w:div w:id="1802265598">
          <w:marLeft w:val="0"/>
          <w:marRight w:val="0"/>
          <w:marTop w:val="0"/>
          <w:marBottom w:val="0"/>
          <w:divBdr>
            <w:top w:val="none" w:sz="0" w:space="0" w:color="auto"/>
            <w:left w:val="none" w:sz="0" w:space="0" w:color="auto"/>
            <w:bottom w:val="none" w:sz="0" w:space="0" w:color="auto"/>
            <w:right w:val="none" w:sz="0" w:space="0" w:color="auto"/>
          </w:divBdr>
        </w:div>
        <w:div w:id="1052969184">
          <w:marLeft w:val="0"/>
          <w:marRight w:val="0"/>
          <w:marTop w:val="0"/>
          <w:marBottom w:val="0"/>
          <w:divBdr>
            <w:top w:val="none" w:sz="0" w:space="0" w:color="auto"/>
            <w:left w:val="none" w:sz="0" w:space="0" w:color="auto"/>
            <w:bottom w:val="none" w:sz="0" w:space="0" w:color="auto"/>
            <w:right w:val="none" w:sz="0" w:space="0" w:color="auto"/>
          </w:divBdr>
        </w:div>
        <w:div w:id="2009477665">
          <w:marLeft w:val="0"/>
          <w:marRight w:val="0"/>
          <w:marTop w:val="0"/>
          <w:marBottom w:val="0"/>
          <w:divBdr>
            <w:top w:val="none" w:sz="0" w:space="0" w:color="auto"/>
            <w:left w:val="none" w:sz="0" w:space="0" w:color="auto"/>
            <w:bottom w:val="none" w:sz="0" w:space="0" w:color="auto"/>
            <w:right w:val="none" w:sz="0" w:space="0" w:color="auto"/>
          </w:divBdr>
        </w:div>
      </w:divsChild>
    </w:div>
    <w:div w:id="944120699">
      <w:marLeft w:val="0"/>
      <w:marRight w:val="0"/>
      <w:marTop w:val="100"/>
      <w:marBottom w:val="100"/>
      <w:divBdr>
        <w:top w:val="none" w:sz="0" w:space="0" w:color="auto"/>
        <w:left w:val="none" w:sz="0" w:space="0" w:color="auto"/>
        <w:bottom w:val="none" w:sz="0" w:space="0" w:color="auto"/>
        <w:right w:val="none" w:sz="0" w:space="0" w:color="auto"/>
      </w:divBdr>
    </w:div>
    <w:div w:id="944532897">
      <w:marLeft w:val="0"/>
      <w:marRight w:val="0"/>
      <w:marTop w:val="100"/>
      <w:marBottom w:val="100"/>
      <w:divBdr>
        <w:top w:val="none" w:sz="0" w:space="0" w:color="auto"/>
        <w:left w:val="none" w:sz="0" w:space="0" w:color="auto"/>
        <w:bottom w:val="none" w:sz="0" w:space="0" w:color="auto"/>
        <w:right w:val="none" w:sz="0" w:space="0" w:color="auto"/>
      </w:divBdr>
    </w:div>
    <w:div w:id="945230867">
      <w:marLeft w:val="0"/>
      <w:marRight w:val="0"/>
      <w:marTop w:val="0"/>
      <w:marBottom w:val="100"/>
      <w:divBdr>
        <w:top w:val="none" w:sz="0" w:space="0" w:color="auto"/>
        <w:left w:val="none" w:sz="0" w:space="0" w:color="auto"/>
        <w:bottom w:val="none" w:sz="0" w:space="0" w:color="auto"/>
        <w:right w:val="none" w:sz="0" w:space="0" w:color="auto"/>
      </w:divBdr>
    </w:div>
    <w:div w:id="945578207">
      <w:marLeft w:val="0"/>
      <w:marRight w:val="0"/>
      <w:marTop w:val="0"/>
      <w:marBottom w:val="0"/>
      <w:divBdr>
        <w:top w:val="none" w:sz="0" w:space="0" w:color="auto"/>
        <w:left w:val="none" w:sz="0" w:space="0" w:color="auto"/>
        <w:bottom w:val="none" w:sz="0" w:space="0" w:color="auto"/>
        <w:right w:val="none" w:sz="0" w:space="0" w:color="auto"/>
      </w:divBdr>
      <w:divsChild>
        <w:div w:id="60718490">
          <w:marLeft w:val="0"/>
          <w:marRight w:val="0"/>
          <w:marTop w:val="0"/>
          <w:marBottom w:val="0"/>
          <w:divBdr>
            <w:top w:val="none" w:sz="0" w:space="0" w:color="auto"/>
            <w:left w:val="none" w:sz="0" w:space="0" w:color="auto"/>
            <w:bottom w:val="none" w:sz="0" w:space="0" w:color="auto"/>
            <w:right w:val="none" w:sz="0" w:space="0" w:color="auto"/>
          </w:divBdr>
          <w:divsChild>
            <w:div w:id="3647187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45816863">
      <w:marLeft w:val="0"/>
      <w:marRight w:val="0"/>
      <w:marTop w:val="100"/>
      <w:marBottom w:val="100"/>
      <w:divBdr>
        <w:top w:val="none" w:sz="0" w:space="0" w:color="auto"/>
        <w:left w:val="none" w:sz="0" w:space="0" w:color="auto"/>
        <w:bottom w:val="none" w:sz="0" w:space="0" w:color="auto"/>
        <w:right w:val="none" w:sz="0" w:space="0" w:color="auto"/>
      </w:divBdr>
    </w:div>
    <w:div w:id="946813176">
      <w:marLeft w:val="0"/>
      <w:marRight w:val="0"/>
      <w:marTop w:val="100"/>
      <w:marBottom w:val="100"/>
      <w:divBdr>
        <w:top w:val="none" w:sz="0" w:space="0" w:color="auto"/>
        <w:left w:val="none" w:sz="0" w:space="0" w:color="auto"/>
        <w:bottom w:val="none" w:sz="0" w:space="0" w:color="auto"/>
        <w:right w:val="none" w:sz="0" w:space="0" w:color="auto"/>
      </w:divBdr>
    </w:div>
    <w:div w:id="946817512">
      <w:marLeft w:val="0"/>
      <w:marRight w:val="0"/>
      <w:marTop w:val="0"/>
      <w:marBottom w:val="0"/>
      <w:divBdr>
        <w:top w:val="none" w:sz="0" w:space="0" w:color="auto"/>
        <w:left w:val="none" w:sz="0" w:space="0" w:color="auto"/>
        <w:bottom w:val="none" w:sz="0" w:space="0" w:color="auto"/>
        <w:right w:val="none" w:sz="0" w:space="0" w:color="auto"/>
      </w:divBdr>
    </w:div>
    <w:div w:id="946930197">
      <w:marLeft w:val="0"/>
      <w:marRight w:val="0"/>
      <w:marTop w:val="100"/>
      <w:marBottom w:val="100"/>
      <w:divBdr>
        <w:top w:val="none" w:sz="0" w:space="0" w:color="auto"/>
        <w:left w:val="none" w:sz="0" w:space="0" w:color="auto"/>
        <w:bottom w:val="none" w:sz="0" w:space="0" w:color="auto"/>
        <w:right w:val="none" w:sz="0" w:space="0" w:color="auto"/>
      </w:divBdr>
    </w:div>
    <w:div w:id="947271710">
      <w:marLeft w:val="0"/>
      <w:marRight w:val="0"/>
      <w:marTop w:val="100"/>
      <w:marBottom w:val="100"/>
      <w:divBdr>
        <w:top w:val="none" w:sz="0" w:space="0" w:color="auto"/>
        <w:left w:val="none" w:sz="0" w:space="0" w:color="auto"/>
        <w:bottom w:val="none" w:sz="0" w:space="0" w:color="auto"/>
        <w:right w:val="none" w:sz="0" w:space="0" w:color="auto"/>
      </w:divBdr>
    </w:div>
    <w:div w:id="950554948">
      <w:marLeft w:val="0"/>
      <w:marRight w:val="0"/>
      <w:marTop w:val="0"/>
      <w:marBottom w:val="100"/>
      <w:divBdr>
        <w:top w:val="none" w:sz="0" w:space="0" w:color="auto"/>
        <w:left w:val="none" w:sz="0" w:space="0" w:color="auto"/>
        <w:bottom w:val="none" w:sz="0" w:space="0" w:color="auto"/>
        <w:right w:val="none" w:sz="0" w:space="0" w:color="auto"/>
      </w:divBdr>
    </w:div>
    <w:div w:id="951858559">
      <w:marLeft w:val="0"/>
      <w:marRight w:val="0"/>
      <w:marTop w:val="100"/>
      <w:marBottom w:val="100"/>
      <w:divBdr>
        <w:top w:val="none" w:sz="0" w:space="0" w:color="auto"/>
        <w:left w:val="none" w:sz="0" w:space="0" w:color="auto"/>
        <w:bottom w:val="none" w:sz="0" w:space="0" w:color="auto"/>
        <w:right w:val="none" w:sz="0" w:space="0" w:color="auto"/>
      </w:divBdr>
    </w:div>
    <w:div w:id="954825270">
      <w:marLeft w:val="0"/>
      <w:marRight w:val="0"/>
      <w:marTop w:val="0"/>
      <w:marBottom w:val="100"/>
      <w:divBdr>
        <w:top w:val="none" w:sz="0" w:space="0" w:color="auto"/>
        <w:left w:val="none" w:sz="0" w:space="0" w:color="auto"/>
        <w:bottom w:val="none" w:sz="0" w:space="0" w:color="auto"/>
        <w:right w:val="none" w:sz="0" w:space="0" w:color="auto"/>
      </w:divBdr>
    </w:div>
    <w:div w:id="955259457">
      <w:marLeft w:val="0"/>
      <w:marRight w:val="0"/>
      <w:marTop w:val="100"/>
      <w:marBottom w:val="120"/>
      <w:divBdr>
        <w:top w:val="none" w:sz="0" w:space="0" w:color="auto"/>
        <w:left w:val="none" w:sz="0" w:space="0" w:color="auto"/>
        <w:bottom w:val="none" w:sz="0" w:space="0" w:color="auto"/>
        <w:right w:val="none" w:sz="0" w:space="0" w:color="auto"/>
      </w:divBdr>
    </w:div>
    <w:div w:id="955480315">
      <w:marLeft w:val="0"/>
      <w:marRight w:val="0"/>
      <w:marTop w:val="180"/>
      <w:marBottom w:val="0"/>
      <w:divBdr>
        <w:top w:val="none" w:sz="0" w:space="0" w:color="auto"/>
        <w:left w:val="none" w:sz="0" w:space="0" w:color="auto"/>
        <w:bottom w:val="none" w:sz="0" w:space="0" w:color="auto"/>
        <w:right w:val="none" w:sz="0" w:space="0" w:color="auto"/>
      </w:divBdr>
    </w:div>
    <w:div w:id="958875840">
      <w:marLeft w:val="0"/>
      <w:marRight w:val="0"/>
      <w:marTop w:val="0"/>
      <w:marBottom w:val="0"/>
      <w:divBdr>
        <w:top w:val="none" w:sz="0" w:space="0" w:color="auto"/>
        <w:left w:val="none" w:sz="0" w:space="0" w:color="auto"/>
        <w:bottom w:val="none" w:sz="0" w:space="0" w:color="auto"/>
        <w:right w:val="none" w:sz="0" w:space="0" w:color="auto"/>
      </w:divBdr>
      <w:divsChild>
        <w:div w:id="1703945056">
          <w:marLeft w:val="0"/>
          <w:marRight w:val="0"/>
          <w:marTop w:val="0"/>
          <w:marBottom w:val="100"/>
          <w:divBdr>
            <w:top w:val="none" w:sz="0" w:space="0" w:color="auto"/>
            <w:left w:val="none" w:sz="0" w:space="0" w:color="auto"/>
            <w:bottom w:val="none" w:sz="0" w:space="0" w:color="auto"/>
            <w:right w:val="none" w:sz="0" w:space="0" w:color="auto"/>
          </w:divBdr>
        </w:div>
      </w:divsChild>
    </w:div>
    <w:div w:id="958996339">
      <w:marLeft w:val="0"/>
      <w:marRight w:val="0"/>
      <w:marTop w:val="0"/>
      <w:marBottom w:val="0"/>
      <w:divBdr>
        <w:top w:val="none" w:sz="0" w:space="0" w:color="auto"/>
        <w:left w:val="none" w:sz="0" w:space="0" w:color="auto"/>
        <w:bottom w:val="none" w:sz="0" w:space="0" w:color="auto"/>
        <w:right w:val="none" w:sz="0" w:space="0" w:color="auto"/>
      </w:divBdr>
      <w:divsChild>
        <w:div w:id="686177859">
          <w:marLeft w:val="0"/>
          <w:marRight w:val="0"/>
          <w:marTop w:val="0"/>
          <w:marBottom w:val="0"/>
          <w:divBdr>
            <w:top w:val="none" w:sz="0" w:space="0" w:color="auto"/>
            <w:left w:val="none" w:sz="0" w:space="0" w:color="auto"/>
            <w:bottom w:val="none" w:sz="0" w:space="0" w:color="auto"/>
            <w:right w:val="none" w:sz="0" w:space="0" w:color="auto"/>
          </w:divBdr>
          <w:divsChild>
            <w:div w:id="33823434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59267487">
      <w:marLeft w:val="0"/>
      <w:marRight w:val="0"/>
      <w:marTop w:val="100"/>
      <w:marBottom w:val="100"/>
      <w:divBdr>
        <w:top w:val="none" w:sz="0" w:space="0" w:color="auto"/>
        <w:left w:val="none" w:sz="0" w:space="0" w:color="auto"/>
        <w:bottom w:val="none" w:sz="0" w:space="0" w:color="auto"/>
        <w:right w:val="none" w:sz="0" w:space="0" w:color="auto"/>
      </w:divBdr>
    </w:div>
    <w:div w:id="959529700">
      <w:marLeft w:val="0"/>
      <w:marRight w:val="0"/>
      <w:marTop w:val="100"/>
      <w:marBottom w:val="100"/>
      <w:divBdr>
        <w:top w:val="none" w:sz="0" w:space="0" w:color="auto"/>
        <w:left w:val="none" w:sz="0" w:space="0" w:color="auto"/>
        <w:bottom w:val="none" w:sz="0" w:space="0" w:color="auto"/>
        <w:right w:val="none" w:sz="0" w:space="0" w:color="auto"/>
      </w:divBdr>
    </w:div>
    <w:div w:id="962006081">
      <w:marLeft w:val="0"/>
      <w:marRight w:val="0"/>
      <w:marTop w:val="0"/>
      <w:marBottom w:val="100"/>
      <w:divBdr>
        <w:top w:val="none" w:sz="0" w:space="0" w:color="auto"/>
        <w:left w:val="none" w:sz="0" w:space="0" w:color="auto"/>
        <w:bottom w:val="none" w:sz="0" w:space="0" w:color="auto"/>
        <w:right w:val="none" w:sz="0" w:space="0" w:color="auto"/>
      </w:divBdr>
    </w:div>
    <w:div w:id="962224919">
      <w:marLeft w:val="0"/>
      <w:marRight w:val="0"/>
      <w:marTop w:val="0"/>
      <w:marBottom w:val="0"/>
      <w:divBdr>
        <w:top w:val="none" w:sz="0" w:space="0" w:color="auto"/>
        <w:left w:val="none" w:sz="0" w:space="0" w:color="auto"/>
        <w:bottom w:val="none" w:sz="0" w:space="0" w:color="auto"/>
        <w:right w:val="none" w:sz="0" w:space="0" w:color="auto"/>
      </w:divBdr>
    </w:div>
    <w:div w:id="963661094">
      <w:marLeft w:val="0"/>
      <w:marRight w:val="0"/>
      <w:marTop w:val="100"/>
      <w:marBottom w:val="100"/>
      <w:divBdr>
        <w:top w:val="none" w:sz="0" w:space="0" w:color="auto"/>
        <w:left w:val="none" w:sz="0" w:space="0" w:color="auto"/>
        <w:bottom w:val="none" w:sz="0" w:space="0" w:color="auto"/>
        <w:right w:val="none" w:sz="0" w:space="0" w:color="auto"/>
      </w:divBdr>
    </w:div>
    <w:div w:id="964193974">
      <w:marLeft w:val="0"/>
      <w:marRight w:val="0"/>
      <w:marTop w:val="0"/>
      <w:marBottom w:val="100"/>
      <w:divBdr>
        <w:top w:val="none" w:sz="0" w:space="0" w:color="auto"/>
        <w:left w:val="none" w:sz="0" w:space="0" w:color="auto"/>
        <w:bottom w:val="none" w:sz="0" w:space="0" w:color="auto"/>
        <w:right w:val="none" w:sz="0" w:space="0" w:color="auto"/>
      </w:divBdr>
    </w:div>
    <w:div w:id="965887449">
      <w:marLeft w:val="0"/>
      <w:marRight w:val="0"/>
      <w:marTop w:val="100"/>
      <w:marBottom w:val="100"/>
      <w:divBdr>
        <w:top w:val="none" w:sz="0" w:space="0" w:color="auto"/>
        <w:left w:val="none" w:sz="0" w:space="0" w:color="auto"/>
        <w:bottom w:val="none" w:sz="0" w:space="0" w:color="auto"/>
        <w:right w:val="none" w:sz="0" w:space="0" w:color="auto"/>
      </w:divBdr>
    </w:div>
    <w:div w:id="966664420">
      <w:marLeft w:val="0"/>
      <w:marRight w:val="0"/>
      <w:marTop w:val="180"/>
      <w:marBottom w:val="0"/>
      <w:divBdr>
        <w:top w:val="none" w:sz="0" w:space="0" w:color="auto"/>
        <w:left w:val="none" w:sz="0" w:space="0" w:color="auto"/>
        <w:bottom w:val="none" w:sz="0" w:space="0" w:color="auto"/>
        <w:right w:val="none" w:sz="0" w:space="0" w:color="auto"/>
      </w:divBdr>
    </w:div>
    <w:div w:id="967394658">
      <w:marLeft w:val="0"/>
      <w:marRight w:val="0"/>
      <w:marTop w:val="100"/>
      <w:marBottom w:val="100"/>
      <w:divBdr>
        <w:top w:val="none" w:sz="0" w:space="0" w:color="auto"/>
        <w:left w:val="none" w:sz="0" w:space="0" w:color="auto"/>
        <w:bottom w:val="none" w:sz="0" w:space="0" w:color="auto"/>
        <w:right w:val="none" w:sz="0" w:space="0" w:color="auto"/>
      </w:divBdr>
    </w:div>
    <w:div w:id="967782184">
      <w:marLeft w:val="0"/>
      <w:marRight w:val="0"/>
      <w:marTop w:val="0"/>
      <w:marBottom w:val="0"/>
      <w:divBdr>
        <w:top w:val="none" w:sz="0" w:space="0" w:color="auto"/>
        <w:left w:val="none" w:sz="0" w:space="0" w:color="auto"/>
        <w:bottom w:val="none" w:sz="0" w:space="0" w:color="auto"/>
        <w:right w:val="none" w:sz="0" w:space="0" w:color="auto"/>
      </w:divBdr>
      <w:divsChild>
        <w:div w:id="703798359">
          <w:marLeft w:val="0"/>
          <w:marRight w:val="0"/>
          <w:marTop w:val="0"/>
          <w:marBottom w:val="0"/>
          <w:divBdr>
            <w:top w:val="none" w:sz="0" w:space="0" w:color="auto"/>
            <w:left w:val="none" w:sz="0" w:space="0" w:color="auto"/>
            <w:bottom w:val="none" w:sz="0" w:space="0" w:color="auto"/>
            <w:right w:val="none" w:sz="0" w:space="0" w:color="auto"/>
          </w:divBdr>
          <w:divsChild>
            <w:div w:id="54429374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68321076">
      <w:marLeft w:val="0"/>
      <w:marRight w:val="0"/>
      <w:marTop w:val="100"/>
      <w:marBottom w:val="0"/>
      <w:divBdr>
        <w:top w:val="none" w:sz="0" w:space="0" w:color="auto"/>
        <w:left w:val="none" w:sz="0" w:space="0" w:color="auto"/>
        <w:bottom w:val="none" w:sz="0" w:space="0" w:color="auto"/>
        <w:right w:val="none" w:sz="0" w:space="0" w:color="auto"/>
      </w:divBdr>
    </w:div>
    <w:div w:id="969747182">
      <w:marLeft w:val="0"/>
      <w:marRight w:val="0"/>
      <w:marTop w:val="0"/>
      <w:marBottom w:val="0"/>
      <w:divBdr>
        <w:top w:val="none" w:sz="0" w:space="0" w:color="auto"/>
        <w:left w:val="none" w:sz="0" w:space="0" w:color="auto"/>
        <w:bottom w:val="none" w:sz="0" w:space="0" w:color="auto"/>
        <w:right w:val="none" w:sz="0" w:space="0" w:color="auto"/>
      </w:divBdr>
      <w:divsChild>
        <w:div w:id="1861237225">
          <w:marLeft w:val="0"/>
          <w:marRight w:val="0"/>
          <w:marTop w:val="0"/>
          <w:marBottom w:val="0"/>
          <w:divBdr>
            <w:top w:val="none" w:sz="0" w:space="0" w:color="auto"/>
            <w:left w:val="none" w:sz="0" w:space="0" w:color="auto"/>
            <w:bottom w:val="none" w:sz="0" w:space="0" w:color="auto"/>
            <w:right w:val="none" w:sz="0" w:space="0" w:color="auto"/>
          </w:divBdr>
          <w:divsChild>
            <w:div w:id="4885177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70137941">
      <w:marLeft w:val="0"/>
      <w:marRight w:val="0"/>
      <w:marTop w:val="0"/>
      <w:marBottom w:val="0"/>
      <w:divBdr>
        <w:top w:val="none" w:sz="0" w:space="0" w:color="auto"/>
        <w:left w:val="none" w:sz="0" w:space="0" w:color="auto"/>
        <w:bottom w:val="none" w:sz="0" w:space="0" w:color="auto"/>
        <w:right w:val="none" w:sz="0" w:space="0" w:color="auto"/>
      </w:divBdr>
    </w:div>
    <w:div w:id="970210356">
      <w:marLeft w:val="0"/>
      <w:marRight w:val="0"/>
      <w:marTop w:val="0"/>
      <w:marBottom w:val="0"/>
      <w:divBdr>
        <w:top w:val="none" w:sz="0" w:space="0" w:color="auto"/>
        <w:left w:val="none" w:sz="0" w:space="0" w:color="auto"/>
        <w:bottom w:val="none" w:sz="0" w:space="0" w:color="auto"/>
        <w:right w:val="none" w:sz="0" w:space="0" w:color="auto"/>
      </w:divBdr>
    </w:div>
    <w:div w:id="972292262">
      <w:marLeft w:val="0"/>
      <w:marRight w:val="0"/>
      <w:marTop w:val="0"/>
      <w:marBottom w:val="0"/>
      <w:divBdr>
        <w:top w:val="none" w:sz="0" w:space="0" w:color="auto"/>
        <w:left w:val="none" w:sz="0" w:space="0" w:color="auto"/>
        <w:bottom w:val="none" w:sz="0" w:space="0" w:color="auto"/>
        <w:right w:val="none" w:sz="0" w:space="0" w:color="auto"/>
      </w:divBdr>
    </w:div>
    <w:div w:id="972977994">
      <w:marLeft w:val="0"/>
      <w:marRight w:val="0"/>
      <w:marTop w:val="0"/>
      <w:marBottom w:val="0"/>
      <w:divBdr>
        <w:top w:val="none" w:sz="0" w:space="0" w:color="auto"/>
        <w:left w:val="none" w:sz="0" w:space="0" w:color="auto"/>
        <w:bottom w:val="none" w:sz="0" w:space="0" w:color="auto"/>
        <w:right w:val="none" w:sz="0" w:space="0" w:color="auto"/>
      </w:divBdr>
    </w:div>
    <w:div w:id="972978326">
      <w:marLeft w:val="0"/>
      <w:marRight w:val="0"/>
      <w:marTop w:val="180"/>
      <w:marBottom w:val="100"/>
      <w:divBdr>
        <w:top w:val="none" w:sz="0" w:space="0" w:color="auto"/>
        <w:left w:val="none" w:sz="0" w:space="0" w:color="auto"/>
        <w:bottom w:val="none" w:sz="0" w:space="0" w:color="auto"/>
        <w:right w:val="none" w:sz="0" w:space="0" w:color="auto"/>
      </w:divBdr>
    </w:div>
    <w:div w:id="974793850">
      <w:marLeft w:val="0"/>
      <w:marRight w:val="0"/>
      <w:marTop w:val="0"/>
      <w:marBottom w:val="100"/>
      <w:divBdr>
        <w:top w:val="none" w:sz="0" w:space="0" w:color="auto"/>
        <w:left w:val="none" w:sz="0" w:space="0" w:color="auto"/>
        <w:bottom w:val="none" w:sz="0" w:space="0" w:color="auto"/>
        <w:right w:val="none" w:sz="0" w:space="0" w:color="auto"/>
      </w:divBdr>
    </w:div>
    <w:div w:id="978262724">
      <w:marLeft w:val="0"/>
      <w:marRight w:val="0"/>
      <w:marTop w:val="0"/>
      <w:marBottom w:val="100"/>
      <w:divBdr>
        <w:top w:val="none" w:sz="0" w:space="0" w:color="auto"/>
        <w:left w:val="none" w:sz="0" w:space="0" w:color="auto"/>
        <w:bottom w:val="none" w:sz="0" w:space="0" w:color="auto"/>
        <w:right w:val="none" w:sz="0" w:space="0" w:color="auto"/>
      </w:divBdr>
    </w:div>
    <w:div w:id="978650817">
      <w:marLeft w:val="0"/>
      <w:marRight w:val="0"/>
      <w:marTop w:val="0"/>
      <w:marBottom w:val="0"/>
      <w:divBdr>
        <w:top w:val="none" w:sz="0" w:space="0" w:color="auto"/>
        <w:left w:val="none" w:sz="0" w:space="0" w:color="auto"/>
        <w:bottom w:val="none" w:sz="0" w:space="0" w:color="auto"/>
        <w:right w:val="none" w:sz="0" w:space="0" w:color="auto"/>
      </w:divBdr>
    </w:div>
    <w:div w:id="979071219">
      <w:marLeft w:val="0"/>
      <w:marRight w:val="0"/>
      <w:marTop w:val="0"/>
      <w:marBottom w:val="100"/>
      <w:divBdr>
        <w:top w:val="none" w:sz="0" w:space="0" w:color="auto"/>
        <w:left w:val="none" w:sz="0" w:space="0" w:color="auto"/>
        <w:bottom w:val="none" w:sz="0" w:space="0" w:color="auto"/>
        <w:right w:val="none" w:sz="0" w:space="0" w:color="auto"/>
      </w:divBdr>
    </w:div>
    <w:div w:id="980184854">
      <w:marLeft w:val="0"/>
      <w:marRight w:val="0"/>
      <w:marTop w:val="100"/>
      <w:marBottom w:val="100"/>
      <w:divBdr>
        <w:top w:val="none" w:sz="0" w:space="0" w:color="auto"/>
        <w:left w:val="none" w:sz="0" w:space="0" w:color="auto"/>
        <w:bottom w:val="none" w:sz="0" w:space="0" w:color="auto"/>
        <w:right w:val="none" w:sz="0" w:space="0" w:color="auto"/>
      </w:divBdr>
    </w:div>
    <w:div w:id="980233059">
      <w:marLeft w:val="0"/>
      <w:marRight w:val="0"/>
      <w:marTop w:val="0"/>
      <w:marBottom w:val="0"/>
      <w:divBdr>
        <w:top w:val="none" w:sz="0" w:space="0" w:color="auto"/>
        <w:left w:val="none" w:sz="0" w:space="0" w:color="auto"/>
        <w:bottom w:val="none" w:sz="0" w:space="0" w:color="auto"/>
        <w:right w:val="none" w:sz="0" w:space="0" w:color="auto"/>
      </w:divBdr>
    </w:div>
    <w:div w:id="982079417">
      <w:marLeft w:val="0"/>
      <w:marRight w:val="0"/>
      <w:marTop w:val="0"/>
      <w:marBottom w:val="0"/>
      <w:divBdr>
        <w:top w:val="none" w:sz="0" w:space="0" w:color="auto"/>
        <w:left w:val="none" w:sz="0" w:space="0" w:color="auto"/>
        <w:bottom w:val="none" w:sz="0" w:space="0" w:color="auto"/>
        <w:right w:val="none" w:sz="0" w:space="0" w:color="auto"/>
      </w:divBdr>
      <w:divsChild>
        <w:div w:id="904488889">
          <w:marLeft w:val="0"/>
          <w:marRight w:val="0"/>
          <w:marTop w:val="0"/>
          <w:marBottom w:val="0"/>
          <w:divBdr>
            <w:top w:val="none" w:sz="0" w:space="0" w:color="auto"/>
            <w:left w:val="none" w:sz="0" w:space="0" w:color="auto"/>
            <w:bottom w:val="none" w:sz="0" w:space="0" w:color="auto"/>
            <w:right w:val="none" w:sz="0" w:space="0" w:color="auto"/>
          </w:divBdr>
          <w:divsChild>
            <w:div w:id="1969360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86085310">
      <w:marLeft w:val="0"/>
      <w:marRight w:val="0"/>
      <w:marTop w:val="0"/>
      <w:marBottom w:val="100"/>
      <w:divBdr>
        <w:top w:val="none" w:sz="0" w:space="0" w:color="auto"/>
        <w:left w:val="none" w:sz="0" w:space="0" w:color="auto"/>
        <w:bottom w:val="none" w:sz="0" w:space="0" w:color="auto"/>
        <w:right w:val="none" w:sz="0" w:space="0" w:color="auto"/>
      </w:divBdr>
    </w:div>
    <w:div w:id="986737727">
      <w:marLeft w:val="0"/>
      <w:marRight w:val="0"/>
      <w:marTop w:val="100"/>
      <w:marBottom w:val="100"/>
      <w:divBdr>
        <w:top w:val="none" w:sz="0" w:space="0" w:color="auto"/>
        <w:left w:val="none" w:sz="0" w:space="0" w:color="auto"/>
        <w:bottom w:val="none" w:sz="0" w:space="0" w:color="auto"/>
        <w:right w:val="none" w:sz="0" w:space="0" w:color="auto"/>
      </w:divBdr>
    </w:div>
    <w:div w:id="987170436">
      <w:marLeft w:val="0"/>
      <w:marRight w:val="0"/>
      <w:marTop w:val="100"/>
      <w:marBottom w:val="100"/>
      <w:divBdr>
        <w:top w:val="none" w:sz="0" w:space="0" w:color="auto"/>
        <w:left w:val="none" w:sz="0" w:space="0" w:color="auto"/>
        <w:bottom w:val="none" w:sz="0" w:space="0" w:color="auto"/>
        <w:right w:val="none" w:sz="0" w:space="0" w:color="auto"/>
      </w:divBdr>
    </w:div>
    <w:div w:id="987519546">
      <w:marLeft w:val="0"/>
      <w:marRight w:val="0"/>
      <w:marTop w:val="100"/>
      <w:marBottom w:val="100"/>
      <w:divBdr>
        <w:top w:val="none" w:sz="0" w:space="0" w:color="auto"/>
        <w:left w:val="none" w:sz="0" w:space="0" w:color="auto"/>
        <w:bottom w:val="none" w:sz="0" w:space="0" w:color="auto"/>
        <w:right w:val="none" w:sz="0" w:space="0" w:color="auto"/>
      </w:divBdr>
    </w:div>
    <w:div w:id="988362087">
      <w:marLeft w:val="0"/>
      <w:marRight w:val="0"/>
      <w:marTop w:val="0"/>
      <w:marBottom w:val="100"/>
      <w:divBdr>
        <w:top w:val="none" w:sz="0" w:space="0" w:color="auto"/>
        <w:left w:val="none" w:sz="0" w:space="0" w:color="auto"/>
        <w:bottom w:val="none" w:sz="0" w:space="0" w:color="auto"/>
        <w:right w:val="none" w:sz="0" w:space="0" w:color="auto"/>
      </w:divBdr>
    </w:div>
    <w:div w:id="988636671">
      <w:marLeft w:val="0"/>
      <w:marRight w:val="0"/>
      <w:marTop w:val="0"/>
      <w:marBottom w:val="100"/>
      <w:divBdr>
        <w:top w:val="none" w:sz="0" w:space="0" w:color="auto"/>
        <w:left w:val="none" w:sz="0" w:space="0" w:color="auto"/>
        <w:bottom w:val="none" w:sz="0" w:space="0" w:color="auto"/>
        <w:right w:val="none" w:sz="0" w:space="0" w:color="auto"/>
      </w:divBdr>
    </w:div>
    <w:div w:id="989023069">
      <w:marLeft w:val="0"/>
      <w:marRight w:val="0"/>
      <w:marTop w:val="100"/>
      <w:marBottom w:val="100"/>
      <w:divBdr>
        <w:top w:val="none" w:sz="0" w:space="0" w:color="auto"/>
        <w:left w:val="none" w:sz="0" w:space="0" w:color="auto"/>
        <w:bottom w:val="none" w:sz="0" w:space="0" w:color="auto"/>
        <w:right w:val="none" w:sz="0" w:space="0" w:color="auto"/>
      </w:divBdr>
    </w:div>
    <w:div w:id="989600911">
      <w:marLeft w:val="0"/>
      <w:marRight w:val="0"/>
      <w:marTop w:val="0"/>
      <w:marBottom w:val="100"/>
      <w:divBdr>
        <w:top w:val="none" w:sz="0" w:space="0" w:color="auto"/>
        <w:left w:val="none" w:sz="0" w:space="0" w:color="auto"/>
        <w:bottom w:val="none" w:sz="0" w:space="0" w:color="auto"/>
        <w:right w:val="none" w:sz="0" w:space="0" w:color="auto"/>
      </w:divBdr>
    </w:div>
    <w:div w:id="989944505">
      <w:marLeft w:val="0"/>
      <w:marRight w:val="0"/>
      <w:marTop w:val="100"/>
      <w:marBottom w:val="100"/>
      <w:divBdr>
        <w:top w:val="none" w:sz="0" w:space="0" w:color="auto"/>
        <w:left w:val="none" w:sz="0" w:space="0" w:color="auto"/>
        <w:bottom w:val="none" w:sz="0" w:space="0" w:color="auto"/>
        <w:right w:val="none" w:sz="0" w:space="0" w:color="auto"/>
      </w:divBdr>
    </w:div>
    <w:div w:id="990669600">
      <w:marLeft w:val="0"/>
      <w:marRight w:val="0"/>
      <w:marTop w:val="180"/>
      <w:marBottom w:val="0"/>
      <w:divBdr>
        <w:top w:val="none" w:sz="0" w:space="0" w:color="auto"/>
        <w:left w:val="none" w:sz="0" w:space="0" w:color="auto"/>
        <w:bottom w:val="none" w:sz="0" w:space="0" w:color="auto"/>
        <w:right w:val="none" w:sz="0" w:space="0" w:color="auto"/>
      </w:divBdr>
    </w:div>
    <w:div w:id="991758162">
      <w:marLeft w:val="0"/>
      <w:marRight w:val="0"/>
      <w:marTop w:val="0"/>
      <w:marBottom w:val="100"/>
      <w:divBdr>
        <w:top w:val="none" w:sz="0" w:space="0" w:color="auto"/>
        <w:left w:val="none" w:sz="0" w:space="0" w:color="auto"/>
        <w:bottom w:val="none" w:sz="0" w:space="0" w:color="auto"/>
        <w:right w:val="none" w:sz="0" w:space="0" w:color="auto"/>
      </w:divBdr>
    </w:div>
    <w:div w:id="992679474">
      <w:marLeft w:val="0"/>
      <w:marRight w:val="0"/>
      <w:marTop w:val="0"/>
      <w:marBottom w:val="0"/>
      <w:divBdr>
        <w:top w:val="none" w:sz="0" w:space="0" w:color="auto"/>
        <w:left w:val="none" w:sz="0" w:space="0" w:color="auto"/>
        <w:bottom w:val="none" w:sz="0" w:space="0" w:color="auto"/>
        <w:right w:val="none" w:sz="0" w:space="0" w:color="auto"/>
      </w:divBdr>
    </w:div>
    <w:div w:id="992879288">
      <w:marLeft w:val="0"/>
      <w:marRight w:val="0"/>
      <w:marTop w:val="0"/>
      <w:marBottom w:val="0"/>
      <w:divBdr>
        <w:top w:val="none" w:sz="0" w:space="0" w:color="auto"/>
        <w:left w:val="none" w:sz="0" w:space="0" w:color="auto"/>
        <w:bottom w:val="none" w:sz="0" w:space="0" w:color="auto"/>
        <w:right w:val="none" w:sz="0" w:space="0" w:color="auto"/>
      </w:divBdr>
    </w:div>
    <w:div w:id="993722473">
      <w:marLeft w:val="0"/>
      <w:marRight w:val="0"/>
      <w:marTop w:val="0"/>
      <w:marBottom w:val="0"/>
      <w:divBdr>
        <w:top w:val="none" w:sz="0" w:space="0" w:color="auto"/>
        <w:left w:val="none" w:sz="0" w:space="0" w:color="auto"/>
        <w:bottom w:val="none" w:sz="0" w:space="0" w:color="auto"/>
        <w:right w:val="none" w:sz="0" w:space="0" w:color="auto"/>
      </w:divBdr>
      <w:divsChild>
        <w:div w:id="1742365848">
          <w:marLeft w:val="0"/>
          <w:marRight w:val="0"/>
          <w:marTop w:val="0"/>
          <w:marBottom w:val="0"/>
          <w:divBdr>
            <w:top w:val="none" w:sz="0" w:space="0" w:color="auto"/>
            <w:left w:val="none" w:sz="0" w:space="0" w:color="auto"/>
            <w:bottom w:val="none" w:sz="0" w:space="0" w:color="auto"/>
            <w:right w:val="none" w:sz="0" w:space="0" w:color="auto"/>
          </w:divBdr>
          <w:divsChild>
            <w:div w:id="18312841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4799212">
      <w:marLeft w:val="0"/>
      <w:marRight w:val="0"/>
      <w:marTop w:val="0"/>
      <w:marBottom w:val="0"/>
      <w:divBdr>
        <w:top w:val="none" w:sz="0" w:space="0" w:color="auto"/>
        <w:left w:val="none" w:sz="0" w:space="0" w:color="auto"/>
        <w:bottom w:val="none" w:sz="0" w:space="0" w:color="auto"/>
        <w:right w:val="none" w:sz="0" w:space="0" w:color="auto"/>
      </w:divBdr>
    </w:div>
    <w:div w:id="994921199">
      <w:marLeft w:val="0"/>
      <w:marRight w:val="0"/>
      <w:marTop w:val="180"/>
      <w:marBottom w:val="100"/>
      <w:divBdr>
        <w:top w:val="none" w:sz="0" w:space="0" w:color="auto"/>
        <w:left w:val="none" w:sz="0" w:space="0" w:color="auto"/>
        <w:bottom w:val="none" w:sz="0" w:space="0" w:color="auto"/>
        <w:right w:val="none" w:sz="0" w:space="0" w:color="auto"/>
      </w:divBdr>
    </w:div>
    <w:div w:id="995572786">
      <w:marLeft w:val="0"/>
      <w:marRight w:val="0"/>
      <w:marTop w:val="0"/>
      <w:marBottom w:val="0"/>
      <w:divBdr>
        <w:top w:val="none" w:sz="0" w:space="0" w:color="auto"/>
        <w:left w:val="none" w:sz="0" w:space="0" w:color="auto"/>
        <w:bottom w:val="none" w:sz="0" w:space="0" w:color="auto"/>
        <w:right w:val="none" w:sz="0" w:space="0" w:color="auto"/>
      </w:divBdr>
      <w:divsChild>
        <w:div w:id="1173229937">
          <w:marLeft w:val="0"/>
          <w:marRight w:val="0"/>
          <w:marTop w:val="0"/>
          <w:marBottom w:val="100"/>
          <w:divBdr>
            <w:top w:val="none" w:sz="0" w:space="0" w:color="auto"/>
            <w:left w:val="none" w:sz="0" w:space="0" w:color="auto"/>
            <w:bottom w:val="none" w:sz="0" w:space="0" w:color="auto"/>
            <w:right w:val="none" w:sz="0" w:space="0" w:color="auto"/>
          </w:divBdr>
        </w:div>
      </w:divsChild>
    </w:div>
    <w:div w:id="998533339">
      <w:marLeft w:val="0"/>
      <w:marRight w:val="0"/>
      <w:marTop w:val="0"/>
      <w:marBottom w:val="0"/>
      <w:divBdr>
        <w:top w:val="none" w:sz="0" w:space="0" w:color="auto"/>
        <w:left w:val="none" w:sz="0" w:space="0" w:color="auto"/>
        <w:bottom w:val="none" w:sz="0" w:space="0" w:color="auto"/>
        <w:right w:val="none" w:sz="0" w:space="0" w:color="auto"/>
      </w:divBdr>
    </w:div>
    <w:div w:id="999694737">
      <w:marLeft w:val="0"/>
      <w:marRight w:val="0"/>
      <w:marTop w:val="100"/>
      <w:marBottom w:val="0"/>
      <w:divBdr>
        <w:top w:val="none" w:sz="0" w:space="0" w:color="auto"/>
        <w:left w:val="none" w:sz="0" w:space="0" w:color="auto"/>
        <w:bottom w:val="none" w:sz="0" w:space="0" w:color="auto"/>
        <w:right w:val="none" w:sz="0" w:space="0" w:color="auto"/>
      </w:divBdr>
    </w:div>
    <w:div w:id="999847711">
      <w:marLeft w:val="0"/>
      <w:marRight w:val="0"/>
      <w:marTop w:val="100"/>
      <w:marBottom w:val="100"/>
      <w:divBdr>
        <w:top w:val="none" w:sz="0" w:space="0" w:color="auto"/>
        <w:left w:val="none" w:sz="0" w:space="0" w:color="auto"/>
        <w:bottom w:val="none" w:sz="0" w:space="0" w:color="auto"/>
        <w:right w:val="none" w:sz="0" w:space="0" w:color="auto"/>
      </w:divBdr>
    </w:div>
    <w:div w:id="1000619354">
      <w:marLeft w:val="0"/>
      <w:marRight w:val="0"/>
      <w:marTop w:val="0"/>
      <w:marBottom w:val="0"/>
      <w:divBdr>
        <w:top w:val="none" w:sz="0" w:space="0" w:color="auto"/>
        <w:left w:val="none" w:sz="0" w:space="0" w:color="auto"/>
        <w:bottom w:val="none" w:sz="0" w:space="0" w:color="auto"/>
        <w:right w:val="none" w:sz="0" w:space="0" w:color="auto"/>
      </w:divBdr>
      <w:divsChild>
        <w:div w:id="655575790">
          <w:marLeft w:val="0"/>
          <w:marRight w:val="0"/>
          <w:marTop w:val="0"/>
          <w:marBottom w:val="100"/>
          <w:divBdr>
            <w:top w:val="none" w:sz="0" w:space="0" w:color="auto"/>
            <w:left w:val="none" w:sz="0" w:space="0" w:color="auto"/>
            <w:bottom w:val="none" w:sz="0" w:space="0" w:color="auto"/>
            <w:right w:val="none" w:sz="0" w:space="0" w:color="auto"/>
          </w:divBdr>
        </w:div>
      </w:divsChild>
    </w:div>
    <w:div w:id="1000932582">
      <w:marLeft w:val="0"/>
      <w:marRight w:val="0"/>
      <w:marTop w:val="100"/>
      <w:marBottom w:val="100"/>
      <w:divBdr>
        <w:top w:val="none" w:sz="0" w:space="0" w:color="auto"/>
        <w:left w:val="none" w:sz="0" w:space="0" w:color="auto"/>
        <w:bottom w:val="none" w:sz="0" w:space="0" w:color="auto"/>
        <w:right w:val="none" w:sz="0" w:space="0" w:color="auto"/>
      </w:divBdr>
    </w:div>
    <w:div w:id="1001197579">
      <w:marLeft w:val="0"/>
      <w:marRight w:val="0"/>
      <w:marTop w:val="0"/>
      <w:marBottom w:val="0"/>
      <w:divBdr>
        <w:top w:val="none" w:sz="0" w:space="0" w:color="auto"/>
        <w:left w:val="none" w:sz="0" w:space="0" w:color="auto"/>
        <w:bottom w:val="none" w:sz="0" w:space="0" w:color="auto"/>
        <w:right w:val="none" w:sz="0" w:space="0" w:color="auto"/>
      </w:divBdr>
    </w:div>
    <w:div w:id="1002394696">
      <w:marLeft w:val="0"/>
      <w:marRight w:val="0"/>
      <w:marTop w:val="100"/>
      <w:marBottom w:val="100"/>
      <w:divBdr>
        <w:top w:val="none" w:sz="0" w:space="0" w:color="auto"/>
        <w:left w:val="none" w:sz="0" w:space="0" w:color="auto"/>
        <w:bottom w:val="none" w:sz="0" w:space="0" w:color="auto"/>
        <w:right w:val="none" w:sz="0" w:space="0" w:color="auto"/>
      </w:divBdr>
    </w:div>
    <w:div w:id="1002507919">
      <w:marLeft w:val="0"/>
      <w:marRight w:val="0"/>
      <w:marTop w:val="100"/>
      <w:marBottom w:val="100"/>
      <w:divBdr>
        <w:top w:val="none" w:sz="0" w:space="0" w:color="auto"/>
        <w:left w:val="none" w:sz="0" w:space="0" w:color="auto"/>
        <w:bottom w:val="none" w:sz="0" w:space="0" w:color="auto"/>
        <w:right w:val="none" w:sz="0" w:space="0" w:color="auto"/>
      </w:divBdr>
    </w:div>
    <w:div w:id="1005399167">
      <w:marLeft w:val="0"/>
      <w:marRight w:val="0"/>
      <w:marTop w:val="0"/>
      <w:marBottom w:val="0"/>
      <w:divBdr>
        <w:top w:val="none" w:sz="0" w:space="0" w:color="auto"/>
        <w:left w:val="none" w:sz="0" w:space="0" w:color="auto"/>
        <w:bottom w:val="none" w:sz="0" w:space="0" w:color="auto"/>
        <w:right w:val="none" w:sz="0" w:space="0" w:color="auto"/>
      </w:divBdr>
    </w:div>
    <w:div w:id="1005745960">
      <w:marLeft w:val="0"/>
      <w:marRight w:val="0"/>
      <w:marTop w:val="0"/>
      <w:marBottom w:val="0"/>
      <w:divBdr>
        <w:top w:val="none" w:sz="0" w:space="0" w:color="auto"/>
        <w:left w:val="none" w:sz="0" w:space="0" w:color="auto"/>
        <w:bottom w:val="none" w:sz="0" w:space="0" w:color="auto"/>
        <w:right w:val="none" w:sz="0" w:space="0" w:color="auto"/>
      </w:divBdr>
      <w:divsChild>
        <w:div w:id="890925809">
          <w:marLeft w:val="0"/>
          <w:marRight w:val="0"/>
          <w:marTop w:val="0"/>
          <w:marBottom w:val="0"/>
          <w:divBdr>
            <w:top w:val="none" w:sz="0" w:space="0" w:color="auto"/>
            <w:left w:val="none" w:sz="0" w:space="0" w:color="auto"/>
            <w:bottom w:val="none" w:sz="0" w:space="0" w:color="auto"/>
            <w:right w:val="none" w:sz="0" w:space="0" w:color="auto"/>
          </w:divBdr>
          <w:divsChild>
            <w:div w:id="145432164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05746916">
      <w:marLeft w:val="0"/>
      <w:marRight w:val="0"/>
      <w:marTop w:val="0"/>
      <w:marBottom w:val="100"/>
      <w:divBdr>
        <w:top w:val="none" w:sz="0" w:space="0" w:color="auto"/>
        <w:left w:val="none" w:sz="0" w:space="0" w:color="auto"/>
        <w:bottom w:val="none" w:sz="0" w:space="0" w:color="auto"/>
        <w:right w:val="none" w:sz="0" w:space="0" w:color="auto"/>
      </w:divBdr>
    </w:div>
    <w:div w:id="1006204778">
      <w:marLeft w:val="0"/>
      <w:marRight w:val="0"/>
      <w:marTop w:val="0"/>
      <w:marBottom w:val="0"/>
      <w:divBdr>
        <w:top w:val="none" w:sz="0" w:space="0" w:color="auto"/>
        <w:left w:val="none" w:sz="0" w:space="0" w:color="auto"/>
        <w:bottom w:val="none" w:sz="0" w:space="0" w:color="auto"/>
        <w:right w:val="none" w:sz="0" w:space="0" w:color="auto"/>
      </w:divBdr>
      <w:divsChild>
        <w:div w:id="1154957528">
          <w:marLeft w:val="0"/>
          <w:marRight w:val="0"/>
          <w:marTop w:val="0"/>
          <w:marBottom w:val="0"/>
          <w:divBdr>
            <w:top w:val="none" w:sz="0" w:space="0" w:color="auto"/>
            <w:left w:val="none" w:sz="0" w:space="0" w:color="auto"/>
            <w:bottom w:val="none" w:sz="0" w:space="0" w:color="auto"/>
            <w:right w:val="none" w:sz="0" w:space="0" w:color="auto"/>
          </w:divBdr>
          <w:divsChild>
            <w:div w:id="141875129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06713952">
      <w:marLeft w:val="0"/>
      <w:marRight w:val="0"/>
      <w:marTop w:val="0"/>
      <w:marBottom w:val="100"/>
      <w:divBdr>
        <w:top w:val="none" w:sz="0" w:space="0" w:color="auto"/>
        <w:left w:val="none" w:sz="0" w:space="0" w:color="auto"/>
        <w:bottom w:val="none" w:sz="0" w:space="0" w:color="auto"/>
        <w:right w:val="none" w:sz="0" w:space="0" w:color="auto"/>
      </w:divBdr>
    </w:div>
    <w:div w:id="1009217318">
      <w:marLeft w:val="0"/>
      <w:marRight w:val="0"/>
      <w:marTop w:val="0"/>
      <w:marBottom w:val="100"/>
      <w:divBdr>
        <w:top w:val="none" w:sz="0" w:space="0" w:color="auto"/>
        <w:left w:val="none" w:sz="0" w:space="0" w:color="auto"/>
        <w:bottom w:val="none" w:sz="0" w:space="0" w:color="auto"/>
        <w:right w:val="none" w:sz="0" w:space="0" w:color="auto"/>
      </w:divBdr>
    </w:div>
    <w:div w:id="1009792771">
      <w:marLeft w:val="0"/>
      <w:marRight w:val="0"/>
      <w:marTop w:val="0"/>
      <w:marBottom w:val="100"/>
      <w:divBdr>
        <w:top w:val="none" w:sz="0" w:space="0" w:color="auto"/>
        <w:left w:val="none" w:sz="0" w:space="0" w:color="auto"/>
        <w:bottom w:val="none" w:sz="0" w:space="0" w:color="auto"/>
        <w:right w:val="none" w:sz="0" w:space="0" w:color="auto"/>
      </w:divBdr>
    </w:div>
    <w:div w:id="1010453561">
      <w:marLeft w:val="0"/>
      <w:marRight w:val="0"/>
      <w:marTop w:val="100"/>
      <w:marBottom w:val="100"/>
      <w:divBdr>
        <w:top w:val="none" w:sz="0" w:space="0" w:color="auto"/>
        <w:left w:val="none" w:sz="0" w:space="0" w:color="auto"/>
        <w:bottom w:val="none" w:sz="0" w:space="0" w:color="auto"/>
        <w:right w:val="none" w:sz="0" w:space="0" w:color="auto"/>
      </w:divBdr>
    </w:div>
    <w:div w:id="1010834651">
      <w:marLeft w:val="0"/>
      <w:marRight w:val="0"/>
      <w:marTop w:val="180"/>
      <w:marBottom w:val="100"/>
      <w:divBdr>
        <w:top w:val="none" w:sz="0" w:space="0" w:color="auto"/>
        <w:left w:val="none" w:sz="0" w:space="0" w:color="auto"/>
        <w:bottom w:val="none" w:sz="0" w:space="0" w:color="auto"/>
        <w:right w:val="none" w:sz="0" w:space="0" w:color="auto"/>
      </w:divBdr>
    </w:div>
    <w:div w:id="1010909292">
      <w:marLeft w:val="0"/>
      <w:marRight w:val="0"/>
      <w:marTop w:val="0"/>
      <w:marBottom w:val="100"/>
      <w:divBdr>
        <w:top w:val="none" w:sz="0" w:space="0" w:color="auto"/>
        <w:left w:val="none" w:sz="0" w:space="0" w:color="auto"/>
        <w:bottom w:val="none" w:sz="0" w:space="0" w:color="auto"/>
        <w:right w:val="none" w:sz="0" w:space="0" w:color="auto"/>
      </w:divBdr>
    </w:div>
    <w:div w:id="1011252985">
      <w:marLeft w:val="0"/>
      <w:marRight w:val="0"/>
      <w:marTop w:val="100"/>
      <w:marBottom w:val="100"/>
      <w:divBdr>
        <w:top w:val="none" w:sz="0" w:space="0" w:color="auto"/>
        <w:left w:val="none" w:sz="0" w:space="0" w:color="auto"/>
        <w:bottom w:val="none" w:sz="0" w:space="0" w:color="auto"/>
        <w:right w:val="none" w:sz="0" w:space="0" w:color="auto"/>
      </w:divBdr>
    </w:div>
    <w:div w:id="1011488495">
      <w:marLeft w:val="0"/>
      <w:marRight w:val="0"/>
      <w:marTop w:val="100"/>
      <w:marBottom w:val="100"/>
      <w:divBdr>
        <w:top w:val="none" w:sz="0" w:space="0" w:color="auto"/>
        <w:left w:val="none" w:sz="0" w:space="0" w:color="auto"/>
        <w:bottom w:val="none" w:sz="0" w:space="0" w:color="auto"/>
        <w:right w:val="none" w:sz="0" w:space="0" w:color="auto"/>
      </w:divBdr>
    </w:div>
    <w:div w:id="1011877546">
      <w:marLeft w:val="0"/>
      <w:marRight w:val="0"/>
      <w:marTop w:val="180"/>
      <w:marBottom w:val="100"/>
      <w:divBdr>
        <w:top w:val="none" w:sz="0" w:space="0" w:color="auto"/>
        <w:left w:val="none" w:sz="0" w:space="0" w:color="auto"/>
        <w:bottom w:val="none" w:sz="0" w:space="0" w:color="auto"/>
        <w:right w:val="none" w:sz="0" w:space="0" w:color="auto"/>
      </w:divBdr>
    </w:div>
    <w:div w:id="1012729096">
      <w:marLeft w:val="0"/>
      <w:marRight w:val="0"/>
      <w:marTop w:val="0"/>
      <w:marBottom w:val="0"/>
      <w:divBdr>
        <w:top w:val="none" w:sz="0" w:space="0" w:color="auto"/>
        <w:left w:val="none" w:sz="0" w:space="0" w:color="auto"/>
        <w:bottom w:val="none" w:sz="0" w:space="0" w:color="auto"/>
        <w:right w:val="none" w:sz="0" w:space="0" w:color="auto"/>
      </w:divBdr>
      <w:divsChild>
        <w:div w:id="1375082759">
          <w:marLeft w:val="0"/>
          <w:marRight w:val="0"/>
          <w:marTop w:val="0"/>
          <w:marBottom w:val="0"/>
          <w:divBdr>
            <w:top w:val="none" w:sz="0" w:space="0" w:color="auto"/>
            <w:left w:val="none" w:sz="0" w:space="0" w:color="auto"/>
            <w:bottom w:val="none" w:sz="0" w:space="0" w:color="auto"/>
            <w:right w:val="none" w:sz="0" w:space="0" w:color="auto"/>
          </w:divBdr>
          <w:divsChild>
            <w:div w:id="10496901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12953024">
      <w:marLeft w:val="0"/>
      <w:marRight w:val="0"/>
      <w:marTop w:val="180"/>
      <w:marBottom w:val="0"/>
      <w:divBdr>
        <w:top w:val="none" w:sz="0" w:space="0" w:color="auto"/>
        <w:left w:val="none" w:sz="0" w:space="0" w:color="auto"/>
        <w:bottom w:val="none" w:sz="0" w:space="0" w:color="auto"/>
        <w:right w:val="none" w:sz="0" w:space="0" w:color="auto"/>
      </w:divBdr>
    </w:div>
    <w:div w:id="1014457080">
      <w:marLeft w:val="0"/>
      <w:marRight w:val="0"/>
      <w:marTop w:val="180"/>
      <w:marBottom w:val="0"/>
      <w:divBdr>
        <w:top w:val="none" w:sz="0" w:space="0" w:color="auto"/>
        <w:left w:val="none" w:sz="0" w:space="0" w:color="auto"/>
        <w:bottom w:val="none" w:sz="0" w:space="0" w:color="auto"/>
        <w:right w:val="none" w:sz="0" w:space="0" w:color="auto"/>
      </w:divBdr>
    </w:div>
    <w:div w:id="1014651091">
      <w:marLeft w:val="0"/>
      <w:marRight w:val="0"/>
      <w:marTop w:val="0"/>
      <w:marBottom w:val="100"/>
      <w:divBdr>
        <w:top w:val="none" w:sz="0" w:space="0" w:color="auto"/>
        <w:left w:val="none" w:sz="0" w:space="0" w:color="auto"/>
        <w:bottom w:val="none" w:sz="0" w:space="0" w:color="auto"/>
        <w:right w:val="none" w:sz="0" w:space="0" w:color="auto"/>
      </w:divBdr>
    </w:div>
    <w:div w:id="1015616892">
      <w:marLeft w:val="0"/>
      <w:marRight w:val="0"/>
      <w:marTop w:val="100"/>
      <w:marBottom w:val="100"/>
      <w:divBdr>
        <w:top w:val="none" w:sz="0" w:space="0" w:color="auto"/>
        <w:left w:val="none" w:sz="0" w:space="0" w:color="auto"/>
        <w:bottom w:val="none" w:sz="0" w:space="0" w:color="auto"/>
        <w:right w:val="none" w:sz="0" w:space="0" w:color="auto"/>
      </w:divBdr>
    </w:div>
    <w:div w:id="1016348122">
      <w:marLeft w:val="0"/>
      <w:marRight w:val="0"/>
      <w:marTop w:val="100"/>
      <w:marBottom w:val="100"/>
      <w:divBdr>
        <w:top w:val="none" w:sz="0" w:space="0" w:color="auto"/>
        <w:left w:val="none" w:sz="0" w:space="0" w:color="auto"/>
        <w:bottom w:val="none" w:sz="0" w:space="0" w:color="auto"/>
        <w:right w:val="none" w:sz="0" w:space="0" w:color="auto"/>
      </w:divBdr>
    </w:div>
    <w:div w:id="1016926416">
      <w:marLeft w:val="0"/>
      <w:marRight w:val="0"/>
      <w:marTop w:val="0"/>
      <w:marBottom w:val="0"/>
      <w:divBdr>
        <w:top w:val="none" w:sz="0" w:space="0" w:color="auto"/>
        <w:left w:val="none" w:sz="0" w:space="0" w:color="auto"/>
        <w:bottom w:val="none" w:sz="0" w:space="0" w:color="auto"/>
        <w:right w:val="none" w:sz="0" w:space="0" w:color="auto"/>
      </w:divBdr>
    </w:div>
    <w:div w:id="1018386304">
      <w:marLeft w:val="0"/>
      <w:marRight w:val="0"/>
      <w:marTop w:val="0"/>
      <w:marBottom w:val="0"/>
      <w:divBdr>
        <w:top w:val="none" w:sz="0" w:space="0" w:color="auto"/>
        <w:left w:val="none" w:sz="0" w:space="0" w:color="auto"/>
        <w:bottom w:val="none" w:sz="0" w:space="0" w:color="auto"/>
        <w:right w:val="none" w:sz="0" w:space="0" w:color="auto"/>
      </w:divBdr>
      <w:divsChild>
        <w:div w:id="114562134">
          <w:marLeft w:val="0"/>
          <w:marRight w:val="0"/>
          <w:marTop w:val="0"/>
          <w:marBottom w:val="0"/>
          <w:divBdr>
            <w:top w:val="none" w:sz="0" w:space="0" w:color="auto"/>
            <w:left w:val="none" w:sz="0" w:space="0" w:color="auto"/>
            <w:bottom w:val="none" w:sz="0" w:space="0" w:color="auto"/>
            <w:right w:val="none" w:sz="0" w:space="0" w:color="auto"/>
          </w:divBdr>
          <w:divsChild>
            <w:div w:id="19814947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19352395">
      <w:marLeft w:val="0"/>
      <w:marRight w:val="0"/>
      <w:marTop w:val="0"/>
      <w:marBottom w:val="0"/>
      <w:divBdr>
        <w:top w:val="none" w:sz="0" w:space="0" w:color="auto"/>
        <w:left w:val="none" w:sz="0" w:space="0" w:color="auto"/>
        <w:bottom w:val="none" w:sz="0" w:space="0" w:color="auto"/>
        <w:right w:val="none" w:sz="0" w:space="0" w:color="auto"/>
      </w:divBdr>
    </w:div>
    <w:div w:id="1023357444">
      <w:marLeft w:val="0"/>
      <w:marRight w:val="0"/>
      <w:marTop w:val="0"/>
      <w:marBottom w:val="0"/>
      <w:divBdr>
        <w:top w:val="none" w:sz="0" w:space="0" w:color="auto"/>
        <w:left w:val="none" w:sz="0" w:space="0" w:color="auto"/>
        <w:bottom w:val="none" w:sz="0" w:space="0" w:color="auto"/>
        <w:right w:val="none" w:sz="0" w:space="0" w:color="auto"/>
      </w:divBdr>
      <w:divsChild>
        <w:div w:id="1080063579">
          <w:marLeft w:val="0"/>
          <w:marRight w:val="0"/>
          <w:marTop w:val="0"/>
          <w:marBottom w:val="0"/>
          <w:divBdr>
            <w:top w:val="none" w:sz="0" w:space="0" w:color="auto"/>
            <w:left w:val="none" w:sz="0" w:space="0" w:color="auto"/>
            <w:bottom w:val="none" w:sz="0" w:space="0" w:color="auto"/>
            <w:right w:val="none" w:sz="0" w:space="0" w:color="auto"/>
          </w:divBdr>
          <w:divsChild>
            <w:div w:id="866577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23702374">
      <w:marLeft w:val="0"/>
      <w:marRight w:val="0"/>
      <w:marTop w:val="0"/>
      <w:marBottom w:val="100"/>
      <w:divBdr>
        <w:top w:val="none" w:sz="0" w:space="0" w:color="auto"/>
        <w:left w:val="none" w:sz="0" w:space="0" w:color="auto"/>
        <w:bottom w:val="none" w:sz="0" w:space="0" w:color="auto"/>
        <w:right w:val="none" w:sz="0" w:space="0" w:color="auto"/>
      </w:divBdr>
    </w:div>
    <w:div w:id="1023895326">
      <w:marLeft w:val="0"/>
      <w:marRight w:val="0"/>
      <w:marTop w:val="180"/>
      <w:marBottom w:val="100"/>
      <w:divBdr>
        <w:top w:val="none" w:sz="0" w:space="0" w:color="auto"/>
        <w:left w:val="none" w:sz="0" w:space="0" w:color="auto"/>
        <w:bottom w:val="none" w:sz="0" w:space="0" w:color="auto"/>
        <w:right w:val="none" w:sz="0" w:space="0" w:color="auto"/>
      </w:divBdr>
    </w:div>
    <w:div w:id="1024213008">
      <w:marLeft w:val="0"/>
      <w:marRight w:val="0"/>
      <w:marTop w:val="180"/>
      <w:marBottom w:val="100"/>
      <w:divBdr>
        <w:top w:val="none" w:sz="0" w:space="0" w:color="auto"/>
        <w:left w:val="none" w:sz="0" w:space="0" w:color="auto"/>
        <w:bottom w:val="none" w:sz="0" w:space="0" w:color="auto"/>
        <w:right w:val="none" w:sz="0" w:space="0" w:color="auto"/>
      </w:divBdr>
    </w:div>
    <w:div w:id="1024357089">
      <w:marLeft w:val="0"/>
      <w:marRight w:val="0"/>
      <w:marTop w:val="0"/>
      <w:marBottom w:val="0"/>
      <w:divBdr>
        <w:top w:val="none" w:sz="0" w:space="0" w:color="auto"/>
        <w:left w:val="none" w:sz="0" w:space="0" w:color="auto"/>
        <w:bottom w:val="none" w:sz="0" w:space="0" w:color="auto"/>
        <w:right w:val="none" w:sz="0" w:space="0" w:color="auto"/>
      </w:divBdr>
    </w:div>
    <w:div w:id="1027484430">
      <w:marLeft w:val="0"/>
      <w:marRight w:val="0"/>
      <w:marTop w:val="0"/>
      <w:marBottom w:val="0"/>
      <w:divBdr>
        <w:top w:val="none" w:sz="0" w:space="0" w:color="auto"/>
        <w:left w:val="none" w:sz="0" w:space="0" w:color="auto"/>
        <w:bottom w:val="none" w:sz="0" w:space="0" w:color="auto"/>
        <w:right w:val="none" w:sz="0" w:space="0" w:color="auto"/>
      </w:divBdr>
    </w:div>
    <w:div w:id="1027635084">
      <w:marLeft w:val="0"/>
      <w:marRight w:val="0"/>
      <w:marTop w:val="0"/>
      <w:marBottom w:val="100"/>
      <w:divBdr>
        <w:top w:val="none" w:sz="0" w:space="0" w:color="auto"/>
        <w:left w:val="none" w:sz="0" w:space="0" w:color="auto"/>
        <w:bottom w:val="none" w:sz="0" w:space="0" w:color="auto"/>
        <w:right w:val="none" w:sz="0" w:space="0" w:color="auto"/>
      </w:divBdr>
    </w:div>
    <w:div w:id="1031035078">
      <w:marLeft w:val="0"/>
      <w:marRight w:val="0"/>
      <w:marTop w:val="0"/>
      <w:marBottom w:val="100"/>
      <w:divBdr>
        <w:top w:val="none" w:sz="0" w:space="0" w:color="auto"/>
        <w:left w:val="none" w:sz="0" w:space="0" w:color="auto"/>
        <w:bottom w:val="none" w:sz="0" w:space="0" w:color="auto"/>
        <w:right w:val="none" w:sz="0" w:space="0" w:color="auto"/>
      </w:divBdr>
    </w:div>
    <w:div w:id="1031109459">
      <w:marLeft w:val="0"/>
      <w:marRight w:val="0"/>
      <w:marTop w:val="100"/>
      <w:marBottom w:val="100"/>
      <w:divBdr>
        <w:top w:val="none" w:sz="0" w:space="0" w:color="auto"/>
        <w:left w:val="none" w:sz="0" w:space="0" w:color="auto"/>
        <w:bottom w:val="none" w:sz="0" w:space="0" w:color="auto"/>
        <w:right w:val="none" w:sz="0" w:space="0" w:color="auto"/>
      </w:divBdr>
    </w:div>
    <w:div w:id="1036928103">
      <w:marLeft w:val="0"/>
      <w:marRight w:val="0"/>
      <w:marTop w:val="180"/>
      <w:marBottom w:val="0"/>
      <w:divBdr>
        <w:top w:val="none" w:sz="0" w:space="0" w:color="auto"/>
        <w:left w:val="none" w:sz="0" w:space="0" w:color="auto"/>
        <w:bottom w:val="none" w:sz="0" w:space="0" w:color="auto"/>
        <w:right w:val="none" w:sz="0" w:space="0" w:color="auto"/>
      </w:divBdr>
    </w:div>
    <w:div w:id="1038626110">
      <w:marLeft w:val="0"/>
      <w:marRight w:val="0"/>
      <w:marTop w:val="0"/>
      <w:marBottom w:val="100"/>
      <w:divBdr>
        <w:top w:val="none" w:sz="0" w:space="0" w:color="auto"/>
        <w:left w:val="none" w:sz="0" w:space="0" w:color="auto"/>
        <w:bottom w:val="none" w:sz="0" w:space="0" w:color="auto"/>
        <w:right w:val="none" w:sz="0" w:space="0" w:color="auto"/>
      </w:divBdr>
    </w:div>
    <w:div w:id="1039205448">
      <w:marLeft w:val="0"/>
      <w:marRight w:val="0"/>
      <w:marTop w:val="0"/>
      <w:marBottom w:val="0"/>
      <w:divBdr>
        <w:top w:val="none" w:sz="0" w:space="0" w:color="auto"/>
        <w:left w:val="none" w:sz="0" w:space="0" w:color="auto"/>
        <w:bottom w:val="none" w:sz="0" w:space="0" w:color="auto"/>
        <w:right w:val="none" w:sz="0" w:space="0" w:color="auto"/>
      </w:divBdr>
      <w:divsChild>
        <w:div w:id="1714236050">
          <w:marLeft w:val="0"/>
          <w:marRight w:val="0"/>
          <w:marTop w:val="0"/>
          <w:marBottom w:val="0"/>
          <w:divBdr>
            <w:top w:val="none" w:sz="0" w:space="0" w:color="auto"/>
            <w:left w:val="none" w:sz="0" w:space="0" w:color="auto"/>
            <w:bottom w:val="none" w:sz="0" w:space="0" w:color="auto"/>
            <w:right w:val="none" w:sz="0" w:space="0" w:color="auto"/>
          </w:divBdr>
          <w:divsChild>
            <w:div w:id="15141068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39283710">
      <w:marLeft w:val="0"/>
      <w:marRight w:val="0"/>
      <w:marTop w:val="0"/>
      <w:marBottom w:val="0"/>
      <w:divBdr>
        <w:top w:val="none" w:sz="0" w:space="0" w:color="auto"/>
        <w:left w:val="none" w:sz="0" w:space="0" w:color="auto"/>
        <w:bottom w:val="none" w:sz="0" w:space="0" w:color="auto"/>
        <w:right w:val="none" w:sz="0" w:space="0" w:color="auto"/>
      </w:divBdr>
    </w:div>
    <w:div w:id="1039549305">
      <w:marLeft w:val="0"/>
      <w:marRight w:val="0"/>
      <w:marTop w:val="100"/>
      <w:marBottom w:val="100"/>
      <w:divBdr>
        <w:top w:val="none" w:sz="0" w:space="0" w:color="auto"/>
        <w:left w:val="none" w:sz="0" w:space="0" w:color="auto"/>
        <w:bottom w:val="none" w:sz="0" w:space="0" w:color="auto"/>
        <w:right w:val="none" w:sz="0" w:space="0" w:color="auto"/>
      </w:divBdr>
    </w:div>
    <w:div w:id="1040856173">
      <w:marLeft w:val="0"/>
      <w:marRight w:val="0"/>
      <w:marTop w:val="200"/>
      <w:marBottom w:val="100"/>
      <w:divBdr>
        <w:top w:val="none" w:sz="0" w:space="0" w:color="auto"/>
        <w:left w:val="none" w:sz="0" w:space="0" w:color="auto"/>
        <w:bottom w:val="none" w:sz="0" w:space="0" w:color="auto"/>
        <w:right w:val="none" w:sz="0" w:space="0" w:color="auto"/>
      </w:divBdr>
    </w:div>
    <w:div w:id="1041055456">
      <w:marLeft w:val="0"/>
      <w:marRight w:val="0"/>
      <w:marTop w:val="100"/>
      <w:marBottom w:val="0"/>
      <w:divBdr>
        <w:top w:val="none" w:sz="0" w:space="0" w:color="auto"/>
        <w:left w:val="none" w:sz="0" w:space="0" w:color="auto"/>
        <w:bottom w:val="none" w:sz="0" w:space="0" w:color="auto"/>
        <w:right w:val="none" w:sz="0" w:space="0" w:color="auto"/>
      </w:divBdr>
    </w:div>
    <w:div w:id="1041781571">
      <w:marLeft w:val="0"/>
      <w:marRight w:val="0"/>
      <w:marTop w:val="180"/>
      <w:marBottom w:val="100"/>
      <w:divBdr>
        <w:top w:val="none" w:sz="0" w:space="0" w:color="auto"/>
        <w:left w:val="none" w:sz="0" w:space="0" w:color="auto"/>
        <w:bottom w:val="none" w:sz="0" w:space="0" w:color="auto"/>
        <w:right w:val="none" w:sz="0" w:space="0" w:color="auto"/>
      </w:divBdr>
    </w:div>
    <w:div w:id="1042049163">
      <w:marLeft w:val="0"/>
      <w:marRight w:val="0"/>
      <w:marTop w:val="100"/>
      <w:marBottom w:val="100"/>
      <w:divBdr>
        <w:top w:val="none" w:sz="0" w:space="0" w:color="auto"/>
        <w:left w:val="none" w:sz="0" w:space="0" w:color="auto"/>
        <w:bottom w:val="none" w:sz="0" w:space="0" w:color="auto"/>
        <w:right w:val="none" w:sz="0" w:space="0" w:color="auto"/>
      </w:divBdr>
    </w:div>
    <w:div w:id="1043291384">
      <w:marLeft w:val="0"/>
      <w:marRight w:val="0"/>
      <w:marTop w:val="100"/>
      <w:marBottom w:val="100"/>
      <w:divBdr>
        <w:top w:val="none" w:sz="0" w:space="0" w:color="auto"/>
        <w:left w:val="none" w:sz="0" w:space="0" w:color="auto"/>
        <w:bottom w:val="none" w:sz="0" w:space="0" w:color="auto"/>
        <w:right w:val="none" w:sz="0" w:space="0" w:color="auto"/>
      </w:divBdr>
    </w:div>
    <w:div w:id="1043863606">
      <w:marLeft w:val="0"/>
      <w:marRight w:val="0"/>
      <w:marTop w:val="100"/>
      <w:marBottom w:val="100"/>
      <w:divBdr>
        <w:top w:val="none" w:sz="0" w:space="0" w:color="auto"/>
        <w:left w:val="none" w:sz="0" w:space="0" w:color="auto"/>
        <w:bottom w:val="none" w:sz="0" w:space="0" w:color="auto"/>
        <w:right w:val="none" w:sz="0" w:space="0" w:color="auto"/>
      </w:divBdr>
    </w:div>
    <w:div w:id="1045713586">
      <w:marLeft w:val="0"/>
      <w:marRight w:val="0"/>
      <w:marTop w:val="0"/>
      <w:marBottom w:val="100"/>
      <w:divBdr>
        <w:top w:val="none" w:sz="0" w:space="0" w:color="auto"/>
        <w:left w:val="none" w:sz="0" w:space="0" w:color="auto"/>
        <w:bottom w:val="none" w:sz="0" w:space="0" w:color="auto"/>
        <w:right w:val="none" w:sz="0" w:space="0" w:color="auto"/>
      </w:divBdr>
    </w:div>
    <w:div w:id="1045759769">
      <w:marLeft w:val="0"/>
      <w:marRight w:val="0"/>
      <w:marTop w:val="0"/>
      <w:marBottom w:val="0"/>
      <w:divBdr>
        <w:top w:val="none" w:sz="0" w:space="0" w:color="auto"/>
        <w:left w:val="none" w:sz="0" w:space="0" w:color="auto"/>
        <w:bottom w:val="none" w:sz="0" w:space="0" w:color="auto"/>
        <w:right w:val="none" w:sz="0" w:space="0" w:color="auto"/>
      </w:divBdr>
      <w:divsChild>
        <w:div w:id="656081038">
          <w:marLeft w:val="0"/>
          <w:marRight w:val="0"/>
          <w:marTop w:val="0"/>
          <w:marBottom w:val="100"/>
          <w:divBdr>
            <w:top w:val="none" w:sz="0" w:space="0" w:color="auto"/>
            <w:left w:val="none" w:sz="0" w:space="0" w:color="auto"/>
            <w:bottom w:val="none" w:sz="0" w:space="0" w:color="auto"/>
            <w:right w:val="none" w:sz="0" w:space="0" w:color="auto"/>
          </w:divBdr>
        </w:div>
      </w:divsChild>
    </w:div>
    <w:div w:id="1046952928">
      <w:marLeft w:val="0"/>
      <w:marRight w:val="0"/>
      <w:marTop w:val="0"/>
      <w:marBottom w:val="0"/>
      <w:divBdr>
        <w:top w:val="none" w:sz="0" w:space="0" w:color="auto"/>
        <w:left w:val="none" w:sz="0" w:space="0" w:color="auto"/>
        <w:bottom w:val="none" w:sz="0" w:space="0" w:color="auto"/>
        <w:right w:val="none" w:sz="0" w:space="0" w:color="auto"/>
      </w:divBdr>
    </w:div>
    <w:div w:id="1047416597">
      <w:marLeft w:val="0"/>
      <w:marRight w:val="0"/>
      <w:marTop w:val="0"/>
      <w:marBottom w:val="0"/>
      <w:divBdr>
        <w:top w:val="none" w:sz="0" w:space="0" w:color="auto"/>
        <w:left w:val="none" w:sz="0" w:space="0" w:color="auto"/>
        <w:bottom w:val="none" w:sz="0" w:space="0" w:color="auto"/>
        <w:right w:val="none" w:sz="0" w:space="0" w:color="auto"/>
      </w:divBdr>
    </w:div>
    <w:div w:id="1048336709">
      <w:marLeft w:val="0"/>
      <w:marRight w:val="0"/>
      <w:marTop w:val="180"/>
      <w:marBottom w:val="100"/>
      <w:divBdr>
        <w:top w:val="none" w:sz="0" w:space="0" w:color="auto"/>
        <w:left w:val="none" w:sz="0" w:space="0" w:color="auto"/>
        <w:bottom w:val="none" w:sz="0" w:space="0" w:color="auto"/>
        <w:right w:val="none" w:sz="0" w:space="0" w:color="auto"/>
      </w:divBdr>
    </w:div>
    <w:div w:id="1048988282">
      <w:marLeft w:val="0"/>
      <w:marRight w:val="0"/>
      <w:marTop w:val="180"/>
      <w:marBottom w:val="0"/>
      <w:divBdr>
        <w:top w:val="none" w:sz="0" w:space="0" w:color="auto"/>
        <w:left w:val="none" w:sz="0" w:space="0" w:color="auto"/>
        <w:bottom w:val="none" w:sz="0" w:space="0" w:color="auto"/>
        <w:right w:val="none" w:sz="0" w:space="0" w:color="auto"/>
      </w:divBdr>
    </w:div>
    <w:div w:id="1049963645">
      <w:marLeft w:val="0"/>
      <w:marRight w:val="0"/>
      <w:marTop w:val="100"/>
      <w:marBottom w:val="100"/>
      <w:divBdr>
        <w:top w:val="none" w:sz="0" w:space="0" w:color="auto"/>
        <w:left w:val="none" w:sz="0" w:space="0" w:color="auto"/>
        <w:bottom w:val="none" w:sz="0" w:space="0" w:color="auto"/>
        <w:right w:val="none" w:sz="0" w:space="0" w:color="auto"/>
      </w:divBdr>
    </w:div>
    <w:div w:id="1050348569">
      <w:marLeft w:val="0"/>
      <w:marRight w:val="0"/>
      <w:marTop w:val="0"/>
      <w:marBottom w:val="100"/>
      <w:divBdr>
        <w:top w:val="none" w:sz="0" w:space="0" w:color="auto"/>
        <w:left w:val="none" w:sz="0" w:space="0" w:color="auto"/>
        <w:bottom w:val="none" w:sz="0" w:space="0" w:color="auto"/>
        <w:right w:val="none" w:sz="0" w:space="0" w:color="auto"/>
      </w:divBdr>
    </w:div>
    <w:div w:id="1051073771">
      <w:marLeft w:val="0"/>
      <w:marRight w:val="0"/>
      <w:marTop w:val="100"/>
      <w:marBottom w:val="100"/>
      <w:divBdr>
        <w:top w:val="none" w:sz="0" w:space="0" w:color="auto"/>
        <w:left w:val="none" w:sz="0" w:space="0" w:color="auto"/>
        <w:bottom w:val="none" w:sz="0" w:space="0" w:color="auto"/>
        <w:right w:val="none" w:sz="0" w:space="0" w:color="auto"/>
      </w:divBdr>
    </w:div>
    <w:div w:id="1051349063">
      <w:marLeft w:val="0"/>
      <w:marRight w:val="0"/>
      <w:marTop w:val="0"/>
      <w:marBottom w:val="0"/>
      <w:divBdr>
        <w:top w:val="none" w:sz="0" w:space="0" w:color="auto"/>
        <w:left w:val="none" w:sz="0" w:space="0" w:color="auto"/>
        <w:bottom w:val="none" w:sz="0" w:space="0" w:color="auto"/>
        <w:right w:val="none" w:sz="0" w:space="0" w:color="auto"/>
      </w:divBdr>
      <w:divsChild>
        <w:div w:id="576091372">
          <w:marLeft w:val="0"/>
          <w:marRight w:val="0"/>
          <w:marTop w:val="0"/>
          <w:marBottom w:val="0"/>
          <w:divBdr>
            <w:top w:val="none" w:sz="0" w:space="0" w:color="auto"/>
            <w:left w:val="none" w:sz="0" w:space="0" w:color="auto"/>
            <w:bottom w:val="none" w:sz="0" w:space="0" w:color="auto"/>
            <w:right w:val="none" w:sz="0" w:space="0" w:color="auto"/>
          </w:divBdr>
          <w:divsChild>
            <w:div w:id="17979165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54308289">
      <w:marLeft w:val="0"/>
      <w:marRight w:val="0"/>
      <w:marTop w:val="100"/>
      <w:marBottom w:val="100"/>
      <w:divBdr>
        <w:top w:val="none" w:sz="0" w:space="0" w:color="auto"/>
        <w:left w:val="none" w:sz="0" w:space="0" w:color="auto"/>
        <w:bottom w:val="none" w:sz="0" w:space="0" w:color="auto"/>
        <w:right w:val="none" w:sz="0" w:space="0" w:color="auto"/>
      </w:divBdr>
    </w:div>
    <w:div w:id="1057825036">
      <w:marLeft w:val="0"/>
      <w:marRight w:val="0"/>
      <w:marTop w:val="100"/>
      <w:marBottom w:val="100"/>
      <w:divBdr>
        <w:top w:val="none" w:sz="0" w:space="0" w:color="auto"/>
        <w:left w:val="none" w:sz="0" w:space="0" w:color="auto"/>
        <w:bottom w:val="none" w:sz="0" w:space="0" w:color="auto"/>
        <w:right w:val="none" w:sz="0" w:space="0" w:color="auto"/>
      </w:divBdr>
    </w:div>
    <w:div w:id="1058481846">
      <w:marLeft w:val="0"/>
      <w:marRight w:val="0"/>
      <w:marTop w:val="100"/>
      <w:marBottom w:val="100"/>
      <w:divBdr>
        <w:top w:val="none" w:sz="0" w:space="0" w:color="auto"/>
        <w:left w:val="none" w:sz="0" w:space="0" w:color="auto"/>
        <w:bottom w:val="none" w:sz="0" w:space="0" w:color="auto"/>
        <w:right w:val="none" w:sz="0" w:space="0" w:color="auto"/>
      </w:divBdr>
    </w:div>
    <w:div w:id="1059210329">
      <w:marLeft w:val="0"/>
      <w:marRight w:val="0"/>
      <w:marTop w:val="0"/>
      <w:marBottom w:val="0"/>
      <w:divBdr>
        <w:top w:val="none" w:sz="0" w:space="0" w:color="auto"/>
        <w:left w:val="none" w:sz="0" w:space="0" w:color="auto"/>
        <w:bottom w:val="none" w:sz="0" w:space="0" w:color="auto"/>
        <w:right w:val="none" w:sz="0" w:space="0" w:color="auto"/>
      </w:divBdr>
    </w:div>
    <w:div w:id="1060248383">
      <w:marLeft w:val="0"/>
      <w:marRight w:val="0"/>
      <w:marTop w:val="100"/>
      <w:marBottom w:val="100"/>
      <w:divBdr>
        <w:top w:val="none" w:sz="0" w:space="0" w:color="auto"/>
        <w:left w:val="none" w:sz="0" w:space="0" w:color="auto"/>
        <w:bottom w:val="none" w:sz="0" w:space="0" w:color="auto"/>
        <w:right w:val="none" w:sz="0" w:space="0" w:color="auto"/>
      </w:divBdr>
    </w:div>
    <w:div w:id="1062024142">
      <w:marLeft w:val="0"/>
      <w:marRight w:val="0"/>
      <w:marTop w:val="100"/>
      <w:marBottom w:val="100"/>
      <w:divBdr>
        <w:top w:val="none" w:sz="0" w:space="0" w:color="auto"/>
        <w:left w:val="none" w:sz="0" w:space="0" w:color="auto"/>
        <w:bottom w:val="none" w:sz="0" w:space="0" w:color="auto"/>
        <w:right w:val="none" w:sz="0" w:space="0" w:color="auto"/>
      </w:divBdr>
    </w:div>
    <w:div w:id="1062171016">
      <w:marLeft w:val="0"/>
      <w:marRight w:val="0"/>
      <w:marTop w:val="100"/>
      <w:marBottom w:val="100"/>
      <w:divBdr>
        <w:top w:val="none" w:sz="0" w:space="0" w:color="auto"/>
        <w:left w:val="none" w:sz="0" w:space="0" w:color="auto"/>
        <w:bottom w:val="none" w:sz="0" w:space="0" w:color="auto"/>
        <w:right w:val="none" w:sz="0" w:space="0" w:color="auto"/>
      </w:divBdr>
    </w:div>
    <w:div w:id="1063606060">
      <w:marLeft w:val="0"/>
      <w:marRight w:val="0"/>
      <w:marTop w:val="0"/>
      <w:marBottom w:val="0"/>
      <w:divBdr>
        <w:top w:val="none" w:sz="0" w:space="0" w:color="auto"/>
        <w:left w:val="none" w:sz="0" w:space="0" w:color="auto"/>
        <w:bottom w:val="none" w:sz="0" w:space="0" w:color="auto"/>
        <w:right w:val="none" w:sz="0" w:space="0" w:color="auto"/>
      </w:divBdr>
      <w:divsChild>
        <w:div w:id="1962608946">
          <w:marLeft w:val="0"/>
          <w:marRight w:val="0"/>
          <w:marTop w:val="0"/>
          <w:marBottom w:val="100"/>
          <w:divBdr>
            <w:top w:val="none" w:sz="0" w:space="0" w:color="auto"/>
            <w:left w:val="none" w:sz="0" w:space="0" w:color="auto"/>
            <w:bottom w:val="none" w:sz="0" w:space="0" w:color="auto"/>
            <w:right w:val="none" w:sz="0" w:space="0" w:color="auto"/>
          </w:divBdr>
        </w:div>
      </w:divsChild>
    </w:div>
    <w:div w:id="1065177525">
      <w:marLeft w:val="0"/>
      <w:marRight w:val="0"/>
      <w:marTop w:val="0"/>
      <w:marBottom w:val="0"/>
      <w:divBdr>
        <w:top w:val="none" w:sz="0" w:space="0" w:color="auto"/>
        <w:left w:val="none" w:sz="0" w:space="0" w:color="auto"/>
        <w:bottom w:val="none" w:sz="0" w:space="0" w:color="auto"/>
        <w:right w:val="none" w:sz="0" w:space="0" w:color="auto"/>
      </w:divBdr>
      <w:divsChild>
        <w:div w:id="438061653">
          <w:marLeft w:val="0"/>
          <w:marRight w:val="0"/>
          <w:marTop w:val="0"/>
          <w:marBottom w:val="0"/>
          <w:divBdr>
            <w:top w:val="none" w:sz="0" w:space="0" w:color="auto"/>
            <w:left w:val="none" w:sz="0" w:space="0" w:color="auto"/>
            <w:bottom w:val="none" w:sz="0" w:space="0" w:color="auto"/>
            <w:right w:val="none" w:sz="0" w:space="0" w:color="auto"/>
          </w:divBdr>
          <w:divsChild>
            <w:div w:id="3916601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65226964">
      <w:marLeft w:val="0"/>
      <w:marRight w:val="0"/>
      <w:marTop w:val="0"/>
      <w:marBottom w:val="100"/>
      <w:divBdr>
        <w:top w:val="none" w:sz="0" w:space="0" w:color="auto"/>
        <w:left w:val="none" w:sz="0" w:space="0" w:color="auto"/>
        <w:bottom w:val="none" w:sz="0" w:space="0" w:color="auto"/>
        <w:right w:val="none" w:sz="0" w:space="0" w:color="auto"/>
      </w:divBdr>
    </w:div>
    <w:div w:id="1066759926">
      <w:marLeft w:val="0"/>
      <w:marRight w:val="0"/>
      <w:marTop w:val="100"/>
      <w:marBottom w:val="100"/>
      <w:divBdr>
        <w:top w:val="none" w:sz="0" w:space="0" w:color="auto"/>
        <w:left w:val="none" w:sz="0" w:space="0" w:color="auto"/>
        <w:bottom w:val="none" w:sz="0" w:space="0" w:color="auto"/>
        <w:right w:val="none" w:sz="0" w:space="0" w:color="auto"/>
      </w:divBdr>
    </w:div>
    <w:div w:id="1067999311">
      <w:marLeft w:val="0"/>
      <w:marRight w:val="0"/>
      <w:marTop w:val="180"/>
      <w:marBottom w:val="100"/>
      <w:divBdr>
        <w:top w:val="none" w:sz="0" w:space="0" w:color="auto"/>
        <w:left w:val="none" w:sz="0" w:space="0" w:color="auto"/>
        <w:bottom w:val="none" w:sz="0" w:space="0" w:color="auto"/>
        <w:right w:val="none" w:sz="0" w:space="0" w:color="auto"/>
      </w:divBdr>
    </w:div>
    <w:div w:id="1068579775">
      <w:marLeft w:val="0"/>
      <w:marRight w:val="0"/>
      <w:marTop w:val="0"/>
      <w:marBottom w:val="0"/>
      <w:divBdr>
        <w:top w:val="none" w:sz="0" w:space="0" w:color="auto"/>
        <w:left w:val="none" w:sz="0" w:space="0" w:color="auto"/>
        <w:bottom w:val="none" w:sz="0" w:space="0" w:color="auto"/>
        <w:right w:val="none" w:sz="0" w:space="0" w:color="auto"/>
      </w:divBdr>
    </w:div>
    <w:div w:id="1073576924">
      <w:marLeft w:val="0"/>
      <w:marRight w:val="0"/>
      <w:marTop w:val="100"/>
      <w:marBottom w:val="100"/>
      <w:divBdr>
        <w:top w:val="none" w:sz="0" w:space="0" w:color="auto"/>
        <w:left w:val="none" w:sz="0" w:space="0" w:color="auto"/>
        <w:bottom w:val="none" w:sz="0" w:space="0" w:color="auto"/>
        <w:right w:val="none" w:sz="0" w:space="0" w:color="auto"/>
      </w:divBdr>
    </w:div>
    <w:div w:id="1073624880">
      <w:marLeft w:val="0"/>
      <w:marRight w:val="0"/>
      <w:marTop w:val="0"/>
      <w:marBottom w:val="100"/>
      <w:divBdr>
        <w:top w:val="none" w:sz="0" w:space="0" w:color="auto"/>
        <w:left w:val="none" w:sz="0" w:space="0" w:color="auto"/>
        <w:bottom w:val="none" w:sz="0" w:space="0" w:color="auto"/>
        <w:right w:val="none" w:sz="0" w:space="0" w:color="auto"/>
      </w:divBdr>
    </w:div>
    <w:div w:id="1076241836">
      <w:marLeft w:val="0"/>
      <w:marRight w:val="0"/>
      <w:marTop w:val="100"/>
      <w:marBottom w:val="0"/>
      <w:divBdr>
        <w:top w:val="none" w:sz="0" w:space="0" w:color="auto"/>
        <w:left w:val="none" w:sz="0" w:space="0" w:color="auto"/>
        <w:bottom w:val="none" w:sz="0" w:space="0" w:color="auto"/>
        <w:right w:val="none" w:sz="0" w:space="0" w:color="auto"/>
      </w:divBdr>
    </w:div>
    <w:div w:id="1076973712">
      <w:marLeft w:val="0"/>
      <w:marRight w:val="0"/>
      <w:marTop w:val="0"/>
      <w:marBottom w:val="0"/>
      <w:divBdr>
        <w:top w:val="none" w:sz="0" w:space="0" w:color="auto"/>
        <w:left w:val="none" w:sz="0" w:space="0" w:color="auto"/>
        <w:bottom w:val="none" w:sz="0" w:space="0" w:color="auto"/>
        <w:right w:val="none" w:sz="0" w:space="0" w:color="auto"/>
      </w:divBdr>
      <w:divsChild>
        <w:div w:id="778524072">
          <w:marLeft w:val="0"/>
          <w:marRight w:val="0"/>
          <w:marTop w:val="0"/>
          <w:marBottom w:val="0"/>
          <w:divBdr>
            <w:top w:val="none" w:sz="0" w:space="0" w:color="auto"/>
            <w:left w:val="none" w:sz="0" w:space="0" w:color="auto"/>
            <w:bottom w:val="none" w:sz="0" w:space="0" w:color="auto"/>
            <w:right w:val="none" w:sz="0" w:space="0" w:color="auto"/>
          </w:divBdr>
          <w:divsChild>
            <w:div w:id="5602185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78164840">
      <w:marLeft w:val="0"/>
      <w:marRight w:val="0"/>
      <w:marTop w:val="0"/>
      <w:marBottom w:val="0"/>
      <w:divBdr>
        <w:top w:val="none" w:sz="0" w:space="0" w:color="auto"/>
        <w:left w:val="none" w:sz="0" w:space="0" w:color="auto"/>
        <w:bottom w:val="none" w:sz="0" w:space="0" w:color="auto"/>
        <w:right w:val="none" w:sz="0" w:space="0" w:color="auto"/>
      </w:divBdr>
      <w:divsChild>
        <w:div w:id="760755582">
          <w:marLeft w:val="0"/>
          <w:marRight w:val="0"/>
          <w:marTop w:val="0"/>
          <w:marBottom w:val="0"/>
          <w:divBdr>
            <w:top w:val="none" w:sz="0" w:space="0" w:color="auto"/>
            <w:left w:val="none" w:sz="0" w:space="0" w:color="auto"/>
            <w:bottom w:val="none" w:sz="0" w:space="0" w:color="auto"/>
            <w:right w:val="none" w:sz="0" w:space="0" w:color="auto"/>
          </w:divBdr>
          <w:divsChild>
            <w:div w:id="11001837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79210771">
      <w:marLeft w:val="0"/>
      <w:marRight w:val="0"/>
      <w:marTop w:val="0"/>
      <w:marBottom w:val="0"/>
      <w:divBdr>
        <w:top w:val="none" w:sz="0" w:space="0" w:color="auto"/>
        <w:left w:val="none" w:sz="0" w:space="0" w:color="auto"/>
        <w:bottom w:val="none" w:sz="0" w:space="0" w:color="auto"/>
        <w:right w:val="none" w:sz="0" w:space="0" w:color="auto"/>
      </w:divBdr>
    </w:div>
    <w:div w:id="1079324296">
      <w:marLeft w:val="0"/>
      <w:marRight w:val="0"/>
      <w:marTop w:val="0"/>
      <w:marBottom w:val="100"/>
      <w:divBdr>
        <w:top w:val="none" w:sz="0" w:space="0" w:color="auto"/>
        <w:left w:val="none" w:sz="0" w:space="0" w:color="auto"/>
        <w:bottom w:val="none" w:sz="0" w:space="0" w:color="auto"/>
        <w:right w:val="none" w:sz="0" w:space="0" w:color="auto"/>
      </w:divBdr>
    </w:div>
    <w:div w:id="1082529089">
      <w:marLeft w:val="0"/>
      <w:marRight w:val="0"/>
      <w:marTop w:val="0"/>
      <w:marBottom w:val="0"/>
      <w:divBdr>
        <w:top w:val="none" w:sz="0" w:space="0" w:color="auto"/>
        <w:left w:val="none" w:sz="0" w:space="0" w:color="auto"/>
        <w:bottom w:val="none" w:sz="0" w:space="0" w:color="auto"/>
        <w:right w:val="none" w:sz="0" w:space="0" w:color="auto"/>
      </w:divBdr>
    </w:div>
    <w:div w:id="1084909944">
      <w:marLeft w:val="0"/>
      <w:marRight w:val="0"/>
      <w:marTop w:val="100"/>
      <w:marBottom w:val="100"/>
      <w:divBdr>
        <w:top w:val="none" w:sz="0" w:space="0" w:color="auto"/>
        <w:left w:val="none" w:sz="0" w:space="0" w:color="auto"/>
        <w:bottom w:val="none" w:sz="0" w:space="0" w:color="auto"/>
        <w:right w:val="none" w:sz="0" w:space="0" w:color="auto"/>
      </w:divBdr>
    </w:div>
    <w:div w:id="1085153746">
      <w:marLeft w:val="0"/>
      <w:marRight w:val="0"/>
      <w:marTop w:val="0"/>
      <w:marBottom w:val="0"/>
      <w:divBdr>
        <w:top w:val="none" w:sz="0" w:space="0" w:color="auto"/>
        <w:left w:val="none" w:sz="0" w:space="0" w:color="auto"/>
        <w:bottom w:val="none" w:sz="0" w:space="0" w:color="auto"/>
        <w:right w:val="none" w:sz="0" w:space="0" w:color="auto"/>
      </w:divBdr>
    </w:div>
    <w:div w:id="1086458955">
      <w:marLeft w:val="0"/>
      <w:marRight w:val="0"/>
      <w:marTop w:val="0"/>
      <w:marBottom w:val="0"/>
      <w:divBdr>
        <w:top w:val="none" w:sz="0" w:space="0" w:color="auto"/>
        <w:left w:val="none" w:sz="0" w:space="0" w:color="auto"/>
        <w:bottom w:val="none" w:sz="0" w:space="0" w:color="auto"/>
        <w:right w:val="none" w:sz="0" w:space="0" w:color="auto"/>
      </w:divBdr>
    </w:div>
    <w:div w:id="1088888309">
      <w:marLeft w:val="0"/>
      <w:marRight w:val="0"/>
      <w:marTop w:val="180"/>
      <w:marBottom w:val="100"/>
      <w:divBdr>
        <w:top w:val="none" w:sz="0" w:space="0" w:color="auto"/>
        <w:left w:val="none" w:sz="0" w:space="0" w:color="auto"/>
        <w:bottom w:val="none" w:sz="0" w:space="0" w:color="auto"/>
        <w:right w:val="none" w:sz="0" w:space="0" w:color="auto"/>
      </w:divBdr>
    </w:div>
    <w:div w:id="1089237630">
      <w:marLeft w:val="0"/>
      <w:marRight w:val="0"/>
      <w:marTop w:val="100"/>
      <w:marBottom w:val="100"/>
      <w:divBdr>
        <w:top w:val="none" w:sz="0" w:space="0" w:color="auto"/>
        <w:left w:val="none" w:sz="0" w:space="0" w:color="auto"/>
        <w:bottom w:val="none" w:sz="0" w:space="0" w:color="auto"/>
        <w:right w:val="none" w:sz="0" w:space="0" w:color="auto"/>
      </w:divBdr>
    </w:div>
    <w:div w:id="1090351327">
      <w:marLeft w:val="0"/>
      <w:marRight w:val="0"/>
      <w:marTop w:val="0"/>
      <w:marBottom w:val="0"/>
      <w:divBdr>
        <w:top w:val="none" w:sz="0" w:space="0" w:color="auto"/>
        <w:left w:val="none" w:sz="0" w:space="0" w:color="auto"/>
        <w:bottom w:val="none" w:sz="0" w:space="0" w:color="auto"/>
        <w:right w:val="none" w:sz="0" w:space="0" w:color="auto"/>
      </w:divBdr>
      <w:divsChild>
        <w:div w:id="1642345941">
          <w:marLeft w:val="0"/>
          <w:marRight w:val="0"/>
          <w:marTop w:val="0"/>
          <w:marBottom w:val="0"/>
          <w:divBdr>
            <w:top w:val="none" w:sz="0" w:space="0" w:color="auto"/>
            <w:left w:val="none" w:sz="0" w:space="0" w:color="auto"/>
            <w:bottom w:val="none" w:sz="0" w:space="0" w:color="auto"/>
            <w:right w:val="none" w:sz="0" w:space="0" w:color="auto"/>
          </w:divBdr>
          <w:divsChild>
            <w:div w:id="202266065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91009870">
      <w:marLeft w:val="0"/>
      <w:marRight w:val="0"/>
      <w:marTop w:val="100"/>
      <w:marBottom w:val="100"/>
      <w:divBdr>
        <w:top w:val="none" w:sz="0" w:space="0" w:color="auto"/>
        <w:left w:val="none" w:sz="0" w:space="0" w:color="auto"/>
        <w:bottom w:val="none" w:sz="0" w:space="0" w:color="auto"/>
        <w:right w:val="none" w:sz="0" w:space="0" w:color="auto"/>
      </w:divBdr>
    </w:div>
    <w:div w:id="1091436613">
      <w:marLeft w:val="0"/>
      <w:marRight w:val="0"/>
      <w:marTop w:val="180"/>
      <w:marBottom w:val="0"/>
      <w:divBdr>
        <w:top w:val="none" w:sz="0" w:space="0" w:color="auto"/>
        <w:left w:val="none" w:sz="0" w:space="0" w:color="auto"/>
        <w:bottom w:val="none" w:sz="0" w:space="0" w:color="auto"/>
        <w:right w:val="none" w:sz="0" w:space="0" w:color="auto"/>
      </w:divBdr>
    </w:div>
    <w:div w:id="1092238522">
      <w:marLeft w:val="0"/>
      <w:marRight w:val="0"/>
      <w:marTop w:val="0"/>
      <w:marBottom w:val="100"/>
      <w:divBdr>
        <w:top w:val="none" w:sz="0" w:space="0" w:color="auto"/>
        <w:left w:val="none" w:sz="0" w:space="0" w:color="auto"/>
        <w:bottom w:val="none" w:sz="0" w:space="0" w:color="auto"/>
        <w:right w:val="none" w:sz="0" w:space="0" w:color="auto"/>
      </w:divBdr>
    </w:div>
    <w:div w:id="1094663643">
      <w:marLeft w:val="0"/>
      <w:marRight w:val="0"/>
      <w:marTop w:val="180"/>
      <w:marBottom w:val="100"/>
      <w:divBdr>
        <w:top w:val="none" w:sz="0" w:space="0" w:color="auto"/>
        <w:left w:val="none" w:sz="0" w:space="0" w:color="auto"/>
        <w:bottom w:val="none" w:sz="0" w:space="0" w:color="auto"/>
        <w:right w:val="none" w:sz="0" w:space="0" w:color="auto"/>
      </w:divBdr>
    </w:div>
    <w:div w:id="1095050413">
      <w:marLeft w:val="0"/>
      <w:marRight w:val="0"/>
      <w:marTop w:val="0"/>
      <w:marBottom w:val="100"/>
      <w:divBdr>
        <w:top w:val="none" w:sz="0" w:space="0" w:color="auto"/>
        <w:left w:val="none" w:sz="0" w:space="0" w:color="auto"/>
        <w:bottom w:val="none" w:sz="0" w:space="0" w:color="auto"/>
        <w:right w:val="none" w:sz="0" w:space="0" w:color="auto"/>
      </w:divBdr>
    </w:div>
    <w:div w:id="1097100690">
      <w:marLeft w:val="0"/>
      <w:marRight w:val="0"/>
      <w:marTop w:val="180"/>
      <w:marBottom w:val="100"/>
      <w:divBdr>
        <w:top w:val="none" w:sz="0" w:space="0" w:color="auto"/>
        <w:left w:val="none" w:sz="0" w:space="0" w:color="auto"/>
        <w:bottom w:val="none" w:sz="0" w:space="0" w:color="auto"/>
        <w:right w:val="none" w:sz="0" w:space="0" w:color="auto"/>
      </w:divBdr>
    </w:div>
    <w:div w:id="1097293163">
      <w:marLeft w:val="0"/>
      <w:marRight w:val="0"/>
      <w:marTop w:val="100"/>
      <w:marBottom w:val="100"/>
      <w:divBdr>
        <w:top w:val="none" w:sz="0" w:space="0" w:color="auto"/>
        <w:left w:val="none" w:sz="0" w:space="0" w:color="auto"/>
        <w:bottom w:val="none" w:sz="0" w:space="0" w:color="auto"/>
        <w:right w:val="none" w:sz="0" w:space="0" w:color="auto"/>
      </w:divBdr>
    </w:div>
    <w:div w:id="1097360324">
      <w:marLeft w:val="0"/>
      <w:marRight w:val="0"/>
      <w:marTop w:val="180"/>
      <w:marBottom w:val="0"/>
      <w:divBdr>
        <w:top w:val="none" w:sz="0" w:space="0" w:color="auto"/>
        <w:left w:val="none" w:sz="0" w:space="0" w:color="auto"/>
        <w:bottom w:val="none" w:sz="0" w:space="0" w:color="auto"/>
        <w:right w:val="none" w:sz="0" w:space="0" w:color="auto"/>
      </w:divBdr>
    </w:div>
    <w:div w:id="1097793658">
      <w:marLeft w:val="0"/>
      <w:marRight w:val="0"/>
      <w:marTop w:val="100"/>
      <w:marBottom w:val="100"/>
      <w:divBdr>
        <w:top w:val="none" w:sz="0" w:space="0" w:color="auto"/>
        <w:left w:val="none" w:sz="0" w:space="0" w:color="auto"/>
        <w:bottom w:val="none" w:sz="0" w:space="0" w:color="auto"/>
        <w:right w:val="none" w:sz="0" w:space="0" w:color="auto"/>
      </w:divBdr>
      <w:divsChild>
        <w:div w:id="170529160">
          <w:marLeft w:val="0"/>
          <w:marRight w:val="0"/>
          <w:marTop w:val="0"/>
          <w:marBottom w:val="0"/>
          <w:divBdr>
            <w:top w:val="none" w:sz="0" w:space="0" w:color="auto"/>
            <w:left w:val="none" w:sz="0" w:space="0" w:color="auto"/>
            <w:bottom w:val="none" w:sz="0" w:space="0" w:color="auto"/>
            <w:right w:val="none" w:sz="0" w:space="0" w:color="auto"/>
          </w:divBdr>
        </w:div>
        <w:div w:id="179970858">
          <w:marLeft w:val="0"/>
          <w:marRight w:val="0"/>
          <w:marTop w:val="20"/>
          <w:marBottom w:val="0"/>
          <w:divBdr>
            <w:top w:val="none" w:sz="0" w:space="0" w:color="auto"/>
            <w:left w:val="none" w:sz="0" w:space="0" w:color="auto"/>
            <w:bottom w:val="none" w:sz="0" w:space="0" w:color="auto"/>
            <w:right w:val="none" w:sz="0" w:space="0" w:color="auto"/>
          </w:divBdr>
        </w:div>
        <w:div w:id="233467689">
          <w:marLeft w:val="0"/>
          <w:marRight w:val="0"/>
          <w:marTop w:val="20"/>
          <w:marBottom w:val="0"/>
          <w:divBdr>
            <w:top w:val="none" w:sz="0" w:space="0" w:color="auto"/>
            <w:left w:val="none" w:sz="0" w:space="0" w:color="auto"/>
            <w:bottom w:val="none" w:sz="0" w:space="0" w:color="auto"/>
            <w:right w:val="none" w:sz="0" w:space="0" w:color="auto"/>
          </w:divBdr>
        </w:div>
        <w:div w:id="273371364">
          <w:marLeft w:val="0"/>
          <w:marRight w:val="0"/>
          <w:marTop w:val="20"/>
          <w:marBottom w:val="0"/>
          <w:divBdr>
            <w:top w:val="none" w:sz="0" w:space="0" w:color="auto"/>
            <w:left w:val="none" w:sz="0" w:space="0" w:color="auto"/>
            <w:bottom w:val="none" w:sz="0" w:space="0" w:color="auto"/>
            <w:right w:val="none" w:sz="0" w:space="0" w:color="auto"/>
          </w:divBdr>
        </w:div>
        <w:div w:id="1513032935">
          <w:marLeft w:val="0"/>
          <w:marRight w:val="0"/>
          <w:marTop w:val="20"/>
          <w:marBottom w:val="0"/>
          <w:divBdr>
            <w:top w:val="none" w:sz="0" w:space="0" w:color="auto"/>
            <w:left w:val="none" w:sz="0" w:space="0" w:color="auto"/>
            <w:bottom w:val="none" w:sz="0" w:space="0" w:color="auto"/>
            <w:right w:val="none" w:sz="0" w:space="0" w:color="auto"/>
          </w:divBdr>
        </w:div>
        <w:div w:id="2059427264">
          <w:marLeft w:val="0"/>
          <w:marRight w:val="0"/>
          <w:marTop w:val="0"/>
          <w:marBottom w:val="0"/>
          <w:divBdr>
            <w:top w:val="none" w:sz="0" w:space="0" w:color="auto"/>
            <w:left w:val="none" w:sz="0" w:space="0" w:color="auto"/>
            <w:bottom w:val="none" w:sz="0" w:space="0" w:color="auto"/>
            <w:right w:val="none" w:sz="0" w:space="0" w:color="auto"/>
          </w:divBdr>
        </w:div>
        <w:div w:id="981957859">
          <w:marLeft w:val="0"/>
          <w:marRight w:val="0"/>
          <w:marTop w:val="100"/>
          <w:marBottom w:val="100"/>
          <w:divBdr>
            <w:top w:val="none" w:sz="0" w:space="0" w:color="auto"/>
            <w:left w:val="none" w:sz="0" w:space="0" w:color="auto"/>
            <w:bottom w:val="none" w:sz="0" w:space="0" w:color="auto"/>
            <w:right w:val="none" w:sz="0" w:space="0" w:color="auto"/>
          </w:divBdr>
        </w:div>
        <w:div w:id="1029532648">
          <w:marLeft w:val="0"/>
          <w:marRight w:val="0"/>
          <w:marTop w:val="100"/>
          <w:marBottom w:val="100"/>
          <w:divBdr>
            <w:top w:val="none" w:sz="0" w:space="0" w:color="auto"/>
            <w:left w:val="none" w:sz="0" w:space="0" w:color="auto"/>
            <w:bottom w:val="none" w:sz="0" w:space="0" w:color="auto"/>
            <w:right w:val="none" w:sz="0" w:space="0" w:color="auto"/>
          </w:divBdr>
        </w:div>
      </w:divsChild>
    </w:div>
    <w:div w:id="1099451896">
      <w:marLeft w:val="0"/>
      <w:marRight w:val="0"/>
      <w:marTop w:val="100"/>
      <w:marBottom w:val="100"/>
      <w:divBdr>
        <w:top w:val="none" w:sz="0" w:space="0" w:color="auto"/>
        <w:left w:val="none" w:sz="0" w:space="0" w:color="auto"/>
        <w:bottom w:val="none" w:sz="0" w:space="0" w:color="auto"/>
        <w:right w:val="none" w:sz="0" w:space="0" w:color="auto"/>
      </w:divBdr>
    </w:div>
    <w:div w:id="1103190226">
      <w:marLeft w:val="0"/>
      <w:marRight w:val="0"/>
      <w:marTop w:val="0"/>
      <w:marBottom w:val="0"/>
      <w:divBdr>
        <w:top w:val="none" w:sz="0" w:space="0" w:color="auto"/>
        <w:left w:val="none" w:sz="0" w:space="0" w:color="auto"/>
        <w:bottom w:val="none" w:sz="0" w:space="0" w:color="auto"/>
        <w:right w:val="none" w:sz="0" w:space="0" w:color="auto"/>
      </w:divBdr>
      <w:divsChild>
        <w:div w:id="421341102">
          <w:marLeft w:val="0"/>
          <w:marRight w:val="0"/>
          <w:marTop w:val="0"/>
          <w:marBottom w:val="100"/>
          <w:divBdr>
            <w:top w:val="none" w:sz="0" w:space="0" w:color="auto"/>
            <w:left w:val="none" w:sz="0" w:space="0" w:color="auto"/>
            <w:bottom w:val="none" w:sz="0" w:space="0" w:color="auto"/>
            <w:right w:val="none" w:sz="0" w:space="0" w:color="auto"/>
          </w:divBdr>
        </w:div>
      </w:divsChild>
    </w:div>
    <w:div w:id="1104768129">
      <w:marLeft w:val="0"/>
      <w:marRight w:val="0"/>
      <w:marTop w:val="0"/>
      <w:marBottom w:val="0"/>
      <w:divBdr>
        <w:top w:val="none" w:sz="0" w:space="0" w:color="auto"/>
        <w:left w:val="none" w:sz="0" w:space="0" w:color="auto"/>
        <w:bottom w:val="none" w:sz="0" w:space="0" w:color="auto"/>
        <w:right w:val="none" w:sz="0" w:space="0" w:color="auto"/>
      </w:divBdr>
    </w:div>
    <w:div w:id="1105685134">
      <w:marLeft w:val="0"/>
      <w:marRight w:val="0"/>
      <w:marTop w:val="180"/>
      <w:marBottom w:val="0"/>
      <w:divBdr>
        <w:top w:val="none" w:sz="0" w:space="0" w:color="auto"/>
        <w:left w:val="none" w:sz="0" w:space="0" w:color="auto"/>
        <w:bottom w:val="none" w:sz="0" w:space="0" w:color="auto"/>
        <w:right w:val="none" w:sz="0" w:space="0" w:color="auto"/>
      </w:divBdr>
    </w:div>
    <w:div w:id="1106971057">
      <w:marLeft w:val="0"/>
      <w:marRight w:val="0"/>
      <w:marTop w:val="0"/>
      <w:marBottom w:val="0"/>
      <w:divBdr>
        <w:top w:val="none" w:sz="0" w:space="0" w:color="auto"/>
        <w:left w:val="none" w:sz="0" w:space="0" w:color="auto"/>
        <w:bottom w:val="none" w:sz="0" w:space="0" w:color="auto"/>
        <w:right w:val="none" w:sz="0" w:space="0" w:color="auto"/>
      </w:divBdr>
      <w:divsChild>
        <w:div w:id="1796094701">
          <w:marLeft w:val="0"/>
          <w:marRight w:val="0"/>
          <w:marTop w:val="0"/>
          <w:marBottom w:val="0"/>
          <w:divBdr>
            <w:top w:val="none" w:sz="0" w:space="0" w:color="auto"/>
            <w:left w:val="none" w:sz="0" w:space="0" w:color="auto"/>
            <w:bottom w:val="none" w:sz="0" w:space="0" w:color="auto"/>
            <w:right w:val="none" w:sz="0" w:space="0" w:color="auto"/>
          </w:divBdr>
          <w:divsChild>
            <w:div w:id="11820147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08813228">
      <w:marLeft w:val="0"/>
      <w:marRight w:val="0"/>
      <w:marTop w:val="0"/>
      <w:marBottom w:val="0"/>
      <w:divBdr>
        <w:top w:val="none" w:sz="0" w:space="0" w:color="auto"/>
        <w:left w:val="none" w:sz="0" w:space="0" w:color="auto"/>
        <w:bottom w:val="none" w:sz="0" w:space="0" w:color="auto"/>
        <w:right w:val="none" w:sz="0" w:space="0" w:color="auto"/>
      </w:divBdr>
    </w:div>
    <w:div w:id="1109010353">
      <w:marLeft w:val="0"/>
      <w:marRight w:val="0"/>
      <w:marTop w:val="100"/>
      <w:marBottom w:val="100"/>
      <w:divBdr>
        <w:top w:val="none" w:sz="0" w:space="0" w:color="auto"/>
        <w:left w:val="none" w:sz="0" w:space="0" w:color="auto"/>
        <w:bottom w:val="none" w:sz="0" w:space="0" w:color="auto"/>
        <w:right w:val="none" w:sz="0" w:space="0" w:color="auto"/>
      </w:divBdr>
    </w:div>
    <w:div w:id="1109467883">
      <w:marLeft w:val="0"/>
      <w:marRight w:val="0"/>
      <w:marTop w:val="100"/>
      <w:marBottom w:val="100"/>
      <w:divBdr>
        <w:top w:val="none" w:sz="0" w:space="0" w:color="auto"/>
        <w:left w:val="none" w:sz="0" w:space="0" w:color="auto"/>
        <w:bottom w:val="none" w:sz="0" w:space="0" w:color="auto"/>
        <w:right w:val="none" w:sz="0" w:space="0" w:color="auto"/>
      </w:divBdr>
    </w:div>
    <w:div w:id="1110584526">
      <w:marLeft w:val="0"/>
      <w:marRight w:val="0"/>
      <w:marTop w:val="180"/>
      <w:marBottom w:val="100"/>
      <w:divBdr>
        <w:top w:val="none" w:sz="0" w:space="0" w:color="auto"/>
        <w:left w:val="none" w:sz="0" w:space="0" w:color="auto"/>
        <w:bottom w:val="none" w:sz="0" w:space="0" w:color="auto"/>
        <w:right w:val="none" w:sz="0" w:space="0" w:color="auto"/>
      </w:divBdr>
    </w:div>
    <w:div w:id="1112285907">
      <w:marLeft w:val="0"/>
      <w:marRight w:val="0"/>
      <w:marTop w:val="180"/>
      <w:marBottom w:val="100"/>
      <w:divBdr>
        <w:top w:val="none" w:sz="0" w:space="0" w:color="auto"/>
        <w:left w:val="none" w:sz="0" w:space="0" w:color="auto"/>
        <w:bottom w:val="none" w:sz="0" w:space="0" w:color="auto"/>
        <w:right w:val="none" w:sz="0" w:space="0" w:color="auto"/>
      </w:divBdr>
    </w:div>
    <w:div w:id="1112937421">
      <w:marLeft w:val="0"/>
      <w:marRight w:val="0"/>
      <w:marTop w:val="100"/>
      <w:marBottom w:val="100"/>
      <w:divBdr>
        <w:top w:val="none" w:sz="0" w:space="0" w:color="auto"/>
        <w:left w:val="none" w:sz="0" w:space="0" w:color="auto"/>
        <w:bottom w:val="none" w:sz="0" w:space="0" w:color="auto"/>
        <w:right w:val="none" w:sz="0" w:space="0" w:color="auto"/>
      </w:divBdr>
    </w:div>
    <w:div w:id="1115711292">
      <w:marLeft w:val="0"/>
      <w:marRight w:val="0"/>
      <w:marTop w:val="0"/>
      <w:marBottom w:val="100"/>
      <w:divBdr>
        <w:top w:val="none" w:sz="0" w:space="0" w:color="auto"/>
        <w:left w:val="none" w:sz="0" w:space="0" w:color="auto"/>
        <w:bottom w:val="none" w:sz="0" w:space="0" w:color="auto"/>
        <w:right w:val="none" w:sz="0" w:space="0" w:color="auto"/>
      </w:divBdr>
    </w:div>
    <w:div w:id="1115713885">
      <w:marLeft w:val="0"/>
      <w:marRight w:val="0"/>
      <w:marTop w:val="180"/>
      <w:marBottom w:val="0"/>
      <w:divBdr>
        <w:top w:val="none" w:sz="0" w:space="0" w:color="auto"/>
        <w:left w:val="none" w:sz="0" w:space="0" w:color="auto"/>
        <w:bottom w:val="none" w:sz="0" w:space="0" w:color="auto"/>
        <w:right w:val="none" w:sz="0" w:space="0" w:color="auto"/>
      </w:divBdr>
    </w:div>
    <w:div w:id="1116560481">
      <w:marLeft w:val="0"/>
      <w:marRight w:val="0"/>
      <w:marTop w:val="0"/>
      <w:marBottom w:val="0"/>
      <w:divBdr>
        <w:top w:val="none" w:sz="0" w:space="0" w:color="auto"/>
        <w:left w:val="none" w:sz="0" w:space="0" w:color="auto"/>
        <w:bottom w:val="none" w:sz="0" w:space="0" w:color="auto"/>
        <w:right w:val="none" w:sz="0" w:space="0" w:color="auto"/>
      </w:divBdr>
    </w:div>
    <w:div w:id="1116677800">
      <w:marLeft w:val="0"/>
      <w:marRight w:val="0"/>
      <w:marTop w:val="0"/>
      <w:marBottom w:val="0"/>
      <w:divBdr>
        <w:top w:val="none" w:sz="0" w:space="0" w:color="auto"/>
        <w:left w:val="none" w:sz="0" w:space="0" w:color="auto"/>
        <w:bottom w:val="none" w:sz="0" w:space="0" w:color="auto"/>
        <w:right w:val="none" w:sz="0" w:space="0" w:color="auto"/>
      </w:divBdr>
    </w:div>
    <w:div w:id="1116757702">
      <w:marLeft w:val="0"/>
      <w:marRight w:val="0"/>
      <w:marTop w:val="100"/>
      <w:marBottom w:val="100"/>
      <w:divBdr>
        <w:top w:val="none" w:sz="0" w:space="0" w:color="auto"/>
        <w:left w:val="none" w:sz="0" w:space="0" w:color="auto"/>
        <w:bottom w:val="none" w:sz="0" w:space="0" w:color="auto"/>
        <w:right w:val="none" w:sz="0" w:space="0" w:color="auto"/>
      </w:divBdr>
    </w:div>
    <w:div w:id="1117018645">
      <w:marLeft w:val="0"/>
      <w:marRight w:val="0"/>
      <w:marTop w:val="100"/>
      <w:marBottom w:val="100"/>
      <w:divBdr>
        <w:top w:val="none" w:sz="0" w:space="0" w:color="auto"/>
        <w:left w:val="none" w:sz="0" w:space="0" w:color="auto"/>
        <w:bottom w:val="none" w:sz="0" w:space="0" w:color="auto"/>
        <w:right w:val="none" w:sz="0" w:space="0" w:color="auto"/>
      </w:divBdr>
    </w:div>
    <w:div w:id="1117870177">
      <w:marLeft w:val="0"/>
      <w:marRight w:val="0"/>
      <w:marTop w:val="0"/>
      <w:marBottom w:val="0"/>
      <w:divBdr>
        <w:top w:val="none" w:sz="0" w:space="0" w:color="auto"/>
        <w:left w:val="none" w:sz="0" w:space="0" w:color="auto"/>
        <w:bottom w:val="none" w:sz="0" w:space="0" w:color="auto"/>
        <w:right w:val="none" w:sz="0" w:space="0" w:color="auto"/>
      </w:divBdr>
    </w:div>
    <w:div w:id="1118066035">
      <w:marLeft w:val="0"/>
      <w:marRight w:val="0"/>
      <w:marTop w:val="0"/>
      <w:marBottom w:val="100"/>
      <w:divBdr>
        <w:top w:val="none" w:sz="0" w:space="0" w:color="auto"/>
        <w:left w:val="none" w:sz="0" w:space="0" w:color="auto"/>
        <w:bottom w:val="none" w:sz="0" w:space="0" w:color="auto"/>
        <w:right w:val="none" w:sz="0" w:space="0" w:color="auto"/>
      </w:divBdr>
    </w:div>
    <w:div w:id="1118526673">
      <w:marLeft w:val="0"/>
      <w:marRight w:val="0"/>
      <w:marTop w:val="0"/>
      <w:marBottom w:val="100"/>
      <w:divBdr>
        <w:top w:val="none" w:sz="0" w:space="0" w:color="auto"/>
        <w:left w:val="none" w:sz="0" w:space="0" w:color="auto"/>
        <w:bottom w:val="none" w:sz="0" w:space="0" w:color="auto"/>
        <w:right w:val="none" w:sz="0" w:space="0" w:color="auto"/>
      </w:divBdr>
    </w:div>
    <w:div w:id="1120299080">
      <w:marLeft w:val="0"/>
      <w:marRight w:val="0"/>
      <w:marTop w:val="100"/>
      <w:marBottom w:val="100"/>
      <w:divBdr>
        <w:top w:val="none" w:sz="0" w:space="0" w:color="auto"/>
        <w:left w:val="none" w:sz="0" w:space="0" w:color="auto"/>
        <w:bottom w:val="none" w:sz="0" w:space="0" w:color="auto"/>
        <w:right w:val="none" w:sz="0" w:space="0" w:color="auto"/>
      </w:divBdr>
    </w:div>
    <w:div w:id="1121608233">
      <w:marLeft w:val="0"/>
      <w:marRight w:val="0"/>
      <w:marTop w:val="0"/>
      <w:marBottom w:val="0"/>
      <w:divBdr>
        <w:top w:val="none" w:sz="0" w:space="0" w:color="auto"/>
        <w:left w:val="none" w:sz="0" w:space="0" w:color="auto"/>
        <w:bottom w:val="none" w:sz="0" w:space="0" w:color="auto"/>
        <w:right w:val="none" w:sz="0" w:space="0" w:color="auto"/>
      </w:divBdr>
      <w:divsChild>
        <w:div w:id="1822381614">
          <w:marLeft w:val="0"/>
          <w:marRight w:val="0"/>
          <w:marTop w:val="0"/>
          <w:marBottom w:val="100"/>
          <w:divBdr>
            <w:top w:val="none" w:sz="0" w:space="0" w:color="auto"/>
            <w:left w:val="none" w:sz="0" w:space="0" w:color="auto"/>
            <w:bottom w:val="none" w:sz="0" w:space="0" w:color="auto"/>
            <w:right w:val="none" w:sz="0" w:space="0" w:color="auto"/>
          </w:divBdr>
        </w:div>
      </w:divsChild>
    </w:div>
    <w:div w:id="1121651274">
      <w:marLeft w:val="0"/>
      <w:marRight w:val="0"/>
      <w:marTop w:val="0"/>
      <w:marBottom w:val="0"/>
      <w:divBdr>
        <w:top w:val="none" w:sz="0" w:space="0" w:color="auto"/>
        <w:left w:val="none" w:sz="0" w:space="0" w:color="auto"/>
        <w:bottom w:val="none" w:sz="0" w:space="0" w:color="auto"/>
        <w:right w:val="none" w:sz="0" w:space="0" w:color="auto"/>
      </w:divBdr>
    </w:div>
    <w:div w:id="1122381302">
      <w:marLeft w:val="0"/>
      <w:marRight w:val="0"/>
      <w:marTop w:val="0"/>
      <w:marBottom w:val="0"/>
      <w:divBdr>
        <w:top w:val="none" w:sz="0" w:space="0" w:color="auto"/>
        <w:left w:val="none" w:sz="0" w:space="0" w:color="auto"/>
        <w:bottom w:val="none" w:sz="0" w:space="0" w:color="auto"/>
        <w:right w:val="none" w:sz="0" w:space="0" w:color="auto"/>
      </w:divBdr>
    </w:div>
    <w:div w:id="1125193026">
      <w:marLeft w:val="0"/>
      <w:marRight w:val="0"/>
      <w:marTop w:val="0"/>
      <w:marBottom w:val="0"/>
      <w:divBdr>
        <w:top w:val="none" w:sz="0" w:space="0" w:color="auto"/>
        <w:left w:val="none" w:sz="0" w:space="0" w:color="auto"/>
        <w:bottom w:val="none" w:sz="0" w:space="0" w:color="auto"/>
        <w:right w:val="none" w:sz="0" w:space="0" w:color="auto"/>
      </w:divBdr>
    </w:div>
    <w:div w:id="1125200696">
      <w:marLeft w:val="0"/>
      <w:marRight w:val="0"/>
      <w:marTop w:val="100"/>
      <w:marBottom w:val="0"/>
      <w:divBdr>
        <w:top w:val="none" w:sz="0" w:space="0" w:color="auto"/>
        <w:left w:val="none" w:sz="0" w:space="0" w:color="auto"/>
        <w:bottom w:val="none" w:sz="0" w:space="0" w:color="auto"/>
        <w:right w:val="none" w:sz="0" w:space="0" w:color="auto"/>
      </w:divBdr>
    </w:div>
    <w:div w:id="1129322058">
      <w:marLeft w:val="0"/>
      <w:marRight w:val="0"/>
      <w:marTop w:val="100"/>
      <w:marBottom w:val="100"/>
      <w:divBdr>
        <w:top w:val="none" w:sz="0" w:space="0" w:color="auto"/>
        <w:left w:val="none" w:sz="0" w:space="0" w:color="auto"/>
        <w:bottom w:val="none" w:sz="0" w:space="0" w:color="auto"/>
        <w:right w:val="none" w:sz="0" w:space="0" w:color="auto"/>
      </w:divBdr>
    </w:div>
    <w:div w:id="1130249378">
      <w:marLeft w:val="0"/>
      <w:marRight w:val="0"/>
      <w:marTop w:val="180"/>
      <w:marBottom w:val="0"/>
      <w:divBdr>
        <w:top w:val="none" w:sz="0" w:space="0" w:color="auto"/>
        <w:left w:val="none" w:sz="0" w:space="0" w:color="auto"/>
        <w:bottom w:val="none" w:sz="0" w:space="0" w:color="auto"/>
        <w:right w:val="none" w:sz="0" w:space="0" w:color="auto"/>
      </w:divBdr>
    </w:div>
    <w:div w:id="1131367014">
      <w:marLeft w:val="0"/>
      <w:marRight w:val="0"/>
      <w:marTop w:val="0"/>
      <w:marBottom w:val="90"/>
      <w:divBdr>
        <w:top w:val="none" w:sz="0" w:space="0" w:color="auto"/>
        <w:left w:val="none" w:sz="0" w:space="0" w:color="auto"/>
        <w:bottom w:val="none" w:sz="0" w:space="0" w:color="auto"/>
        <w:right w:val="none" w:sz="0" w:space="0" w:color="auto"/>
      </w:divBdr>
    </w:div>
    <w:div w:id="1131552040">
      <w:marLeft w:val="0"/>
      <w:marRight w:val="0"/>
      <w:marTop w:val="0"/>
      <w:marBottom w:val="0"/>
      <w:divBdr>
        <w:top w:val="none" w:sz="0" w:space="0" w:color="auto"/>
        <w:left w:val="none" w:sz="0" w:space="0" w:color="auto"/>
        <w:bottom w:val="none" w:sz="0" w:space="0" w:color="auto"/>
        <w:right w:val="none" w:sz="0" w:space="0" w:color="auto"/>
      </w:divBdr>
      <w:divsChild>
        <w:div w:id="2111317190">
          <w:marLeft w:val="0"/>
          <w:marRight w:val="0"/>
          <w:marTop w:val="0"/>
          <w:marBottom w:val="100"/>
          <w:divBdr>
            <w:top w:val="none" w:sz="0" w:space="0" w:color="auto"/>
            <w:left w:val="none" w:sz="0" w:space="0" w:color="auto"/>
            <w:bottom w:val="none" w:sz="0" w:space="0" w:color="auto"/>
            <w:right w:val="none" w:sz="0" w:space="0" w:color="auto"/>
          </w:divBdr>
        </w:div>
      </w:divsChild>
    </w:div>
    <w:div w:id="1132014328">
      <w:marLeft w:val="0"/>
      <w:marRight w:val="0"/>
      <w:marTop w:val="100"/>
      <w:marBottom w:val="0"/>
      <w:divBdr>
        <w:top w:val="none" w:sz="0" w:space="0" w:color="auto"/>
        <w:left w:val="none" w:sz="0" w:space="0" w:color="auto"/>
        <w:bottom w:val="none" w:sz="0" w:space="0" w:color="auto"/>
        <w:right w:val="none" w:sz="0" w:space="0" w:color="auto"/>
      </w:divBdr>
    </w:div>
    <w:div w:id="1133017742">
      <w:marLeft w:val="0"/>
      <w:marRight w:val="0"/>
      <w:marTop w:val="100"/>
      <w:marBottom w:val="100"/>
      <w:divBdr>
        <w:top w:val="none" w:sz="0" w:space="0" w:color="auto"/>
        <w:left w:val="none" w:sz="0" w:space="0" w:color="auto"/>
        <w:bottom w:val="none" w:sz="0" w:space="0" w:color="auto"/>
        <w:right w:val="none" w:sz="0" w:space="0" w:color="auto"/>
      </w:divBdr>
    </w:div>
    <w:div w:id="1133402675">
      <w:marLeft w:val="0"/>
      <w:marRight w:val="0"/>
      <w:marTop w:val="0"/>
      <w:marBottom w:val="100"/>
      <w:divBdr>
        <w:top w:val="none" w:sz="0" w:space="0" w:color="auto"/>
        <w:left w:val="none" w:sz="0" w:space="0" w:color="auto"/>
        <w:bottom w:val="none" w:sz="0" w:space="0" w:color="auto"/>
        <w:right w:val="none" w:sz="0" w:space="0" w:color="auto"/>
      </w:divBdr>
    </w:div>
    <w:div w:id="1133719678">
      <w:marLeft w:val="0"/>
      <w:marRight w:val="0"/>
      <w:marTop w:val="180"/>
      <w:marBottom w:val="0"/>
      <w:divBdr>
        <w:top w:val="none" w:sz="0" w:space="0" w:color="auto"/>
        <w:left w:val="none" w:sz="0" w:space="0" w:color="auto"/>
        <w:bottom w:val="none" w:sz="0" w:space="0" w:color="auto"/>
        <w:right w:val="none" w:sz="0" w:space="0" w:color="auto"/>
      </w:divBdr>
    </w:div>
    <w:div w:id="1134493705">
      <w:marLeft w:val="0"/>
      <w:marRight w:val="0"/>
      <w:marTop w:val="0"/>
      <w:marBottom w:val="0"/>
      <w:divBdr>
        <w:top w:val="none" w:sz="0" w:space="0" w:color="auto"/>
        <w:left w:val="none" w:sz="0" w:space="0" w:color="auto"/>
        <w:bottom w:val="none" w:sz="0" w:space="0" w:color="auto"/>
        <w:right w:val="none" w:sz="0" w:space="0" w:color="auto"/>
      </w:divBdr>
      <w:divsChild>
        <w:div w:id="234701623">
          <w:marLeft w:val="0"/>
          <w:marRight w:val="0"/>
          <w:marTop w:val="0"/>
          <w:marBottom w:val="100"/>
          <w:divBdr>
            <w:top w:val="none" w:sz="0" w:space="0" w:color="auto"/>
            <w:left w:val="none" w:sz="0" w:space="0" w:color="auto"/>
            <w:bottom w:val="none" w:sz="0" w:space="0" w:color="auto"/>
            <w:right w:val="none" w:sz="0" w:space="0" w:color="auto"/>
          </w:divBdr>
        </w:div>
      </w:divsChild>
    </w:div>
    <w:div w:id="1134717536">
      <w:marLeft w:val="0"/>
      <w:marRight w:val="0"/>
      <w:marTop w:val="100"/>
      <w:marBottom w:val="100"/>
      <w:divBdr>
        <w:top w:val="none" w:sz="0" w:space="0" w:color="auto"/>
        <w:left w:val="none" w:sz="0" w:space="0" w:color="auto"/>
        <w:bottom w:val="none" w:sz="0" w:space="0" w:color="auto"/>
        <w:right w:val="none" w:sz="0" w:space="0" w:color="auto"/>
      </w:divBdr>
    </w:div>
    <w:div w:id="1135179233">
      <w:marLeft w:val="0"/>
      <w:marRight w:val="0"/>
      <w:marTop w:val="100"/>
      <w:marBottom w:val="100"/>
      <w:divBdr>
        <w:top w:val="none" w:sz="0" w:space="0" w:color="auto"/>
        <w:left w:val="none" w:sz="0" w:space="0" w:color="auto"/>
        <w:bottom w:val="none" w:sz="0" w:space="0" w:color="auto"/>
        <w:right w:val="none" w:sz="0" w:space="0" w:color="auto"/>
      </w:divBdr>
    </w:div>
    <w:div w:id="1141771625">
      <w:marLeft w:val="0"/>
      <w:marRight w:val="0"/>
      <w:marTop w:val="0"/>
      <w:marBottom w:val="100"/>
      <w:divBdr>
        <w:top w:val="none" w:sz="0" w:space="0" w:color="auto"/>
        <w:left w:val="none" w:sz="0" w:space="0" w:color="auto"/>
        <w:bottom w:val="none" w:sz="0" w:space="0" w:color="auto"/>
        <w:right w:val="none" w:sz="0" w:space="0" w:color="auto"/>
      </w:divBdr>
    </w:div>
    <w:div w:id="1143695607">
      <w:marLeft w:val="0"/>
      <w:marRight w:val="0"/>
      <w:marTop w:val="0"/>
      <w:marBottom w:val="0"/>
      <w:divBdr>
        <w:top w:val="none" w:sz="0" w:space="0" w:color="auto"/>
        <w:left w:val="none" w:sz="0" w:space="0" w:color="auto"/>
        <w:bottom w:val="none" w:sz="0" w:space="0" w:color="auto"/>
        <w:right w:val="none" w:sz="0" w:space="0" w:color="auto"/>
      </w:divBdr>
      <w:divsChild>
        <w:div w:id="171533281">
          <w:marLeft w:val="0"/>
          <w:marRight w:val="0"/>
          <w:marTop w:val="0"/>
          <w:marBottom w:val="0"/>
          <w:divBdr>
            <w:top w:val="none" w:sz="0" w:space="0" w:color="auto"/>
            <w:left w:val="none" w:sz="0" w:space="0" w:color="auto"/>
            <w:bottom w:val="none" w:sz="0" w:space="0" w:color="auto"/>
            <w:right w:val="none" w:sz="0" w:space="0" w:color="auto"/>
          </w:divBdr>
          <w:divsChild>
            <w:div w:id="110049450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45314945">
      <w:marLeft w:val="0"/>
      <w:marRight w:val="0"/>
      <w:marTop w:val="200"/>
      <w:marBottom w:val="100"/>
      <w:divBdr>
        <w:top w:val="none" w:sz="0" w:space="0" w:color="auto"/>
        <w:left w:val="none" w:sz="0" w:space="0" w:color="auto"/>
        <w:bottom w:val="none" w:sz="0" w:space="0" w:color="auto"/>
        <w:right w:val="none" w:sz="0" w:space="0" w:color="auto"/>
      </w:divBdr>
    </w:div>
    <w:div w:id="1146360720">
      <w:marLeft w:val="0"/>
      <w:marRight w:val="0"/>
      <w:marTop w:val="100"/>
      <w:marBottom w:val="100"/>
      <w:divBdr>
        <w:top w:val="none" w:sz="0" w:space="0" w:color="auto"/>
        <w:left w:val="none" w:sz="0" w:space="0" w:color="auto"/>
        <w:bottom w:val="none" w:sz="0" w:space="0" w:color="auto"/>
        <w:right w:val="none" w:sz="0" w:space="0" w:color="auto"/>
      </w:divBdr>
    </w:div>
    <w:div w:id="1148395599">
      <w:marLeft w:val="0"/>
      <w:marRight w:val="0"/>
      <w:marTop w:val="100"/>
      <w:marBottom w:val="100"/>
      <w:divBdr>
        <w:top w:val="none" w:sz="0" w:space="0" w:color="auto"/>
        <w:left w:val="none" w:sz="0" w:space="0" w:color="auto"/>
        <w:bottom w:val="none" w:sz="0" w:space="0" w:color="auto"/>
        <w:right w:val="none" w:sz="0" w:space="0" w:color="auto"/>
      </w:divBdr>
    </w:div>
    <w:div w:id="1150054867">
      <w:marLeft w:val="0"/>
      <w:marRight w:val="0"/>
      <w:marTop w:val="0"/>
      <w:marBottom w:val="100"/>
      <w:divBdr>
        <w:top w:val="none" w:sz="0" w:space="0" w:color="auto"/>
        <w:left w:val="none" w:sz="0" w:space="0" w:color="auto"/>
        <w:bottom w:val="none" w:sz="0" w:space="0" w:color="auto"/>
        <w:right w:val="none" w:sz="0" w:space="0" w:color="auto"/>
      </w:divBdr>
    </w:div>
    <w:div w:id="1150563689">
      <w:marLeft w:val="0"/>
      <w:marRight w:val="0"/>
      <w:marTop w:val="0"/>
      <w:marBottom w:val="0"/>
      <w:divBdr>
        <w:top w:val="none" w:sz="0" w:space="0" w:color="auto"/>
        <w:left w:val="none" w:sz="0" w:space="0" w:color="auto"/>
        <w:bottom w:val="none" w:sz="0" w:space="0" w:color="auto"/>
        <w:right w:val="none" w:sz="0" w:space="0" w:color="auto"/>
      </w:divBdr>
      <w:divsChild>
        <w:div w:id="960958423">
          <w:marLeft w:val="0"/>
          <w:marRight w:val="0"/>
          <w:marTop w:val="0"/>
          <w:marBottom w:val="100"/>
          <w:divBdr>
            <w:top w:val="none" w:sz="0" w:space="0" w:color="auto"/>
            <w:left w:val="none" w:sz="0" w:space="0" w:color="auto"/>
            <w:bottom w:val="none" w:sz="0" w:space="0" w:color="auto"/>
            <w:right w:val="none" w:sz="0" w:space="0" w:color="auto"/>
          </w:divBdr>
        </w:div>
      </w:divsChild>
    </w:div>
    <w:div w:id="1156262812">
      <w:marLeft w:val="0"/>
      <w:marRight w:val="0"/>
      <w:marTop w:val="180"/>
      <w:marBottom w:val="0"/>
      <w:divBdr>
        <w:top w:val="none" w:sz="0" w:space="0" w:color="auto"/>
        <w:left w:val="none" w:sz="0" w:space="0" w:color="auto"/>
        <w:bottom w:val="none" w:sz="0" w:space="0" w:color="auto"/>
        <w:right w:val="none" w:sz="0" w:space="0" w:color="auto"/>
      </w:divBdr>
    </w:div>
    <w:div w:id="1158495348">
      <w:marLeft w:val="0"/>
      <w:marRight w:val="0"/>
      <w:marTop w:val="0"/>
      <w:marBottom w:val="0"/>
      <w:divBdr>
        <w:top w:val="none" w:sz="0" w:space="0" w:color="auto"/>
        <w:left w:val="none" w:sz="0" w:space="0" w:color="auto"/>
        <w:bottom w:val="none" w:sz="0" w:space="0" w:color="auto"/>
        <w:right w:val="none" w:sz="0" w:space="0" w:color="auto"/>
      </w:divBdr>
    </w:div>
    <w:div w:id="1158768796">
      <w:marLeft w:val="0"/>
      <w:marRight w:val="0"/>
      <w:marTop w:val="100"/>
      <w:marBottom w:val="100"/>
      <w:divBdr>
        <w:top w:val="none" w:sz="0" w:space="0" w:color="auto"/>
        <w:left w:val="none" w:sz="0" w:space="0" w:color="auto"/>
        <w:bottom w:val="none" w:sz="0" w:space="0" w:color="auto"/>
        <w:right w:val="none" w:sz="0" w:space="0" w:color="auto"/>
      </w:divBdr>
    </w:div>
    <w:div w:id="1159148758">
      <w:marLeft w:val="0"/>
      <w:marRight w:val="0"/>
      <w:marTop w:val="100"/>
      <w:marBottom w:val="100"/>
      <w:divBdr>
        <w:top w:val="none" w:sz="0" w:space="0" w:color="auto"/>
        <w:left w:val="none" w:sz="0" w:space="0" w:color="auto"/>
        <w:bottom w:val="none" w:sz="0" w:space="0" w:color="auto"/>
        <w:right w:val="none" w:sz="0" w:space="0" w:color="auto"/>
      </w:divBdr>
    </w:div>
    <w:div w:id="1159271972">
      <w:marLeft w:val="0"/>
      <w:marRight w:val="0"/>
      <w:marTop w:val="100"/>
      <w:marBottom w:val="100"/>
      <w:divBdr>
        <w:top w:val="none" w:sz="0" w:space="0" w:color="auto"/>
        <w:left w:val="none" w:sz="0" w:space="0" w:color="auto"/>
        <w:bottom w:val="none" w:sz="0" w:space="0" w:color="auto"/>
        <w:right w:val="none" w:sz="0" w:space="0" w:color="auto"/>
      </w:divBdr>
    </w:div>
    <w:div w:id="1161585869">
      <w:marLeft w:val="0"/>
      <w:marRight w:val="0"/>
      <w:marTop w:val="100"/>
      <w:marBottom w:val="100"/>
      <w:divBdr>
        <w:top w:val="none" w:sz="0" w:space="0" w:color="auto"/>
        <w:left w:val="none" w:sz="0" w:space="0" w:color="auto"/>
        <w:bottom w:val="none" w:sz="0" w:space="0" w:color="auto"/>
        <w:right w:val="none" w:sz="0" w:space="0" w:color="auto"/>
      </w:divBdr>
    </w:div>
    <w:div w:id="1164664274">
      <w:marLeft w:val="0"/>
      <w:marRight w:val="0"/>
      <w:marTop w:val="0"/>
      <w:marBottom w:val="0"/>
      <w:divBdr>
        <w:top w:val="none" w:sz="0" w:space="0" w:color="auto"/>
        <w:left w:val="none" w:sz="0" w:space="0" w:color="auto"/>
        <w:bottom w:val="none" w:sz="0" w:space="0" w:color="auto"/>
        <w:right w:val="none" w:sz="0" w:space="0" w:color="auto"/>
      </w:divBdr>
    </w:div>
    <w:div w:id="1164780987">
      <w:marLeft w:val="0"/>
      <w:marRight w:val="0"/>
      <w:marTop w:val="0"/>
      <w:marBottom w:val="0"/>
      <w:divBdr>
        <w:top w:val="none" w:sz="0" w:space="0" w:color="auto"/>
        <w:left w:val="none" w:sz="0" w:space="0" w:color="auto"/>
        <w:bottom w:val="none" w:sz="0" w:space="0" w:color="auto"/>
        <w:right w:val="none" w:sz="0" w:space="0" w:color="auto"/>
      </w:divBdr>
      <w:divsChild>
        <w:div w:id="173501326">
          <w:marLeft w:val="0"/>
          <w:marRight w:val="0"/>
          <w:marTop w:val="0"/>
          <w:marBottom w:val="100"/>
          <w:divBdr>
            <w:top w:val="none" w:sz="0" w:space="0" w:color="auto"/>
            <w:left w:val="none" w:sz="0" w:space="0" w:color="auto"/>
            <w:bottom w:val="none" w:sz="0" w:space="0" w:color="auto"/>
            <w:right w:val="none" w:sz="0" w:space="0" w:color="auto"/>
          </w:divBdr>
        </w:div>
      </w:divsChild>
    </w:div>
    <w:div w:id="1164857540">
      <w:marLeft w:val="0"/>
      <w:marRight w:val="0"/>
      <w:marTop w:val="100"/>
      <w:marBottom w:val="100"/>
      <w:divBdr>
        <w:top w:val="none" w:sz="0" w:space="0" w:color="auto"/>
        <w:left w:val="none" w:sz="0" w:space="0" w:color="auto"/>
        <w:bottom w:val="none" w:sz="0" w:space="0" w:color="auto"/>
        <w:right w:val="none" w:sz="0" w:space="0" w:color="auto"/>
      </w:divBdr>
    </w:div>
    <w:div w:id="1165778266">
      <w:marLeft w:val="0"/>
      <w:marRight w:val="0"/>
      <w:marTop w:val="180"/>
      <w:marBottom w:val="100"/>
      <w:divBdr>
        <w:top w:val="none" w:sz="0" w:space="0" w:color="auto"/>
        <w:left w:val="none" w:sz="0" w:space="0" w:color="auto"/>
        <w:bottom w:val="none" w:sz="0" w:space="0" w:color="auto"/>
        <w:right w:val="none" w:sz="0" w:space="0" w:color="auto"/>
      </w:divBdr>
    </w:div>
    <w:div w:id="1167139169">
      <w:marLeft w:val="0"/>
      <w:marRight w:val="0"/>
      <w:marTop w:val="100"/>
      <w:marBottom w:val="100"/>
      <w:divBdr>
        <w:top w:val="none" w:sz="0" w:space="0" w:color="auto"/>
        <w:left w:val="none" w:sz="0" w:space="0" w:color="auto"/>
        <w:bottom w:val="none" w:sz="0" w:space="0" w:color="auto"/>
        <w:right w:val="none" w:sz="0" w:space="0" w:color="auto"/>
      </w:divBdr>
    </w:div>
    <w:div w:id="1167744983">
      <w:marLeft w:val="0"/>
      <w:marRight w:val="0"/>
      <w:marTop w:val="0"/>
      <w:marBottom w:val="100"/>
      <w:divBdr>
        <w:top w:val="none" w:sz="0" w:space="0" w:color="auto"/>
        <w:left w:val="none" w:sz="0" w:space="0" w:color="auto"/>
        <w:bottom w:val="none" w:sz="0" w:space="0" w:color="auto"/>
        <w:right w:val="none" w:sz="0" w:space="0" w:color="auto"/>
      </w:divBdr>
    </w:div>
    <w:div w:id="1169909727">
      <w:marLeft w:val="0"/>
      <w:marRight w:val="0"/>
      <w:marTop w:val="0"/>
      <w:marBottom w:val="100"/>
      <w:divBdr>
        <w:top w:val="none" w:sz="0" w:space="0" w:color="auto"/>
        <w:left w:val="none" w:sz="0" w:space="0" w:color="auto"/>
        <w:bottom w:val="none" w:sz="0" w:space="0" w:color="auto"/>
        <w:right w:val="none" w:sz="0" w:space="0" w:color="auto"/>
      </w:divBdr>
    </w:div>
    <w:div w:id="1170561353">
      <w:marLeft w:val="0"/>
      <w:marRight w:val="0"/>
      <w:marTop w:val="100"/>
      <w:marBottom w:val="100"/>
      <w:divBdr>
        <w:top w:val="none" w:sz="0" w:space="0" w:color="auto"/>
        <w:left w:val="none" w:sz="0" w:space="0" w:color="auto"/>
        <w:bottom w:val="none" w:sz="0" w:space="0" w:color="auto"/>
        <w:right w:val="none" w:sz="0" w:space="0" w:color="auto"/>
      </w:divBdr>
    </w:div>
    <w:div w:id="1172570975">
      <w:marLeft w:val="0"/>
      <w:marRight w:val="0"/>
      <w:marTop w:val="0"/>
      <w:marBottom w:val="0"/>
      <w:divBdr>
        <w:top w:val="none" w:sz="0" w:space="0" w:color="auto"/>
        <w:left w:val="none" w:sz="0" w:space="0" w:color="auto"/>
        <w:bottom w:val="none" w:sz="0" w:space="0" w:color="auto"/>
        <w:right w:val="none" w:sz="0" w:space="0" w:color="auto"/>
      </w:divBdr>
      <w:divsChild>
        <w:div w:id="18246048">
          <w:marLeft w:val="0"/>
          <w:marRight w:val="0"/>
          <w:marTop w:val="0"/>
          <w:marBottom w:val="0"/>
          <w:divBdr>
            <w:top w:val="none" w:sz="0" w:space="0" w:color="auto"/>
            <w:left w:val="none" w:sz="0" w:space="0" w:color="auto"/>
            <w:bottom w:val="none" w:sz="0" w:space="0" w:color="auto"/>
            <w:right w:val="none" w:sz="0" w:space="0" w:color="auto"/>
          </w:divBdr>
          <w:divsChild>
            <w:div w:id="104622179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73761833">
      <w:marLeft w:val="0"/>
      <w:marRight w:val="0"/>
      <w:marTop w:val="180"/>
      <w:marBottom w:val="100"/>
      <w:divBdr>
        <w:top w:val="none" w:sz="0" w:space="0" w:color="auto"/>
        <w:left w:val="none" w:sz="0" w:space="0" w:color="auto"/>
        <w:bottom w:val="none" w:sz="0" w:space="0" w:color="auto"/>
        <w:right w:val="none" w:sz="0" w:space="0" w:color="auto"/>
      </w:divBdr>
    </w:div>
    <w:div w:id="1174150796">
      <w:marLeft w:val="0"/>
      <w:marRight w:val="0"/>
      <w:marTop w:val="0"/>
      <w:marBottom w:val="100"/>
      <w:divBdr>
        <w:top w:val="none" w:sz="0" w:space="0" w:color="auto"/>
        <w:left w:val="none" w:sz="0" w:space="0" w:color="auto"/>
        <w:bottom w:val="none" w:sz="0" w:space="0" w:color="auto"/>
        <w:right w:val="none" w:sz="0" w:space="0" w:color="auto"/>
      </w:divBdr>
    </w:div>
    <w:div w:id="1174151432">
      <w:marLeft w:val="0"/>
      <w:marRight w:val="0"/>
      <w:marTop w:val="0"/>
      <w:marBottom w:val="0"/>
      <w:divBdr>
        <w:top w:val="none" w:sz="0" w:space="0" w:color="auto"/>
        <w:left w:val="none" w:sz="0" w:space="0" w:color="auto"/>
        <w:bottom w:val="none" w:sz="0" w:space="0" w:color="auto"/>
        <w:right w:val="none" w:sz="0" w:space="0" w:color="auto"/>
      </w:divBdr>
      <w:divsChild>
        <w:div w:id="817965571">
          <w:marLeft w:val="0"/>
          <w:marRight w:val="0"/>
          <w:marTop w:val="0"/>
          <w:marBottom w:val="100"/>
          <w:divBdr>
            <w:top w:val="none" w:sz="0" w:space="0" w:color="auto"/>
            <w:left w:val="none" w:sz="0" w:space="0" w:color="auto"/>
            <w:bottom w:val="none" w:sz="0" w:space="0" w:color="auto"/>
            <w:right w:val="none" w:sz="0" w:space="0" w:color="auto"/>
          </w:divBdr>
        </w:div>
      </w:divsChild>
    </w:div>
    <w:div w:id="1174806442">
      <w:marLeft w:val="0"/>
      <w:marRight w:val="0"/>
      <w:marTop w:val="180"/>
      <w:marBottom w:val="100"/>
      <w:divBdr>
        <w:top w:val="none" w:sz="0" w:space="0" w:color="auto"/>
        <w:left w:val="none" w:sz="0" w:space="0" w:color="auto"/>
        <w:bottom w:val="none" w:sz="0" w:space="0" w:color="auto"/>
        <w:right w:val="none" w:sz="0" w:space="0" w:color="auto"/>
      </w:divBdr>
    </w:div>
    <w:div w:id="1176118014">
      <w:marLeft w:val="0"/>
      <w:marRight w:val="0"/>
      <w:marTop w:val="0"/>
      <w:marBottom w:val="0"/>
      <w:divBdr>
        <w:top w:val="none" w:sz="0" w:space="0" w:color="auto"/>
        <w:left w:val="none" w:sz="0" w:space="0" w:color="auto"/>
        <w:bottom w:val="none" w:sz="0" w:space="0" w:color="auto"/>
        <w:right w:val="none" w:sz="0" w:space="0" w:color="auto"/>
      </w:divBdr>
    </w:div>
    <w:div w:id="1179077083">
      <w:marLeft w:val="0"/>
      <w:marRight w:val="0"/>
      <w:marTop w:val="0"/>
      <w:marBottom w:val="0"/>
      <w:divBdr>
        <w:top w:val="none" w:sz="0" w:space="0" w:color="auto"/>
        <w:left w:val="none" w:sz="0" w:space="0" w:color="auto"/>
        <w:bottom w:val="none" w:sz="0" w:space="0" w:color="auto"/>
        <w:right w:val="none" w:sz="0" w:space="0" w:color="auto"/>
      </w:divBdr>
      <w:divsChild>
        <w:div w:id="150021148">
          <w:marLeft w:val="0"/>
          <w:marRight w:val="0"/>
          <w:marTop w:val="0"/>
          <w:marBottom w:val="0"/>
          <w:divBdr>
            <w:top w:val="none" w:sz="0" w:space="0" w:color="auto"/>
            <w:left w:val="none" w:sz="0" w:space="0" w:color="auto"/>
            <w:bottom w:val="none" w:sz="0" w:space="0" w:color="auto"/>
            <w:right w:val="none" w:sz="0" w:space="0" w:color="auto"/>
          </w:divBdr>
          <w:divsChild>
            <w:div w:id="131275660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80657189">
      <w:marLeft w:val="0"/>
      <w:marRight w:val="0"/>
      <w:marTop w:val="180"/>
      <w:marBottom w:val="0"/>
      <w:divBdr>
        <w:top w:val="none" w:sz="0" w:space="0" w:color="auto"/>
        <w:left w:val="none" w:sz="0" w:space="0" w:color="auto"/>
        <w:bottom w:val="none" w:sz="0" w:space="0" w:color="auto"/>
        <w:right w:val="none" w:sz="0" w:space="0" w:color="auto"/>
      </w:divBdr>
    </w:div>
    <w:div w:id="1180705252">
      <w:marLeft w:val="0"/>
      <w:marRight w:val="0"/>
      <w:marTop w:val="100"/>
      <w:marBottom w:val="100"/>
      <w:divBdr>
        <w:top w:val="none" w:sz="0" w:space="0" w:color="auto"/>
        <w:left w:val="none" w:sz="0" w:space="0" w:color="auto"/>
        <w:bottom w:val="none" w:sz="0" w:space="0" w:color="auto"/>
        <w:right w:val="none" w:sz="0" w:space="0" w:color="auto"/>
      </w:divBdr>
    </w:div>
    <w:div w:id="1181234195">
      <w:marLeft w:val="0"/>
      <w:marRight w:val="0"/>
      <w:marTop w:val="0"/>
      <w:marBottom w:val="100"/>
      <w:divBdr>
        <w:top w:val="none" w:sz="0" w:space="0" w:color="auto"/>
        <w:left w:val="none" w:sz="0" w:space="0" w:color="auto"/>
        <w:bottom w:val="none" w:sz="0" w:space="0" w:color="auto"/>
        <w:right w:val="none" w:sz="0" w:space="0" w:color="auto"/>
      </w:divBdr>
    </w:div>
    <w:div w:id="1181317960">
      <w:marLeft w:val="0"/>
      <w:marRight w:val="0"/>
      <w:marTop w:val="100"/>
      <w:marBottom w:val="0"/>
      <w:divBdr>
        <w:top w:val="none" w:sz="0" w:space="0" w:color="auto"/>
        <w:left w:val="none" w:sz="0" w:space="0" w:color="auto"/>
        <w:bottom w:val="none" w:sz="0" w:space="0" w:color="auto"/>
        <w:right w:val="none" w:sz="0" w:space="0" w:color="auto"/>
      </w:divBdr>
    </w:div>
    <w:div w:id="1181821637">
      <w:marLeft w:val="0"/>
      <w:marRight w:val="0"/>
      <w:marTop w:val="0"/>
      <w:marBottom w:val="0"/>
      <w:divBdr>
        <w:top w:val="none" w:sz="0" w:space="0" w:color="auto"/>
        <w:left w:val="none" w:sz="0" w:space="0" w:color="auto"/>
        <w:bottom w:val="none" w:sz="0" w:space="0" w:color="auto"/>
        <w:right w:val="none" w:sz="0" w:space="0" w:color="auto"/>
      </w:divBdr>
      <w:divsChild>
        <w:div w:id="1854295427">
          <w:marLeft w:val="0"/>
          <w:marRight w:val="0"/>
          <w:marTop w:val="0"/>
          <w:marBottom w:val="100"/>
          <w:divBdr>
            <w:top w:val="none" w:sz="0" w:space="0" w:color="auto"/>
            <w:left w:val="none" w:sz="0" w:space="0" w:color="auto"/>
            <w:bottom w:val="none" w:sz="0" w:space="0" w:color="auto"/>
            <w:right w:val="none" w:sz="0" w:space="0" w:color="auto"/>
          </w:divBdr>
        </w:div>
      </w:divsChild>
    </w:div>
    <w:div w:id="1182473214">
      <w:marLeft w:val="0"/>
      <w:marRight w:val="0"/>
      <w:marTop w:val="0"/>
      <w:marBottom w:val="0"/>
      <w:divBdr>
        <w:top w:val="none" w:sz="0" w:space="0" w:color="auto"/>
        <w:left w:val="none" w:sz="0" w:space="0" w:color="auto"/>
        <w:bottom w:val="none" w:sz="0" w:space="0" w:color="auto"/>
        <w:right w:val="none" w:sz="0" w:space="0" w:color="auto"/>
      </w:divBdr>
    </w:div>
    <w:div w:id="1182933829">
      <w:marLeft w:val="0"/>
      <w:marRight w:val="0"/>
      <w:marTop w:val="0"/>
      <w:marBottom w:val="0"/>
      <w:divBdr>
        <w:top w:val="none" w:sz="0" w:space="0" w:color="auto"/>
        <w:left w:val="none" w:sz="0" w:space="0" w:color="auto"/>
        <w:bottom w:val="none" w:sz="0" w:space="0" w:color="auto"/>
        <w:right w:val="none" w:sz="0" w:space="0" w:color="auto"/>
      </w:divBdr>
      <w:divsChild>
        <w:div w:id="1686394931">
          <w:marLeft w:val="0"/>
          <w:marRight w:val="0"/>
          <w:marTop w:val="0"/>
          <w:marBottom w:val="100"/>
          <w:divBdr>
            <w:top w:val="none" w:sz="0" w:space="0" w:color="auto"/>
            <w:left w:val="none" w:sz="0" w:space="0" w:color="auto"/>
            <w:bottom w:val="none" w:sz="0" w:space="0" w:color="auto"/>
            <w:right w:val="none" w:sz="0" w:space="0" w:color="auto"/>
          </w:divBdr>
        </w:div>
      </w:divsChild>
    </w:div>
    <w:div w:id="1184245731">
      <w:marLeft w:val="0"/>
      <w:marRight w:val="0"/>
      <w:marTop w:val="100"/>
      <w:marBottom w:val="100"/>
      <w:divBdr>
        <w:top w:val="none" w:sz="0" w:space="0" w:color="auto"/>
        <w:left w:val="none" w:sz="0" w:space="0" w:color="auto"/>
        <w:bottom w:val="none" w:sz="0" w:space="0" w:color="auto"/>
        <w:right w:val="none" w:sz="0" w:space="0" w:color="auto"/>
      </w:divBdr>
    </w:div>
    <w:div w:id="1186792176">
      <w:marLeft w:val="0"/>
      <w:marRight w:val="0"/>
      <w:marTop w:val="0"/>
      <w:marBottom w:val="0"/>
      <w:divBdr>
        <w:top w:val="none" w:sz="0" w:space="0" w:color="auto"/>
        <w:left w:val="none" w:sz="0" w:space="0" w:color="auto"/>
        <w:bottom w:val="none" w:sz="0" w:space="0" w:color="auto"/>
        <w:right w:val="none" w:sz="0" w:space="0" w:color="auto"/>
      </w:divBdr>
    </w:div>
    <w:div w:id="1186794174">
      <w:marLeft w:val="0"/>
      <w:marRight w:val="0"/>
      <w:marTop w:val="100"/>
      <w:marBottom w:val="100"/>
      <w:divBdr>
        <w:top w:val="none" w:sz="0" w:space="0" w:color="auto"/>
        <w:left w:val="none" w:sz="0" w:space="0" w:color="auto"/>
        <w:bottom w:val="none" w:sz="0" w:space="0" w:color="auto"/>
        <w:right w:val="none" w:sz="0" w:space="0" w:color="auto"/>
      </w:divBdr>
    </w:div>
    <w:div w:id="1186943955">
      <w:marLeft w:val="0"/>
      <w:marRight w:val="0"/>
      <w:marTop w:val="0"/>
      <w:marBottom w:val="0"/>
      <w:divBdr>
        <w:top w:val="none" w:sz="0" w:space="0" w:color="auto"/>
        <w:left w:val="none" w:sz="0" w:space="0" w:color="auto"/>
        <w:bottom w:val="none" w:sz="0" w:space="0" w:color="auto"/>
        <w:right w:val="none" w:sz="0" w:space="0" w:color="auto"/>
      </w:divBdr>
    </w:div>
    <w:div w:id="1187134790">
      <w:marLeft w:val="0"/>
      <w:marRight w:val="0"/>
      <w:marTop w:val="0"/>
      <w:marBottom w:val="100"/>
      <w:divBdr>
        <w:top w:val="none" w:sz="0" w:space="0" w:color="auto"/>
        <w:left w:val="none" w:sz="0" w:space="0" w:color="auto"/>
        <w:bottom w:val="none" w:sz="0" w:space="0" w:color="auto"/>
        <w:right w:val="none" w:sz="0" w:space="0" w:color="auto"/>
      </w:divBdr>
    </w:div>
    <w:div w:id="1187796620">
      <w:marLeft w:val="0"/>
      <w:marRight w:val="0"/>
      <w:marTop w:val="0"/>
      <w:marBottom w:val="0"/>
      <w:divBdr>
        <w:top w:val="none" w:sz="0" w:space="0" w:color="auto"/>
        <w:left w:val="none" w:sz="0" w:space="0" w:color="auto"/>
        <w:bottom w:val="none" w:sz="0" w:space="0" w:color="auto"/>
        <w:right w:val="none" w:sz="0" w:space="0" w:color="auto"/>
      </w:divBdr>
      <w:divsChild>
        <w:div w:id="12072262">
          <w:marLeft w:val="0"/>
          <w:marRight w:val="0"/>
          <w:marTop w:val="0"/>
          <w:marBottom w:val="0"/>
          <w:divBdr>
            <w:top w:val="none" w:sz="0" w:space="0" w:color="auto"/>
            <w:left w:val="none" w:sz="0" w:space="0" w:color="auto"/>
            <w:bottom w:val="none" w:sz="0" w:space="0" w:color="auto"/>
            <w:right w:val="none" w:sz="0" w:space="0" w:color="auto"/>
          </w:divBdr>
          <w:divsChild>
            <w:div w:id="130981947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87907619">
      <w:marLeft w:val="0"/>
      <w:marRight w:val="0"/>
      <w:marTop w:val="0"/>
      <w:marBottom w:val="0"/>
      <w:divBdr>
        <w:top w:val="none" w:sz="0" w:space="0" w:color="auto"/>
        <w:left w:val="none" w:sz="0" w:space="0" w:color="auto"/>
        <w:bottom w:val="none" w:sz="0" w:space="0" w:color="auto"/>
        <w:right w:val="none" w:sz="0" w:space="0" w:color="auto"/>
      </w:divBdr>
    </w:div>
    <w:div w:id="1189028677">
      <w:marLeft w:val="0"/>
      <w:marRight w:val="0"/>
      <w:marTop w:val="0"/>
      <w:marBottom w:val="100"/>
      <w:divBdr>
        <w:top w:val="none" w:sz="0" w:space="0" w:color="auto"/>
        <w:left w:val="none" w:sz="0" w:space="0" w:color="auto"/>
        <w:bottom w:val="none" w:sz="0" w:space="0" w:color="auto"/>
        <w:right w:val="none" w:sz="0" w:space="0" w:color="auto"/>
      </w:divBdr>
    </w:div>
    <w:div w:id="1190296478">
      <w:marLeft w:val="0"/>
      <w:marRight w:val="0"/>
      <w:marTop w:val="0"/>
      <w:marBottom w:val="0"/>
      <w:divBdr>
        <w:top w:val="none" w:sz="0" w:space="0" w:color="auto"/>
        <w:left w:val="none" w:sz="0" w:space="0" w:color="auto"/>
        <w:bottom w:val="none" w:sz="0" w:space="0" w:color="auto"/>
        <w:right w:val="none" w:sz="0" w:space="0" w:color="auto"/>
      </w:divBdr>
      <w:divsChild>
        <w:div w:id="751585654">
          <w:marLeft w:val="0"/>
          <w:marRight w:val="0"/>
          <w:marTop w:val="0"/>
          <w:marBottom w:val="0"/>
          <w:divBdr>
            <w:top w:val="none" w:sz="0" w:space="0" w:color="auto"/>
            <w:left w:val="none" w:sz="0" w:space="0" w:color="auto"/>
            <w:bottom w:val="none" w:sz="0" w:space="0" w:color="auto"/>
            <w:right w:val="none" w:sz="0" w:space="0" w:color="auto"/>
          </w:divBdr>
          <w:divsChild>
            <w:div w:id="7819945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90988758">
      <w:marLeft w:val="0"/>
      <w:marRight w:val="0"/>
      <w:marTop w:val="0"/>
      <w:marBottom w:val="0"/>
      <w:divBdr>
        <w:top w:val="none" w:sz="0" w:space="0" w:color="auto"/>
        <w:left w:val="none" w:sz="0" w:space="0" w:color="auto"/>
        <w:bottom w:val="none" w:sz="0" w:space="0" w:color="auto"/>
        <w:right w:val="none" w:sz="0" w:space="0" w:color="auto"/>
      </w:divBdr>
      <w:divsChild>
        <w:div w:id="751897165">
          <w:marLeft w:val="0"/>
          <w:marRight w:val="0"/>
          <w:marTop w:val="0"/>
          <w:marBottom w:val="100"/>
          <w:divBdr>
            <w:top w:val="none" w:sz="0" w:space="0" w:color="auto"/>
            <w:left w:val="none" w:sz="0" w:space="0" w:color="auto"/>
            <w:bottom w:val="none" w:sz="0" w:space="0" w:color="auto"/>
            <w:right w:val="none" w:sz="0" w:space="0" w:color="auto"/>
          </w:divBdr>
        </w:div>
      </w:divsChild>
    </w:div>
    <w:div w:id="1191451070">
      <w:marLeft w:val="0"/>
      <w:marRight w:val="0"/>
      <w:marTop w:val="180"/>
      <w:marBottom w:val="0"/>
      <w:divBdr>
        <w:top w:val="none" w:sz="0" w:space="0" w:color="auto"/>
        <w:left w:val="none" w:sz="0" w:space="0" w:color="auto"/>
        <w:bottom w:val="none" w:sz="0" w:space="0" w:color="auto"/>
        <w:right w:val="none" w:sz="0" w:space="0" w:color="auto"/>
      </w:divBdr>
    </w:div>
    <w:div w:id="1191529827">
      <w:marLeft w:val="0"/>
      <w:marRight w:val="0"/>
      <w:marTop w:val="0"/>
      <w:marBottom w:val="0"/>
      <w:divBdr>
        <w:top w:val="none" w:sz="0" w:space="0" w:color="auto"/>
        <w:left w:val="none" w:sz="0" w:space="0" w:color="auto"/>
        <w:bottom w:val="none" w:sz="0" w:space="0" w:color="auto"/>
        <w:right w:val="none" w:sz="0" w:space="0" w:color="auto"/>
      </w:divBdr>
    </w:div>
    <w:div w:id="1191726039">
      <w:marLeft w:val="0"/>
      <w:marRight w:val="0"/>
      <w:marTop w:val="0"/>
      <w:marBottom w:val="100"/>
      <w:divBdr>
        <w:top w:val="none" w:sz="0" w:space="0" w:color="auto"/>
        <w:left w:val="none" w:sz="0" w:space="0" w:color="auto"/>
        <w:bottom w:val="none" w:sz="0" w:space="0" w:color="auto"/>
        <w:right w:val="none" w:sz="0" w:space="0" w:color="auto"/>
      </w:divBdr>
    </w:div>
    <w:div w:id="1191842906">
      <w:marLeft w:val="0"/>
      <w:marRight w:val="0"/>
      <w:marTop w:val="100"/>
      <w:marBottom w:val="0"/>
      <w:divBdr>
        <w:top w:val="none" w:sz="0" w:space="0" w:color="auto"/>
        <w:left w:val="none" w:sz="0" w:space="0" w:color="auto"/>
        <w:bottom w:val="none" w:sz="0" w:space="0" w:color="auto"/>
        <w:right w:val="none" w:sz="0" w:space="0" w:color="auto"/>
      </w:divBdr>
    </w:div>
    <w:div w:id="1192451000">
      <w:marLeft w:val="0"/>
      <w:marRight w:val="0"/>
      <w:marTop w:val="0"/>
      <w:marBottom w:val="100"/>
      <w:divBdr>
        <w:top w:val="none" w:sz="0" w:space="0" w:color="auto"/>
        <w:left w:val="none" w:sz="0" w:space="0" w:color="auto"/>
        <w:bottom w:val="none" w:sz="0" w:space="0" w:color="auto"/>
        <w:right w:val="none" w:sz="0" w:space="0" w:color="auto"/>
      </w:divBdr>
    </w:div>
    <w:div w:id="1193615536">
      <w:marLeft w:val="0"/>
      <w:marRight w:val="0"/>
      <w:marTop w:val="0"/>
      <w:marBottom w:val="100"/>
      <w:divBdr>
        <w:top w:val="none" w:sz="0" w:space="0" w:color="auto"/>
        <w:left w:val="none" w:sz="0" w:space="0" w:color="auto"/>
        <w:bottom w:val="none" w:sz="0" w:space="0" w:color="auto"/>
        <w:right w:val="none" w:sz="0" w:space="0" w:color="auto"/>
      </w:divBdr>
    </w:div>
    <w:div w:id="1193692217">
      <w:marLeft w:val="0"/>
      <w:marRight w:val="0"/>
      <w:marTop w:val="0"/>
      <w:marBottom w:val="0"/>
      <w:divBdr>
        <w:top w:val="none" w:sz="0" w:space="0" w:color="auto"/>
        <w:left w:val="none" w:sz="0" w:space="0" w:color="auto"/>
        <w:bottom w:val="none" w:sz="0" w:space="0" w:color="auto"/>
        <w:right w:val="none" w:sz="0" w:space="0" w:color="auto"/>
      </w:divBdr>
    </w:div>
    <w:div w:id="1194270094">
      <w:marLeft w:val="0"/>
      <w:marRight w:val="0"/>
      <w:marTop w:val="100"/>
      <w:marBottom w:val="0"/>
      <w:divBdr>
        <w:top w:val="none" w:sz="0" w:space="0" w:color="auto"/>
        <w:left w:val="none" w:sz="0" w:space="0" w:color="auto"/>
        <w:bottom w:val="none" w:sz="0" w:space="0" w:color="auto"/>
        <w:right w:val="none" w:sz="0" w:space="0" w:color="auto"/>
      </w:divBdr>
    </w:div>
    <w:div w:id="1194610433">
      <w:marLeft w:val="0"/>
      <w:marRight w:val="0"/>
      <w:marTop w:val="0"/>
      <w:marBottom w:val="0"/>
      <w:divBdr>
        <w:top w:val="none" w:sz="0" w:space="0" w:color="auto"/>
        <w:left w:val="none" w:sz="0" w:space="0" w:color="auto"/>
        <w:bottom w:val="none" w:sz="0" w:space="0" w:color="auto"/>
        <w:right w:val="none" w:sz="0" w:space="0" w:color="auto"/>
      </w:divBdr>
      <w:divsChild>
        <w:div w:id="899049985">
          <w:marLeft w:val="0"/>
          <w:marRight w:val="0"/>
          <w:marTop w:val="0"/>
          <w:marBottom w:val="100"/>
          <w:divBdr>
            <w:top w:val="none" w:sz="0" w:space="0" w:color="auto"/>
            <w:left w:val="none" w:sz="0" w:space="0" w:color="auto"/>
            <w:bottom w:val="none" w:sz="0" w:space="0" w:color="auto"/>
            <w:right w:val="none" w:sz="0" w:space="0" w:color="auto"/>
          </w:divBdr>
        </w:div>
      </w:divsChild>
    </w:div>
    <w:div w:id="1195997168">
      <w:marLeft w:val="0"/>
      <w:marRight w:val="0"/>
      <w:marTop w:val="100"/>
      <w:marBottom w:val="90"/>
      <w:divBdr>
        <w:top w:val="none" w:sz="0" w:space="0" w:color="auto"/>
        <w:left w:val="none" w:sz="0" w:space="0" w:color="auto"/>
        <w:bottom w:val="none" w:sz="0" w:space="0" w:color="auto"/>
        <w:right w:val="none" w:sz="0" w:space="0" w:color="auto"/>
      </w:divBdr>
    </w:div>
    <w:div w:id="1196236628">
      <w:marLeft w:val="0"/>
      <w:marRight w:val="0"/>
      <w:marTop w:val="0"/>
      <w:marBottom w:val="0"/>
      <w:divBdr>
        <w:top w:val="none" w:sz="0" w:space="0" w:color="auto"/>
        <w:left w:val="none" w:sz="0" w:space="0" w:color="auto"/>
        <w:bottom w:val="none" w:sz="0" w:space="0" w:color="auto"/>
        <w:right w:val="none" w:sz="0" w:space="0" w:color="auto"/>
      </w:divBdr>
      <w:divsChild>
        <w:div w:id="1589196285">
          <w:marLeft w:val="0"/>
          <w:marRight w:val="0"/>
          <w:marTop w:val="0"/>
          <w:marBottom w:val="0"/>
          <w:divBdr>
            <w:top w:val="none" w:sz="0" w:space="0" w:color="auto"/>
            <w:left w:val="none" w:sz="0" w:space="0" w:color="auto"/>
            <w:bottom w:val="none" w:sz="0" w:space="0" w:color="auto"/>
            <w:right w:val="none" w:sz="0" w:space="0" w:color="auto"/>
          </w:divBdr>
          <w:divsChild>
            <w:div w:id="53852006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97504894">
      <w:marLeft w:val="0"/>
      <w:marRight w:val="0"/>
      <w:marTop w:val="180"/>
      <w:marBottom w:val="100"/>
      <w:divBdr>
        <w:top w:val="none" w:sz="0" w:space="0" w:color="auto"/>
        <w:left w:val="none" w:sz="0" w:space="0" w:color="auto"/>
        <w:bottom w:val="none" w:sz="0" w:space="0" w:color="auto"/>
        <w:right w:val="none" w:sz="0" w:space="0" w:color="auto"/>
      </w:divBdr>
    </w:div>
    <w:div w:id="1198351169">
      <w:marLeft w:val="0"/>
      <w:marRight w:val="0"/>
      <w:marTop w:val="180"/>
      <w:marBottom w:val="0"/>
      <w:divBdr>
        <w:top w:val="none" w:sz="0" w:space="0" w:color="auto"/>
        <w:left w:val="none" w:sz="0" w:space="0" w:color="auto"/>
        <w:bottom w:val="none" w:sz="0" w:space="0" w:color="auto"/>
        <w:right w:val="none" w:sz="0" w:space="0" w:color="auto"/>
      </w:divBdr>
    </w:div>
    <w:div w:id="1198933624">
      <w:marLeft w:val="0"/>
      <w:marRight w:val="0"/>
      <w:marTop w:val="0"/>
      <w:marBottom w:val="0"/>
      <w:divBdr>
        <w:top w:val="none" w:sz="0" w:space="0" w:color="auto"/>
        <w:left w:val="none" w:sz="0" w:space="0" w:color="auto"/>
        <w:bottom w:val="none" w:sz="0" w:space="0" w:color="auto"/>
        <w:right w:val="none" w:sz="0" w:space="0" w:color="auto"/>
      </w:divBdr>
      <w:divsChild>
        <w:div w:id="116413277">
          <w:marLeft w:val="0"/>
          <w:marRight w:val="0"/>
          <w:marTop w:val="0"/>
          <w:marBottom w:val="0"/>
          <w:divBdr>
            <w:top w:val="none" w:sz="0" w:space="0" w:color="auto"/>
            <w:left w:val="none" w:sz="0" w:space="0" w:color="auto"/>
            <w:bottom w:val="none" w:sz="0" w:space="0" w:color="auto"/>
            <w:right w:val="none" w:sz="0" w:space="0" w:color="auto"/>
          </w:divBdr>
          <w:divsChild>
            <w:div w:id="70132041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01864863">
      <w:marLeft w:val="0"/>
      <w:marRight w:val="0"/>
      <w:marTop w:val="100"/>
      <w:marBottom w:val="100"/>
      <w:divBdr>
        <w:top w:val="none" w:sz="0" w:space="0" w:color="auto"/>
        <w:left w:val="none" w:sz="0" w:space="0" w:color="auto"/>
        <w:bottom w:val="none" w:sz="0" w:space="0" w:color="auto"/>
        <w:right w:val="none" w:sz="0" w:space="0" w:color="auto"/>
      </w:divBdr>
    </w:div>
    <w:div w:id="1204253606">
      <w:marLeft w:val="0"/>
      <w:marRight w:val="0"/>
      <w:marTop w:val="0"/>
      <w:marBottom w:val="0"/>
      <w:divBdr>
        <w:top w:val="none" w:sz="0" w:space="0" w:color="auto"/>
        <w:left w:val="none" w:sz="0" w:space="0" w:color="auto"/>
        <w:bottom w:val="none" w:sz="0" w:space="0" w:color="auto"/>
        <w:right w:val="none" w:sz="0" w:space="0" w:color="auto"/>
      </w:divBdr>
    </w:div>
    <w:div w:id="1204751063">
      <w:marLeft w:val="0"/>
      <w:marRight w:val="0"/>
      <w:marTop w:val="0"/>
      <w:marBottom w:val="0"/>
      <w:divBdr>
        <w:top w:val="none" w:sz="0" w:space="0" w:color="auto"/>
        <w:left w:val="none" w:sz="0" w:space="0" w:color="auto"/>
        <w:bottom w:val="none" w:sz="0" w:space="0" w:color="auto"/>
        <w:right w:val="none" w:sz="0" w:space="0" w:color="auto"/>
      </w:divBdr>
      <w:divsChild>
        <w:div w:id="1094519273">
          <w:marLeft w:val="0"/>
          <w:marRight w:val="0"/>
          <w:marTop w:val="0"/>
          <w:marBottom w:val="0"/>
          <w:divBdr>
            <w:top w:val="none" w:sz="0" w:space="0" w:color="auto"/>
            <w:left w:val="none" w:sz="0" w:space="0" w:color="auto"/>
            <w:bottom w:val="none" w:sz="0" w:space="0" w:color="auto"/>
            <w:right w:val="none" w:sz="0" w:space="0" w:color="auto"/>
          </w:divBdr>
          <w:divsChild>
            <w:div w:id="163375353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07136488">
      <w:marLeft w:val="0"/>
      <w:marRight w:val="0"/>
      <w:marTop w:val="100"/>
      <w:marBottom w:val="100"/>
      <w:divBdr>
        <w:top w:val="none" w:sz="0" w:space="0" w:color="auto"/>
        <w:left w:val="none" w:sz="0" w:space="0" w:color="auto"/>
        <w:bottom w:val="none" w:sz="0" w:space="0" w:color="auto"/>
        <w:right w:val="none" w:sz="0" w:space="0" w:color="auto"/>
      </w:divBdr>
    </w:div>
    <w:div w:id="1208057806">
      <w:marLeft w:val="0"/>
      <w:marRight w:val="0"/>
      <w:marTop w:val="180"/>
      <w:marBottom w:val="100"/>
      <w:divBdr>
        <w:top w:val="none" w:sz="0" w:space="0" w:color="auto"/>
        <w:left w:val="none" w:sz="0" w:space="0" w:color="auto"/>
        <w:bottom w:val="none" w:sz="0" w:space="0" w:color="auto"/>
        <w:right w:val="none" w:sz="0" w:space="0" w:color="auto"/>
      </w:divBdr>
    </w:div>
    <w:div w:id="1210459646">
      <w:marLeft w:val="0"/>
      <w:marRight w:val="0"/>
      <w:marTop w:val="0"/>
      <w:marBottom w:val="0"/>
      <w:divBdr>
        <w:top w:val="none" w:sz="0" w:space="0" w:color="auto"/>
        <w:left w:val="none" w:sz="0" w:space="0" w:color="auto"/>
        <w:bottom w:val="none" w:sz="0" w:space="0" w:color="auto"/>
        <w:right w:val="none" w:sz="0" w:space="0" w:color="auto"/>
      </w:divBdr>
      <w:divsChild>
        <w:div w:id="1732772409">
          <w:marLeft w:val="0"/>
          <w:marRight w:val="0"/>
          <w:marTop w:val="0"/>
          <w:marBottom w:val="0"/>
          <w:divBdr>
            <w:top w:val="none" w:sz="0" w:space="0" w:color="auto"/>
            <w:left w:val="none" w:sz="0" w:space="0" w:color="auto"/>
            <w:bottom w:val="none" w:sz="0" w:space="0" w:color="auto"/>
            <w:right w:val="none" w:sz="0" w:space="0" w:color="auto"/>
          </w:divBdr>
          <w:divsChild>
            <w:div w:id="33969696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11115586">
      <w:marLeft w:val="0"/>
      <w:marRight w:val="0"/>
      <w:marTop w:val="0"/>
      <w:marBottom w:val="0"/>
      <w:divBdr>
        <w:top w:val="none" w:sz="0" w:space="0" w:color="auto"/>
        <w:left w:val="none" w:sz="0" w:space="0" w:color="auto"/>
        <w:bottom w:val="none" w:sz="0" w:space="0" w:color="auto"/>
        <w:right w:val="none" w:sz="0" w:space="0" w:color="auto"/>
      </w:divBdr>
    </w:div>
    <w:div w:id="1212571752">
      <w:marLeft w:val="0"/>
      <w:marRight w:val="0"/>
      <w:marTop w:val="0"/>
      <w:marBottom w:val="0"/>
      <w:divBdr>
        <w:top w:val="none" w:sz="0" w:space="0" w:color="auto"/>
        <w:left w:val="none" w:sz="0" w:space="0" w:color="auto"/>
        <w:bottom w:val="none" w:sz="0" w:space="0" w:color="auto"/>
        <w:right w:val="none" w:sz="0" w:space="0" w:color="auto"/>
      </w:divBdr>
      <w:divsChild>
        <w:div w:id="907811593">
          <w:marLeft w:val="0"/>
          <w:marRight w:val="0"/>
          <w:marTop w:val="0"/>
          <w:marBottom w:val="0"/>
          <w:divBdr>
            <w:top w:val="none" w:sz="0" w:space="0" w:color="auto"/>
            <w:left w:val="none" w:sz="0" w:space="0" w:color="auto"/>
            <w:bottom w:val="none" w:sz="0" w:space="0" w:color="auto"/>
            <w:right w:val="none" w:sz="0" w:space="0" w:color="auto"/>
          </w:divBdr>
          <w:divsChild>
            <w:div w:id="18333753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12762814">
      <w:marLeft w:val="0"/>
      <w:marRight w:val="0"/>
      <w:marTop w:val="0"/>
      <w:marBottom w:val="100"/>
      <w:divBdr>
        <w:top w:val="none" w:sz="0" w:space="0" w:color="auto"/>
        <w:left w:val="none" w:sz="0" w:space="0" w:color="auto"/>
        <w:bottom w:val="none" w:sz="0" w:space="0" w:color="auto"/>
        <w:right w:val="none" w:sz="0" w:space="0" w:color="auto"/>
      </w:divBdr>
      <w:divsChild>
        <w:div w:id="1499661296">
          <w:marLeft w:val="0"/>
          <w:marRight w:val="0"/>
          <w:marTop w:val="0"/>
          <w:marBottom w:val="0"/>
          <w:divBdr>
            <w:top w:val="none" w:sz="0" w:space="0" w:color="auto"/>
            <w:left w:val="none" w:sz="0" w:space="0" w:color="auto"/>
            <w:bottom w:val="none" w:sz="0" w:space="0" w:color="auto"/>
            <w:right w:val="none" w:sz="0" w:space="0" w:color="auto"/>
          </w:divBdr>
        </w:div>
        <w:div w:id="439028400">
          <w:marLeft w:val="0"/>
          <w:marRight w:val="0"/>
          <w:marTop w:val="0"/>
          <w:marBottom w:val="0"/>
          <w:divBdr>
            <w:top w:val="none" w:sz="0" w:space="0" w:color="auto"/>
            <w:left w:val="none" w:sz="0" w:space="0" w:color="auto"/>
            <w:bottom w:val="none" w:sz="0" w:space="0" w:color="auto"/>
            <w:right w:val="none" w:sz="0" w:space="0" w:color="auto"/>
          </w:divBdr>
        </w:div>
        <w:div w:id="2046366074">
          <w:marLeft w:val="0"/>
          <w:marRight w:val="0"/>
          <w:marTop w:val="0"/>
          <w:marBottom w:val="0"/>
          <w:divBdr>
            <w:top w:val="none" w:sz="0" w:space="0" w:color="auto"/>
            <w:left w:val="none" w:sz="0" w:space="0" w:color="auto"/>
            <w:bottom w:val="none" w:sz="0" w:space="0" w:color="auto"/>
            <w:right w:val="none" w:sz="0" w:space="0" w:color="auto"/>
          </w:divBdr>
        </w:div>
        <w:div w:id="343359942">
          <w:marLeft w:val="0"/>
          <w:marRight w:val="0"/>
          <w:marTop w:val="0"/>
          <w:marBottom w:val="0"/>
          <w:divBdr>
            <w:top w:val="none" w:sz="0" w:space="0" w:color="auto"/>
            <w:left w:val="none" w:sz="0" w:space="0" w:color="auto"/>
            <w:bottom w:val="none" w:sz="0" w:space="0" w:color="auto"/>
            <w:right w:val="none" w:sz="0" w:space="0" w:color="auto"/>
          </w:divBdr>
        </w:div>
        <w:div w:id="1460369441">
          <w:marLeft w:val="0"/>
          <w:marRight w:val="0"/>
          <w:marTop w:val="0"/>
          <w:marBottom w:val="0"/>
          <w:divBdr>
            <w:top w:val="none" w:sz="0" w:space="0" w:color="auto"/>
            <w:left w:val="none" w:sz="0" w:space="0" w:color="auto"/>
            <w:bottom w:val="none" w:sz="0" w:space="0" w:color="auto"/>
            <w:right w:val="none" w:sz="0" w:space="0" w:color="auto"/>
          </w:divBdr>
        </w:div>
      </w:divsChild>
    </w:div>
    <w:div w:id="1215193659">
      <w:marLeft w:val="0"/>
      <w:marRight w:val="0"/>
      <w:marTop w:val="100"/>
      <w:marBottom w:val="100"/>
      <w:divBdr>
        <w:top w:val="none" w:sz="0" w:space="0" w:color="auto"/>
        <w:left w:val="none" w:sz="0" w:space="0" w:color="auto"/>
        <w:bottom w:val="none" w:sz="0" w:space="0" w:color="auto"/>
        <w:right w:val="none" w:sz="0" w:space="0" w:color="auto"/>
      </w:divBdr>
    </w:div>
    <w:div w:id="1215653273">
      <w:marLeft w:val="0"/>
      <w:marRight w:val="0"/>
      <w:marTop w:val="180"/>
      <w:marBottom w:val="0"/>
      <w:divBdr>
        <w:top w:val="none" w:sz="0" w:space="0" w:color="auto"/>
        <w:left w:val="none" w:sz="0" w:space="0" w:color="auto"/>
        <w:bottom w:val="none" w:sz="0" w:space="0" w:color="auto"/>
        <w:right w:val="none" w:sz="0" w:space="0" w:color="auto"/>
      </w:divBdr>
    </w:div>
    <w:div w:id="1216239944">
      <w:marLeft w:val="0"/>
      <w:marRight w:val="0"/>
      <w:marTop w:val="100"/>
      <w:marBottom w:val="100"/>
      <w:divBdr>
        <w:top w:val="none" w:sz="0" w:space="0" w:color="auto"/>
        <w:left w:val="none" w:sz="0" w:space="0" w:color="auto"/>
        <w:bottom w:val="none" w:sz="0" w:space="0" w:color="auto"/>
        <w:right w:val="none" w:sz="0" w:space="0" w:color="auto"/>
      </w:divBdr>
    </w:div>
    <w:div w:id="1216619883">
      <w:marLeft w:val="0"/>
      <w:marRight w:val="0"/>
      <w:marTop w:val="180"/>
      <w:marBottom w:val="0"/>
      <w:divBdr>
        <w:top w:val="none" w:sz="0" w:space="0" w:color="auto"/>
        <w:left w:val="none" w:sz="0" w:space="0" w:color="auto"/>
        <w:bottom w:val="none" w:sz="0" w:space="0" w:color="auto"/>
        <w:right w:val="none" w:sz="0" w:space="0" w:color="auto"/>
      </w:divBdr>
    </w:div>
    <w:div w:id="1219323817">
      <w:marLeft w:val="0"/>
      <w:marRight w:val="0"/>
      <w:marTop w:val="0"/>
      <w:marBottom w:val="0"/>
      <w:divBdr>
        <w:top w:val="none" w:sz="0" w:space="0" w:color="auto"/>
        <w:left w:val="none" w:sz="0" w:space="0" w:color="auto"/>
        <w:bottom w:val="none" w:sz="0" w:space="0" w:color="auto"/>
        <w:right w:val="none" w:sz="0" w:space="0" w:color="auto"/>
      </w:divBdr>
      <w:divsChild>
        <w:div w:id="453864044">
          <w:marLeft w:val="0"/>
          <w:marRight w:val="0"/>
          <w:marTop w:val="0"/>
          <w:marBottom w:val="0"/>
          <w:divBdr>
            <w:top w:val="none" w:sz="0" w:space="0" w:color="auto"/>
            <w:left w:val="none" w:sz="0" w:space="0" w:color="auto"/>
            <w:bottom w:val="none" w:sz="0" w:space="0" w:color="auto"/>
            <w:right w:val="none" w:sz="0" w:space="0" w:color="auto"/>
          </w:divBdr>
          <w:divsChild>
            <w:div w:id="1127219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0095752">
      <w:marLeft w:val="0"/>
      <w:marRight w:val="0"/>
      <w:marTop w:val="0"/>
      <w:marBottom w:val="100"/>
      <w:divBdr>
        <w:top w:val="none" w:sz="0" w:space="0" w:color="auto"/>
        <w:left w:val="none" w:sz="0" w:space="0" w:color="auto"/>
        <w:bottom w:val="none" w:sz="0" w:space="0" w:color="auto"/>
        <w:right w:val="none" w:sz="0" w:space="0" w:color="auto"/>
      </w:divBdr>
    </w:div>
    <w:div w:id="1221526370">
      <w:marLeft w:val="0"/>
      <w:marRight w:val="0"/>
      <w:marTop w:val="0"/>
      <w:marBottom w:val="100"/>
      <w:divBdr>
        <w:top w:val="none" w:sz="0" w:space="0" w:color="auto"/>
        <w:left w:val="none" w:sz="0" w:space="0" w:color="auto"/>
        <w:bottom w:val="none" w:sz="0" w:space="0" w:color="auto"/>
        <w:right w:val="none" w:sz="0" w:space="0" w:color="auto"/>
      </w:divBdr>
    </w:div>
    <w:div w:id="1222251853">
      <w:marLeft w:val="0"/>
      <w:marRight w:val="0"/>
      <w:marTop w:val="0"/>
      <w:marBottom w:val="0"/>
      <w:divBdr>
        <w:top w:val="none" w:sz="0" w:space="0" w:color="auto"/>
        <w:left w:val="none" w:sz="0" w:space="0" w:color="auto"/>
        <w:bottom w:val="none" w:sz="0" w:space="0" w:color="auto"/>
        <w:right w:val="none" w:sz="0" w:space="0" w:color="auto"/>
      </w:divBdr>
      <w:divsChild>
        <w:div w:id="473766282">
          <w:marLeft w:val="0"/>
          <w:marRight w:val="0"/>
          <w:marTop w:val="0"/>
          <w:marBottom w:val="0"/>
          <w:divBdr>
            <w:top w:val="none" w:sz="0" w:space="0" w:color="auto"/>
            <w:left w:val="none" w:sz="0" w:space="0" w:color="auto"/>
            <w:bottom w:val="none" w:sz="0" w:space="0" w:color="auto"/>
            <w:right w:val="none" w:sz="0" w:space="0" w:color="auto"/>
          </w:divBdr>
          <w:divsChild>
            <w:div w:id="12809885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2325322">
      <w:marLeft w:val="0"/>
      <w:marRight w:val="0"/>
      <w:marTop w:val="100"/>
      <w:marBottom w:val="100"/>
      <w:divBdr>
        <w:top w:val="none" w:sz="0" w:space="0" w:color="auto"/>
        <w:left w:val="none" w:sz="0" w:space="0" w:color="auto"/>
        <w:bottom w:val="none" w:sz="0" w:space="0" w:color="auto"/>
        <w:right w:val="none" w:sz="0" w:space="0" w:color="auto"/>
      </w:divBdr>
    </w:div>
    <w:div w:id="1223560478">
      <w:marLeft w:val="0"/>
      <w:marRight w:val="0"/>
      <w:marTop w:val="100"/>
      <w:marBottom w:val="100"/>
      <w:divBdr>
        <w:top w:val="none" w:sz="0" w:space="0" w:color="auto"/>
        <w:left w:val="none" w:sz="0" w:space="0" w:color="auto"/>
        <w:bottom w:val="none" w:sz="0" w:space="0" w:color="auto"/>
        <w:right w:val="none" w:sz="0" w:space="0" w:color="auto"/>
      </w:divBdr>
    </w:div>
    <w:div w:id="1223831772">
      <w:marLeft w:val="0"/>
      <w:marRight w:val="0"/>
      <w:marTop w:val="0"/>
      <w:marBottom w:val="0"/>
      <w:divBdr>
        <w:top w:val="none" w:sz="0" w:space="0" w:color="auto"/>
        <w:left w:val="none" w:sz="0" w:space="0" w:color="auto"/>
        <w:bottom w:val="none" w:sz="0" w:space="0" w:color="auto"/>
        <w:right w:val="none" w:sz="0" w:space="0" w:color="auto"/>
      </w:divBdr>
      <w:divsChild>
        <w:div w:id="484245529">
          <w:marLeft w:val="0"/>
          <w:marRight w:val="0"/>
          <w:marTop w:val="0"/>
          <w:marBottom w:val="0"/>
          <w:divBdr>
            <w:top w:val="none" w:sz="0" w:space="0" w:color="auto"/>
            <w:left w:val="none" w:sz="0" w:space="0" w:color="auto"/>
            <w:bottom w:val="none" w:sz="0" w:space="0" w:color="auto"/>
            <w:right w:val="none" w:sz="0" w:space="0" w:color="auto"/>
          </w:divBdr>
          <w:divsChild>
            <w:div w:id="178541636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4414752">
      <w:marLeft w:val="0"/>
      <w:marRight w:val="0"/>
      <w:marTop w:val="100"/>
      <w:marBottom w:val="100"/>
      <w:divBdr>
        <w:top w:val="none" w:sz="0" w:space="0" w:color="auto"/>
        <w:left w:val="none" w:sz="0" w:space="0" w:color="auto"/>
        <w:bottom w:val="none" w:sz="0" w:space="0" w:color="auto"/>
        <w:right w:val="none" w:sz="0" w:space="0" w:color="auto"/>
      </w:divBdr>
    </w:div>
    <w:div w:id="1225330601">
      <w:marLeft w:val="0"/>
      <w:marRight w:val="0"/>
      <w:marTop w:val="100"/>
      <w:marBottom w:val="100"/>
      <w:divBdr>
        <w:top w:val="none" w:sz="0" w:space="0" w:color="auto"/>
        <w:left w:val="none" w:sz="0" w:space="0" w:color="auto"/>
        <w:bottom w:val="none" w:sz="0" w:space="0" w:color="auto"/>
        <w:right w:val="none" w:sz="0" w:space="0" w:color="auto"/>
      </w:divBdr>
    </w:div>
    <w:div w:id="1226261691">
      <w:marLeft w:val="0"/>
      <w:marRight w:val="0"/>
      <w:marTop w:val="0"/>
      <w:marBottom w:val="0"/>
      <w:divBdr>
        <w:top w:val="none" w:sz="0" w:space="0" w:color="auto"/>
        <w:left w:val="none" w:sz="0" w:space="0" w:color="auto"/>
        <w:bottom w:val="none" w:sz="0" w:space="0" w:color="auto"/>
        <w:right w:val="none" w:sz="0" w:space="0" w:color="auto"/>
      </w:divBdr>
    </w:div>
    <w:div w:id="1230385476">
      <w:marLeft w:val="0"/>
      <w:marRight w:val="0"/>
      <w:marTop w:val="0"/>
      <w:marBottom w:val="0"/>
      <w:divBdr>
        <w:top w:val="none" w:sz="0" w:space="0" w:color="auto"/>
        <w:left w:val="none" w:sz="0" w:space="0" w:color="auto"/>
        <w:bottom w:val="none" w:sz="0" w:space="0" w:color="auto"/>
        <w:right w:val="none" w:sz="0" w:space="0" w:color="auto"/>
      </w:divBdr>
    </w:div>
    <w:div w:id="1231041917">
      <w:marLeft w:val="0"/>
      <w:marRight w:val="0"/>
      <w:marTop w:val="200"/>
      <w:marBottom w:val="100"/>
      <w:divBdr>
        <w:top w:val="none" w:sz="0" w:space="0" w:color="auto"/>
        <w:left w:val="none" w:sz="0" w:space="0" w:color="auto"/>
        <w:bottom w:val="none" w:sz="0" w:space="0" w:color="auto"/>
        <w:right w:val="none" w:sz="0" w:space="0" w:color="auto"/>
      </w:divBdr>
      <w:divsChild>
        <w:div w:id="432358893">
          <w:marLeft w:val="0"/>
          <w:marRight w:val="0"/>
          <w:marTop w:val="0"/>
          <w:marBottom w:val="0"/>
          <w:divBdr>
            <w:top w:val="none" w:sz="0" w:space="0" w:color="auto"/>
            <w:left w:val="none" w:sz="0" w:space="0" w:color="auto"/>
            <w:bottom w:val="none" w:sz="0" w:space="0" w:color="auto"/>
            <w:right w:val="none" w:sz="0" w:space="0" w:color="auto"/>
          </w:divBdr>
        </w:div>
        <w:div w:id="806314239">
          <w:marLeft w:val="0"/>
          <w:marRight w:val="0"/>
          <w:marTop w:val="0"/>
          <w:marBottom w:val="0"/>
          <w:divBdr>
            <w:top w:val="none" w:sz="0" w:space="0" w:color="auto"/>
            <w:left w:val="none" w:sz="0" w:space="0" w:color="auto"/>
            <w:bottom w:val="none" w:sz="0" w:space="0" w:color="auto"/>
            <w:right w:val="none" w:sz="0" w:space="0" w:color="auto"/>
          </w:divBdr>
        </w:div>
        <w:div w:id="784496187">
          <w:marLeft w:val="0"/>
          <w:marRight w:val="0"/>
          <w:marTop w:val="0"/>
          <w:marBottom w:val="0"/>
          <w:divBdr>
            <w:top w:val="none" w:sz="0" w:space="0" w:color="auto"/>
            <w:left w:val="none" w:sz="0" w:space="0" w:color="auto"/>
            <w:bottom w:val="none" w:sz="0" w:space="0" w:color="auto"/>
            <w:right w:val="none" w:sz="0" w:space="0" w:color="auto"/>
          </w:divBdr>
        </w:div>
      </w:divsChild>
    </w:div>
    <w:div w:id="1232349054">
      <w:marLeft w:val="0"/>
      <w:marRight w:val="0"/>
      <w:marTop w:val="0"/>
      <w:marBottom w:val="0"/>
      <w:divBdr>
        <w:top w:val="none" w:sz="0" w:space="0" w:color="auto"/>
        <w:left w:val="none" w:sz="0" w:space="0" w:color="auto"/>
        <w:bottom w:val="none" w:sz="0" w:space="0" w:color="auto"/>
        <w:right w:val="none" w:sz="0" w:space="0" w:color="auto"/>
      </w:divBdr>
    </w:div>
    <w:div w:id="1233616209">
      <w:marLeft w:val="0"/>
      <w:marRight w:val="0"/>
      <w:marTop w:val="0"/>
      <w:marBottom w:val="0"/>
      <w:divBdr>
        <w:top w:val="none" w:sz="0" w:space="0" w:color="auto"/>
        <w:left w:val="none" w:sz="0" w:space="0" w:color="auto"/>
        <w:bottom w:val="none" w:sz="0" w:space="0" w:color="auto"/>
        <w:right w:val="none" w:sz="0" w:space="0" w:color="auto"/>
      </w:divBdr>
      <w:divsChild>
        <w:div w:id="929774918">
          <w:marLeft w:val="0"/>
          <w:marRight w:val="0"/>
          <w:marTop w:val="0"/>
          <w:marBottom w:val="0"/>
          <w:divBdr>
            <w:top w:val="none" w:sz="0" w:space="0" w:color="auto"/>
            <w:left w:val="none" w:sz="0" w:space="0" w:color="auto"/>
            <w:bottom w:val="none" w:sz="0" w:space="0" w:color="auto"/>
            <w:right w:val="none" w:sz="0" w:space="0" w:color="auto"/>
          </w:divBdr>
          <w:divsChild>
            <w:div w:id="2017880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35092150">
      <w:marLeft w:val="0"/>
      <w:marRight w:val="0"/>
      <w:marTop w:val="100"/>
      <w:marBottom w:val="100"/>
      <w:divBdr>
        <w:top w:val="none" w:sz="0" w:space="0" w:color="auto"/>
        <w:left w:val="none" w:sz="0" w:space="0" w:color="auto"/>
        <w:bottom w:val="none" w:sz="0" w:space="0" w:color="auto"/>
        <w:right w:val="none" w:sz="0" w:space="0" w:color="auto"/>
      </w:divBdr>
    </w:div>
    <w:div w:id="1237323748">
      <w:marLeft w:val="0"/>
      <w:marRight w:val="0"/>
      <w:marTop w:val="100"/>
      <w:marBottom w:val="100"/>
      <w:divBdr>
        <w:top w:val="none" w:sz="0" w:space="0" w:color="auto"/>
        <w:left w:val="none" w:sz="0" w:space="0" w:color="auto"/>
        <w:bottom w:val="none" w:sz="0" w:space="0" w:color="auto"/>
        <w:right w:val="none" w:sz="0" w:space="0" w:color="auto"/>
      </w:divBdr>
    </w:div>
    <w:div w:id="1239706703">
      <w:marLeft w:val="0"/>
      <w:marRight w:val="0"/>
      <w:marTop w:val="180"/>
      <w:marBottom w:val="100"/>
      <w:divBdr>
        <w:top w:val="none" w:sz="0" w:space="0" w:color="auto"/>
        <w:left w:val="none" w:sz="0" w:space="0" w:color="auto"/>
        <w:bottom w:val="none" w:sz="0" w:space="0" w:color="auto"/>
        <w:right w:val="none" w:sz="0" w:space="0" w:color="auto"/>
      </w:divBdr>
    </w:div>
    <w:div w:id="1240554722">
      <w:marLeft w:val="0"/>
      <w:marRight w:val="0"/>
      <w:marTop w:val="180"/>
      <w:marBottom w:val="0"/>
      <w:divBdr>
        <w:top w:val="none" w:sz="0" w:space="0" w:color="auto"/>
        <w:left w:val="none" w:sz="0" w:space="0" w:color="auto"/>
        <w:bottom w:val="none" w:sz="0" w:space="0" w:color="auto"/>
        <w:right w:val="none" w:sz="0" w:space="0" w:color="auto"/>
      </w:divBdr>
    </w:div>
    <w:div w:id="1241017112">
      <w:marLeft w:val="0"/>
      <w:marRight w:val="0"/>
      <w:marTop w:val="0"/>
      <w:marBottom w:val="0"/>
      <w:divBdr>
        <w:top w:val="none" w:sz="0" w:space="0" w:color="auto"/>
        <w:left w:val="none" w:sz="0" w:space="0" w:color="auto"/>
        <w:bottom w:val="none" w:sz="0" w:space="0" w:color="auto"/>
        <w:right w:val="none" w:sz="0" w:space="0" w:color="auto"/>
      </w:divBdr>
    </w:div>
    <w:div w:id="1241866336">
      <w:marLeft w:val="0"/>
      <w:marRight w:val="0"/>
      <w:marTop w:val="180"/>
      <w:marBottom w:val="0"/>
      <w:divBdr>
        <w:top w:val="none" w:sz="0" w:space="0" w:color="auto"/>
        <w:left w:val="none" w:sz="0" w:space="0" w:color="auto"/>
        <w:bottom w:val="none" w:sz="0" w:space="0" w:color="auto"/>
        <w:right w:val="none" w:sz="0" w:space="0" w:color="auto"/>
      </w:divBdr>
    </w:div>
    <w:div w:id="1243249347">
      <w:marLeft w:val="0"/>
      <w:marRight w:val="0"/>
      <w:marTop w:val="180"/>
      <w:marBottom w:val="0"/>
      <w:divBdr>
        <w:top w:val="none" w:sz="0" w:space="0" w:color="auto"/>
        <w:left w:val="none" w:sz="0" w:space="0" w:color="auto"/>
        <w:bottom w:val="none" w:sz="0" w:space="0" w:color="auto"/>
        <w:right w:val="none" w:sz="0" w:space="0" w:color="auto"/>
      </w:divBdr>
    </w:div>
    <w:div w:id="1245846446">
      <w:marLeft w:val="0"/>
      <w:marRight w:val="0"/>
      <w:marTop w:val="180"/>
      <w:marBottom w:val="0"/>
      <w:divBdr>
        <w:top w:val="none" w:sz="0" w:space="0" w:color="auto"/>
        <w:left w:val="none" w:sz="0" w:space="0" w:color="auto"/>
        <w:bottom w:val="none" w:sz="0" w:space="0" w:color="auto"/>
        <w:right w:val="none" w:sz="0" w:space="0" w:color="auto"/>
      </w:divBdr>
    </w:div>
    <w:div w:id="1246527231">
      <w:marLeft w:val="0"/>
      <w:marRight w:val="0"/>
      <w:marTop w:val="0"/>
      <w:marBottom w:val="0"/>
      <w:divBdr>
        <w:top w:val="none" w:sz="0" w:space="0" w:color="auto"/>
        <w:left w:val="none" w:sz="0" w:space="0" w:color="auto"/>
        <w:bottom w:val="none" w:sz="0" w:space="0" w:color="auto"/>
        <w:right w:val="none" w:sz="0" w:space="0" w:color="auto"/>
      </w:divBdr>
    </w:div>
    <w:div w:id="1247571089">
      <w:marLeft w:val="0"/>
      <w:marRight w:val="0"/>
      <w:marTop w:val="0"/>
      <w:marBottom w:val="0"/>
      <w:divBdr>
        <w:top w:val="none" w:sz="0" w:space="0" w:color="auto"/>
        <w:left w:val="none" w:sz="0" w:space="0" w:color="auto"/>
        <w:bottom w:val="none" w:sz="0" w:space="0" w:color="auto"/>
        <w:right w:val="none" w:sz="0" w:space="0" w:color="auto"/>
      </w:divBdr>
      <w:divsChild>
        <w:div w:id="1750737524">
          <w:marLeft w:val="0"/>
          <w:marRight w:val="0"/>
          <w:marTop w:val="0"/>
          <w:marBottom w:val="0"/>
          <w:divBdr>
            <w:top w:val="none" w:sz="0" w:space="0" w:color="auto"/>
            <w:left w:val="none" w:sz="0" w:space="0" w:color="auto"/>
            <w:bottom w:val="none" w:sz="0" w:space="0" w:color="auto"/>
            <w:right w:val="none" w:sz="0" w:space="0" w:color="auto"/>
          </w:divBdr>
          <w:divsChild>
            <w:div w:id="84397459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48030763">
      <w:marLeft w:val="0"/>
      <w:marRight w:val="0"/>
      <w:marTop w:val="0"/>
      <w:marBottom w:val="100"/>
      <w:divBdr>
        <w:top w:val="none" w:sz="0" w:space="0" w:color="auto"/>
        <w:left w:val="none" w:sz="0" w:space="0" w:color="auto"/>
        <w:bottom w:val="none" w:sz="0" w:space="0" w:color="auto"/>
        <w:right w:val="none" w:sz="0" w:space="0" w:color="auto"/>
      </w:divBdr>
    </w:div>
    <w:div w:id="1248417445">
      <w:marLeft w:val="0"/>
      <w:marRight w:val="0"/>
      <w:marTop w:val="180"/>
      <w:marBottom w:val="100"/>
      <w:divBdr>
        <w:top w:val="none" w:sz="0" w:space="0" w:color="auto"/>
        <w:left w:val="none" w:sz="0" w:space="0" w:color="auto"/>
        <w:bottom w:val="none" w:sz="0" w:space="0" w:color="auto"/>
        <w:right w:val="none" w:sz="0" w:space="0" w:color="auto"/>
      </w:divBdr>
    </w:div>
    <w:div w:id="1248999955">
      <w:marLeft w:val="0"/>
      <w:marRight w:val="0"/>
      <w:marTop w:val="0"/>
      <w:marBottom w:val="0"/>
      <w:divBdr>
        <w:top w:val="none" w:sz="0" w:space="0" w:color="auto"/>
        <w:left w:val="none" w:sz="0" w:space="0" w:color="auto"/>
        <w:bottom w:val="none" w:sz="0" w:space="0" w:color="auto"/>
        <w:right w:val="none" w:sz="0" w:space="0" w:color="auto"/>
      </w:divBdr>
    </w:div>
    <w:div w:id="1249997412">
      <w:marLeft w:val="0"/>
      <w:marRight w:val="0"/>
      <w:marTop w:val="180"/>
      <w:marBottom w:val="100"/>
      <w:divBdr>
        <w:top w:val="none" w:sz="0" w:space="0" w:color="auto"/>
        <w:left w:val="none" w:sz="0" w:space="0" w:color="auto"/>
        <w:bottom w:val="none" w:sz="0" w:space="0" w:color="auto"/>
        <w:right w:val="none" w:sz="0" w:space="0" w:color="auto"/>
      </w:divBdr>
    </w:div>
    <w:div w:id="1249999509">
      <w:marLeft w:val="0"/>
      <w:marRight w:val="0"/>
      <w:marTop w:val="180"/>
      <w:marBottom w:val="0"/>
      <w:divBdr>
        <w:top w:val="none" w:sz="0" w:space="0" w:color="auto"/>
        <w:left w:val="none" w:sz="0" w:space="0" w:color="auto"/>
        <w:bottom w:val="none" w:sz="0" w:space="0" w:color="auto"/>
        <w:right w:val="none" w:sz="0" w:space="0" w:color="auto"/>
      </w:divBdr>
    </w:div>
    <w:div w:id="1251816498">
      <w:marLeft w:val="0"/>
      <w:marRight w:val="0"/>
      <w:marTop w:val="100"/>
      <w:marBottom w:val="0"/>
      <w:divBdr>
        <w:top w:val="none" w:sz="0" w:space="0" w:color="auto"/>
        <w:left w:val="none" w:sz="0" w:space="0" w:color="auto"/>
        <w:bottom w:val="none" w:sz="0" w:space="0" w:color="auto"/>
        <w:right w:val="none" w:sz="0" w:space="0" w:color="auto"/>
      </w:divBdr>
    </w:div>
    <w:div w:id="1252356413">
      <w:marLeft w:val="0"/>
      <w:marRight w:val="0"/>
      <w:marTop w:val="0"/>
      <w:marBottom w:val="0"/>
      <w:divBdr>
        <w:top w:val="none" w:sz="0" w:space="0" w:color="auto"/>
        <w:left w:val="none" w:sz="0" w:space="0" w:color="auto"/>
        <w:bottom w:val="none" w:sz="0" w:space="0" w:color="auto"/>
        <w:right w:val="none" w:sz="0" w:space="0" w:color="auto"/>
      </w:divBdr>
    </w:div>
    <w:div w:id="1252541328">
      <w:marLeft w:val="0"/>
      <w:marRight w:val="0"/>
      <w:marTop w:val="0"/>
      <w:marBottom w:val="100"/>
      <w:divBdr>
        <w:top w:val="none" w:sz="0" w:space="0" w:color="auto"/>
        <w:left w:val="none" w:sz="0" w:space="0" w:color="auto"/>
        <w:bottom w:val="none" w:sz="0" w:space="0" w:color="auto"/>
        <w:right w:val="none" w:sz="0" w:space="0" w:color="auto"/>
      </w:divBdr>
    </w:div>
    <w:div w:id="1254824889">
      <w:marLeft w:val="0"/>
      <w:marRight w:val="0"/>
      <w:marTop w:val="0"/>
      <w:marBottom w:val="0"/>
      <w:divBdr>
        <w:top w:val="none" w:sz="0" w:space="0" w:color="auto"/>
        <w:left w:val="none" w:sz="0" w:space="0" w:color="auto"/>
        <w:bottom w:val="none" w:sz="0" w:space="0" w:color="auto"/>
        <w:right w:val="none" w:sz="0" w:space="0" w:color="auto"/>
      </w:divBdr>
      <w:divsChild>
        <w:div w:id="495270731">
          <w:marLeft w:val="0"/>
          <w:marRight w:val="0"/>
          <w:marTop w:val="0"/>
          <w:marBottom w:val="0"/>
          <w:divBdr>
            <w:top w:val="none" w:sz="0" w:space="0" w:color="auto"/>
            <w:left w:val="none" w:sz="0" w:space="0" w:color="auto"/>
            <w:bottom w:val="none" w:sz="0" w:space="0" w:color="auto"/>
            <w:right w:val="none" w:sz="0" w:space="0" w:color="auto"/>
          </w:divBdr>
          <w:divsChild>
            <w:div w:id="196970128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55360783">
      <w:marLeft w:val="0"/>
      <w:marRight w:val="0"/>
      <w:marTop w:val="0"/>
      <w:marBottom w:val="0"/>
      <w:divBdr>
        <w:top w:val="none" w:sz="0" w:space="0" w:color="auto"/>
        <w:left w:val="none" w:sz="0" w:space="0" w:color="auto"/>
        <w:bottom w:val="none" w:sz="0" w:space="0" w:color="auto"/>
        <w:right w:val="none" w:sz="0" w:space="0" w:color="auto"/>
      </w:divBdr>
      <w:divsChild>
        <w:div w:id="659579205">
          <w:marLeft w:val="0"/>
          <w:marRight w:val="0"/>
          <w:marTop w:val="0"/>
          <w:marBottom w:val="100"/>
          <w:divBdr>
            <w:top w:val="none" w:sz="0" w:space="0" w:color="auto"/>
            <w:left w:val="none" w:sz="0" w:space="0" w:color="auto"/>
            <w:bottom w:val="none" w:sz="0" w:space="0" w:color="auto"/>
            <w:right w:val="none" w:sz="0" w:space="0" w:color="auto"/>
          </w:divBdr>
        </w:div>
      </w:divsChild>
    </w:div>
    <w:div w:id="1260142673">
      <w:marLeft w:val="0"/>
      <w:marRight w:val="0"/>
      <w:marTop w:val="180"/>
      <w:marBottom w:val="0"/>
      <w:divBdr>
        <w:top w:val="none" w:sz="0" w:space="0" w:color="auto"/>
        <w:left w:val="none" w:sz="0" w:space="0" w:color="auto"/>
        <w:bottom w:val="none" w:sz="0" w:space="0" w:color="auto"/>
        <w:right w:val="none" w:sz="0" w:space="0" w:color="auto"/>
      </w:divBdr>
    </w:div>
    <w:div w:id="1260916046">
      <w:marLeft w:val="0"/>
      <w:marRight w:val="0"/>
      <w:marTop w:val="0"/>
      <w:marBottom w:val="0"/>
      <w:divBdr>
        <w:top w:val="none" w:sz="0" w:space="0" w:color="auto"/>
        <w:left w:val="none" w:sz="0" w:space="0" w:color="auto"/>
        <w:bottom w:val="none" w:sz="0" w:space="0" w:color="auto"/>
        <w:right w:val="none" w:sz="0" w:space="0" w:color="auto"/>
      </w:divBdr>
    </w:div>
    <w:div w:id="1261640230">
      <w:marLeft w:val="0"/>
      <w:marRight w:val="0"/>
      <w:marTop w:val="0"/>
      <w:marBottom w:val="0"/>
      <w:divBdr>
        <w:top w:val="none" w:sz="0" w:space="0" w:color="auto"/>
        <w:left w:val="none" w:sz="0" w:space="0" w:color="auto"/>
        <w:bottom w:val="none" w:sz="0" w:space="0" w:color="auto"/>
        <w:right w:val="none" w:sz="0" w:space="0" w:color="auto"/>
      </w:divBdr>
      <w:divsChild>
        <w:div w:id="1733117769">
          <w:marLeft w:val="0"/>
          <w:marRight w:val="0"/>
          <w:marTop w:val="0"/>
          <w:marBottom w:val="100"/>
          <w:divBdr>
            <w:top w:val="none" w:sz="0" w:space="0" w:color="auto"/>
            <w:left w:val="none" w:sz="0" w:space="0" w:color="auto"/>
            <w:bottom w:val="none" w:sz="0" w:space="0" w:color="auto"/>
            <w:right w:val="none" w:sz="0" w:space="0" w:color="auto"/>
          </w:divBdr>
        </w:div>
      </w:divsChild>
    </w:div>
    <w:div w:id="1263760739">
      <w:marLeft w:val="0"/>
      <w:marRight w:val="0"/>
      <w:marTop w:val="100"/>
      <w:marBottom w:val="100"/>
      <w:divBdr>
        <w:top w:val="none" w:sz="0" w:space="0" w:color="auto"/>
        <w:left w:val="none" w:sz="0" w:space="0" w:color="auto"/>
        <w:bottom w:val="none" w:sz="0" w:space="0" w:color="auto"/>
        <w:right w:val="none" w:sz="0" w:space="0" w:color="auto"/>
      </w:divBdr>
    </w:div>
    <w:div w:id="1263996663">
      <w:marLeft w:val="0"/>
      <w:marRight w:val="0"/>
      <w:marTop w:val="180"/>
      <w:marBottom w:val="0"/>
      <w:divBdr>
        <w:top w:val="none" w:sz="0" w:space="0" w:color="auto"/>
        <w:left w:val="none" w:sz="0" w:space="0" w:color="auto"/>
        <w:bottom w:val="none" w:sz="0" w:space="0" w:color="auto"/>
        <w:right w:val="none" w:sz="0" w:space="0" w:color="auto"/>
      </w:divBdr>
    </w:div>
    <w:div w:id="1264454086">
      <w:marLeft w:val="0"/>
      <w:marRight w:val="0"/>
      <w:marTop w:val="180"/>
      <w:marBottom w:val="0"/>
      <w:divBdr>
        <w:top w:val="none" w:sz="0" w:space="0" w:color="auto"/>
        <w:left w:val="none" w:sz="0" w:space="0" w:color="auto"/>
        <w:bottom w:val="none" w:sz="0" w:space="0" w:color="auto"/>
        <w:right w:val="none" w:sz="0" w:space="0" w:color="auto"/>
      </w:divBdr>
    </w:div>
    <w:div w:id="1266617243">
      <w:marLeft w:val="0"/>
      <w:marRight w:val="0"/>
      <w:marTop w:val="180"/>
      <w:marBottom w:val="100"/>
      <w:divBdr>
        <w:top w:val="none" w:sz="0" w:space="0" w:color="auto"/>
        <w:left w:val="none" w:sz="0" w:space="0" w:color="auto"/>
        <w:bottom w:val="none" w:sz="0" w:space="0" w:color="auto"/>
        <w:right w:val="none" w:sz="0" w:space="0" w:color="auto"/>
      </w:divBdr>
    </w:div>
    <w:div w:id="1269316785">
      <w:marLeft w:val="0"/>
      <w:marRight w:val="0"/>
      <w:marTop w:val="0"/>
      <w:marBottom w:val="0"/>
      <w:divBdr>
        <w:top w:val="none" w:sz="0" w:space="0" w:color="auto"/>
        <w:left w:val="none" w:sz="0" w:space="0" w:color="auto"/>
        <w:bottom w:val="none" w:sz="0" w:space="0" w:color="auto"/>
        <w:right w:val="none" w:sz="0" w:space="0" w:color="auto"/>
      </w:divBdr>
    </w:div>
    <w:div w:id="1270746812">
      <w:marLeft w:val="0"/>
      <w:marRight w:val="0"/>
      <w:marTop w:val="0"/>
      <w:marBottom w:val="100"/>
      <w:divBdr>
        <w:top w:val="none" w:sz="0" w:space="0" w:color="auto"/>
        <w:left w:val="none" w:sz="0" w:space="0" w:color="auto"/>
        <w:bottom w:val="none" w:sz="0" w:space="0" w:color="auto"/>
        <w:right w:val="none" w:sz="0" w:space="0" w:color="auto"/>
      </w:divBdr>
    </w:div>
    <w:div w:id="1271428787">
      <w:marLeft w:val="0"/>
      <w:marRight w:val="0"/>
      <w:marTop w:val="0"/>
      <w:marBottom w:val="0"/>
      <w:divBdr>
        <w:top w:val="none" w:sz="0" w:space="0" w:color="auto"/>
        <w:left w:val="none" w:sz="0" w:space="0" w:color="auto"/>
        <w:bottom w:val="none" w:sz="0" w:space="0" w:color="auto"/>
        <w:right w:val="none" w:sz="0" w:space="0" w:color="auto"/>
      </w:divBdr>
    </w:div>
    <w:div w:id="1275595924">
      <w:marLeft w:val="0"/>
      <w:marRight w:val="0"/>
      <w:marTop w:val="180"/>
      <w:marBottom w:val="100"/>
      <w:divBdr>
        <w:top w:val="none" w:sz="0" w:space="0" w:color="auto"/>
        <w:left w:val="none" w:sz="0" w:space="0" w:color="auto"/>
        <w:bottom w:val="none" w:sz="0" w:space="0" w:color="auto"/>
        <w:right w:val="none" w:sz="0" w:space="0" w:color="auto"/>
      </w:divBdr>
    </w:div>
    <w:div w:id="1275789628">
      <w:marLeft w:val="0"/>
      <w:marRight w:val="0"/>
      <w:marTop w:val="180"/>
      <w:marBottom w:val="0"/>
      <w:divBdr>
        <w:top w:val="none" w:sz="0" w:space="0" w:color="auto"/>
        <w:left w:val="none" w:sz="0" w:space="0" w:color="auto"/>
        <w:bottom w:val="none" w:sz="0" w:space="0" w:color="auto"/>
        <w:right w:val="none" w:sz="0" w:space="0" w:color="auto"/>
      </w:divBdr>
    </w:div>
    <w:div w:id="1275864600">
      <w:marLeft w:val="0"/>
      <w:marRight w:val="0"/>
      <w:marTop w:val="100"/>
      <w:marBottom w:val="100"/>
      <w:divBdr>
        <w:top w:val="none" w:sz="0" w:space="0" w:color="auto"/>
        <w:left w:val="none" w:sz="0" w:space="0" w:color="auto"/>
        <w:bottom w:val="none" w:sz="0" w:space="0" w:color="auto"/>
        <w:right w:val="none" w:sz="0" w:space="0" w:color="auto"/>
      </w:divBdr>
    </w:div>
    <w:div w:id="1276713874">
      <w:marLeft w:val="0"/>
      <w:marRight w:val="0"/>
      <w:marTop w:val="0"/>
      <w:marBottom w:val="0"/>
      <w:divBdr>
        <w:top w:val="none" w:sz="0" w:space="0" w:color="auto"/>
        <w:left w:val="none" w:sz="0" w:space="0" w:color="auto"/>
        <w:bottom w:val="none" w:sz="0" w:space="0" w:color="auto"/>
        <w:right w:val="none" w:sz="0" w:space="0" w:color="auto"/>
      </w:divBdr>
      <w:divsChild>
        <w:div w:id="2095079022">
          <w:marLeft w:val="0"/>
          <w:marRight w:val="0"/>
          <w:marTop w:val="0"/>
          <w:marBottom w:val="0"/>
          <w:divBdr>
            <w:top w:val="none" w:sz="0" w:space="0" w:color="auto"/>
            <w:left w:val="none" w:sz="0" w:space="0" w:color="auto"/>
            <w:bottom w:val="none" w:sz="0" w:space="0" w:color="auto"/>
            <w:right w:val="none" w:sz="0" w:space="0" w:color="auto"/>
          </w:divBdr>
          <w:divsChild>
            <w:div w:id="71296907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80648655">
      <w:marLeft w:val="0"/>
      <w:marRight w:val="0"/>
      <w:marTop w:val="180"/>
      <w:marBottom w:val="0"/>
      <w:divBdr>
        <w:top w:val="none" w:sz="0" w:space="0" w:color="auto"/>
        <w:left w:val="none" w:sz="0" w:space="0" w:color="auto"/>
        <w:bottom w:val="none" w:sz="0" w:space="0" w:color="auto"/>
        <w:right w:val="none" w:sz="0" w:space="0" w:color="auto"/>
      </w:divBdr>
    </w:div>
    <w:div w:id="1280985959">
      <w:marLeft w:val="0"/>
      <w:marRight w:val="0"/>
      <w:marTop w:val="180"/>
      <w:marBottom w:val="100"/>
      <w:divBdr>
        <w:top w:val="none" w:sz="0" w:space="0" w:color="auto"/>
        <w:left w:val="none" w:sz="0" w:space="0" w:color="auto"/>
        <w:bottom w:val="none" w:sz="0" w:space="0" w:color="auto"/>
        <w:right w:val="none" w:sz="0" w:space="0" w:color="auto"/>
      </w:divBdr>
    </w:div>
    <w:div w:id="1281107408">
      <w:marLeft w:val="0"/>
      <w:marRight w:val="0"/>
      <w:marTop w:val="0"/>
      <w:marBottom w:val="0"/>
      <w:divBdr>
        <w:top w:val="none" w:sz="0" w:space="0" w:color="auto"/>
        <w:left w:val="none" w:sz="0" w:space="0" w:color="auto"/>
        <w:bottom w:val="none" w:sz="0" w:space="0" w:color="auto"/>
        <w:right w:val="none" w:sz="0" w:space="0" w:color="auto"/>
      </w:divBdr>
      <w:divsChild>
        <w:div w:id="414783762">
          <w:marLeft w:val="0"/>
          <w:marRight w:val="0"/>
          <w:marTop w:val="0"/>
          <w:marBottom w:val="100"/>
          <w:divBdr>
            <w:top w:val="none" w:sz="0" w:space="0" w:color="auto"/>
            <w:left w:val="none" w:sz="0" w:space="0" w:color="auto"/>
            <w:bottom w:val="none" w:sz="0" w:space="0" w:color="auto"/>
            <w:right w:val="none" w:sz="0" w:space="0" w:color="auto"/>
          </w:divBdr>
        </w:div>
      </w:divsChild>
    </w:div>
    <w:div w:id="1281956866">
      <w:marLeft w:val="0"/>
      <w:marRight w:val="0"/>
      <w:marTop w:val="100"/>
      <w:marBottom w:val="100"/>
      <w:divBdr>
        <w:top w:val="none" w:sz="0" w:space="0" w:color="auto"/>
        <w:left w:val="none" w:sz="0" w:space="0" w:color="auto"/>
        <w:bottom w:val="none" w:sz="0" w:space="0" w:color="auto"/>
        <w:right w:val="none" w:sz="0" w:space="0" w:color="auto"/>
      </w:divBdr>
    </w:div>
    <w:div w:id="1283072050">
      <w:marLeft w:val="0"/>
      <w:marRight w:val="0"/>
      <w:marTop w:val="100"/>
      <w:marBottom w:val="100"/>
      <w:divBdr>
        <w:top w:val="none" w:sz="0" w:space="0" w:color="auto"/>
        <w:left w:val="none" w:sz="0" w:space="0" w:color="auto"/>
        <w:bottom w:val="none" w:sz="0" w:space="0" w:color="auto"/>
        <w:right w:val="none" w:sz="0" w:space="0" w:color="auto"/>
      </w:divBdr>
    </w:div>
    <w:div w:id="1284144224">
      <w:marLeft w:val="0"/>
      <w:marRight w:val="0"/>
      <w:marTop w:val="0"/>
      <w:marBottom w:val="0"/>
      <w:divBdr>
        <w:top w:val="none" w:sz="0" w:space="0" w:color="auto"/>
        <w:left w:val="none" w:sz="0" w:space="0" w:color="auto"/>
        <w:bottom w:val="none" w:sz="0" w:space="0" w:color="auto"/>
        <w:right w:val="none" w:sz="0" w:space="0" w:color="auto"/>
      </w:divBdr>
      <w:divsChild>
        <w:div w:id="442463209">
          <w:marLeft w:val="0"/>
          <w:marRight w:val="0"/>
          <w:marTop w:val="0"/>
          <w:marBottom w:val="100"/>
          <w:divBdr>
            <w:top w:val="none" w:sz="0" w:space="0" w:color="auto"/>
            <w:left w:val="none" w:sz="0" w:space="0" w:color="auto"/>
            <w:bottom w:val="none" w:sz="0" w:space="0" w:color="auto"/>
            <w:right w:val="none" w:sz="0" w:space="0" w:color="auto"/>
          </w:divBdr>
        </w:div>
      </w:divsChild>
    </w:div>
    <w:div w:id="1288118886">
      <w:marLeft w:val="0"/>
      <w:marRight w:val="0"/>
      <w:marTop w:val="0"/>
      <w:marBottom w:val="100"/>
      <w:divBdr>
        <w:top w:val="none" w:sz="0" w:space="0" w:color="auto"/>
        <w:left w:val="none" w:sz="0" w:space="0" w:color="auto"/>
        <w:bottom w:val="none" w:sz="0" w:space="0" w:color="auto"/>
        <w:right w:val="none" w:sz="0" w:space="0" w:color="auto"/>
      </w:divBdr>
    </w:div>
    <w:div w:id="1288198450">
      <w:marLeft w:val="0"/>
      <w:marRight w:val="0"/>
      <w:marTop w:val="0"/>
      <w:marBottom w:val="0"/>
      <w:divBdr>
        <w:top w:val="none" w:sz="0" w:space="0" w:color="auto"/>
        <w:left w:val="none" w:sz="0" w:space="0" w:color="auto"/>
        <w:bottom w:val="none" w:sz="0" w:space="0" w:color="auto"/>
        <w:right w:val="none" w:sz="0" w:space="0" w:color="auto"/>
      </w:divBdr>
    </w:div>
    <w:div w:id="1289818103">
      <w:marLeft w:val="0"/>
      <w:marRight w:val="0"/>
      <w:marTop w:val="0"/>
      <w:marBottom w:val="100"/>
      <w:divBdr>
        <w:top w:val="none" w:sz="0" w:space="0" w:color="auto"/>
        <w:left w:val="none" w:sz="0" w:space="0" w:color="auto"/>
        <w:bottom w:val="none" w:sz="0" w:space="0" w:color="auto"/>
        <w:right w:val="none" w:sz="0" w:space="0" w:color="auto"/>
      </w:divBdr>
    </w:div>
    <w:div w:id="1289894479">
      <w:marLeft w:val="0"/>
      <w:marRight w:val="0"/>
      <w:marTop w:val="0"/>
      <w:marBottom w:val="100"/>
      <w:divBdr>
        <w:top w:val="none" w:sz="0" w:space="0" w:color="auto"/>
        <w:left w:val="none" w:sz="0" w:space="0" w:color="auto"/>
        <w:bottom w:val="none" w:sz="0" w:space="0" w:color="auto"/>
        <w:right w:val="none" w:sz="0" w:space="0" w:color="auto"/>
      </w:divBdr>
    </w:div>
    <w:div w:id="1290165114">
      <w:marLeft w:val="0"/>
      <w:marRight w:val="0"/>
      <w:marTop w:val="100"/>
      <w:marBottom w:val="100"/>
      <w:divBdr>
        <w:top w:val="none" w:sz="0" w:space="0" w:color="auto"/>
        <w:left w:val="none" w:sz="0" w:space="0" w:color="auto"/>
        <w:bottom w:val="none" w:sz="0" w:space="0" w:color="auto"/>
        <w:right w:val="none" w:sz="0" w:space="0" w:color="auto"/>
      </w:divBdr>
    </w:div>
    <w:div w:id="1290630736">
      <w:marLeft w:val="0"/>
      <w:marRight w:val="0"/>
      <w:marTop w:val="100"/>
      <w:marBottom w:val="100"/>
      <w:divBdr>
        <w:top w:val="none" w:sz="0" w:space="0" w:color="auto"/>
        <w:left w:val="none" w:sz="0" w:space="0" w:color="auto"/>
        <w:bottom w:val="none" w:sz="0" w:space="0" w:color="auto"/>
        <w:right w:val="none" w:sz="0" w:space="0" w:color="auto"/>
      </w:divBdr>
    </w:div>
    <w:div w:id="1295330925">
      <w:marLeft w:val="0"/>
      <w:marRight w:val="0"/>
      <w:marTop w:val="100"/>
      <w:marBottom w:val="100"/>
      <w:divBdr>
        <w:top w:val="none" w:sz="0" w:space="0" w:color="auto"/>
        <w:left w:val="none" w:sz="0" w:space="0" w:color="auto"/>
        <w:bottom w:val="none" w:sz="0" w:space="0" w:color="auto"/>
        <w:right w:val="none" w:sz="0" w:space="0" w:color="auto"/>
      </w:divBdr>
    </w:div>
    <w:div w:id="1295714763">
      <w:marLeft w:val="0"/>
      <w:marRight w:val="0"/>
      <w:marTop w:val="100"/>
      <w:marBottom w:val="100"/>
      <w:divBdr>
        <w:top w:val="none" w:sz="0" w:space="0" w:color="auto"/>
        <w:left w:val="none" w:sz="0" w:space="0" w:color="auto"/>
        <w:bottom w:val="none" w:sz="0" w:space="0" w:color="auto"/>
        <w:right w:val="none" w:sz="0" w:space="0" w:color="auto"/>
      </w:divBdr>
    </w:div>
    <w:div w:id="1297683898">
      <w:marLeft w:val="0"/>
      <w:marRight w:val="0"/>
      <w:marTop w:val="180"/>
      <w:marBottom w:val="0"/>
      <w:divBdr>
        <w:top w:val="none" w:sz="0" w:space="0" w:color="auto"/>
        <w:left w:val="none" w:sz="0" w:space="0" w:color="auto"/>
        <w:bottom w:val="none" w:sz="0" w:space="0" w:color="auto"/>
        <w:right w:val="none" w:sz="0" w:space="0" w:color="auto"/>
      </w:divBdr>
    </w:div>
    <w:div w:id="1298219184">
      <w:marLeft w:val="0"/>
      <w:marRight w:val="0"/>
      <w:marTop w:val="0"/>
      <w:marBottom w:val="100"/>
      <w:divBdr>
        <w:top w:val="none" w:sz="0" w:space="0" w:color="auto"/>
        <w:left w:val="none" w:sz="0" w:space="0" w:color="auto"/>
        <w:bottom w:val="none" w:sz="0" w:space="0" w:color="auto"/>
        <w:right w:val="none" w:sz="0" w:space="0" w:color="auto"/>
      </w:divBdr>
    </w:div>
    <w:div w:id="1298608507">
      <w:marLeft w:val="0"/>
      <w:marRight w:val="0"/>
      <w:marTop w:val="0"/>
      <w:marBottom w:val="100"/>
      <w:divBdr>
        <w:top w:val="none" w:sz="0" w:space="0" w:color="auto"/>
        <w:left w:val="none" w:sz="0" w:space="0" w:color="auto"/>
        <w:bottom w:val="none" w:sz="0" w:space="0" w:color="auto"/>
        <w:right w:val="none" w:sz="0" w:space="0" w:color="auto"/>
      </w:divBdr>
    </w:div>
    <w:div w:id="1299385620">
      <w:marLeft w:val="0"/>
      <w:marRight w:val="0"/>
      <w:marTop w:val="100"/>
      <w:marBottom w:val="100"/>
      <w:divBdr>
        <w:top w:val="none" w:sz="0" w:space="0" w:color="auto"/>
        <w:left w:val="none" w:sz="0" w:space="0" w:color="auto"/>
        <w:bottom w:val="none" w:sz="0" w:space="0" w:color="auto"/>
        <w:right w:val="none" w:sz="0" w:space="0" w:color="auto"/>
      </w:divBdr>
    </w:div>
    <w:div w:id="1299531657">
      <w:marLeft w:val="0"/>
      <w:marRight w:val="0"/>
      <w:marTop w:val="100"/>
      <w:marBottom w:val="200"/>
      <w:divBdr>
        <w:top w:val="none" w:sz="0" w:space="0" w:color="auto"/>
        <w:left w:val="none" w:sz="0" w:space="0" w:color="auto"/>
        <w:bottom w:val="none" w:sz="0" w:space="0" w:color="auto"/>
        <w:right w:val="none" w:sz="0" w:space="0" w:color="auto"/>
      </w:divBdr>
    </w:div>
    <w:div w:id="1301768566">
      <w:marLeft w:val="0"/>
      <w:marRight w:val="0"/>
      <w:marTop w:val="100"/>
      <w:marBottom w:val="100"/>
      <w:divBdr>
        <w:top w:val="none" w:sz="0" w:space="0" w:color="auto"/>
        <w:left w:val="none" w:sz="0" w:space="0" w:color="auto"/>
        <w:bottom w:val="none" w:sz="0" w:space="0" w:color="auto"/>
        <w:right w:val="none" w:sz="0" w:space="0" w:color="auto"/>
      </w:divBdr>
    </w:div>
    <w:div w:id="1303995750">
      <w:marLeft w:val="0"/>
      <w:marRight w:val="0"/>
      <w:marTop w:val="0"/>
      <w:marBottom w:val="0"/>
      <w:divBdr>
        <w:top w:val="none" w:sz="0" w:space="0" w:color="auto"/>
        <w:left w:val="none" w:sz="0" w:space="0" w:color="auto"/>
        <w:bottom w:val="none" w:sz="0" w:space="0" w:color="auto"/>
        <w:right w:val="none" w:sz="0" w:space="0" w:color="auto"/>
      </w:divBdr>
    </w:div>
    <w:div w:id="1305886846">
      <w:marLeft w:val="0"/>
      <w:marRight w:val="0"/>
      <w:marTop w:val="100"/>
      <w:marBottom w:val="100"/>
      <w:divBdr>
        <w:top w:val="none" w:sz="0" w:space="0" w:color="auto"/>
        <w:left w:val="none" w:sz="0" w:space="0" w:color="auto"/>
        <w:bottom w:val="none" w:sz="0" w:space="0" w:color="auto"/>
        <w:right w:val="none" w:sz="0" w:space="0" w:color="auto"/>
      </w:divBdr>
    </w:div>
    <w:div w:id="1306156170">
      <w:marLeft w:val="0"/>
      <w:marRight w:val="0"/>
      <w:marTop w:val="100"/>
      <w:marBottom w:val="100"/>
      <w:divBdr>
        <w:top w:val="none" w:sz="0" w:space="0" w:color="auto"/>
        <w:left w:val="none" w:sz="0" w:space="0" w:color="auto"/>
        <w:bottom w:val="none" w:sz="0" w:space="0" w:color="auto"/>
        <w:right w:val="none" w:sz="0" w:space="0" w:color="auto"/>
      </w:divBdr>
    </w:div>
    <w:div w:id="1306356589">
      <w:marLeft w:val="0"/>
      <w:marRight w:val="0"/>
      <w:marTop w:val="180"/>
      <w:marBottom w:val="0"/>
      <w:divBdr>
        <w:top w:val="none" w:sz="0" w:space="0" w:color="auto"/>
        <w:left w:val="none" w:sz="0" w:space="0" w:color="auto"/>
        <w:bottom w:val="none" w:sz="0" w:space="0" w:color="auto"/>
        <w:right w:val="none" w:sz="0" w:space="0" w:color="auto"/>
      </w:divBdr>
    </w:div>
    <w:div w:id="1306933751">
      <w:marLeft w:val="0"/>
      <w:marRight w:val="0"/>
      <w:marTop w:val="100"/>
      <w:marBottom w:val="100"/>
      <w:divBdr>
        <w:top w:val="none" w:sz="0" w:space="0" w:color="auto"/>
        <w:left w:val="none" w:sz="0" w:space="0" w:color="auto"/>
        <w:bottom w:val="none" w:sz="0" w:space="0" w:color="auto"/>
        <w:right w:val="none" w:sz="0" w:space="0" w:color="auto"/>
      </w:divBdr>
    </w:div>
    <w:div w:id="1308633957">
      <w:marLeft w:val="0"/>
      <w:marRight w:val="0"/>
      <w:marTop w:val="180"/>
      <w:marBottom w:val="0"/>
      <w:divBdr>
        <w:top w:val="none" w:sz="0" w:space="0" w:color="auto"/>
        <w:left w:val="none" w:sz="0" w:space="0" w:color="auto"/>
        <w:bottom w:val="none" w:sz="0" w:space="0" w:color="auto"/>
        <w:right w:val="none" w:sz="0" w:space="0" w:color="auto"/>
      </w:divBdr>
    </w:div>
    <w:div w:id="1309093403">
      <w:marLeft w:val="0"/>
      <w:marRight w:val="0"/>
      <w:marTop w:val="0"/>
      <w:marBottom w:val="0"/>
      <w:divBdr>
        <w:top w:val="none" w:sz="0" w:space="0" w:color="auto"/>
        <w:left w:val="none" w:sz="0" w:space="0" w:color="auto"/>
        <w:bottom w:val="none" w:sz="0" w:space="0" w:color="auto"/>
        <w:right w:val="none" w:sz="0" w:space="0" w:color="auto"/>
      </w:divBdr>
      <w:divsChild>
        <w:div w:id="1212302926">
          <w:marLeft w:val="0"/>
          <w:marRight w:val="0"/>
          <w:marTop w:val="0"/>
          <w:marBottom w:val="100"/>
          <w:divBdr>
            <w:top w:val="none" w:sz="0" w:space="0" w:color="auto"/>
            <w:left w:val="none" w:sz="0" w:space="0" w:color="auto"/>
            <w:bottom w:val="none" w:sz="0" w:space="0" w:color="auto"/>
            <w:right w:val="none" w:sz="0" w:space="0" w:color="auto"/>
          </w:divBdr>
        </w:div>
      </w:divsChild>
    </w:div>
    <w:div w:id="1309169846">
      <w:marLeft w:val="0"/>
      <w:marRight w:val="0"/>
      <w:marTop w:val="180"/>
      <w:marBottom w:val="0"/>
      <w:divBdr>
        <w:top w:val="none" w:sz="0" w:space="0" w:color="auto"/>
        <w:left w:val="none" w:sz="0" w:space="0" w:color="auto"/>
        <w:bottom w:val="none" w:sz="0" w:space="0" w:color="auto"/>
        <w:right w:val="none" w:sz="0" w:space="0" w:color="auto"/>
      </w:divBdr>
    </w:div>
    <w:div w:id="1310674090">
      <w:marLeft w:val="0"/>
      <w:marRight w:val="0"/>
      <w:marTop w:val="100"/>
      <w:marBottom w:val="100"/>
      <w:divBdr>
        <w:top w:val="none" w:sz="0" w:space="0" w:color="auto"/>
        <w:left w:val="none" w:sz="0" w:space="0" w:color="auto"/>
        <w:bottom w:val="none" w:sz="0" w:space="0" w:color="auto"/>
        <w:right w:val="none" w:sz="0" w:space="0" w:color="auto"/>
      </w:divBdr>
    </w:div>
    <w:div w:id="1311448612">
      <w:marLeft w:val="0"/>
      <w:marRight w:val="0"/>
      <w:marTop w:val="100"/>
      <w:marBottom w:val="100"/>
      <w:divBdr>
        <w:top w:val="none" w:sz="0" w:space="0" w:color="auto"/>
        <w:left w:val="none" w:sz="0" w:space="0" w:color="auto"/>
        <w:bottom w:val="none" w:sz="0" w:space="0" w:color="auto"/>
        <w:right w:val="none" w:sz="0" w:space="0" w:color="auto"/>
      </w:divBdr>
    </w:div>
    <w:div w:id="1311717793">
      <w:marLeft w:val="0"/>
      <w:marRight w:val="0"/>
      <w:marTop w:val="0"/>
      <w:marBottom w:val="0"/>
      <w:divBdr>
        <w:top w:val="none" w:sz="0" w:space="0" w:color="auto"/>
        <w:left w:val="none" w:sz="0" w:space="0" w:color="auto"/>
        <w:bottom w:val="none" w:sz="0" w:space="0" w:color="auto"/>
        <w:right w:val="none" w:sz="0" w:space="0" w:color="auto"/>
      </w:divBdr>
      <w:divsChild>
        <w:div w:id="736822117">
          <w:marLeft w:val="0"/>
          <w:marRight w:val="0"/>
          <w:marTop w:val="0"/>
          <w:marBottom w:val="100"/>
          <w:divBdr>
            <w:top w:val="none" w:sz="0" w:space="0" w:color="auto"/>
            <w:left w:val="none" w:sz="0" w:space="0" w:color="auto"/>
            <w:bottom w:val="none" w:sz="0" w:space="0" w:color="auto"/>
            <w:right w:val="none" w:sz="0" w:space="0" w:color="auto"/>
          </w:divBdr>
        </w:div>
      </w:divsChild>
    </w:div>
    <w:div w:id="1311861090">
      <w:marLeft w:val="0"/>
      <w:marRight w:val="0"/>
      <w:marTop w:val="100"/>
      <w:marBottom w:val="100"/>
      <w:divBdr>
        <w:top w:val="none" w:sz="0" w:space="0" w:color="auto"/>
        <w:left w:val="none" w:sz="0" w:space="0" w:color="auto"/>
        <w:bottom w:val="none" w:sz="0" w:space="0" w:color="auto"/>
        <w:right w:val="none" w:sz="0" w:space="0" w:color="auto"/>
      </w:divBdr>
    </w:div>
    <w:div w:id="1312560122">
      <w:marLeft w:val="0"/>
      <w:marRight w:val="0"/>
      <w:marTop w:val="0"/>
      <w:marBottom w:val="0"/>
      <w:divBdr>
        <w:top w:val="none" w:sz="0" w:space="0" w:color="auto"/>
        <w:left w:val="none" w:sz="0" w:space="0" w:color="auto"/>
        <w:bottom w:val="none" w:sz="0" w:space="0" w:color="auto"/>
        <w:right w:val="none" w:sz="0" w:space="0" w:color="auto"/>
      </w:divBdr>
      <w:divsChild>
        <w:div w:id="198708343">
          <w:marLeft w:val="0"/>
          <w:marRight w:val="0"/>
          <w:marTop w:val="0"/>
          <w:marBottom w:val="100"/>
          <w:divBdr>
            <w:top w:val="none" w:sz="0" w:space="0" w:color="auto"/>
            <w:left w:val="none" w:sz="0" w:space="0" w:color="auto"/>
            <w:bottom w:val="none" w:sz="0" w:space="0" w:color="auto"/>
            <w:right w:val="none" w:sz="0" w:space="0" w:color="auto"/>
          </w:divBdr>
        </w:div>
      </w:divsChild>
    </w:div>
    <w:div w:id="1313021476">
      <w:marLeft w:val="0"/>
      <w:marRight w:val="0"/>
      <w:marTop w:val="0"/>
      <w:marBottom w:val="0"/>
      <w:divBdr>
        <w:top w:val="none" w:sz="0" w:space="0" w:color="auto"/>
        <w:left w:val="none" w:sz="0" w:space="0" w:color="auto"/>
        <w:bottom w:val="none" w:sz="0" w:space="0" w:color="auto"/>
        <w:right w:val="none" w:sz="0" w:space="0" w:color="auto"/>
      </w:divBdr>
      <w:divsChild>
        <w:div w:id="47456454">
          <w:marLeft w:val="0"/>
          <w:marRight w:val="0"/>
          <w:marTop w:val="0"/>
          <w:marBottom w:val="100"/>
          <w:divBdr>
            <w:top w:val="none" w:sz="0" w:space="0" w:color="auto"/>
            <w:left w:val="none" w:sz="0" w:space="0" w:color="auto"/>
            <w:bottom w:val="none" w:sz="0" w:space="0" w:color="auto"/>
            <w:right w:val="none" w:sz="0" w:space="0" w:color="auto"/>
          </w:divBdr>
        </w:div>
      </w:divsChild>
    </w:div>
    <w:div w:id="1314798829">
      <w:marLeft w:val="0"/>
      <w:marRight w:val="0"/>
      <w:marTop w:val="180"/>
      <w:marBottom w:val="0"/>
      <w:divBdr>
        <w:top w:val="none" w:sz="0" w:space="0" w:color="auto"/>
        <w:left w:val="none" w:sz="0" w:space="0" w:color="auto"/>
        <w:bottom w:val="none" w:sz="0" w:space="0" w:color="auto"/>
        <w:right w:val="none" w:sz="0" w:space="0" w:color="auto"/>
      </w:divBdr>
    </w:div>
    <w:div w:id="1314917199">
      <w:marLeft w:val="0"/>
      <w:marRight w:val="0"/>
      <w:marTop w:val="0"/>
      <w:marBottom w:val="120"/>
      <w:divBdr>
        <w:top w:val="none" w:sz="0" w:space="0" w:color="auto"/>
        <w:left w:val="none" w:sz="0" w:space="0" w:color="auto"/>
        <w:bottom w:val="none" w:sz="0" w:space="0" w:color="auto"/>
        <w:right w:val="none" w:sz="0" w:space="0" w:color="auto"/>
      </w:divBdr>
    </w:div>
    <w:div w:id="1314991362">
      <w:marLeft w:val="0"/>
      <w:marRight w:val="0"/>
      <w:marTop w:val="0"/>
      <w:marBottom w:val="0"/>
      <w:divBdr>
        <w:top w:val="none" w:sz="0" w:space="0" w:color="auto"/>
        <w:left w:val="none" w:sz="0" w:space="0" w:color="auto"/>
        <w:bottom w:val="none" w:sz="0" w:space="0" w:color="auto"/>
        <w:right w:val="none" w:sz="0" w:space="0" w:color="auto"/>
      </w:divBdr>
    </w:div>
    <w:div w:id="1315447733">
      <w:marLeft w:val="0"/>
      <w:marRight w:val="0"/>
      <w:marTop w:val="180"/>
      <w:marBottom w:val="0"/>
      <w:divBdr>
        <w:top w:val="none" w:sz="0" w:space="0" w:color="auto"/>
        <w:left w:val="none" w:sz="0" w:space="0" w:color="auto"/>
        <w:bottom w:val="none" w:sz="0" w:space="0" w:color="auto"/>
        <w:right w:val="none" w:sz="0" w:space="0" w:color="auto"/>
      </w:divBdr>
    </w:div>
    <w:div w:id="1315834039">
      <w:marLeft w:val="0"/>
      <w:marRight w:val="0"/>
      <w:marTop w:val="0"/>
      <w:marBottom w:val="0"/>
      <w:divBdr>
        <w:top w:val="none" w:sz="0" w:space="0" w:color="auto"/>
        <w:left w:val="none" w:sz="0" w:space="0" w:color="auto"/>
        <w:bottom w:val="none" w:sz="0" w:space="0" w:color="auto"/>
        <w:right w:val="none" w:sz="0" w:space="0" w:color="auto"/>
      </w:divBdr>
      <w:divsChild>
        <w:div w:id="1964994566">
          <w:marLeft w:val="0"/>
          <w:marRight w:val="0"/>
          <w:marTop w:val="0"/>
          <w:marBottom w:val="0"/>
          <w:divBdr>
            <w:top w:val="none" w:sz="0" w:space="0" w:color="auto"/>
            <w:left w:val="none" w:sz="0" w:space="0" w:color="auto"/>
            <w:bottom w:val="none" w:sz="0" w:space="0" w:color="auto"/>
            <w:right w:val="none" w:sz="0" w:space="0" w:color="auto"/>
          </w:divBdr>
          <w:divsChild>
            <w:div w:id="626538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6032391">
      <w:marLeft w:val="0"/>
      <w:marRight w:val="0"/>
      <w:marTop w:val="0"/>
      <w:marBottom w:val="0"/>
      <w:divBdr>
        <w:top w:val="none" w:sz="0" w:space="0" w:color="auto"/>
        <w:left w:val="none" w:sz="0" w:space="0" w:color="auto"/>
        <w:bottom w:val="none" w:sz="0" w:space="0" w:color="auto"/>
        <w:right w:val="none" w:sz="0" w:space="0" w:color="auto"/>
      </w:divBdr>
      <w:divsChild>
        <w:div w:id="1095370487">
          <w:marLeft w:val="0"/>
          <w:marRight w:val="0"/>
          <w:marTop w:val="0"/>
          <w:marBottom w:val="100"/>
          <w:divBdr>
            <w:top w:val="none" w:sz="0" w:space="0" w:color="auto"/>
            <w:left w:val="none" w:sz="0" w:space="0" w:color="auto"/>
            <w:bottom w:val="none" w:sz="0" w:space="0" w:color="auto"/>
            <w:right w:val="none" w:sz="0" w:space="0" w:color="auto"/>
          </w:divBdr>
        </w:div>
      </w:divsChild>
    </w:div>
    <w:div w:id="1316035164">
      <w:marLeft w:val="0"/>
      <w:marRight w:val="0"/>
      <w:marTop w:val="100"/>
      <w:marBottom w:val="0"/>
      <w:divBdr>
        <w:top w:val="none" w:sz="0" w:space="0" w:color="auto"/>
        <w:left w:val="none" w:sz="0" w:space="0" w:color="auto"/>
        <w:bottom w:val="none" w:sz="0" w:space="0" w:color="auto"/>
        <w:right w:val="none" w:sz="0" w:space="0" w:color="auto"/>
      </w:divBdr>
    </w:div>
    <w:div w:id="1317340001">
      <w:marLeft w:val="0"/>
      <w:marRight w:val="0"/>
      <w:marTop w:val="180"/>
      <w:marBottom w:val="0"/>
      <w:divBdr>
        <w:top w:val="none" w:sz="0" w:space="0" w:color="auto"/>
        <w:left w:val="none" w:sz="0" w:space="0" w:color="auto"/>
        <w:bottom w:val="none" w:sz="0" w:space="0" w:color="auto"/>
        <w:right w:val="none" w:sz="0" w:space="0" w:color="auto"/>
      </w:divBdr>
    </w:div>
    <w:div w:id="1318994051">
      <w:marLeft w:val="0"/>
      <w:marRight w:val="0"/>
      <w:marTop w:val="0"/>
      <w:marBottom w:val="0"/>
      <w:divBdr>
        <w:top w:val="none" w:sz="0" w:space="0" w:color="auto"/>
        <w:left w:val="none" w:sz="0" w:space="0" w:color="auto"/>
        <w:bottom w:val="none" w:sz="0" w:space="0" w:color="auto"/>
        <w:right w:val="none" w:sz="0" w:space="0" w:color="auto"/>
      </w:divBdr>
      <w:divsChild>
        <w:div w:id="324364487">
          <w:marLeft w:val="0"/>
          <w:marRight w:val="0"/>
          <w:marTop w:val="0"/>
          <w:marBottom w:val="0"/>
          <w:divBdr>
            <w:top w:val="none" w:sz="0" w:space="0" w:color="auto"/>
            <w:left w:val="none" w:sz="0" w:space="0" w:color="auto"/>
            <w:bottom w:val="none" w:sz="0" w:space="0" w:color="auto"/>
            <w:right w:val="none" w:sz="0" w:space="0" w:color="auto"/>
          </w:divBdr>
          <w:divsChild>
            <w:div w:id="175605134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9572543">
      <w:marLeft w:val="0"/>
      <w:marRight w:val="0"/>
      <w:marTop w:val="100"/>
      <w:marBottom w:val="120"/>
      <w:divBdr>
        <w:top w:val="none" w:sz="0" w:space="0" w:color="auto"/>
        <w:left w:val="none" w:sz="0" w:space="0" w:color="auto"/>
        <w:bottom w:val="none" w:sz="0" w:space="0" w:color="auto"/>
        <w:right w:val="none" w:sz="0" w:space="0" w:color="auto"/>
      </w:divBdr>
    </w:div>
    <w:div w:id="1319923772">
      <w:marLeft w:val="0"/>
      <w:marRight w:val="0"/>
      <w:marTop w:val="180"/>
      <w:marBottom w:val="0"/>
      <w:divBdr>
        <w:top w:val="none" w:sz="0" w:space="0" w:color="auto"/>
        <w:left w:val="none" w:sz="0" w:space="0" w:color="auto"/>
        <w:bottom w:val="none" w:sz="0" w:space="0" w:color="auto"/>
        <w:right w:val="none" w:sz="0" w:space="0" w:color="auto"/>
      </w:divBdr>
    </w:div>
    <w:div w:id="1320378458">
      <w:marLeft w:val="0"/>
      <w:marRight w:val="0"/>
      <w:marTop w:val="100"/>
      <w:marBottom w:val="100"/>
      <w:divBdr>
        <w:top w:val="none" w:sz="0" w:space="0" w:color="auto"/>
        <w:left w:val="none" w:sz="0" w:space="0" w:color="auto"/>
        <w:bottom w:val="none" w:sz="0" w:space="0" w:color="auto"/>
        <w:right w:val="none" w:sz="0" w:space="0" w:color="auto"/>
      </w:divBdr>
    </w:div>
    <w:div w:id="1322540370">
      <w:marLeft w:val="0"/>
      <w:marRight w:val="0"/>
      <w:marTop w:val="180"/>
      <w:marBottom w:val="0"/>
      <w:divBdr>
        <w:top w:val="none" w:sz="0" w:space="0" w:color="auto"/>
        <w:left w:val="none" w:sz="0" w:space="0" w:color="auto"/>
        <w:bottom w:val="none" w:sz="0" w:space="0" w:color="auto"/>
        <w:right w:val="none" w:sz="0" w:space="0" w:color="auto"/>
      </w:divBdr>
    </w:div>
    <w:div w:id="1322928117">
      <w:marLeft w:val="0"/>
      <w:marRight w:val="0"/>
      <w:marTop w:val="180"/>
      <w:marBottom w:val="100"/>
      <w:divBdr>
        <w:top w:val="none" w:sz="0" w:space="0" w:color="auto"/>
        <w:left w:val="none" w:sz="0" w:space="0" w:color="auto"/>
        <w:bottom w:val="none" w:sz="0" w:space="0" w:color="auto"/>
        <w:right w:val="none" w:sz="0" w:space="0" w:color="auto"/>
      </w:divBdr>
    </w:div>
    <w:div w:id="1322928876">
      <w:marLeft w:val="0"/>
      <w:marRight w:val="0"/>
      <w:marTop w:val="0"/>
      <w:marBottom w:val="100"/>
      <w:divBdr>
        <w:top w:val="none" w:sz="0" w:space="0" w:color="auto"/>
        <w:left w:val="none" w:sz="0" w:space="0" w:color="auto"/>
        <w:bottom w:val="none" w:sz="0" w:space="0" w:color="auto"/>
        <w:right w:val="none" w:sz="0" w:space="0" w:color="auto"/>
      </w:divBdr>
    </w:div>
    <w:div w:id="1323509949">
      <w:marLeft w:val="0"/>
      <w:marRight w:val="0"/>
      <w:marTop w:val="0"/>
      <w:marBottom w:val="100"/>
      <w:divBdr>
        <w:top w:val="none" w:sz="0" w:space="0" w:color="auto"/>
        <w:left w:val="none" w:sz="0" w:space="0" w:color="auto"/>
        <w:bottom w:val="none" w:sz="0" w:space="0" w:color="auto"/>
        <w:right w:val="none" w:sz="0" w:space="0" w:color="auto"/>
      </w:divBdr>
    </w:div>
    <w:div w:id="1323856568">
      <w:marLeft w:val="0"/>
      <w:marRight w:val="0"/>
      <w:marTop w:val="100"/>
      <w:marBottom w:val="100"/>
      <w:divBdr>
        <w:top w:val="none" w:sz="0" w:space="0" w:color="auto"/>
        <w:left w:val="none" w:sz="0" w:space="0" w:color="auto"/>
        <w:bottom w:val="none" w:sz="0" w:space="0" w:color="auto"/>
        <w:right w:val="none" w:sz="0" w:space="0" w:color="auto"/>
      </w:divBdr>
    </w:div>
    <w:div w:id="1323894875">
      <w:marLeft w:val="0"/>
      <w:marRight w:val="0"/>
      <w:marTop w:val="180"/>
      <w:marBottom w:val="0"/>
      <w:divBdr>
        <w:top w:val="none" w:sz="0" w:space="0" w:color="auto"/>
        <w:left w:val="none" w:sz="0" w:space="0" w:color="auto"/>
        <w:bottom w:val="none" w:sz="0" w:space="0" w:color="auto"/>
        <w:right w:val="none" w:sz="0" w:space="0" w:color="auto"/>
      </w:divBdr>
    </w:div>
    <w:div w:id="1325010196">
      <w:marLeft w:val="0"/>
      <w:marRight w:val="0"/>
      <w:marTop w:val="180"/>
      <w:marBottom w:val="0"/>
      <w:divBdr>
        <w:top w:val="none" w:sz="0" w:space="0" w:color="auto"/>
        <w:left w:val="none" w:sz="0" w:space="0" w:color="auto"/>
        <w:bottom w:val="none" w:sz="0" w:space="0" w:color="auto"/>
        <w:right w:val="none" w:sz="0" w:space="0" w:color="auto"/>
      </w:divBdr>
    </w:div>
    <w:div w:id="1326133143">
      <w:marLeft w:val="0"/>
      <w:marRight w:val="0"/>
      <w:marTop w:val="0"/>
      <w:marBottom w:val="0"/>
      <w:divBdr>
        <w:top w:val="none" w:sz="0" w:space="0" w:color="auto"/>
        <w:left w:val="none" w:sz="0" w:space="0" w:color="auto"/>
        <w:bottom w:val="none" w:sz="0" w:space="0" w:color="auto"/>
        <w:right w:val="none" w:sz="0" w:space="0" w:color="auto"/>
      </w:divBdr>
    </w:div>
    <w:div w:id="1330400826">
      <w:marLeft w:val="0"/>
      <w:marRight w:val="0"/>
      <w:marTop w:val="100"/>
      <w:marBottom w:val="100"/>
      <w:divBdr>
        <w:top w:val="none" w:sz="0" w:space="0" w:color="auto"/>
        <w:left w:val="none" w:sz="0" w:space="0" w:color="auto"/>
        <w:bottom w:val="none" w:sz="0" w:space="0" w:color="auto"/>
        <w:right w:val="none" w:sz="0" w:space="0" w:color="auto"/>
      </w:divBdr>
    </w:div>
    <w:div w:id="1330868791">
      <w:marLeft w:val="0"/>
      <w:marRight w:val="0"/>
      <w:marTop w:val="100"/>
      <w:marBottom w:val="100"/>
      <w:divBdr>
        <w:top w:val="none" w:sz="0" w:space="0" w:color="auto"/>
        <w:left w:val="none" w:sz="0" w:space="0" w:color="auto"/>
        <w:bottom w:val="none" w:sz="0" w:space="0" w:color="auto"/>
        <w:right w:val="none" w:sz="0" w:space="0" w:color="auto"/>
      </w:divBdr>
    </w:div>
    <w:div w:id="1331372502">
      <w:marLeft w:val="0"/>
      <w:marRight w:val="0"/>
      <w:marTop w:val="180"/>
      <w:marBottom w:val="0"/>
      <w:divBdr>
        <w:top w:val="none" w:sz="0" w:space="0" w:color="auto"/>
        <w:left w:val="none" w:sz="0" w:space="0" w:color="auto"/>
        <w:bottom w:val="none" w:sz="0" w:space="0" w:color="auto"/>
        <w:right w:val="none" w:sz="0" w:space="0" w:color="auto"/>
      </w:divBdr>
    </w:div>
    <w:div w:id="1331637724">
      <w:marLeft w:val="0"/>
      <w:marRight w:val="0"/>
      <w:marTop w:val="180"/>
      <w:marBottom w:val="0"/>
      <w:divBdr>
        <w:top w:val="none" w:sz="0" w:space="0" w:color="auto"/>
        <w:left w:val="none" w:sz="0" w:space="0" w:color="auto"/>
        <w:bottom w:val="none" w:sz="0" w:space="0" w:color="auto"/>
        <w:right w:val="none" w:sz="0" w:space="0" w:color="auto"/>
      </w:divBdr>
    </w:div>
    <w:div w:id="1333604160">
      <w:marLeft w:val="0"/>
      <w:marRight w:val="0"/>
      <w:marTop w:val="0"/>
      <w:marBottom w:val="0"/>
      <w:divBdr>
        <w:top w:val="none" w:sz="0" w:space="0" w:color="auto"/>
        <w:left w:val="none" w:sz="0" w:space="0" w:color="auto"/>
        <w:bottom w:val="none" w:sz="0" w:space="0" w:color="auto"/>
        <w:right w:val="none" w:sz="0" w:space="0" w:color="auto"/>
      </w:divBdr>
    </w:div>
    <w:div w:id="1333609842">
      <w:marLeft w:val="0"/>
      <w:marRight w:val="0"/>
      <w:marTop w:val="0"/>
      <w:marBottom w:val="0"/>
      <w:divBdr>
        <w:top w:val="none" w:sz="0" w:space="0" w:color="auto"/>
        <w:left w:val="none" w:sz="0" w:space="0" w:color="auto"/>
        <w:bottom w:val="none" w:sz="0" w:space="0" w:color="auto"/>
        <w:right w:val="none" w:sz="0" w:space="0" w:color="auto"/>
      </w:divBdr>
    </w:div>
    <w:div w:id="1334645620">
      <w:marLeft w:val="0"/>
      <w:marRight w:val="0"/>
      <w:marTop w:val="100"/>
      <w:marBottom w:val="100"/>
      <w:divBdr>
        <w:top w:val="none" w:sz="0" w:space="0" w:color="auto"/>
        <w:left w:val="none" w:sz="0" w:space="0" w:color="auto"/>
        <w:bottom w:val="none" w:sz="0" w:space="0" w:color="auto"/>
        <w:right w:val="none" w:sz="0" w:space="0" w:color="auto"/>
      </w:divBdr>
    </w:div>
    <w:div w:id="1336690393">
      <w:marLeft w:val="0"/>
      <w:marRight w:val="0"/>
      <w:marTop w:val="180"/>
      <w:marBottom w:val="100"/>
      <w:divBdr>
        <w:top w:val="none" w:sz="0" w:space="0" w:color="auto"/>
        <w:left w:val="none" w:sz="0" w:space="0" w:color="auto"/>
        <w:bottom w:val="none" w:sz="0" w:space="0" w:color="auto"/>
        <w:right w:val="none" w:sz="0" w:space="0" w:color="auto"/>
      </w:divBdr>
    </w:div>
    <w:div w:id="1337465324">
      <w:marLeft w:val="0"/>
      <w:marRight w:val="0"/>
      <w:marTop w:val="100"/>
      <w:marBottom w:val="0"/>
      <w:divBdr>
        <w:top w:val="none" w:sz="0" w:space="0" w:color="auto"/>
        <w:left w:val="none" w:sz="0" w:space="0" w:color="auto"/>
        <w:bottom w:val="none" w:sz="0" w:space="0" w:color="auto"/>
        <w:right w:val="none" w:sz="0" w:space="0" w:color="auto"/>
      </w:divBdr>
    </w:div>
    <w:div w:id="1339579714">
      <w:marLeft w:val="0"/>
      <w:marRight w:val="0"/>
      <w:marTop w:val="0"/>
      <w:marBottom w:val="100"/>
      <w:divBdr>
        <w:top w:val="none" w:sz="0" w:space="0" w:color="auto"/>
        <w:left w:val="none" w:sz="0" w:space="0" w:color="auto"/>
        <w:bottom w:val="none" w:sz="0" w:space="0" w:color="auto"/>
        <w:right w:val="none" w:sz="0" w:space="0" w:color="auto"/>
      </w:divBdr>
    </w:div>
    <w:div w:id="1339964416">
      <w:marLeft w:val="0"/>
      <w:marRight w:val="0"/>
      <w:marTop w:val="180"/>
      <w:marBottom w:val="0"/>
      <w:divBdr>
        <w:top w:val="none" w:sz="0" w:space="0" w:color="auto"/>
        <w:left w:val="none" w:sz="0" w:space="0" w:color="auto"/>
        <w:bottom w:val="none" w:sz="0" w:space="0" w:color="auto"/>
        <w:right w:val="none" w:sz="0" w:space="0" w:color="auto"/>
      </w:divBdr>
    </w:div>
    <w:div w:id="1341736319">
      <w:marLeft w:val="0"/>
      <w:marRight w:val="0"/>
      <w:marTop w:val="100"/>
      <w:marBottom w:val="0"/>
      <w:divBdr>
        <w:top w:val="none" w:sz="0" w:space="0" w:color="auto"/>
        <w:left w:val="none" w:sz="0" w:space="0" w:color="auto"/>
        <w:bottom w:val="none" w:sz="0" w:space="0" w:color="auto"/>
        <w:right w:val="none" w:sz="0" w:space="0" w:color="auto"/>
      </w:divBdr>
    </w:div>
    <w:div w:id="1342930370">
      <w:marLeft w:val="0"/>
      <w:marRight w:val="0"/>
      <w:marTop w:val="180"/>
      <w:marBottom w:val="100"/>
      <w:divBdr>
        <w:top w:val="none" w:sz="0" w:space="0" w:color="auto"/>
        <w:left w:val="none" w:sz="0" w:space="0" w:color="auto"/>
        <w:bottom w:val="none" w:sz="0" w:space="0" w:color="auto"/>
        <w:right w:val="none" w:sz="0" w:space="0" w:color="auto"/>
      </w:divBdr>
    </w:div>
    <w:div w:id="1343430260">
      <w:marLeft w:val="0"/>
      <w:marRight w:val="0"/>
      <w:marTop w:val="180"/>
      <w:marBottom w:val="100"/>
      <w:divBdr>
        <w:top w:val="none" w:sz="0" w:space="0" w:color="auto"/>
        <w:left w:val="none" w:sz="0" w:space="0" w:color="auto"/>
        <w:bottom w:val="none" w:sz="0" w:space="0" w:color="auto"/>
        <w:right w:val="none" w:sz="0" w:space="0" w:color="auto"/>
      </w:divBdr>
    </w:div>
    <w:div w:id="1343895708">
      <w:marLeft w:val="0"/>
      <w:marRight w:val="0"/>
      <w:marTop w:val="100"/>
      <w:marBottom w:val="0"/>
      <w:divBdr>
        <w:top w:val="none" w:sz="0" w:space="0" w:color="auto"/>
        <w:left w:val="none" w:sz="0" w:space="0" w:color="auto"/>
        <w:bottom w:val="none" w:sz="0" w:space="0" w:color="auto"/>
        <w:right w:val="none" w:sz="0" w:space="0" w:color="auto"/>
      </w:divBdr>
    </w:div>
    <w:div w:id="1344674004">
      <w:marLeft w:val="0"/>
      <w:marRight w:val="0"/>
      <w:marTop w:val="100"/>
      <w:marBottom w:val="100"/>
      <w:divBdr>
        <w:top w:val="none" w:sz="0" w:space="0" w:color="auto"/>
        <w:left w:val="none" w:sz="0" w:space="0" w:color="auto"/>
        <w:bottom w:val="none" w:sz="0" w:space="0" w:color="auto"/>
        <w:right w:val="none" w:sz="0" w:space="0" w:color="auto"/>
      </w:divBdr>
    </w:div>
    <w:div w:id="1344818161">
      <w:marLeft w:val="0"/>
      <w:marRight w:val="0"/>
      <w:marTop w:val="0"/>
      <w:marBottom w:val="0"/>
      <w:divBdr>
        <w:top w:val="none" w:sz="0" w:space="0" w:color="auto"/>
        <w:left w:val="none" w:sz="0" w:space="0" w:color="auto"/>
        <w:bottom w:val="none" w:sz="0" w:space="0" w:color="auto"/>
        <w:right w:val="none" w:sz="0" w:space="0" w:color="auto"/>
      </w:divBdr>
      <w:divsChild>
        <w:div w:id="1658651967">
          <w:marLeft w:val="0"/>
          <w:marRight w:val="0"/>
          <w:marTop w:val="0"/>
          <w:marBottom w:val="100"/>
          <w:divBdr>
            <w:top w:val="none" w:sz="0" w:space="0" w:color="auto"/>
            <w:left w:val="none" w:sz="0" w:space="0" w:color="auto"/>
            <w:bottom w:val="none" w:sz="0" w:space="0" w:color="auto"/>
            <w:right w:val="none" w:sz="0" w:space="0" w:color="auto"/>
          </w:divBdr>
        </w:div>
      </w:divsChild>
    </w:div>
    <w:div w:id="1346323676">
      <w:marLeft w:val="0"/>
      <w:marRight w:val="0"/>
      <w:marTop w:val="180"/>
      <w:marBottom w:val="0"/>
      <w:divBdr>
        <w:top w:val="none" w:sz="0" w:space="0" w:color="auto"/>
        <w:left w:val="none" w:sz="0" w:space="0" w:color="auto"/>
        <w:bottom w:val="none" w:sz="0" w:space="0" w:color="auto"/>
        <w:right w:val="none" w:sz="0" w:space="0" w:color="auto"/>
      </w:divBdr>
    </w:div>
    <w:div w:id="1346402363">
      <w:marLeft w:val="0"/>
      <w:marRight w:val="0"/>
      <w:marTop w:val="0"/>
      <w:marBottom w:val="100"/>
      <w:divBdr>
        <w:top w:val="none" w:sz="0" w:space="0" w:color="auto"/>
        <w:left w:val="none" w:sz="0" w:space="0" w:color="auto"/>
        <w:bottom w:val="none" w:sz="0" w:space="0" w:color="auto"/>
        <w:right w:val="none" w:sz="0" w:space="0" w:color="auto"/>
      </w:divBdr>
    </w:div>
    <w:div w:id="1348562109">
      <w:marLeft w:val="0"/>
      <w:marRight w:val="0"/>
      <w:marTop w:val="0"/>
      <w:marBottom w:val="0"/>
      <w:divBdr>
        <w:top w:val="none" w:sz="0" w:space="0" w:color="auto"/>
        <w:left w:val="none" w:sz="0" w:space="0" w:color="auto"/>
        <w:bottom w:val="none" w:sz="0" w:space="0" w:color="auto"/>
        <w:right w:val="none" w:sz="0" w:space="0" w:color="auto"/>
      </w:divBdr>
    </w:div>
    <w:div w:id="1348754942">
      <w:marLeft w:val="0"/>
      <w:marRight w:val="0"/>
      <w:marTop w:val="100"/>
      <w:marBottom w:val="100"/>
      <w:divBdr>
        <w:top w:val="none" w:sz="0" w:space="0" w:color="auto"/>
        <w:left w:val="none" w:sz="0" w:space="0" w:color="auto"/>
        <w:bottom w:val="none" w:sz="0" w:space="0" w:color="auto"/>
        <w:right w:val="none" w:sz="0" w:space="0" w:color="auto"/>
      </w:divBdr>
    </w:div>
    <w:div w:id="1349331210">
      <w:marLeft w:val="0"/>
      <w:marRight w:val="0"/>
      <w:marTop w:val="0"/>
      <w:marBottom w:val="0"/>
      <w:divBdr>
        <w:top w:val="none" w:sz="0" w:space="0" w:color="auto"/>
        <w:left w:val="none" w:sz="0" w:space="0" w:color="auto"/>
        <w:bottom w:val="none" w:sz="0" w:space="0" w:color="auto"/>
        <w:right w:val="none" w:sz="0" w:space="0" w:color="auto"/>
      </w:divBdr>
      <w:divsChild>
        <w:div w:id="549341905">
          <w:marLeft w:val="0"/>
          <w:marRight w:val="0"/>
          <w:marTop w:val="0"/>
          <w:marBottom w:val="0"/>
          <w:divBdr>
            <w:top w:val="none" w:sz="0" w:space="0" w:color="auto"/>
            <w:left w:val="none" w:sz="0" w:space="0" w:color="auto"/>
            <w:bottom w:val="none" w:sz="0" w:space="0" w:color="auto"/>
            <w:right w:val="none" w:sz="0" w:space="0" w:color="auto"/>
          </w:divBdr>
          <w:divsChild>
            <w:div w:id="5440257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49403814">
      <w:marLeft w:val="0"/>
      <w:marRight w:val="0"/>
      <w:marTop w:val="180"/>
      <w:marBottom w:val="100"/>
      <w:divBdr>
        <w:top w:val="none" w:sz="0" w:space="0" w:color="auto"/>
        <w:left w:val="none" w:sz="0" w:space="0" w:color="auto"/>
        <w:bottom w:val="none" w:sz="0" w:space="0" w:color="auto"/>
        <w:right w:val="none" w:sz="0" w:space="0" w:color="auto"/>
      </w:divBdr>
    </w:div>
    <w:div w:id="1350185233">
      <w:marLeft w:val="0"/>
      <w:marRight w:val="0"/>
      <w:marTop w:val="0"/>
      <w:marBottom w:val="100"/>
      <w:divBdr>
        <w:top w:val="none" w:sz="0" w:space="0" w:color="auto"/>
        <w:left w:val="none" w:sz="0" w:space="0" w:color="auto"/>
        <w:bottom w:val="none" w:sz="0" w:space="0" w:color="auto"/>
        <w:right w:val="none" w:sz="0" w:space="0" w:color="auto"/>
      </w:divBdr>
    </w:div>
    <w:div w:id="1350524042">
      <w:marLeft w:val="0"/>
      <w:marRight w:val="0"/>
      <w:marTop w:val="90"/>
      <w:marBottom w:val="90"/>
      <w:divBdr>
        <w:top w:val="none" w:sz="0" w:space="0" w:color="auto"/>
        <w:left w:val="none" w:sz="0" w:space="0" w:color="auto"/>
        <w:bottom w:val="none" w:sz="0" w:space="0" w:color="auto"/>
        <w:right w:val="none" w:sz="0" w:space="0" w:color="auto"/>
      </w:divBdr>
    </w:div>
    <w:div w:id="1350764289">
      <w:marLeft w:val="0"/>
      <w:marRight w:val="0"/>
      <w:marTop w:val="0"/>
      <w:marBottom w:val="0"/>
      <w:divBdr>
        <w:top w:val="none" w:sz="0" w:space="0" w:color="auto"/>
        <w:left w:val="none" w:sz="0" w:space="0" w:color="auto"/>
        <w:bottom w:val="none" w:sz="0" w:space="0" w:color="auto"/>
        <w:right w:val="none" w:sz="0" w:space="0" w:color="auto"/>
      </w:divBdr>
      <w:divsChild>
        <w:div w:id="246689510">
          <w:marLeft w:val="0"/>
          <w:marRight w:val="0"/>
          <w:marTop w:val="0"/>
          <w:marBottom w:val="0"/>
          <w:divBdr>
            <w:top w:val="none" w:sz="0" w:space="0" w:color="auto"/>
            <w:left w:val="none" w:sz="0" w:space="0" w:color="auto"/>
            <w:bottom w:val="none" w:sz="0" w:space="0" w:color="auto"/>
            <w:right w:val="none" w:sz="0" w:space="0" w:color="auto"/>
          </w:divBdr>
          <w:divsChild>
            <w:div w:id="4972329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51644813">
      <w:marLeft w:val="0"/>
      <w:marRight w:val="0"/>
      <w:marTop w:val="0"/>
      <w:marBottom w:val="0"/>
      <w:divBdr>
        <w:top w:val="none" w:sz="0" w:space="0" w:color="auto"/>
        <w:left w:val="none" w:sz="0" w:space="0" w:color="auto"/>
        <w:bottom w:val="none" w:sz="0" w:space="0" w:color="auto"/>
        <w:right w:val="none" w:sz="0" w:space="0" w:color="auto"/>
      </w:divBdr>
      <w:divsChild>
        <w:div w:id="1527062052">
          <w:marLeft w:val="0"/>
          <w:marRight w:val="0"/>
          <w:marTop w:val="0"/>
          <w:marBottom w:val="100"/>
          <w:divBdr>
            <w:top w:val="none" w:sz="0" w:space="0" w:color="auto"/>
            <w:left w:val="none" w:sz="0" w:space="0" w:color="auto"/>
            <w:bottom w:val="none" w:sz="0" w:space="0" w:color="auto"/>
            <w:right w:val="none" w:sz="0" w:space="0" w:color="auto"/>
          </w:divBdr>
        </w:div>
      </w:divsChild>
    </w:div>
    <w:div w:id="1353459054">
      <w:marLeft w:val="0"/>
      <w:marRight w:val="0"/>
      <w:marTop w:val="100"/>
      <w:marBottom w:val="0"/>
      <w:divBdr>
        <w:top w:val="none" w:sz="0" w:space="0" w:color="auto"/>
        <w:left w:val="none" w:sz="0" w:space="0" w:color="auto"/>
        <w:bottom w:val="none" w:sz="0" w:space="0" w:color="auto"/>
        <w:right w:val="none" w:sz="0" w:space="0" w:color="auto"/>
      </w:divBdr>
    </w:div>
    <w:div w:id="1355420875">
      <w:marLeft w:val="0"/>
      <w:marRight w:val="0"/>
      <w:marTop w:val="0"/>
      <w:marBottom w:val="100"/>
      <w:divBdr>
        <w:top w:val="none" w:sz="0" w:space="0" w:color="auto"/>
        <w:left w:val="none" w:sz="0" w:space="0" w:color="auto"/>
        <w:bottom w:val="none" w:sz="0" w:space="0" w:color="auto"/>
        <w:right w:val="none" w:sz="0" w:space="0" w:color="auto"/>
      </w:divBdr>
    </w:div>
    <w:div w:id="1359425907">
      <w:marLeft w:val="0"/>
      <w:marRight w:val="0"/>
      <w:marTop w:val="0"/>
      <w:marBottom w:val="0"/>
      <w:divBdr>
        <w:top w:val="none" w:sz="0" w:space="0" w:color="auto"/>
        <w:left w:val="none" w:sz="0" w:space="0" w:color="auto"/>
        <w:bottom w:val="none" w:sz="0" w:space="0" w:color="auto"/>
        <w:right w:val="none" w:sz="0" w:space="0" w:color="auto"/>
      </w:divBdr>
    </w:div>
    <w:div w:id="1361971481">
      <w:marLeft w:val="0"/>
      <w:marRight w:val="0"/>
      <w:marTop w:val="100"/>
      <w:marBottom w:val="100"/>
      <w:divBdr>
        <w:top w:val="none" w:sz="0" w:space="0" w:color="auto"/>
        <w:left w:val="none" w:sz="0" w:space="0" w:color="auto"/>
        <w:bottom w:val="none" w:sz="0" w:space="0" w:color="auto"/>
        <w:right w:val="none" w:sz="0" w:space="0" w:color="auto"/>
      </w:divBdr>
    </w:div>
    <w:div w:id="1362052530">
      <w:marLeft w:val="0"/>
      <w:marRight w:val="0"/>
      <w:marTop w:val="0"/>
      <w:marBottom w:val="0"/>
      <w:divBdr>
        <w:top w:val="none" w:sz="0" w:space="0" w:color="auto"/>
        <w:left w:val="none" w:sz="0" w:space="0" w:color="auto"/>
        <w:bottom w:val="none" w:sz="0" w:space="0" w:color="auto"/>
        <w:right w:val="none" w:sz="0" w:space="0" w:color="auto"/>
      </w:divBdr>
    </w:div>
    <w:div w:id="1362634143">
      <w:marLeft w:val="0"/>
      <w:marRight w:val="0"/>
      <w:marTop w:val="100"/>
      <w:marBottom w:val="100"/>
      <w:divBdr>
        <w:top w:val="none" w:sz="0" w:space="0" w:color="auto"/>
        <w:left w:val="none" w:sz="0" w:space="0" w:color="auto"/>
        <w:bottom w:val="none" w:sz="0" w:space="0" w:color="auto"/>
        <w:right w:val="none" w:sz="0" w:space="0" w:color="auto"/>
      </w:divBdr>
    </w:div>
    <w:div w:id="1363361740">
      <w:marLeft w:val="0"/>
      <w:marRight w:val="0"/>
      <w:marTop w:val="180"/>
      <w:marBottom w:val="0"/>
      <w:divBdr>
        <w:top w:val="none" w:sz="0" w:space="0" w:color="auto"/>
        <w:left w:val="none" w:sz="0" w:space="0" w:color="auto"/>
        <w:bottom w:val="none" w:sz="0" w:space="0" w:color="auto"/>
        <w:right w:val="none" w:sz="0" w:space="0" w:color="auto"/>
      </w:divBdr>
    </w:div>
    <w:div w:id="1365524631">
      <w:marLeft w:val="0"/>
      <w:marRight w:val="0"/>
      <w:marTop w:val="180"/>
      <w:marBottom w:val="100"/>
      <w:divBdr>
        <w:top w:val="none" w:sz="0" w:space="0" w:color="auto"/>
        <w:left w:val="none" w:sz="0" w:space="0" w:color="auto"/>
        <w:bottom w:val="none" w:sz="0" w:space="0" w:color="auto"/>
        <w:right w:val="none" w:sz="0" w:space="0" w:color="auto"/>
      </w:divBdr>
    </w:div>
    <w:div w:id="1369186908">
      <w:marLeft w:val="0"/>
      <w:marRight w:val="0"/>
      <w:marTop w:val="180"/>
      <w:marBottom w:val="0"/>
      <w:divBdr>
        <w:top w:val="none" w:sz="0" w:space="0" w:color="auto"/>
        <w:left w:val="none" w:sz="0" w:space="0" w:color="auto"/>
        <w:bottom w:val="none" w:sz="0" w:space="0" w:color="auto"/>
        <w:right w:val="none" w:sz="0" w:space="0" w:color="auto"/>
      </w:divBdr>
    </w:div>
    <w:div w:id="1372077943">
      <w:marLeft w:val="0"/>
      <w:marRight w:val="0"/>
      <w:marTop w:val="100"/>
      <w:marBottom w:val="100"/>
      <w:divBdr>
        <w:top w:val="none" w:sz="0" w:space="0" w:color="auto"/>
        <w:left w:val="none" w:sz="0" w:space="0" w:color="auto"/>
        <w:bottom w:val="none" w:sz="0" w:space="0" w:color="auto"/>
        <w:right w:val="none" w:sz="0" w:space="0" w:color="auto"/>
      </w:divBdr>
      <w:divsChild>
        <w:div w:id="1099908307">
          <w:marLeft w:val="0"/>
          <w:marRight w:val="0"/>
          <w:marTop w:val="0"/>
          <w:marBottom w:val="0"/>
          <w:divBdr>
            <w:top w:val="none" w:sz="0" w:space="0" w:color="auto"/>
            <w:left w:val="none" w:sz="0" w:space="0" w:color="auto"/>
            <w:bottom w:val="none" w:sz="0" w:space="0" w:color="auto"/>
            <w:right w:val="none" w:sz="0" w:space="0" w:color="auto"/>
          </w:divBdr>
        </w:div>
        <w:div w:id="1949771733">
          <w:marLeft w:val="0"/>
          <w:marRight w:val="0"/>
          <w:marTop w:val="0"/>
          <w:marBottom w:val="0"/>
          <w:divBdr>
            <w:top w:val="none" w:sz="0" w:space="0" w:color="auto"/>
            <w:left w:val="none" w:sz="0" w:space="0" w:color="auto"/>
            <w:bottom w:val="none" w:sz="0" w:space="0" w:color="auto"/>
            <w:right w:val="none" w:sz="0" w:space="0" w:color="auto"/>
          </w:divBdr>
        </w:div>
      </w:divsChild>
    </w:div>
    <w:div w:id="1372728234">
      <w:marLeft w:val="0"/>
      <w:marRight w:val="0"/>
      <w:marTop w:val="0"/>
      <w:marBottom w:val="0"/>
      <w:divBdr>
        <w:top w:val="none" w:sz="0" w:space="0" w:color="auto"/>
        <w:left w:val="none" w:sz="0" w:space="0" w:color="auto"/>
        <w:bottom w:val="none" w:sz="0" w:space="0" w:color="auto"/>
        <w:right w:val="none" w:sz="0" w:space="0" w:color="auto"/>
      </w:divBdr>
    </w:div>
    <w:div w:id="1373075491">
      <w:marLeft w:val="0"/>
      <w:marRight w:val="0"/>
      <w:marTop w:val="0"/>
      <w:marBottom w:val="0"/>
      <w:divBdr>
        <w:top w:val="none" w:sz="0" w:space="0" w:color="auto"/>
        <w:left w:val="none" w:sz="0" w:space="0" w:color="auto"/>
        <w:bottom w:val="none" w:sz="0" w:space="0" w:color="auto"/>
        <w:right w:val="none" w:sz="0" w:space="0" w:color="auto"/>
      </w:divBdr>
      <w:divsChild>
        <w:div w:id="1712151827">
          <w:marLeft w:val="0"/>
          <w:marRight w:val="0"/>
          <w:marTop w:val="0"/>
          <w:marBottom w:val="0"/>
          <w:divBdr>
            <w:top w:val="none" w:sz="0" w:space="0" w:color="auto"/>
            <w:left w:val="none" w:sz="0" w:space="0" w:color="auto"/>
            <w:bottom w:val="none" w:sz="0" w:space="0" w:color="auto"/>
            <w:right w:val="none" w:sz="0" w:space="0" w:color="auto"/>
          </w:divBdr>
          <w:divsChild>
            <w:div w:id="84766972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75302806">
      <w:marLeft w:val="0"/>
      <w:marRight w:val="0"/>
      <w:marTop w:val="100"/>
      <w:marBottom w:val="100"/>
      <w:divBdr>
        <w:top w:val="none" w:sz="0" w:space="0" w:color="auto"/>
        <w:left w:val="none" w:sz="0" w:space="0" w:color="auto"/>
        <w:bottom w:val="none" w:sz="0" w:space="0" w:color="auto"/>
        <w:right w:val="none" w:sz="0" w:space="0" w:color="auto"/>
      </w:divBdr>
    </w:div>
    <w:div w:id="1376083501">
      <w:marLeft w:val="0"/>
      <w:marRight w:val="0"/>
      <w:marTop w:val="0"/>
      <w:marBottom w:val="0"/>
      <w:divBdr>
        <w:top w:val="none" w:sz="0" w:space="0" w:color="auto"/>
        <w:left w:val="none" w:sz="0" w:space="0" w:color="auto"/>
        <w:bottom w:val="none" w:sz="0" w:space="0" w:color="auto"/>
        <w:right w:val="none" w:sz="0" w:space="0" w:color="auto"/>
      </w:divBdr>
      <w:divsChild>
        <w:div w:id="271017620">
          <w:marLeft w:val="0"/>
          <w:marRight w:val="0"/>
          <w:marTop w:val="0"/>
          <w:marBottom w:val="0"/>
          <w:divBdr>
            <w:top w:val="none" w:sz="0" w:space="0" w:color="auto"/>
            <w:left w:val="none" w:sz="0" w:space="0" w:color="auto"/>
            <w:bottom w:val="none" w:sz="0" w:space="0" w:color="auto"/>
            <w:right w:val="none" w:sz="0" w:space="0" w:color="auto"/>
          </w:divBdr>
          <w:divsChild>
            <w:div w:id="3089421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77705331">
      <w:marLeft w:val="0"/>
      <w:marRight w:val="0"/>
      <w:marTop w:val="100"/>
      <w:marBottom w:val="100"/>
      <w:divBdr>
        <w:top w:val="none" w:sz="0" w:space="0" w:color="auto"/>
        <w:left w:val="none" w:sz="0" w:space="0" w:color="auto"/>
        <w:bottom w:val="none" w:sz="0" w:space="0" w:color="auto"/>
        <w:right w:val="none" w:sz="0" w:space="0" w:color="auto"/>
      </w:divBdr>
    </w:div>
    <w:div w:id="1378238524">
      <w:marLeft w:val="0"/>
      <w:marRight w:val="0"/>
      <w:marTop w:val="100"/>
      <w:marBottom w:val="100"/>
      <w:divBdr>
        <w:top w:val="none" w:sz="0" w:space="0" w:color="auto"/>
        <w:left w:val="none" w:sz="0" w:space="0" w:color="auto"/>
        <w:bottom w:val="none" w:sz="0" w:space="0" w:color="auto"/>
        <w:right w:val="none" w:sz="0" w:space="0" w:color="auto"/>
      </w:divBdr>
    </w:div>
    <w:div w:id="1379280902">
      <w:marLeft w:val="0"/>
      <w:marRight w:val="0"/>
      <w:marTop w:val="180"/>
      <w:marBottom w:val="0"/>
      <w:divBdr>
        <w:top w:val="none" w:sz="0" w:space="0" w:color="auto"/>
        <w:left w:val="none" w:sz="0" w:space="0" w:color="auto"/>
        <w:bottom w:val="none" w:sz="0" w:space="0" w:color="auto"/>
        <w:right w:val="none" w:sz="0" w:space="0" w:color="auto"/>
      </w:divBdr>
    </w:div>
    <w:div w:id="1380935001">
      <w:marLeft w:val="0"/>
      <w:marRight w:val="0"/>
      <w:marTop w:val="180"/>
      <w:marBottom w:val="0"/>
      <w:divBdr>
        <w:top w:val="none" w:sz="0" w:space="0" w:color="auto"/>
        <w:left w:val="none" w:sz="0" w:space="0" w:color="auto"/>
        <w:bottom w:val="none" w:sz="0" w:space="0" w:color="auto"/>
        <w:right w:val="none" w:sz="0" w:space="0" w:color="auto"/>
      </w:divBdr>
    </w:div>
    <w:div w:id="1380978422">
      <w:marLeft w:val="0"/>
      <w:marRight w:val="0"/>
      <w:marTop w:val="100"/>
      <w:marBottom w:val="100"/>
      <w:divBdr>
        <w:top w:val="none" w:sz="0" w:space="0" w:color="auto"/>
        <w:left w:val="none" w:sz="0" w:space="0" w:color="auto"/>
        <w:bottom w:val="none" w:sz="0" w:space="0" w:color="auto"/>
        <w:right w:val="none" w:sz="0" w:space="0" w:color="auto"/>
      </w:divBdr>
    </w:div>
    <w:div w:id="1381326301">
      <w:marLeft w:val="0"/>
      <w:marRight w:val="0"/>
      <w:marTop w:val="100"/>
      <w:marBottom w:val="100"/>
      <w:divBdr>
        <w:top w:val="none" w:sz="0" w:space="0" w:color="auto"/>
        <w:left w:val="none" w:sz="0" w:space="0" w:color="auto"/>
        <w:bottom w:val="none" w:sz="0" w:space="0" w:color="auto"/>
        <w:right w:val="none" w:sz="0" w:space="0" w:color="auto"/>
      </w:divBdr>
    </w:div>
    <w:div w:id="1382100075">
      <w:marLeft w:val="0"/>
      <w:marRight w:val="0"/>
      <w:marTop w:val="100"/>
      <w:marBottom w:val="100"/>
      <w:divBdr>
        <w:top w:val="none" w:sz="0" w:space="0" w:color="auto"/>
        <w:left w:val="none" w:sz="0" w:space="0" w:color="auto"/>
        <w:bottom w:val="none" w:sz="0" w:space="0" w:color="auto"/>
        <w:right w:val="none" w:sz="0" w:space="0" w:color="auto"/>
      </w:divBdr>
    </w:div>
    <w:div w:id="1382174978">
      <w:marLeft w:val="0"/>
      <w:marRight w:val="0"/>
      <w:marTop w:val="100"/>
      <w:marBottom w:val="100"/>
      <w:divBdr>
        <w:top w:val="none" w:sz="0" w:space="0" w:color="auto"/>
        <w:left w:val="none" w:sz="0" w:space="0" w:color="auto"/>
        <w:bottom w:val="none" w:sz="0" w:space="0" w:color="auto"/>
        <w:right w:val="none" w:sz="0" w:space="0" w:color="auto"/>
      </w:divBdr>
    </w:div>
    <w:div w:id="1383794334">
      <w:marLeft w:val="0"/>
      <w:marRight w:val="0"/>
      <w:marTop w:val="180"/>
      <w:marBottom w:val="100"/>
      <w:divBdr>
        <w:top w:val="none" w:sz="0" w:space="0" w:color="auto"/>
        <w:left w:val="none" w:sz="0" w:space="0" w:color="auto"/>
        <w:bottom w:val="none" w:sz="0" w:space="0" w:color="auto"/>
        <w:right w:val="none" w:sz="0" w:space="0" w:color="auto"/>
      </w:divBdr>
    </w:div>
    <w:div w:id="1384519759">
      <w:marLeft w:val="0"/>
      <w:marRight w:val="0"/>
      <w:marTop w:val="100"/>
      <w:marBottom w:val="0"/>
      <w:divBdr>
        <w:top w:val="none" w:sz="0" w:space="0" w:color="auto"/>
        <w:left w:val="none" w:sz="0" w:space="0" w:color="auto"/>
        <w:bottom w:val="none" w:sz="0" w:space="0" w:color="auto"/>
        <w:right w:val="none" w:sz="0" w:space="0" w:color="auto"/>
      </w:divBdr>
    </w:div>
    <w:div w:id="1385982412">
      <w:marLeft w:val="0"/>
      <w:marRight w:val="0"/>
      <w:marTop w:val="0"/>
      <w:marBottom w:val="100"/>
      <w:divBdr>
        <w:top w:val="none" w:sz="0" w:space="0" w:color="auto"/>
        <w:left w:val="none" w:sz="0" w:space="0" w:color="auto"/>
        <w:bottom w:val="none" w:sz="0" w:space="0" w:color="auto"/>
        <w:right w:val="none" w:sz="0" w:space="0" w:color="auto"/>
      </w:divBdr>
    </w:div>
    <w:div w:id="1386563981">
      <w:marLeft w:val="0"/>
      <w:marRight w:val="0"/>
      <w:marTop w:val="180"/>
      <w:marBottom w:val="100"/>
      <w:divBdr>
        <w:top w:val="none" w:sz="0" w:space="0" w:color="auto"/>
        <w:left w:val="none" w:sz="0" w:space="0" w:color="auto"/>
        <w:bottom w:val="none" w:sz="0" w:space="0" w:color="auto"/>
        <w:right w:val="none" w:sz="0" w:space="0" w:color="auto"/>
      </w:divBdr>
    </w:div>
    <w:div w:id="1387025665">
      <w:marLeft w:val="0"/>
      <w:marRight w:val="0"/>
      <w:marTop w:val="0"/>
      <w:marBottom w:val="100"/>
      <w:divBdr>
        <w:top w:val="none" w:sz="0" w:space="0" w:color="auto"/>
        <w:left w:val="none" w:sz="0" w:space="0" w:color="auto"/>
        <w:bottom w:val="none" w:sz="0" w:space="0" w:color="auto"/>
        <w:right w:val="none" w:sz="0" w:space="0" w:color="auto"/>
      </w:divBdr>
    </w:div>
    <w:div w:id="1387559995">
      <w:marLeft w:val="0"/>
      <w:marRight w:val="0"/>
      <w:marTop w:val="180"/>
      <w:marBottom w:val="100"/>
      <w:divBdr>
        <w:top w:val="none" w:sz="0" w:space="0" w:color="auto"/>
        <w:left w:val="none" w:sz="0" w:space="0" w:color="auto"/>
        <w:bottom w:val="none" w:sz="0" w:space="0" w:color="auto"/>
        <w:right w:val="none" w:sz="0" w:space="0" w:color="auto"/>
      </w:divBdr>
    </w:div>
    <w:div w:id="1390690313">
      <w:marLeft w:val="0"/>
      <w:marRight w:val="0"/>
      <w:marTop w:val="0"/>
      <w:marBottom w:val="0"/>
      <w:divBdr>
        <w:top w:val="none" w:sz="0" w:space="0" w:color="auto"/>
        <w:left w:val="none" w:sz="0" w:space="0" w:color="auto"/>
        <w:bottom w:val="none" w:sz="0" w:space="0" w:color="auto"/>
        <w:right w:val="none" w:sz="0" w:space="0" w:color="auto"/>
      </w:divBdr>
    </w:div>
    <w:div w:id="1390957648">
      <w:marLeft w:val="0"/>
      <w:marRight w:val="0"/>
      <w:marTop w:val="100"/>
      <w:marBottom w:val="0"/>
      <w:divBdr>
        <w:top w:val="none" w:sz="0" w:space="0" w:color="auto"/>
        <w:left w:val="none" w:sz="0" w:space="0" w:color="auto"/>
        <w:bottom w:val="none" w:sz="0" w:space="0" w:color="auto"/>
        <w:right w:val="none" w:sz="0" w:space="0" w:color="auto"/>
      </w:divBdr>
    </w:div>
    <w:div w:id="1391348113">
      <w:marLeft w:val="0"/>
      <w:marRight w:val="0"/>
      <w:marTop w:val="0"/>
      <w:marBottom w:val="100"/>
      <w:divBdr>
        <w:top w:val="none" w:sz="0" w:space="0" w:color="auto"/>
        <w:left w:val="none" w:sz="0" w:space="0" w:color="auto"/>
        <w:bottom w:val="none" w:sz="0" w:space="0" w:color="auto"/>
        <w:right w:val="none" w:sz="0" w:space="0" w:color="auto"/>
      </w:divBdr>
    </w:div>
    <w:div w:id="1393115924">
      <w:marLeft w:val="0"/>
      <w:marRight w:val="0"/>
      <w:marTop w:val="180"/>
      <w:marBottom w:val="100"/>
      <w:divBdr>
        <w:top w:val="none" w:sz="0" w:space="0" w:color="auto"/>
        <w:left w:val="none" w:sz="0" w:space="0" w:color="auto"/>
        <w:bottom w:val="none" w:sz="0" w:space="0" w:color="auto"/>
        <w:right w:val="none" w:sz="0" w:space="0" w:color="auto"/>
      </w:divBdr>
    </w:div>
    <w:div w:id="1393196782">
      <w:marLeft w:val="0"/>
      <w:marRight w:val="0"/>
      <w:marTop w:val="0"/>
      <w:marBottom w:val="0"/>
      <w:divBdr>
        <w:top w:val="none" w:sz="0" w:space="0" w:color="auto"/>
        <w:left w:val="none" w:sz="0" w:space="0" w:color="auto"/>
        <w:bottom w:val="none" w:sz="0" w:space="0" w:color="auto"/>
        <w:right w:val="none" w:sz="0" w:space="0" w:color="auto"/>
      </w:divBdr>
    </w:div>
    <w:div w:id="1394231056">
      <w:marLeft w:val="0"/>
      <w:marRight w:val="0"/>
      <w:marTop w:val="0"/>
      <w:marBottom w:val="0"/>
      <w:divBdr>
        <w:top w:val="none" w:sz="0" w:space="0" w:color="auto"/>
        <w:left w:val="none" w:sz="0" w:space="0" w:color="auto"/>
        <w:bottom w:val="none" w:sz="0" w:space="0" w:color="auto"/>
        <w:right w:val="none" w:sz="0" w:space="0" w:color="auto"/>
      </w:divBdr>
    </w:div>
    <w:div w:id="1394278699">
      <w:marLeft w:val="0"/>
      <w:marRight w:val="0"/>
      <w:marTop w:val="0"/>
      <w:marBottom w:val="0"/>
      <w:divBdr>
        <w:top w:val="none" w:sz="0" w:space="0" w:color="auto"/>
        <w:left w:val="none" w:sz="0" w:space="0" w:color="auto"/>
        <w:bottom w:val="none" w:sz="0" w:space="0" w:color="auto"/>
        <w:right w:val="none" w:sz="0" w:space="0" w:color="auto"/>
      </w:divBdr>
      <w:divsChild>
        <w:div w:id="1990817053">
          <w:marLeft w:val="0"/>
          <w:marRight w:val="0"/>
          <w:marTop w:val="0"/>
          <w:marBottom w:val="0"/>
          <w:divBdr>
            <w:top w:val="none" w:sz="0" w:space="0" w:color="auto"/>
            <w:left w:val="none" w:sz="0" w:space="0" w:color="auto"/>
            <w:bottom w:val="none" w:sz="0" w:space="0" w:color="auto"/>
            <w:right w:val="none" w:sz="0" w:space="0" w:color="auto"/>
          </w:divBdr>
        </w:div>
        <w:div w:id="379522607">
          <w:marLeft w:val="0"/>
          <w:marRight w:val="0"/>
          <w:marTop w:val="0"/>
          <w:marBottom w:val="0"/>
          <w:divBdr>
            <w:top w:val="none" w:sz="0" w:space="0" w:color="auto"/>
            <w:left w:val="none" w:sz="0" w:space="0" w:color="auto"/>
            <w:bottom w:val="none" w:sz="0" w:space="0" w:color="auto"/>
            <w:right w:val="none" w:sz="0" w:space="0" w:color="auto"/>
          </w:divBdr>
        </w:div>
      </w:divsChild>
    </w:div>
    <w:div w:id="1395276582">
      <w:marLeft w:val="0"/>
      <w:marRight w:val="0"/>
      <w:marTop w:val="0"/>
      <w:marBottom w:val="0"/>
      <w:divBdr>
        <w:top w:val="none" w:sz="0" w:space="0" w:color="auto"/>
        <w:left w:val="none" w:sz="0" w:space="0" w:color="auto"/>
        <w:bottom w:val="none" w:sz="0" w:space="0" w:color="auto"/>
        <w:right w:val="none" w:sz="0" w:space="0" w:color="auto"/>
      </w:divBdr>
    </w:div>
    <w:div w:id="1395591164">
      <w:marLeft w:val="0"/>
      <w:marRight w:val="0"/>
      <w:marTop w:val="0"/>
      <w:marBottom w:val="0"/>
      <w:divBdr>
        <w:top w:val="none" w:sz="0" w:space="0" w:color="auto"/>
        <w:left w:val="none" w:sz="0" w:space="0" w:color="auto"/>
        <w:bottom w:val="none" w:sz="0" w:space="0" w:color="auto"/>
        <w:right w:val="none" w:sz="0" w:space="0" w:color="auto"/>
      </w:divBdr>
    </w:div>
    <w:div w:id="1396930524">
      <w:marLeft w:val="0"/>
      <w:marRight w:val="0"/>
      <w:marTop w:val="180"/>
      <w:marBottom w:val="0"/>
      <w:divBdr>
        <w:top w:val="none" w:sz="0" w:space="0" w:color="auto"/>
        <w:left w:val="none" w:sz="0" w:space="0" w:color="auto"/>
        <w:bottom w:val="none" w:sz="0" w:space="0" w:color="auto"/>
        <w:right w:val="none" w:sz="0" w:space="0" w:color="auto"/>
      </w:divBdr>
    </w:div>
    <w:div w:id="1397364153">
      <w:marLeft w:val="0"/>
      <w:marRight w:val="0"/>
      <w:marTop w:val="180"/>
      <w:marBottom w:val="100"/>
      <w:divBdr>
        <w:top w:val="none" w:sz="0" w:space="0" w:color="auto"/>
        <w:left w:val="none" w:sz="0" w:space="0" w:color="auto"/>
        <w:bottom w:val="none" w:sz="0" w:space="0" w:color="auto"/>
        <w:right w:val="none" w:sz="0" w:space="0" w:color="auto"/>
      </w:divBdr>
    </w:div>
    <w:div w:id="1398213153">
      <w:marLeft w:val="0"/>
      <w:marRight w:val="0"/>
      <w:marTop w:val="180"/>
      <w:marBottom w:val="100"/>
      <w:divBdr>
        <w:top w:val="none" w:sz="0" w:space="0" w:color="auto"/>
        <w:left w:val="none" w:sz="0" w:space="0" w:color="auto"/>
        <w:bottom w:val="none" w:sz="0" w:space="0" w:color="auto"/>
        <w:right w:val="none" w:sz="0" w:space="0" w:color="auto"/>
      </w:divBdr>
    </w:div>
    <w:div w:id="1398554573">
      <w:marLeft w:val="0"/>
      <w:marRight w:val="0"/>
      <w:marTop w:val="100"/>
      <w:marBottom w:val="100"/>
      <w:divBdr>
        <w:top w:val="none" w:sz="0" w:space="0" w:color="auto"/>
        <w:left w:val="none" w:sz="0" w:space="0" w:color="auto"/>
        <w:bottom w:val="none" w:sz="0" w:space="0" w:color="auto"/>
        <w:right w:val="none" w:sz="0" w:space="0" w:color="auto"/>
      </w:divBdr>
    </w:div>
    <w:div w:id="1400832902">
      <w:marLeft w:val="0"/>
      <w:marRight w:val="0"/>
      <w:marTop w:val="0"/>
      <w:marBottom w:val="0"/>
      <w:divBdr>
        <w:top w:val="none" w:sz="0" w:space="0" w:color="auto"/>
        <w:left w:val="none" w:sz="0" w:space="0" w:color="auto"/>
        <w:bottom w:val="none" w:sz="0" w:space="0" w:color="auto"/>
        <w:right w:val="none" w:sz="0" w:space="0" w:color="auto"/>
      </w:divBdr>
    </w:div>
    <w:div w:id="1400857448">
      <w:marLeft w:val="0"/>
      <w:marRight w:val="0"/>
      <w:marTop w:val="180"/>
      <w:marBottom w:val="0"/>
      <w:divBdr>
        <w:top w:val="none" w:sz="0" w:space="0" w:color="auto"/>
        <w:left w:val="none" w:sz="0" w:space="0" w:color="auto"/>
        <w:bottom w:val="none" w:sz="0" w:space="0" w:color="auto"/>
        <w:right w:val="none" w:sz="0" w:space="0" w:color="auto"/>
      </w:divBdr>
    </w:div>
    <w:div w:id="1405373471">
      <w:marLeft w:val="0"/>
      <w:marRight w:val="0"/>
      <w:marTop w:val="180"/>
      <w:marBottom w:val="0"/>
      <w:divBdr>
        <w:top w:val="none" w:sz="0" w:space="0" w:color="auto"/>
        <w:left w:val="none" w:sz="0" w:space="0" w:color="auto"/>
        <w:bottom w:val="none" w:sz="0" w:space="0" w:color="auto"/>
        <w:right w:val="none" w:sz="0" w:space="0" w:color="auto"/>
      </w:divBdr>
    </w:div>
    <w:div w:id="1407335628">
      <w:marLeft w:val="0"/>
      <w:marRight w:val="0"/>
      <w:marTop w:val="0"/>
      <w:marBottom w:val="100"/>
      <w:divBdr>
        <w:top w:val="none" w:sz="0" w:space="0" w:color="auto"/>
        <w:left w:val="none" w:sz="0" w:space="0" w:color="auto"/>
        <w:bottom w:val="none" w:sz="0" w:space="0" w:color="auto"/>
        <w:right w:val="none" w:sz="0" w:space="0" w:color="auto"/>
      </w:divBdr>
    </w:div>
    <w:div w:id="1408115581">
      <w:marLeft w:val="0"/>
      <w:marRight w:val="0"/>
      <w:marTop w:val="0"/>
      <w:marBottom w:val="0"/>
      <w:divBdr>
        <w:top w:val="none" w:sz="0" w:space="0" w:color="auto"/>
        <w:left w:val="none" w:sz="0" w:space="0" w:color="auto"/>
        <w:bottom w:val="none" w:sz="0" w:space="0" w:color="auto"/>
        <w:right w:val="none" w:sz="0" w:space="0" w:color="auto"/>
      </w:divBdr>
    </w:div>
    <w:div w:id="1408384061">
      <w:marLeft w:val="0"/>
      <w:marRight w:val="0"/>
      <w:marTop w:val="100"/>
      <w:marBottom w:val="100"/>
      <w:divBdr>
        <w:top w:val="none" w:sz="0" w:space="0" w:color="auto"/>
        <w:left w:val="none" w:sz="0" w:space="0" w:color="auto"/>
        <w:bottom w:val="none" w:sz="0" w:space="0" w:color="auto"/>
        <w:right w:val="none" w:sz="0" w:space="0" w:color="auto"/>
      </w:divBdr>
    </w:div>
    <w:div w:id="1408530922">
      <w:marLeft w:val="0"/>
      <w:marRight w:val="0"/>
      <w:marTop w:val="100"/>
      <w:marBottom w:val="100"/>
      <w:divBdr>
        <w:top w:val="none" w:sz="0" w:space="0" w:color="auto"/>
        <w:left w:val="none" w:sz="0" w:space="0" w:color="auto"/>
        <w:bottom w:val="none" w:sz="0" w:space="0" w:color="auto"/>
        <w:right w:val="none" w:sz="0" w:space="0" w:color="auto"/>
      </w:divBdr>
      <w:divsChild>
        <w:div w:id="1930845925">
          <w:marLeft w:val="0"/>
          <w:marRight w:val="0"/>
          <w:marTop w:val="0"/>
          <w:marBottom w:val="0"/>
          <w:divBdr>
            <w:top w:val="none" w:sz="0" w:space="0" w:color="auto"/>
            <w:left w:val="none" w:sz="0" w:space="0" w:color="auto"/>
            <w:bottom w:val="none" w:sz="0" w:space="0" w:color="auto"/>
            <w:right w:val="none" w:sz="0" w:space="0" w:color="auto"/>
          </w:divBdr>
        </w:div>
        <w:div w:id="742482901">
          <w:marLeft w:val="0"/>
          <w:marRight w:val="0"/>
          <w:marTop w:val="0"/>
          <w:marBottom w:val="0"/>
          <w:divBdr>
            <w:top w:val="none" w:sz="0" w:space="0" w:color="auto"/>
            <w:left w:val="none" w:sz="0" w:space="0" w:color="auto"/>
            <w:bottom w:val="none" w:sz="0" w:space="0" w:color="auto"/>
            <w:right w:val="none" w:sz="0" w:space="0" w:color="auto"/>
          </w:divBdr>
        </w:div>
        <w:div w:id="135533647">
          <w:marLeft w:val="0"/>
          <w:marRight w:val="0"/>
          <w:marTop w:val="0"/>
          <w:marBottom w:val="0"/>
          <w:divBdr>
            <w:top w:val="none" w:sz="0" w:space="0" w:color="auto"/>
            <w:left w:val="none" w:sz="0" w:space="0" w:color="auto"/>
            <w:bottom w:val="none" w:sz="0" w:space="0" w:color="auto"/>
            <w:right w:val="none" w:sz="0" w:space="0" w:color="auto"/>
          </w:divBdr>
        </w:div>
        <w:div w:id="412750275">
          <w:marLeft w:val="0"/>
          <w:marRight w:val="0"/>
          <w:marTop w:val="0"/>
          <w:marBottom w:val="0"/>
          <w:divBdr>
            <w:top w:val="none" w:sz="0" w:space="0" w:color="auto"/>
            <w:left w:val="none" w:sz="0" w:space="0" w:color="auto"/>
            <w:bottom w:val="none" w:sz="0" w:space="0" w:color="auto"/>
            <w:right w:val="none" w:sz="0" w:space="0" w:color="auto"/>
          </w:divBdr>
        </w:div>
        <w:div w:id="1722096500">
          <w:marLeft w:val="0"/>
          <w:marRight w:val="0"/>
          <w:marTop w:val="0"/>
          <w:marBottom w:val="0"/>
          <w:divBdr>
            <w:top w:val="none" w:sz="0" w:space="0" w:color="auto"/>
            <w:left w:val="none" w:sz="0" w:space="0" w:color="auto"/>
            <w:bottom w:val="none" w:sz="0" w:space="0" w:color="auto"/>
            <w:right w:val="none" w:sz="0" w:space="0" w:color="auto"/>
          </w:divBdr>
        </w:div>
        <w:div w:id="1300912837">
          <w:marLeft w:val="0"/>
          <w:marRight w:val="0"/>
          <w:marTop w:val="0"/>
          <w:marBottom w:val="0"/>
          <w:divBdr>
            <w:top w:val="none" w:sz="0" w:space="0" w:color="auto"/>
            <w:left w:val="none" w:sz="0" w:space="0" w:color="auto"/>
            <w:bottom w:val="none" w:sz="0" w:space="0" w:color="auto"/>
            <w:right w:val="none" w:sz="0" w:space="0" w:color="auto"/>
          </w:divBdr>
        </w:div>
        <w:div w:id="1249847602">
          <w:marLeft w:val="0"/>
          <w:marRight w:val="0"/>
          <w:marTop w:val="0"/>
          <w:marBottom w:val="0"/>
          <w:divBdr>
            <w:top w:val="none" w:sz="0" w:space="0" w:color="auto"/>
            <w:left w:val="none" w:sz="0" w:space="0" w:color="auto"/>
            <w:bottom w:val="none" w:sz="0" w:space="0" w:color="auto"/>
            <w:right w:val="none" w:sz="0" w:space="0" w:color="auto"/>
          </w:divBdr>
        </w:div>
      </w:divsChild>
    </w:div>
    <w:div w:id="1413045985">
      <w:marLeft w:val="0"/>
      <w:marRight w:val="0"/>
      <w:marTop w:val="100"/>
      <w:marBottom w:val="100"/>
      <w:divBdr>
        <w:top w:val="none" w:sz="0" w:space="0" w:color="auto"/>
        <w:left w:val="none" w:sz="0" w:space="0" w:color="auto"/>
        <w:bottom w:val="none" w:sz="0" w:space="0" w:color="auto"/>
        <w:right w:val="none" w:sz="0" w:space="0" w:color="auto"/>
      </w:divBdr>
    </w:div>
    <w:div w:id="1414663985">
      <w:marLeft w:val="0"/>
      <w:marRight w:val="0"/>
      <w:marTop w:val="100"/>
      <w:marBottom w:val="100"/>
      <w:divBdr>
        <w:top w:val="none" w:sz="0" w:space="0" w:color="auto"/>
        <w:left w:val="none" w:sz="0" w:space="0" w:color="auto"/>
        <w:bottom w:val="none" w:sz="0" w:space="0" w:color="auto"/>
        <w:right w:val="none" w:sz="0" w:space="0" w:color="auto"/>
      </w:divBdr>
    </w:div>
    <w:div w:id="1414743315">
      <w:marLeft w:val="0"/>
      <w:marRight w:val="0"/>
      <w:marTop w:val="100"/>
      <w:marBottom w:val="100"/>
      <w:divBdr>
        <w:top w:val="none" w:sz="0" w:space="0" w:color="auto"/>
        <w:left w:val="none" w:sz="0" w:space="0" w:color="auto"/>
        <w:bottom w:val="none" w:sz="0" w:space="0" w:color="auto"/>
        <w:right w:val="none" w:sz="0" w:space="0" w:color="auto"/>
      </w:divBdr>
    </w:div>
    <w:div w:id="1415594265">
      <w:marLeft w:val="0"/>
      <w:marRight w:val="0"/>
      <w:marTop w:val="0"/>
      <w:marBottom w:val="100"/>
      <w:divBdr>
        <w:top w:val="none" w:sz="0" w:space="0" w:color="auto"/>
        <w:left w:val="none" w:sz="0" w:space="0" w:color="auto"/>
        <w:bottom w:val="none" w:sz="0" w:space="0" w:color="auto"/>
        <w:right w:val="none" w:sz="0" w:space="0" w:color="auto"/>
      </w:divBdr>
    </w:div>
    <w:div w:id="1416822872">
      <w:marLeft w:val="0"/>
      <w:marRight w:val="0"/>
      <w:marTop w:val="0"/>
      <w:marBottom w:val="100"/>
      <w:divBdr>
        <w:top w:val="none" w:sz="0" w:space="0" w:color="auto"/>
        <w:left w:val="none" w:sz="0" w:space="0" w:color="auto"/>
        <w:bottom w:val="none" w:sz="0" w:space="0" w:color="auto"/>
        <w:right w:val="none" w:sz="0" w:space="0" w:color="auto"/>
      </w:divBdr>
    </w:div>
    <w:div w:id="1417173325">
      <w:marLeft w:val="0"/>
      <w:marRight w:val="0"/>
      <w:marTop w:val="0"/>
      <w:marBottom w:val="0"/>
      <w:divBdr>
        <w:top w:val="none" w:sz="0" w:space="0" w:color="auto"/>
        <w:left w:val="none" w:sz="0" w:space="0" w:color="auto"/>
        <w:bottom w:val="none" w:sz="0" w:space="0" w:color="auto"/>
        <w:right w:val="none" w:sz="0" w:space="0" w:color="auto"/>
      </w:divBdr>
    </w:div>
    <w:div w:id="1418288903">
      <w:marLeft w:val="0"/>
      <w:marRight w:val="0"/>
      <w:marTop w:val="100"/>
      <w:marBottom w:val="100"/>
      <w:divBdr>
        <w:top w:val="none" w:sz="0" w:space="0" w:color="auto"/>
        <w:left w:val="none" w:sz="0" w:space="0" w:color="auto"/>
        <w:bottom w:val="none" w:sz="0" w:space="0" w:color="auto"/>
        <w:right w:val="none" w:sz="0" w:space="0" w:color="auto"/>
      </w:divBdr>
    </w:div>
    <w:div w:id="1420635593">
      <w:marLeft w:val="0"/>
      <w:marRight w:val="0"/>
      <w:marTop w:val="0"/>
      <w:marBottom w:val="0"/>
      <w:divBdr>
        <w:top w:val="none" w:sz="0" w:space="0" w:color="auto"/>
        <w:left w:val="none" w:sz="0" w:space="0" w:color="auto"/>
        <w:bottom w:val="none" w:sz="0" w:space="0" w:color="auto"/>
        <w:right w:val="none" w:sz="0" w:space="0" w:color="auto"/>
      </w:divBdr>
    </w:div>
    <w:div w:id="1423185496">
      <w:marLeft w:val="0"/>
      <w:marRight w:val="0"/>
      <w:marTop w:val="0"/>
      <w:marBottom w:val="0"/>
      <w:divBdr>
        <w:top w:val="none" w:sz="0" w:space="0" w:color="auto"/>
        <w:left w:val="none" w:sz="0" w:space="0" w:color="auto"/>
        <w:bottom w:val="none" w:sz="0" w:space="0" w:color="auto"/>
        <w:right w:val="none" w:sz="0" w:space="0" w:color="auto"/>
      </w:divBdr>
      <w:divsChild>
        <w:div w:id="943458694">
          <w:marLeft w:val="0"/>
          <w:marRight w:val="0"/>
          <w:marTop w:val="0"/>
          <w:marBottom w:val="100"/>
          <w:divBdr>
            <w:top w:val="none" w:sz="0" w:space="0" w:color="auto"/>
            <w:left w:val="none" w:sz="0" w:space="0" w:color="auto"/>
            <w:bottom w:val="none" w:sz="0" w:space="0" w:color="auto"/>
            <w:right w:val="none" w:sz="0" w:space="0" w:color="auto"/>
          </w:divBdr>
        </w:div>
      </w:divsChild>
    </w:div>
    <w:div w:id="1424105520">
      <w:marLeft w:val="0"/>
      <w:marRight w:val="0"/>
      <w:marTop w:val="100"/>
      <w:marBottom w:val="100"/>
      <w:divBdr>
        <w:top w:val="none" w:sz="0" w:space="0" w:color="auto"/>
        <w:left w:val="none" w:sz="0" w:space="0" w:color="auto"/>
        <w:bottom w:val="none" w:sz="0" w:space="0" w:color="auto"/>
        <w:right w:val="none" w:sz="0" w:space="0" w:color="auto"/>
      </w:divBdr>
    </w:div>
    <w:div w:id="1424181234">
      <w:marLeft w:val="0"/>
      <w:marRight w:val="0"/>
      <w:marTop w:val="100"/>
      <w:marBottom w:val="100"/>
      <w:divBdr>
        <w:top w:val="none" w:sz="0" w:space="0" w:color="auto"/>
        <w:left w:val="none" w:sz="0" w:space="0" w:color="auto"/>
        <w:bottom w:val="none" w:sz="0" w:space="0" w:color="auto"/>
        <w:right w:val="none" w:sz="0" w:space="0" w:color="auto"/>
      </w:divBdr>
    </w:div>
    <w:div w:id="1424498295">
      <w:marLeft w:val="0"/>
      <w:marRight w:val="0"/>
      <w:marTop w:val="0"/>
      <w:marBottom w:val="0"/>
      <w:divBdr>
        <w:top w:val="none" w:sz="0" w:space="0" w:color="auto"/>
        <w:left w:val="none" w:sz="0" w:space="0" w:color="auto"/>
        <w:bottom w:val="none" w:sz="0" w:space="0" w:color="auto"/>
        <w:right w:val="none" w:sz="0" w:space="0" w:color="auto"/>
      </w:divBdr>
      <w:divsChild>
        <w:div w:id="688946524">
          <w:marLeft w:val="0"/>
          <w:marRight w:val="0"/>
          <w:marTop w:val="0"/>
          <w:marBottom w:val="0"/>
          <w:divBdr>
            <w:top w:val="none" w:sz="0" w:space="0" w:color="auto"/>
            <w:left w:val="none" w:sz="0" w:space="0" w:color="auto"/>
            <w:bottom w:val="none" w:sz="0" w:space="0" w:color="auto"/>
            <w:right w:val="none" w:sz="0" w:space="0" w:color="auto"/>
          </w:divBdr>
          <w:divsChild>
            <w:div w:id="9679030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25346411">
      <w:marLeft w:val="0"/>
      <w:marRight w:val="0"/>
      <w:marTop w:val="0"/>
      <w:marBottom w:val="0"/>
      <w:divBdr>
        <w:top w:val="none" w:sz="0" w:space="0" w:color="auto"/>
        <w:left w:val="none" w:sz="0" w:space="0" w:color="auto"/>
        <w:bottom w:val="none" w:sz="0" w:space="0" w:color="auto"/>
        <w:right w:val="none" w:sz="0" w:space="0" w:color="auto"/>
      </w:divBdr>
    </w:div>
    <w:div w:id="1425803761">
      <w:marLeft w:val="0"/>
      <w:marRight w:val="0"/>
      <w:marTop w:val="0"/>
      <w:marBottom w:val="0"/>
      <w:divBdr>
        <w:top w:val="none" w:sz="0" w:space="0" w:color="auto"/>
        <w:left w:val="none" w:sz="0" w:space="0" w:color="auto"/>
        <w:bottom w:val="none" w:sz="0" w:space="0" w:color="auto"/>
        <w:right w:val="none" w:sz="0" w:space="0" w:color="auto"/>
      </w:divBdr>
      <w:divsChild>
        <w:div w:id="846021465">
          <w:marLeft w:val="0"/>
          <w:marRight w:val="0"/>
          <w:marTop w:val="0"/>
          <w:marBottom w:val="100"/>
          <w:divBdr>
            <w:top w:val="none" w:sz="0" w:space="0" w:color="auto"/>
            <w:left w:val="none" w:sz="0" w:space="0" w:color="auto"/>
            <w:bottom w:val="none" w:sz="0" w:space="0" w:color="auto"/>
            <w:right w:val="none" w:sz="0" w:space="0" w:color="auto"/>
          </w:divBdr>
        </w:div>
      </w:divsChild>
    </w:div>
    <w:div w:id="1427843928">
      <w:marLeft w:val="0"/>
      <w:marRight w:val="0"/>
      <w:marTop w:val="100"/>
      <w:marBottom w:val="100"/>
      <w:divBdr>
        <w:top w:val="none" w:sz="0" w:space="0" w:color="auto"/>
        <w:left w:val="none" w:sz="0" w:space="0" w:color="auto"/>
        <w:bottom w:val="none" w:sz="0" w:space="0" w:color="auto"/>
        <w:right w:val="none" w:sz="0" w:space="0" w:color="auto"/>
      </w:divBdr>
    </w:div>
    <w:div w:id="1430465298">
      <w:marLeft w:val="0"/>
      <w:marRight w:val="0"/>
      <w:marTop w:val="0"/>
      <w:marBottom w:val="100"/>
      <w:divBdr>
        <w:top w:val="none" w:sz="0" w:space="0" w:color="auto"/>
        <w:left w:val="none" w:sz="0" w:space="0" w:color="auto"/>
        <w:bottom w:val="none" w:sz="0" w:space="0" w:color="auto"/>
        <w:right w:val="none" w:sz="0" w:space="0" w:color="auto"/>
      </w:divBdr>
    </w:div>
    <w:div w:id="1430589334">
      <w:marLeft w:val="0"/>
      <w:marRight w:val="0"/>
      <w:marTop w:val="0"/>
      <w:marBottom w:val="100"/>
      <w:divBdr>
        <w:top w:val="none" w:sz="0" w:space="0" w:color="auto"/>
        <w:left w:val="none" w:sz="0" w:space="0" w:color="auto"/>
        <w:bottom w:val="none" w:sz="0" w:space="0" w:color="auto"/>
        <w:right w:val="none" w:sz="0" w:space="0" w:color="auto"/>
      </w:divBdr>
    </w:div>
    <w:div w:id="1431272773">
      <w:marLeft w:val="0"/>
      <w:marRight w:val="0"/>
      <w:marTop w:val="180"/>
      <w:marBottom w:val="100"/>
      <w:divBdr>
        <w:top w:val="none" w:sz="0" w:space="0" w:color="auto"/>
        <w:left w:val="none" w:sz="0" w:space="0" w:color="auto"/>
        <w:bottom w:val="none" w:sz="0" w:space="0" w:color="auto"/>
        <w:right w:val="none" w:sz="0" w:space="0" w:color="auto"/>
      </w:divBdr>
      <w:divsChild>
        <w:div w:id="383256188">
          <w:marLeft w:val="0"/>
          <w:marRight w:val="0"/>
          <w:marTop w:val="0"/>
          <w:marBottom w:val="0"/>
          <w:divBdr>
            <w:top w:val="none" w:sz="0" w:space="0" w:color="auto"/>
            <w:left w:val="none" w:sz="0" w:space="0" w:color="auto"/>
            <w:bottom w:val="none" w:sz="0" w:space="0" w:color="auto"/>
            <w:right w:val="none" w:sz="0" w:space="0" w:color="auto"/>
          </w:divBdr>
        </w:div>
        <w:div w:id="1019694940">
          <w:marLeft w:val="0"/>
          <w:marRight w:val="0"/>
          <w:marTop w:val="0"/>
          <w:marBottom w:val="0"/>
          <w:divBdr>
            <w:top w:val="none" w:sz="0" w:space="0" w:color="auto"/>
            <w:left w:val="none" w:sz="0" w:space="0" w:color="auto"/>
            <w:bottom w:val="none" w:sz="0" w:space="0" w:color="auto"/>
            <w:right w:val="none" w:sz="0" w:space="0" w:color="auto"/>
          </w:divBdr>
        </w:div>
        <w:div w:id="224804342">
          <w:marLeft w:val="0"/>
          <w:marRight w:val="0"/>
          <w:marTop w:val="0"/>
          <w:marBottom w:val="0"/>
          <w:divBdr>
            <w:top w:val="none" w:sz="0" w:space="0" w:color="auto"/>
            <w:left w:val="none" w:sz="0" w:space="0" w:color="auto"/>
            <w:bottom w:val="none" w:sz="0" w:space="0" w:color="auto"/>
            <w:right w:val="none" w:sz="0" w:space="0" w:color="auto"/>
          </w:divBdr>
        </w:div>
      </w:divsChild>
    </w:div>
    <w:div w:id="1433404580">
      <w:marLeft w:val="0"/>
      <w:marRight w:val="0"/>
      <w:marTop w:val="100"/>
      <w:marBottom w:val="100"/>
      <w:divBdr>
        <w:top w:val="none" w:sz="0" w:space="0" w:color="auto"/>
        <w:left w:val="none" w:sz="0" w:space="0" w:color="auto"/>
        <w:bottom w:val="none" w:sz="0" w:space="0" w:color="auto"/>
        <w:right w:val="none" w:sz="0" w:space="0" w:color="auto"/>
      </w:divBdr>
    </w:div>
    <w:div w:id="1435831074">
      <w:marLeft w:val="0"/>
      <w:marRight w:val="0"/>
      <w:marTop w:val="100"/>
      <w:marBottom w:val="100"/>
      <w:divBdr>
        <w:top w:val="none" w:sz="0" w:space="0" w:color="auto"/>
        <w:left w:val="none" w:sz="0" w:space="0" w:color="auto"/>
        <w:bottom w:val="none" w:sz="0" w:space="0" w:color="auto"/>
        <w:right w:val="none" w:sz="0" w:space="0" w:color="auto"/>
      </w:divBdr>
    </w:div>
    <w:div w:id="1443380138">
      <w:marLeft w:val="0"/>
      <w:marRight w:val="0"/>
      <w:marTop w:val="0"/>
      <w:marBottom w:val="0"/>
      <w:divBdr>
        <w:top w:val="none" w:sz="0" w:space="0" w:color="auto"/>
        <w:left w:val="none" w:sz="0" w:space="0" w:color="auto"/>
        <w:bottom w:val="none" w:sz="0" w:space="0" w:color="auto"/>
        <w:right w:val="none" w:sz="0" w:space="0" w:color="auto"/>
      </w:divBdr>
    </w:div>
    <w:div w:id="1443960578">
      <w:marLeft w:val="0"/>
      <w:marRight w:val="0"/>
      <w:marTop w:val="100"/>
      <w:marBottom w:val="0"/>
      <w:divBdr>
        <w:top w:val="none" w:sz="0" w:space="0" w:color="auto"/>
        <w:left w:val="none" w:sz="0" w:space="0" w:color="auto"/>
        <w:bottom w:val="none" w:sz="0" w:space="0" w:color="auto"/>
        <w:right w:val="none" w:sz="0" w:space="0" w:color="auto"/>
      </w:divBdr>
    </w:div>
    <w:div w:id="1444155966">
      <w:marLeft w:val="0"/>
      <w:marRight w:val="0"/>
      <w:marTop w:val="0"/>
      <w:marBottom w:val="0"/>
      <w:divBdr>
        <w:top w:val="none" w:sz="0" w:space="0" w:color="auto"/>
        <w:left w:val="none" w:sz="0" w:space="0" w:color="auto"/>
        <w:bottom w:val="none" w:sz="0" w:space="0" w:color="auto"/>
        <w:right w:val="none" w:sz="0" w:space="0" w:color="auto"/>
      </w:divBdr>
    </w:div>
    <w:div w:id="1447191601">
      <w:marLeft w:val="0"/>
      <w:marRight w:val="0"/>
      <w:marTop w:val="0"/>
      <w:marBottom w:val="100"/>
      <w:divBdr>
        <w:top w:val="none" w:sz="0" w:space="0" w:color="auto"/>
        <w:left w:val="none" w:sz="0" w:space="0" w:color="auto"/>
        <w:bottom w:val="none" w:sz="0" w:space="0" w:color="auto"/>
        <w:right w:val="none" w:sz="0" w:space="0" w:color="auto"/>
      </w:divBdr>
    </w:div>
    <w:div w:id="1448160820">
      <w:marLeft w:val="0"/>
      <w:marRight w:val="0"/>
      <w:marTop w:val="0"/>
      <w:marBottom w:val="0"/>
      <w:divBdr>
        <w:top w:val="none" w:sz="0" w:space="0" w:color="auto"/>
        <w:left w:val="none" w:sz="0" w:space="0" w:color="auto"/>
        <w:bottom w:val="none" w:sz="0" w:space="0" w:color="auto"/>
        <w:right w:val="none" w:sz="0" w:space="0" w:color="auto"/>
      </w:divBdr>
    </w:div>
    <w:div w:id="1448619645">
      <w:marLeft w:val="0"/>
      <w:marRight w:val="0"/>
      <w:marTop w:val="0"/>
      <w:marBottom w:val="0"/>
      <w:divBdr>
        <w:top w:val="none" w:sz="0" w:space="0" w:color="auto"/>
        <w:left w:val="none" w:sz="0" w:space="0" w:color="auto"/>
        <w:bottom w:val="none" w:sz="0" w:space="0" w:color="auto"/>
        <w:right w:val="none" w:sz="0" w:space="0" w:color="auto"/>
      </w:divBdr>
    </w:div>
    <w:div w:id="1449542088">
      <w:marLeft w:val="0"/>
      <w:marRight w:val="0"/>
      <w:marTop w:val="180"/>
      <w:marBottom w:val="0"/>
      <w:divBdr>
        <w:top w:val="none" w:sz="0" w:space="0" w:color="auto"/>
        <w:left w:val="none" w:sz="0" w:space="0" w:color="auto"/>
        <w:bottom w:val="none" w:sz="0" w:space="0" w:color="auto"/>
        <w:right w:val="none" w:sz="0" w:space="0" w:color="auto"/>
      </w:divBdr>
    </w:div>
    <w:div w:id="1453131413">
      <w:marLeft w:val="0"/>
      <w:marRight w:val="0"/>
      <w:marTop w:val="0"/>
      <w:marBottom w:val="0"/>
      <w:divBdr>
        <w:top w:val="none" w:sz="0" w:space="0" w:color="auto"/>
        <w:left w:val="none" w:sz="0" w:space="0" w:color="auto"/>
        <w:bottom w:val="none" w:sz="0" w:space="0" w:color="auto"/>
        <w:right w:val="none" w:sz="0" w:space="0" w:color="auto"/>
      </w:divBdr>
    </w:div>
    <w:div w:id="1454593269">
      <w:marLeft w:val="0"/>
      <w:marRight w:val="0"/>
      <w:marTop w:val="0"/>
      <w:marBottom w:val="0"/>
      <w:divBdr>
        <w:top w:val="none" w:sz="0" w:space="0" w:color="auto"/>
        <w:left w:val="none" w:sz="0" w:space="0" w:color="auto"/>
        <w:bottom w:val="none" w:sz="0" w:space="0" w:color="auto"/>
        <w:right w:val="none" w:sz="0" w:space="0" w:color="auto"/>
      </w:divBdr>
      <w:divsChild>
        <w:div w:id="55395412">
          <w:marLeft w:val="0"/>
          <w:marRight w:val="0"/>
          <w:marTop w:val="0"/>
          <w:marBottom w:val="0"/>
          <w:divBdr>
            <w:top w:val="none" w:sz="0" w:space="0" w:color="auto"/>
            <w:left w:val="none" w:sz="0" w:space="0" w:color="auto"/>
            <w:bottom w:val="none" w:sz="0" w:space="0" w:color="auto"/>
            <w:right w:val="none" w:sz="0" w:space="0" w:color="auto"/>
          </w:divBdr>
          <w:divsChild>
            <w:div w:id="11657838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54597963">
      <w:marLeft w:val="0"/>
      <w:marRight w:val="0"/>
      <w:marTop w:val="0"/>
      <w:marBottom w:val="100"/>
      <w:divBdr>
        <w:top w:val="none" w:sz="0" w:space="0" w:color="auto"/>
        <w:left w:val="none" w:sz="0" w:space="0" w:color="auto"/>
        <w:bottom w:val="none" w:sz="0" w:space="0" w:color="auto"/>
        <w:right w:val="none" w:sz="0" w:space="0" w:color="auto"/>
      </w:divBdr>
    </w:div>
    <w:div w:id="1457723702">
      <w:marLeft w:val="0"/>
      <w:marRight w:val="0"/>
      <w:marTop w:val="180"/>
      <w:marBottom w:val="100"/>
      <w:divBdr>
        <w:top w:val="none" w:sz="0" w:space="0" w:color="auto"/>
        <w:left w:val="none" w:sz="0" w:space="0" w:color="auto"/>
        <w:bottom w:val="none" w:sz="0" w:space="0" w:color="auto"/>
        <w:right w:val="none" w:sz="0" w:space="0" w:color="auto"/>
      </w:divBdr>
    </w:div>
    <w:div w:id="1457945818">
      <w:marLeft w:val="0"/>
      <w:marRight w:val="0"/>
      <w:marTop w:val="0"/>
      <w:marBottom w:val="0"/>
      <w:divBdr>
        <w:top w:val="none" w:sz="0" w:space="0" w:color="auto"/>
        <w:left w:val="none" w:sz="0" w:space="0" w:color="auto"/>
        <w:bottom w:val="none" w:sz="0" w:space="0" w:color="auto"/>
        <w:right w:val="none" w:sz="0" w:space="0" w:color="auto"/>
      </w:divBdr>
      <w:divsChild>
        <w:div w:id="11304481">
          <w:marLeft w:val="0"/>
          <w:marRight w:val="0"/>
          <w:marTop w:val="0"/>
          <w:marBottom w:val="100"/>
          <w:divBdr>
            <w:top w:val="none" w:sz="0" w:space="0" w:color="auto"/>
            <w:left w:val="none" w:sz="0" w:space="0" w:color="auto"/>
            <w:bottom w:val="none" w:sz="0" w:space="0" w:color="auto"/>
            <w:right w:val="none" w:sz="0" w:space="0" w:color="auto"/>
          </w:divBdr>
        </w:div>
      </w:divsChild>
    </w:div>
    <w:div w:id="1459883737">
      <w:marLeft w:val="0"/>
      <w:marRight w:val="0"/>
      <w:marTop w:val="100"/>
      <w:marBottom w:val="100"/>
      <w:divBdr>
        <w:top w:val="none" w:sz="0" w:space="0" w:color="auto"/>
        <w:left w:val="none" w:sz="0" w:space="0" w:color="auto"/>
        <w:bottom w:val="none" w:sz="0" w:space="0" w:color="auto"/>
        <w:right w:val="none" w:sz="0" w:space="0" w:color="auto"/>
      </w:divBdr>
    </w:div>
    <w:div w:id="1460757790">
      <w:marLeft w:val="0"/>
      <w:marRight w:val="0"/>
      <w:marTop w:val="0"/>
      <w:marBottom w:val="100"/>
      <w:divBdr>
        <w:top w:val="none" w:sz="0" w:space="0" w:color="auto"/>
        <w:left w:val="none" w:sz="0" w:space="0" w:color="auto"/>
        <w:bottom w:val="none" w:sz="0" w:space="0" w:color="auto"/>
        <w:right w:val="none" w:sz="0" w:space="0" w:color="auto"/>
      </w:divBdr>
    </w:div>
    <w:div w:id="1462992081">
      <w:marLeft w:val="0"/>
      <w:marRight w:val="0"/>
      <w:marTop w:val="0"/>
      <w:marBottom w:val="0"/>
      <w:divBdr>
        <w:top w:val="none" w:sz="0" w:space="0" w:color="auto"/>
        <w:left w:val="none" w:sz="0" w:space="0" w:color="auto"/>
        <w:bottom w:val="none" w:sz="0" w:space="0" w:color="auto"/>
        <w:right w:val="none" w:sz="0" w:space="0" w:color="auto"/>
      </w:divBdr>
      <w:divsChild>
        <w:div w:id="485635235">
          <w:marLeft w:val="0"/>
          <w:marRight w:val="0"/>
          <w:marTop w:val="0"/>
          <w:marBottom w:val="0"/>
          <w:divBdr>
            <w:top w:val="none" w:sz="0" w:space="0" w:color="auto"/>
            <w:left w:val="none" w:sz="0" w:space="0" w:color="auto"/>
            <w:bottom w:val="none" w:sz="0" w:space="0" w:color="auto"/>
            <w:right w:val="none" w:sz="0" w:space="0" w:color="auto"/>
          </w:divBdr>
          <w:divsChild>
            <w:div w:id="3670307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63689672">
      <w:marLeft w:val="0"/>
      <w:marRight w:val="0"/>
      <w:marTop w:val="100"/>
      <w:marBottom w:val="100"/>
      <w:divBdr>
        <w:top w:val="none" w:sz="0" w:space="0" w:color="auto"/>
        <w:left w:val="none" w:sz="0" w:space="0" w:color="auto"/>
        <w:bottom w:val="none" w:sz="0" w:space="0" w:color="auto"/>
        <w:right w:val="none" w:sz="0" w:space="0" w:color="auto"/>
      </w:divBdr>
    </w:div>
    <w:div w:id="1467578350">
      <w:marLeft w:val="0"/>
      <w:marRight w:val="0"/>
      <w:marTop w:val="0"/>
      <w:marBottom w:val="0"/>
      <w:divBdr>
        <w:top w:val="none" w:sz="0" w:space="0" w:color="auto"/>
        <w:left w:val="none" w:sz="0" w:space="0" w:color="auto"/>
        <w:bottom w:val="none" w:sz="0" w:space="0" w:color="auto"/>
        <w:right w:val="none" w:sz="0" w:space="0" w:color="auto"/>
      </w:divBdr>
      <w:divsChild>
        <w:div w:id="1922638739">
          <w:marLeft w:val="0"/>
          <w:marRight w:val="0"/>
          <w:marTop w:val="0"/>
          <w:marBottom w:val="0"/>
          <w:divBdr>
            <w:top w:val="none" w:sz="0" w:space="0" w:color="auto"/>
            <w:left w:val="none" w:sz="0" w:space="0" w:color="auto"/>
            <w:bottom w:val="none" w:sz="0" w:space="0" w:color="auto"/>
            <w:right w:val="none" w:sz="0" w:space="0" w:color="auto"/>
          </w:divBdr>
          <w:divsChild>
            <w:div w:id="207789925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67772458">
      <w:marLeft w:val="0"/>
      <w:marRight w:val="0"/>
      <w:marTop w:val="100"/>
      <w:marBottom w:val="100"/>
      <w:divBdr>
        <w:top w:val="none" w:sz="0" w:space="0" w:color="auto"/>
        <w:left w:val="none" w:sz="0" w:space="0" w:color="auto"/>
        <w:bottom w:val="none" w:sz="0" w:space="0" w:color="auto"/>
        <w:right w:val="none" w:sz="0" w:space="0" w:color="auto"/>
      </w:divBdr>
    </w:div>
    <w:div w:id="1469588336">
      <w:marLeft w:val="0"/>
      <w:marRight w:val="0"/>
      <w:marTop w:val="180"/>
      <w:marBottom w:val="0"/>
      <w:divBdr>
        <w:top w:val="none" w:sz="0" w:space="0" w:color="auto"/>
        <w:left w:val="none" w:sz="0" w:space="0" w:color="auto"/>
        <w:bottom w:val="none" w:sz="0" w:space="0" w:color="auto"/>
        <w:right w:val="none" w:sz="0" w:space="0" w:color="auto"/>
      </w:divBdr>
    </w:div>
    <w:div w:id="1469932398">
      <w:marLeft w:val="0"/>
      <w:marRight w:val="0"/>
      <w:marTop w:val="180"/>
      <w:marBottom w:val="100"/>
      <w:divBdr>
        <w:top w:val="none" w:sz="0" w:space="0" w:color="auto"/>
        <w:left w:val="none" w:sz="0" w:space="0" w:color="auto"/>
        <w:bottom w:val="none" w:sz="0" w:space="0" w:color="auto"/>
        <w:right w:val="none" w:sz="0" w:space="0" w:color="auto"/>
      </w:divBdr>
    </w:div>
    <w:div w:id="1470628741">
      <w:marLeft w:val="0"/>
      <w:marRight w:val="0"/>
      <w:marTop w:val="0"/>
      <w:marBottom w:val="100"/>
      <w:divBdr>
        <w:top w:val="none" w:sz="0" w:space="0" w:color="auto"/>
        <w:left w:val="none" w:sz="0" w:space="0" w:color="auto"/>
        <w:bottom w:val="none" w:sz="0" w:space="0" w:color="auto"/>
        <w:right w:val="none" w:sz="0" w:space="0" w:color="auto"/>
      </w:divBdr>
    </w:div>
    <w:div w:id="1472943520">
      <w:marLeft w:val="0"/>
      <w:marRight w:val="0"/>
      <w:marTop w:val="100"/>
      <w:marBottom w:val="100"/>
      <w:divBdr>
        <w:top w:val="none" w:sz="0" w:space="0" w:color="auto"/>
        <w:left w:val="none" w:sz="0" w:space="0" w:color="auto"/>
        <w:bottom w:val="none" w:sz="0" w:space="0" w:color="auto"/>
        <w:right w:val="none" w:sz="0" w:space="0" w:color="auto"/>
      </w:divBdr>
    </w:div>
    <w:div w:id="1473593076">
      <w:marLeft w:val="0"/>
      <w:marRight w:val="0"/>
      <w:marTop w:val="180"/>
      <w:marBottom w:val="100"/>
      <w:divBdr>
        <w:top w:val="none" w:sz="0" w:space="0" w:color="auto"/>
        <w:left w:val="none" w:sz="0" w:space="0" w:color="auto"/>
        <w:bottom w:val="none" w:sz="0" w:space="0" w:color="auto"/>
        <w:right w:val="none" w:sz="0" w:space="0" w:color="auto"/>
      </w:divBdr>
    </w:div>
    <w:div w:id="1473911982">
      <w:marLeft w:val="0"/>
      <w:marRight w:val="0"/>
      <w:marTop w:val="100"/>
      <w:marBottom w:val="100"/>
      <w:divBdr>
        <w:top w:val="none" w:sz="0" w:space="0" w:color="auto"/>
        <w:left w:val="none" w:sz="0" w:space="0" w:color="auto"/>
        <w:bottom w:val="none" w:sz="0" w:space="0" w:color="auto"/>
        <w:right w:val="none" w:sz="0" w:space="0" w:color="auto"/>
      </w:divBdr>
    </w:div>
    <w:div w:id="1474131422">
      <w:marLeft w:val="0"/>
      <w:marRight w:val="0"/>
      <w:marTop w:val="0"/>
      <w:marBottom w:val="0"/>
      <w:divBdr>
        <w:top w:val="none" w:sz="0" w:space="0" w:color="auto"/>
        <w:left w:val="none" w:sz="0" w:space="0" w:color="auto"/>
        <w:bottom w:val="none" w:sz="0" w:space="0" w:color="auto"/>
        <w:right w:val="none" w:sz="0" w:space="0" w:color="auto"/>
      </w:divBdr>
      <w:divsChild>
        <w:div w:id="2041658284">
          <w:marLeft w:val="0"/>
          <w:marRight w:val="0"/>
          <w:marTop w:val="0"/>
          <w:marBottom w:val="100"/>
          <w:divBdr>
            <w:top w:val="none" w:sz="0" w:space="0" w:color="auto"/>
            <w:left w:val="none" w:sz="0" w:space="0" w:color="auto"/>
            <w:bottom w:val="none" w:sz="0" w:space="0" w:color="auto"/>
            <w:right w:val="none" w:sz="0" w:space="0" w:color="auto"/>
          </w:divBdr>
        </w:div>
      </w:divsChild>
    </w:div>
    <w:div w:id="1476869195">
      <w:marLeft w:val="0"/>
      <w:marRight w:val="0"/>
      <w:marTop w:val="0"/>
      <w:marBottom w:val="0"/>
      <w:divBdr>
        <w:top w:val="none" w:sz="0" w:space="0" w:color="auto"/>
        <w:left w:val="none" w:sz="0" w:space="0" w:color="auto"/>
        <w:bottom w:val="none" w:sz="0" w:space="0" w:color="auto"/>
        <w:right w:val="none" w:sz="0" w:space="0" w:color="auto"/>
      </w:divBdr>
    </w:div>
    <w:div w:id="1478571049">
      <w:marLeft w:val="0"/>
      <w:marRight w:val="0"/>
      <w:marTop w:val="180"/>
      <w:marBottom w:val="0"/>
      <w:divBdr>
        <w:top w:val="none" w:sz="0" w:space="0" w:color="auto"/>
        <w:left w:val="none" w:sz="0" w:space="0" w:color="auto"/>
        <w:bottom w:val="none" w:sz="0" w:space="0" w:color="auto"/>
        <w:right w:val="none" w:sz="0" w:space="0" w:color="auto"/>
      </w:divBdr>
    </w:div>
    <w:div w:id="1478645173">
      <w:marLeft w:val="0"/>
      <w:marRight w:val="0"/>
      <w:marTop w:val="180"/>
      <w:marBottom w:val="100"/>
      <w:divBdr>
        <w:top w:val="none" w:sz="0" w:space="0" w:color="auto"/>
        <w:left w:val="none" w:sz="0" w:space="0" w:color="auto"/>
        <w:bottom w:val="none" w:sz="0" w:space="0" w:color="auto"/>
        <w:right w:val="none" w:sz="0" w:space="0" w:color="auto"/>
      </w:divBdr>
    </w:div>
    <w:div w:id="1483228198">
      <w:marLeft w:val="0"/>
      <w:marRight w:val="0"/>
      <w:marTop w:val="100"/>
      <w:marBottom w:val="0"/>
      <w:divBdr>
        <w:top w:val="none" w:sz="0" w:space="0" w:color="auto"/>
        <w:left w:val="none" w:sz="0" w:space="0" w:color="auto"/>
        <w:bottom w:val="none" w:sz="0" w:space="0" w:color="auto"/>
        <w:right w:val="none" w:sz="0" w:space="0" w:color="auto"/>
      </w:divBdr>
    </w:div>
    <w:div w:id="1483430924">
      <w:marLeft w:val="0"/>
      <w:marRight w:val="0"/>
      <w:marTop w:val="0"/>
      <w:marBottom w:val="100"/>
      <w:divBdr>
        <w:top w:val="none" w:sz="0" w:space="0" w:color="auto"/>
        <w:left w:val="none" w:sz="0" w:space="0" w:color="auto"/>
        <w:bottom w:val="none" w:sz="0" w:space="0" w:color="auto"/>
        <w:right w:val="none" w:sz="0" w:space="0" w:color="auto"/>
      </w:divBdr>
    </w:div>
    <w:div w:id="1486967729">
      <w:marLeft w:val="0"/>
      <w:marRight w:val="0"/>
      <w:marTop w:val="100"/>
      <w:marBottom w:val="100"/>
      <w:divBdr>
        <w:top w:val="none" w:sz="0" w:space="0" w:color="auto"/>
        <w:left w:val="none" w:sz="0" w:space="0" w:color="auto"/>
        <w:bottom w:val="none" w:sz="0" w:space="0" w:color="auto"/>
        <w:right w:val="none" w:sz="0" w:space="0" w:color="auto"/>
      </w:divBdr>
    </w:div>
    <w:div w:id="1489981135">
      <w:marLeft w:val="0"/>
      <w:marRight w:val="0"/>
      <w:marTop w:val="180"/>
      <w:marBottom w:val="100"/>
      <w:divBdr>
        <w:top w:val="none" w:sz="0" w:space="0" w:color="auto"/>
        <w:left w:val="none" w:sz="0" w:space="0" w:color="auto"/>
        <w:bottom w:val="none" w:sz="0" w:space="0" w:color="auto"/>
        <w:right w:val="none" w:sz="0" w:space="0" w:color="auto"/>
      </w:divBdr>
    </w:div>
    <w:div w:id="1491944656">
      <w:marLeft w:val="0"/>
      <w:marRight w:val="0"/>
      <w:marTop w:val="100"/>
      <w:marBottom w:val="100"/>
      <w:divBdr>
        <w:top w:val="none" w:sz="0" w:space="0" w:color="auto"/>
        <w:left w:val="none" w:sz="0" w:space="0" w:color="auto"/>
        <w:bottom w:val="none" w:sz="0" w:space="0" w:color="auto"/>
        <w:right w:val="none" w:sz="0" w:space="0" w:color="auto"/>
      </w:divBdr>
    </w:div>
    <w:div w:id="1492016896">
      <w:marLeft w:val="0"/>
      <w:marRight w:val="0"/>
      <w:marTop w:val="0"/>
      <w:marBottom w:val="0"/>
      <w:divBdr>
        <w:top w:val="none" w:sz="0" w:space="0" w:color="auto"/>
        <w:left w:val="none" w:sz="0" w:space="0" w:color="auto"/>
        <w:bottom w:val="none" w:sz="0" w:space="0" w:color="auto"/>
        <w:right w:val="none" w:sz="0" w:space="0" w:color="auto"/>
      </w:divBdr>
      <w:divsChild>
        <w:div w:id="1435442697">
          <w:marLeft w:val="0"/>
          <w:marRight w:val="0"/>
          <w:marTop w:val="0"/>
          <w:marBottom w:val="100"/>
          <w:divBdr>
            <w:top w:val="none" w:sz="0" w:space="0" w:color="auto"/>
            <w:left w:val="none" w:sz="0" w:space="0" w:color="auto"/>
            <w:bottom w:val="none" w:sz="0" w:space="0" w:color="auto"/>
            <w:right w:val="none" w:sz="0" w:space="0" w:color="auto"/>
          </w:divBdr>
        </w:div>
      </w:divsChild>
    </w:div>
    <w:div w:id="1495335112">
      <w:marLeft w:val="0"/>
      <w:marRight w:val="0"/>
      <w:marTop w:val="0"/>
      <w:marBottom w:val="0"/>
      <w:divBdr>
        <w:top w:val="none" w:sz="0" w:space="0" w:color="auto"/>
        <w:left w:val="none" w:sz="0" w:space="0" w:color="auto"/>
        <w:bottom w:val="none" w:sz="0" w:space="0" w:color="auto"/>
        <w:right w:val="none" w:sz="0" w:space="0" w:color="auto"/>
      </w:divBdr>
      <w:divsChild>
        <w:div w:id="1131555645">
          <w:marLeft w:val="0"/>
          <w:marRight w:val="0"/>
          <w:marTop w:val="0"/>
          <w:marBottom w:val="0"/>
          <w:divBdr>
            <w:top w:val="none" w:sz="0" w:space="0" w:color="auto"/>
            <w:left w:val="none" w:sz="0" w:space="0" w:color="auto"/>
            <w:bottom w:val="none" w:sz="0" w:space="0" w:color="auto"/>
            <w:right w:val="none" w:sz="0" w:space="0" w:color="auto"/>
          </w:divBdr>
          <w:divsChild>
            <w:div w:id="51256891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95415959">
      <w:marLeft w:val="0"/>
      <w:marRight w:val="0"/>
      <w:marTop w:val="100"/>
      <w:marBottom w:val="100"/>
      <w:divBdr>
        <w:top w:val="none" w:sz="0" w:space="0" w:color="auto"/>
        <w:left w:val="none" w:sz="0" w:space="0" w:color="auto"/>
        <w:bottom w:val="none" w:sz="0" w:space="0" w:color="auto"/>
        <w:right w:val="none" w:sz="0" w:space="0" w:color="auto"/>
      </w:divBdr>
    </w:div>
    <w:div w:id="1496997841">
      <w:marLeft w:val="0"/>
      <w:marRight w:val="0"/>
      <w:marTop w:val="180"/>
      <w:marBottom w:val="100"/>
      <w:divBdr>
        <w:top w:val="none" w:sz="0" w:space="0" w:color="auto"/>
        <w:left w:val="none" w:sz="0" w:space="0" w:color="auto"/>
        <w:bottom w:val="none" w:sz="0" w:space="0" w:color="auto"/>
        <w:right w:val="none" w:sz="0" w:space="0" w:color="auto"/>
      </w:divBdr>
      <w:divsChild>
        <w:div w:id="1583370138">
          <w:marLeft w:val="0"/>
          <w:marRight w:val="0"/>
          <w:marTop w:val="0"/>
          <w:marBottom w:val="0"/>
          <w:divBdr>
            <w:top w:val="none" w:sz="0" w:space="0" w:color="auto"/>
            <w:left w:val="none" w:sz="0" w:space="0" w:color="auto"/>
            <w:bottom w:val="none" w:sz="0" w:space="0" w:color="auto"/>
            <w:right w:val="none" w:sz="0" w:space="0" w:color="auto"/>
          </w:divBdr>
        </w:div>
        <w:div w:id="1771394088">
          <w:marLeft w:val="0"/>
          <w:marRight w:val="0"/>
          <w:marTop w:val="0"/>
          <w:marBottom w:val="0"/>
          <w:divBdr>
            <w:top w:val="none" w:sz="0" w:space="0" w:color="auto"/>
            <w:left w:val="none" w:sz="0" w:space="0" w:color="auto"/>
            <w:bottom w:val="none" w:sz="0" w:space="0" w:color="auto"/>
            <w:right w:val="none" w:sz="0" w:space="0" w:color="auto"/>
          </w:divBdr>
        </w:div>
        <w:div w:id="642151601">
          <w:marLeft w:val="0"/>
          <w:marRight w:val="0"/>
          <w:marTop w:val="0"/>
          <w:marBottom w:val="0"/>
          <w:divBdr>
            <w:top w:val="none" w:sz="0" w:space="0" w:color="auto"/>
            <w:left w:val="none" w:sz="0" w:space="0" w:color="auto"/>
            <w:bottom w:val="none" w:sz="0" w:space="0" w:color="auto"/>
            <w:right w:val="none" w:sz="0" w:space="0" w:color="auto"/>
          </w:divBdr>
        </w:div>
        <w:div w:id="1651864212">
          <w:marLeft w:val="0"/>
          <w:marRight w:val="0"/>
          <w:marTop w:val="0"/>
          <w:marBottom w:val="0"/>
          <w:divBdr>
            <w:top w:val="none" w:sz="0" w:space="0" w:color="auto"/>
            <w:left w:val="none" w:sz="0" w:space="0" w:color="auto"/>
            <w:bottom w:val="none" w:sz="0" w:space="0" w:color="auto"/>
            <w:right w:val="none" w:sz="0" w:space="0" w:color="auto"/>
          </w:divBdr>
        </w:div>
        <w:div w:id="1310205335">
          <w:marLeft w:val="0"/>
          <w:marRight w:val="0"/>
          <w:marTop w:val="0"/>
          <w:marBottom w:val="0"/>
          <w:divBdr>
            <w:top w:val="none" w:sz="0" w:space="0" w:color="auto"/>
            <w:left w:val="none" w:sz="0" w:space="0" w:color="auto"/>
            <w:bottom w:val="none" w:sz="0" w:space="0" w:color="auto"/>
            <w:right w:val="none" w:sz="0" w:space="0" w:color="auto"/>
          </w:divBdr>
        </w:div>
      </w:divsChild>
    </w:div>
    <w:div w:id="1498229061">
      <w:marLeft w:val="0"/>
      <w:marRight w:val="0"/>
      <w:marTop w:val="100"/>
      <w:marBottom w:val="100"/>
      <w:divBdr>
        <w:top w:val="none" w:sz="0" w:space="0" w:color="auto"/>
        <w:left w:val="none" w:sz="0" w:space="0" w:color="auto"/>
        <w:bottom w:val="none" w:sz="0" w:space="0" w:color="auto"/>
        <w:right w:val="none" w:sz="0" w:space="0" w:color="auto"/>
      </w:divBdr>
    </w:div>
    <w:div w:id="1498421277">
      <w:marLeft w:val="0"/>
      <w:marRight w:val="0"/>
      <w:marTop w:val="100"/>
      <w:marBottom w:val="100"/>
      <w:divBdr>
        <w:top w:val="none" w:sz="0" w:space="0" w:color="auto"/>
        <w:left w:val="none" w:sz="0" w:space="0" w:color="auto"/>
        <w:bottom w:val="none" w:sz="0" w:space="0" w:color="auto"/>
        <w:right w:val="none" w:sz="0" w:space="0" w:color="auto"/>
      </w:divBdr>
    </w:div>
    <w:div w:id="1499616610">
      <w:marLeft w:val="0"/>
      <w:marRight w:val="0"/>
      <w:marTop w:val="100"/>
      <w:marBottom w:val="0"/>
      <w:divBdr>
        <w:top w:val="none" w:sz="0" w:space="0" w:color="auto"/>
        <w:left w:val="none" w:sz="0" w:space="0" w:color="auto"/>
        <w:bottom w:val="none" w:sz="0" w:space="0" w:color="auto"/>
        <w:right w:val="none" w:sz="0" w:space="0" w:color="auto"/>
      </w:divBdr>
    </w:div>
    <w:div w:id="1499925474">
      <w:marLeft w:val="0"/>
      <w:marRight w:val="0"/>
      <w:marTop w:val="280"/>
      <w:marBottom w:val="100"/>
      <w:divBdr>
        <w:top w:val="none" w:sz="0" w:space="0" w:color="auto"/>
        <w:left w:val="none" w:sz="0" w:space="0" w:color="auto"/>
        <w:bottom w:val="none" w:sz="0" w:space="0" w:color="auto"/>
        <w:right w:val="none" w:sz="0" w:space="0" w:color="auto"/>
      </w:divBdr>
    </w:div>
    <w:div w:id="1500271895">
      <w:marLeft w:val="0"/>
      <w:marRight w:val="0"/>
      <w:marTop w:val="180"/>
      <w:marBottom w:val="100"/>
      <w:divBdr>
        <w:top w:val="none" w:sz="0" w:space="0" w:color="auto"/>
        <w:left w:val="none" w:sz="0" w:space="0" w:color="auto"/>
        <w:bottom w:val="none" w:sz="0" w:space="0" w:color="auto"/>
        <w:right w:val="none" w:sz="0" w:space="0" w:color="auto"/>
      </w:divBdr>
    </w:div>
    <w:div w:id="1501195575">
      <w:marLeft w:val="0"/>
      <w:marRight w:val="0"/>
      <w:marTop w:val="100"/>
      <w:marBottom w:val="100"/>
      <w:divBdr>
        <w:top w:val="none" w:sz="0" w:space="0" w:color="auto"/>
        <w:left w:val="none" w:sz="0" w:space="0" w:color="auto"/>
        <w:bottom w:val="none" w:sz="0" w:space="0" w:color="auto"/>
        <w:right w:val="none" w:sz="0" w:space="0" w:color="auto"/>
      </w:divBdr>
    </w:div>
    <w:div w:id="1502426176">
      <w:marLeft w:val="0"/>
      <w:marRight w:val="0"/>
      <w:marTop w:val="0"/>
      <w:marBottom w:val="100"/>
      <w:divBdr>
        <w:top w:val="none" w:sz="0" w:space="0" w:color="auto"/>
        <w:left w:val="none" w:sz="0" w:space="0" w:color="auto"/>
        <w:bottom w:val="none" w:sz="0" w:space="0" w:color="auto"/>
        <w:right w:val="none" w:sz="0" w:space="0" w:color="auto"/>
      </w:divBdr>
    </w:div>
    <w:div w:id="1502623845">
      <w:marLeft w:val="0"/>
      <w:marRight w:val="0"/>
      <w:marTop w:val="180"/>
      <w:marBottom w:val="0"/>
      <w:divBdr>
        <w:top w:val="none" w:sz="0" w:space="0" w:color="auto"/>
        <w:left w:val="none" w:sz="0" w:space="0" w:color="auto"/>
        <w:bottom w:val="none" w:sz="0" w:space="0" w:color="auto"/>
        <w:right w:val="none" w:sz="0" w:space="0" w:color="auto"/>
      </w:divBdr>
    </w:div>
    <w:div w:id="1503086985">
      <w:marLeft w:val="0"/>
      <w:marRight w:val="0"/>
      <w:marTop w:val="100"/>
      <w:marBottom w:val="0"/>
      <w:divBdr>
        <w:top w:val="none" w:sz="0" w:space="0" w:color="auto"/>
        <w:left w:val="none" w:sz="0" w:space="0" w:color="auto"/>
        <w:bottom w:val="none" w:sz="0" w:space="0" w:color="auto"/>
        <w:right w:val="none" w:sz="0" w:space="0" w:color="auto"/>
      </w:divBdr>
    </w:div>
    <w:div w:id="1503164244">
      <w:marLeft w:val="0"/>
      <w:marRight w:val="0"/>
      <w:marTop w:val="0"/>
      <w:marBottom w:val="0"/>
      <w:divBdr>
        <w:top w:val="none" w:sz="0" w:space="0" w:color="auto"/>
        <w:left w:val="none" w:sz="0" w:space="0" w:color="auto"/>
        <w:bottom w:val="none" w:sz="0" w:space="0" w:color="auto"/>
        <w:right w:val="none" w:sz="0" w:space="0" w:color="auto"/>
      </w:divBdr>
      <w:divsChild>
        <w:div w:id="1369991695">
          <w:marLeft w:val="0"/>
          <w:marRight w:val="0"/>
          <w:marTop w:val="0"/>
          <w:marBottom w:val="0"/>
          <w:divBdr>
            <w:top w:val="none" w:sz="0" w:space="0" w:color="auto"/>
            <w:left w:val="none" w:sz="0" w:space="0" w:color="auto"/>
            <w:bottom w:val="none" w:sz="0" w:space="0" w:color="auto"/>
            <w:right w:val="none" w:sz="0" w:space="0" w:color="auto"/>
          </w:divBdr>
          <w:divsChild>
            <w:div w:id="88074576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04665736">
      <w:marLeft w:val="0"/>
      <w:marRight w:val="0"/>
      <w:marTop w:val="0"/>
      <w:marBottom w:val="100"/>
      <w:divBdr>
        <w:top w:val="none" w:sz="0" w:space="0" w:color="auto"/>
        <w:left w:val="none" w:sz="0" w:space="0" w:color="auto"/>
        <w:bottom w:val="none" w:sz="0" w:space="0" w:color="auto"/>
        <w:right w:val="none" w:sz="0" w:space="0" w:color="auto"/>
      </w:divBdr>
    </w:div>
    <w:div w:id="1506358529">
      <w:marLeft w:val="0"/>
      <w:marRight w:val="0"/>
      <w:marTop w:val="100"/>
      <w:marBottom w:val="100"/>
      <w:divBdr>
        <w:top w:val="none" w:sz="0" w:space="0" w:color="auto"/>
        <w:left w:val="none" w:sz="0" w:space="0" w:color="auto"/>
        <w:bottom w:val="none" w:sz="0" w:space="0" w:color="auto"/>
        <w:right w:val="none" w:sz="0" w:space="0" w:color="auto"/>
      </w:divBdr>
    </w:div>
    <w:div w:id="1507205392">
      <w:marLeft w:val="0"/>
      <w:marRight w:val="0"/>
      <w:marTop w:val="100"/>
      <w:marBottom w:val="100"/>
      <w:divBdr>
        <w:top w:val="none" w:sz="0" w:space="0" w:color="auto"/>
        <w:left w:val="none" w:sz="0" w:space="0" w:color="auto"/>
        <w:bottom w:val="none" w:sz="0" w:space="0" w:color="auto"/>
        <w:right w:val="none" w:sz="0" w:space="0" w:color="auto"/>
      </w:divBdr>
    </w:div>
    <w:div w:id="1508247181">
      <w:marLeft w:val="0"/>
      <w:marRight w:val="0"/>
      <w:marTop w:val="180"/>
      <w:marBottom w:val="100"/>
      <w:divBdr>
        <w:top w:val="none" w:sz="0" w:space="0" w:color="auto"/>
        <w:left w:val="none" w:sz="0" w:space="0" w:color="auto"/>
        <w:bottom w:val="none" w:sz="0" w:space="0" w:color="auto"/>
        <w:right w:val="none" w:sz="0" w:space="0" w:color="auto"/>
      </w:divBdr>
    </w:div>
    <w:div w:id="1508983438">
      <w:marLeft w:val="0"/>
      <w:marRight w:val="0"/>
      <w:marTop w:val="180"/>
      <w:marBottom w:val="0"/>
      <w:divBdr>
        <w:top w:val="none" w:sz="0" w:space="0" w:color="auto"/>
        <w:left w:val="none" w:sz="0" w:space="0" w:color="auto"/>
        <w:bottom w:val="none" w:sz="0" w:space="0" w:color="auto"/>
        <w:right w:val="none" w:sz="0" w:space="0" w:color="auto"/>
      </w:divBdr>
    </w:div>
    <w:div w:id="1510832323">
      <w:marLeft w:val="0"/>
      <w:marRight w:val="0"/>
      <w:marTop w:val="100"/>
      <w:marBottom w:val="100"/>
      <w:divBdr>
        <w:top w:val="none" w:sz="0" w:space="0" w:color="auto"/>
        <w:left w:val="none" w:sz="0" w:space="0" w:color="auto"/>
        <w:bottom w:val="none" w:sz="0" w:space="0" w:color="auto"/>
        <w:right w:val="none" w:sz="0" w:space="0" w:color="auto"/>
      </w:divBdr>
    </w:div>
    <w:div w:id="1513373247">
      <w:marLeft w:val="0"/>
      <w:marRight w:val="0"/>
      <w:marTop w:val="0"/>
      <w:marBottom w:val="100"/>
      <w:divBdr>
        <w:top w:val="none" w:sz="0" w:space="0" w:color="auto"/>
        <w:left w:val="none" w:sz="0" w:space="0" w:color="auto"/>
        <w:bottom w:val="none" w:sz="0" w:space="0" w:color="auto"/>
        <w:right w:val="none" w:sz="0" w:space="0" w:color="auto"/>
      </w:divBdr>
    </w:div>
    <w:div w:id="1513759060">
      <w:marLeft w:val="0"/>
      <w:marRight w:val="0"/>
      <w:marTop w:val="0"/>
      <w:marBottom w:val="0"/>
      <w:divBdr>
        <w:top w:val="none" w:sz="0" w:space="0" w:color="auto"/>
        <w:left w:val="none" w:sz="0" w:space="0" w:color="auto"/>
        <w:bottom w:val="none" w:sz="0" w:space="0" w:color="auto"/>
        <w:right w:val="none" w:sz="0" w:space="0" w:color="auto"/>
      </w:divBdr>
    </w:div>
    <w:div w:id="1516188783">
      <w:marLeft w:val="0"/>
      <w:marRight w:val="0"/>
      <w:marTop w:val="0"/>
      <w:marBottom w:val="0"/>
      <w:divBdr>
        <w:top w:val="none" w:sz="0" w:space="0" w:color="auto"/>
        <w:left w:val="none" w:sz="0" w:space="0" w:color="auto"/>
        <w:bottom w:val="none" w:sz="0" w:space="0" w:color="auto"/>
        <w:right w:val="none" w:sz="0" w:space="0" w:color="auto"/>
      </w:divBdr>
    </w:div>
    <w:div w:id="1516581015">
      <w:marLeft w:val="0"/>
      <w:marRight w:val="0"/>
      <w:marTop w:val="180"/>
      <w:marBottom w:val="100"/>
      <w:divBdr>
        <w:top w:val="none" w:sz="0" w:space="0" w:color="auto"/>
        <w:left w:val="none" w:sz="0" w:space="0" w:color="auto"/>
        <w:bottom w:val="none" w:sz="0" w:space="0" w:color="auto"/>
        <w:right w:val="none" w:sz="0" w:space="0" w:color="auto"/>
      </w:divBdr>
    </w:div>
    <w:div w:id="1517694747">
      <w:marLeft w:val="0"/>
      <w:marRight w:val="0"/>
      <w:marTop w:val="0"/>
      <w:marBottom w:val="100"/>
      <w:divBdr>
        <w:top w:val="none" w:sz="0" w:space="0" w:color="auto"/>
        <w:left w:val="none" w:sz="0" w:space="0" w:color="auto"/>
        <w:bottom w:val="none" w:sz="0" w:space="0" w:color="auto"/>
        <w:right w:val="none" w:sz="0" w:space="0" w:color="auto"/>
      </w:divBdr>
    </w:div>
    <w:div w:id="1518620794">
      <w:marLeft w:val="0"/>
      <w:marRight w:val="0"/>
      <w:marTop w:val="100"/>
      <w:marBottom w:val="0"/>
      <w:divBdr>
        <w:top w:val="none" w:sz="0" w:space="0" w:color="auto"/>
        <w:left w:val="none" w:sz="0" w:space="0" w:color="auto"/>
        <w:bottom w:val="none" w:sz="0" w:space="0" w:color="auto"/>
        <w:right w:val="none" w:sz="0" w:space="0" w:color="auto"/>
      </w:divBdr>
    </w:div>
    <w:div w:id="1518697208">
      <w:marLeft w:val="0"/>
      <w:marRight w:val="0"/>
      <w:marTop w:val="180"/>
      <w:marBottom w:val="0"/>
      <w:divBdr>
        <w:top w:val="none" w:sz="0" w:space="0" w:color="auto"/>
        <w:left w:val="none" w:sz="0" w:space="0" w:color="auto"/>
        <w:bottom w:val="none" w:sz="0" w:space="0" w:color="auto"/>
        <w:right w:val="none" w:sz="0" w:space="0" w:color="auto"/>
      </w:divBdr>
    </w:div>
    <w:div w:id="1519467003">
      <w:marLeft w:val="0"/>
      <w:marRight w:val="0"/>
      <w:marTop w:val="100"/>
      <w:marBottom w:val="100"/>
      <w:divBdr>
        <w:top w:val="none" w:sz="0" w:space="0" w:color="auto"/>
        <w:left w:val="none" w:sz="0" w:space="0" w:color="auto"/>
        <w:bottom w:val="none" w:sz="0" w:space="0" w:color="auto"/>
        <w:right w:val="none" w:sz="0" w:space="0" w:color="auto"/>
      </w:divBdr>
    </w:div>
    <w:div w:id="1521431254">
      <w:marLeft w:val="0"/>
      <w:marRight w:val="0"/>
      <w:marTop w:val="180"/>
      <w:marBottom w:val="100"/>
      <w:divBdr>
        <w:top w:val="none" w:sz="0" w:space="0" w:color="auto"/>
        <w:left w:val="none" w:sz="0" w:space="0" w:color="auto"/>
        <w:bottom w:val="none" w:sz="0" w:space="0" w:color="auto"/>
        <w:right w:val="none" w:sz="0" w:space="0" w:color="auto"/>
      </w:divBdr>
    </w:div>
    <w:div w:id="1527716183">
      <w:marLeft w:val="0"/>
      <w:marRight w:val="0"/>
      <w:marTop w:val="0"/>
      <w:marBottom w:val="100"/>
      <w:divBdr>
        <w:top w:val="none" w:sz="0" w:space="0" w:color="auto"/>
        <w:left w:val="none" w:sz="0" w:space="0" w:color="auto"/>
        <w:bottom w:val="none" w:sz="0" w:space="0" w:color="auto"/>
        <w:right w:val="none" w:sz="0" w:space="0" w:color="auto"/>
      </w:divBdr>
    </w:div>
    <w:div w:id="1528328363">
      <w:marLeft w:val="0"/>
      <w:marRight w:val="0"/>
      <w:marTop w:val="180"/>
      <w:marBottom w:val="0"/>
      <w:divBdr>
        <w:top w:val="none" w:sz="0" w:space="0" w:color="auto"/>
        <w:left w:val="none" w:sz="0" w:space="0" w:color="auto"/>
        <w:bottom w:val="none" w:sz="0" w:space="0" w:color="auto"/>
        <w:right w:val="none" w:sz="0" w:space="0" w:color="auto"/>
      </w:divBdr>
    </w:div>
    <w:div w:id="1528447492">
      <w:marLeft w:val="0"/>
      <w:marRight w:val="0"/>
      <w:marTop w:val="100"/>
      <w:marBottom w:val="100"/>
      <w:divBdr>
        <w:top w:val="none" w:sz="0" w:space="0" w:color="auto"/>
        <w:left w:val="none" w:sz="0" w:space="0" w:color="auto"/>
        <w:bottom w:val="none" w:sz="0" w:space="0" w:color="auto"/>
        <w:right w:val="none" w:sz="0" w:space="0" w:color="auto"/>
      </w:divBdr>
    </w:div>
    <w:div w:id="1528451118">
      <w:marLeft w:val="0"/>
      <w:marRight w:val="0"/>
      <w:marTop w:val="180"/>
      <w:marBottom w:val="100"/>
      <w:divBdr>
        <w:top w:val="none" w:sz="0" w:space="0" w:color="auto"/>
        <w:left w:val="none" w:sz="0" w:space="0" w:color="auto"/>
        <w:bottom w:val="none" w:sz="0" w:space="0" w:color="auto"/>
        <w:right w:val="none" w:sz="0" w:space="0" w:color="auto"/>
      </w:divBdr>
    </w:div>
    <w:div w:id="1528912664">
      <w:marLeft w:val="0"/>
      <w:marRight w:val="0"/>
      <w:marTop w:val="0"/>
      <w:marBottom w:val="0"/>
      <w:divBdr>
        <w:top w:val="none" w:sz="0" w:space="0" w:color="auto"/>
        <w:left w:val="none" w:sz="0" w:space="0" w:color="auto"/>
        <w:bottom w:val="none" w:sz="0" w:space="0" w:color="auto"/>
        <w:right w:val="none" w:sz="0" w:space="0" w:color="auto"/>
      </w:divBdr>
    </w:div>
    <w:div w:id="1532567622">
      <w:marLeft w:val="0"/>
      <w:marRight w:val="0"/>
      <w:marTop w:val="0"/>
      <w:marBottom w:val="0"/>
      <w:divBdr>
        <w:top w:val="none" w:sz="0" w:space="0" w:color="auto"/>
        <w:left w:val="none" w:sz="0" w:space="0" w:color="auto"/>
        <w:bottom w:val="none" w:sz="0" w:space="0" w:color="auto"/>
        <w:right w:val="none" w:sz="0" w:space="0" w:color="auto"/>
      </w:divBdr>
    </w:div>
    <w:div w:id="1533692615">
      <w:marLeft w:val="0"/>
      <w:marRight w:val="0"/>
      <w:marTop w:val="0"/>
      <w:marBottom w:val="100"/>
      <w:divBdr>
        <w:top w:val="none" w:sz="0" w:space="0" w:color="auto"/>
        <w:left w:val="none" w:sz="0" w:space="0" w:color="auto"/>
        <w:bottom w:val="none" w:sz="0" w:space="0" w:color="auto"/>
        <w:right w:val="none" w:sz="0" w:space="0" w:color="auto"/>
      </w:divBdr>
    </w:div>
    <w:div w:id="1534809250">
      <w:marLeft w:val="0"/>
      <w:marRight w:val="0"/>
      <w:marTop w:val="0"/>
      <w:marBottom w:val="100"/>
      <w:divBdr>
        <w:top w:val="none" w:sz="0" w:space="0" w:color="auto"/>
        <w:left w:val="none" w:sz="0" w:space="0" w:color="auto"/>
        <w:bottom w:val="none" w:sz="0" w:space="0" w:color="auto"/>
        <w:right w:val="none" w:sz="0" w:space="0" w:color="auto"/>
      </w:divBdr>
    </w:div>
    <w:div w:id="1535078101">
      <w:marLeft w:val="0"/>
      <w:marRight w:val="0"/>
      <w:marTop w:val="180"/>
      <w:marBottom w:val="100"/>
      <w:divBdr>
        <w:top w:val="none" w:sz="0" w:space="0" w:color="auto"/>
        <w:left w:val="none" w:sz="0" w:space="0" w:color="auto"/>
        <w:bottom w:val="none" w:sz="0" w:space="0" w:color="auto"/>
        <w:right w:val="none" w:sz="0" w:space="0" w:color="auto"/>
      </w:divBdr>
    </w:div>
    <w:div w:id="1535774394">
      <w:marLeft w:val="0"/>
      <w:marRight w:val="0"/>
      <w:marTop w:val="0"/>
      <w:marBottom w:val="120"/>
      <w:divBdr>
        <w:top w:val="none" w:sz="0" w:space="0" w:color="auto"/>
        <w:left w:val="none" w:sz="0" w:space="0" w:color="auto"/>
        <w:bottom w:val="none" w:sz="0" w:space="0" w:color="auto"/>
        <w:right w:val="none" w:sz="0" w:space="0" w:color="auto"/>
      </w:divBdr>
    </w:div>
    <w:div w:id="1537423133">
      <w:marLeft w:val="0"/>
      <w:marRight w:val="0"/>
      <w:marTop w:val="0"/>
      <w:marBottom w:val="100"/>
      <w:divBdr>
        <w:top w:val="none" w:sz="0" w:space="0" w:color="auto"/>
        <w:left w:val="none" w:sz="0" w:space="0" w:color="auto"/>
        <w:bottom w:val="none" w:sz="0" w:space="0" w:color="auto"/>
        <w:right w:val="none" w:sz="0" w:space="0" w:color="auto"/>
      </w:divBdr>
    </w:div>
    <w:div w:id="1538663087">
      <w:marLeft w:val="0"/>
      <w:marRight w:val="0"/>
      <w:marTop w:val="0"/>
      <w:marBottom w:val="0"/>
      <w:divBdr>
        <w:top w:val="none" w:sz="0" w:space="0" w:color="auto"/>
        <w:left w:val="none" w:sz="0" w:space="0" w:color="auto"/>
        <w:bottom w:val="none" w:sz="0" w:space="0" w:color="auto"/>
        <w:right w:val="none" w:sz="0" w:space="0" w:color="auto"/>
      </w:divBdr>
    </w:div>
    <w:div w:id="1538856464">
      <w:marLeft w:val="0"/>
      <w:marRight w:val="0"/>
      <w:marTop w:val="100"/>
      <w:marBottom w:val="100"/>
      <w:divBdr>
        <w:top w:val="none" w:sz="0" w:space="0" w:color="auto"/>
        <w:left w:val="none" w:sz="0" w:space="0" w:color="auto"/>
        <w:bottom w:val="none" w:sz="0" w:space="0" w:color="auto"/>
        <w:right w:val="none" w:sz="0" w:space="0" w:color="auto"/>
      </w:divBdr>
    </w:div>
    <w:div w:id="1540167392">
      <w:marLeft w:val="0"/>
      <w:marRight w:val="0"/>
      <w:marTop w:val="0"/>
      <w:marBottom w:val="100"/>
      <w:divBdr>
        <w:top w:val="none" w:sz="0" w:space="0" w:color="auto"/>
        <w:left w:val="none" w:sz="0" w:space="0" w:color="auto"/>
        <w:bottom w:val="none" w:sz="0" w:space="0" w:color="auto"/>
        <w:right w:val="none" w:sz="0" w:space="0" w:color="auto"/>
      </w:divBdr>
    </w:div>
    <w:div w:id="1541353723">
      <w:marLeft w:val="0"/>
      <w:marRight w:val="0"/>
      <w:marTop w:val="100"/>
      <w:marBottom w:val="100"/>
      <w:divBdr>
        <w:top w:val="none" w:sz="0" w:space="0" w:color="auto"/>
        <w:left w:val="none" w:sz="0" w:space="0" w:color="auto"/>
        <w:bottom w:val="none" w:sz="0" w:space="0" w:color="auto"/>
        <w:right w:val="none" w:sz="0" w:space="0" w:color="auto"/>
      </w:divBdr>
    </w:div>
    <w:div w:id="1541701057">
      <w:marLeft w:val="0"/>
      <w:marRight w:val="0"/>
      <w:marTop w:val="0"/>
      <w:marBottom w:val="0"/>
      <w:divBdr>
        <w:top w:val="none" w:sz="0" w:space="0" w:color="auto"/>
        <w:left w:val="none" w:sz="0" w:space="0" w:color="auto"/>
        <w:bottom w:val="none" w:sz="0" w:space="0" w:color="auto"/>
        <w:right w:val="none" w:sz="0" w:space="0" w:color="auto"/>
      </w:divBdr>
      <w:divsChild>
        <w:div w:id="1174808521">
          <w:marLeft w:val="0"/>
          <w:marRight w:val="0"/>
          <w:marTop w:val="0"/>
          <w:marBottom w:val="100"/>
          <w:divBdr>
            <w:top w:val="none" w:sz="0" w:space="0" w:color="auto"/>
            <w:left w:val="none" w:sz="0" w:space="0" w:color="auto"/>
            <w:bottom w:val="none" w:sz="0" w:space="0" w:color="auto"/>
            <w:right w:val="none" w:sz="0" w:space="0" w:color="auto"/>
          </w:divBdr>
        </w:div>
      </w:divsChild>
    </w:div>
    <w:div w:id="1544634461">
      <w:marLeft w:val="0"/>
      <w:marRight w:val="0"/>
      <w:marTop w:val="100"/>
      <w:marBottom w:val="100"/>
      <w:divBdr>
        <w:top w:val="none" w:sz="0" w:space="0" w:color="auto"/>
        <w:left w:val="none" w:sz="0" w:space="0" w:color="auto"/>
        <w:bottom w:val="none" w:sz="0" w:space="0" w:color="auto"/>
        <w:right w:val="none" w:sz="0" w:space="0" w:color="auto"/>
      </w:divBdr>
    </w:div>
    <w:div w:id="1544710412">
      <w:marLeft w:val="0"/>
      <w:marRight w:val="0"/>
      <w:marTop w:val="0"/>
      <w:marBottom w:val="0"/>
      <w:divBdr>
        <w:top w:val="none" w:sz="0" w:space="0" w:color="auto"/>
        <w:left w:val="none" w:sz="0" w:space="0" w:color="auto"/>
        <w:bottom w:val="none" w:sz="0" w:space="0" w:color="auto"/>
        <w:right w:val="none" w:sz="0" w:space="0" w:color="auto"/>
      </w:divBdr>
    </w:div>
    <w:div w:id="1545212762">
      <w:marLeft w:val="0"/>
      <w:marRight w:val="0"/>
      <w:marTop w:val="0"/>
      <w:marBottom w:val="0"/>
      <w:divBdr>
        <w:top w:val="none" w:sz="0" w:space="0" w:color="auto"/>
        <w:left w:val="none" w:sz="0" w:space="0" w:color="auto"/>
        <w:bottom w:val="none" w:sz="0" w:space="0" w:color="auto"/>
        <w:right w:val="none" w:sz="0" w:space="0" w:color="auto"/>
      </w:divBdr>
      <w:divsChild>
        <w:div w:id="556935293">
          <w:marLeft w:val="0"/>
          <w:marRight w:val="0"/>
          <w:marTop w:val="0"/>
          <w:marBottom w:val="100"/>
          <w:divBdr>
            <w:top w:val="none" w:sz="0" w:space="0" w:color="auto"/>
            <w:left w:val="none" w:sz="0" w:space="0" w:color="auto"/>
            <w:bottom w:val="none" w:sz="0" w:space="0" w:color="auto"/>
            <w:right w:val="none" w:sz="0" w:space="0" w:color="auto"/>
          </w:divBdr>
        </w:div>
      </w:divsChild>
    </w:div>
    <w:div w:id="1546984427">
      <w:marLeft w:val="0"/>
      <w:marRight w:val="0"/>
      <w:marTop w:val="100"/>
      <w:marBottom w:val="100"/>
      <w:divBdr>
        <w:top w:val="none" w:sz="0" w:space="0" w:color="auto"/>
        <w:left w:val="none" w:sz="0" w:space="0" w:color="auto"/>
        <w:bottom w:val="none" w:sz="0" w:space="0" w:color="auto"/>
        <w:right w:val="none" w:sz="0" w:space="0" w:color="auto"/>
      </w:divBdr>
    </w:div>
    <w:div w:id="1548102825">
      <w:marLeft w:val="0"/>
      <w:marRight w:val="0"/>
      <w:marTop w:val="100"/>
      <w:marBottom w:val="100"/>
      <w:divBdr>
        <w:top w:val="none" w:sz="0" w:space="0" w:color="auto"/>
        <w:left w:val="none" w:sz="0" w:space="0" w:color="auto"/>
        <w:bottom w:val="none" w:sz="0" w:space="0" w:color="auto"/>
        <w:right w:val="none" w:sz="0" w:space="0" w:color="auto"/>
      </w:divBdr>
    </w:div>
    <w:div w:id="1549296915">
      <w:marLeft w:val="0"/>
      <w:marRight w:val="0"/>
      <w:marTop w:val="100"/>
      <w:marBottom w:val="0"/>
      <w:divBdr>
        <w:top w:val="none" w:sz="0" w:space="0" w:color="auto"/>
        <w:left w:val="none" w:sz="0" w:space="0" w:color="auto"/>
        <w:bottom w:val="none" w:sz="0" w:space="0" w:color="auto"/>
        <w:right w:val="none" w:sz="0" w:space="0" w:color="auto"/>
      </w:divBdr>
    </w:div>
    <w:div w:id="1549678902">
      <w:marLeft w:val="0"/>
      <w:marRight w:val="0"/>
      <w:marTop w:val="0"/>
      <w:marBottom w:val="0"/>
      <w:divBdr>
        <w:top w:val="none" w:sz="0" w:space="0" w:color="auto"/>
        <w:left w:val="none" w:sz="0" w:space="0" w:color="auto"/>
        <w:bottom w:val="none" w:sz="0" w:space="0" w:color="auto"/>
        <w:right w:val="none" w:sz="0" w:space="0" w:color="auto"/>
      </w:divBdr>
    </w:div>
    <w:div w:id="1550262936">
      <w:marLeft w:val="0"/>
      <w:marRight w:val="0"/>
      <w:marTop w:val="100"/>
      <w:marBottom w:val="0"/>
      <w:divBdr>
        <w:top w:val="none" w:sz="0" w:space="0" w:color="auto"/>
        <w:left w:val="none" w:sz="0" w:space="0" w:color="auto"/>
        <w:bottom w:val="none" w:sz="0" w:space="0" w:color="auto"/>
        <w:right w:val="none" w:sz="0" w:space="0" w:color="auto"/>
      </w:divBdr>
    </w:div>
    <w:div w:id="1550533088">
      <w:marLeft w:val="0"/>
      <w:marRight w:val="0"/>
      <w:marTop w:val="0"/>
      <w:marBottom w:val="0"/>
      <w:divBdr>
        <w:top w:val="none" w:sz="0" w:space="0" w:color="auto"/>
        <w:left w:val="none" w:sz="0" w:space="0" w:color="auto"/>
        <w:bottom w:val="none" w:sz="0" w:space="0" w:color="auto"/>
        <w:right w:val="none" w:sz="0" w:space="0" w:color="auto"/>
      </w:divBdr>
      <w:divsChild>
        <w:div w:id="1104763789">
          <w:marLeft w:val="0"/>
          <w:marRight w:val="0"/>
          <w:marTop w:val="0"/>
          <w:marBottom w:val="100"/>
          <w:divBdr>
            <w:top w:val="none" w:sz="0" w:space="0" w:color="auto"/>
            <w:left w:val="none" w:sz="0" w:space="0" w:color="auto"/>
            <w:bottom w:val="none" w:sz="0" w:space="0" w:color="auto"/>
            <w:right w:val="none" w:sz="0" w:space="0" w:color="auto"/>
          </w:divBdr>
        </w:div>
      </w:divsChild>
    </w:div>
    <w:div w:id="1552576207">
      <w:marLeft w:val="0"/>
      <w:marRight w:val="0"/>
      <w:marTop w:val="0"/>
      <w:marBottom w:val="100"/>
      <w:divBdr>
        <w:top w:val="none" w:sz="0" w:space="0" w:color="auto"/>
        <w:left w:val="none" w:sz="0" w:space="0" w:color="auto"/>
        <w:bottom w:val="none" w:sz="0" w:space="0" w:color="auto"/>
        <w:right w:val="none" w:sz="0" w:space="0" w:color="auto"/>
      </w:divBdr>
      <w:divsChild>
        <w:div w:id="558249957">
          <w:marLeft w:val="0"/>
          <w:marRight w:val="0"/>
          <w:marTop w:val="0"/>
          <w:marBottom w:val="0"/>
          <w:divBdr>
            <w:top w:val="none" w:sz="0" w:space="0" w:color="auto"/>
            <w:left w:val="none" w:sz="0" w:space="0" w:color="auto"/>
            <w:bottom w:val="none" w:sz="0" w:space="0" w:color="auto"/>
            <w:right w:val="none" w:sz="0" w:space="0" w:color="auto"/>
          </w:divBdr>
        </w:div>
      </w:divsChild>
    </w:div>
    <w:div w:id="1554387505">
      <w:marLeft w:val="0"/>
      <w:marRight w:val="0"/>
      <w:marTop w:val="0"/>
      <w:marBottom w:val="100"/>
      <w:divBdr>
        <w:top w:val="none" w:sz="0" w:space="0" w:color="auto"/>
        <w:left w:val="none" w:sz="0" w:space="0" w:color="auto"/>
        <w:bottom w:val="none" w:sz="0" w:space="0" w:color="auto"/>
        <w:right w:val="none" w:sz="0" w:space="0" w:color="auto"/>
      </w:divBdr>
    </w:div>
    <w:div w:id="1556431782">
      <w:marLeft w:val="0"/>
      <w:marRight w:val="0"/>
      <w:marTop w:val="0"/>
      <w:marBottom w:val="0"/>
      <w:divBdr>
        <w:top w:val="none" w:sz="0" w:space="0" w:color="auto"/>
        <w:left w:val="none" w:sz="0" w:space="0" w:color="auto"/>
        <w:bottom w:val="none" w:sz="0" w:space="0" w:color="auto"/>
        <w:right w:val="none" w:sz="0" w:space="0" w:color="auto"/>
      </w:divBdr>
      <w:divsChild>
        <w:div w:id="8678730">
          <w:marLeft w:val="0"/>
          <w:marRight w:val="0"/>
          <w:marTop w:val="0"/>
          <w:marBottom w:val="100"/>
          <w:divBdr>
            <w:top w:val="none" w:sz="0" w:space="0" w:color="auto"/>
            <w:left w:val="none" w:sz="0" w:space="0" w:color="auto"/>
            <w:bottom w:val="none" w:sz="0" w:space="0" w:color="auto"/>
            <w:right w:val="none" w:sz="0" w:space="0" w:color="auto"/>
          </w:divBdr>
        </w:div>
      </w:divsChild>
    </w:div>
    <w:div w:id="1556814260">
      <w:marLeft w:val="0"/>
      <w:marRight w:val="0"/>
      <w:marTop w:val="100"/>
      <w:marBottom w:val="100"/>
      <w:divBdr>
        <w:top w:val="none" w:sz="0" w:space="0" w:color="auto"/>
        <w:left w:val="none" w:sz="0" w:space="0" w:color="auto"/>
        <w:bottom w:val="none" w:sz="0" w:space="0" w:color="auto"/>
        <w:right w:val="none" w:sz="0" w:space="0" w:color="auto"/>
      </w:divBdr>
    </w:div>
    <w:div w:id="1557275555">
      <w:marLeft w:val="0"/>
      <w:marRight w:val="0"/>
      <w:marTop w:val="100"/>
      <w:marBottom w:val="100"/>
      <w:divBdr>
        <w:top w:val="none" w:sz="0" w:space="0" w:color="auto"/>
        <w:left w:val="none" w:sz="0" w:space="0" w:color="auto"/>
        <w:bottom w:val="none" w:sz="0" w:space="0" w:color="auto"/>
        <w:right w:val="none" w:sz="0" w:space="0" w:color="auto"/>
      </w:divBdr>
    </w:div>
    <w:div w:id="1558392229">
      <w:marLeft w:val="0"/>
      <w:marRight w:val="0"/>
      <w:marTop w:val="0"/>
      <w:marBottom w:val="0"/>
      <w:divBdr>
        <w:top w:val="none" w:sz="0" w:space="0" w:color="auto"/>
        <w:left w:val="none" w:sz="0" w:space="0" w:color="auto"/>
        <w:bottom w:val="none" w:sz="0" w:space="0" w:color="auto"/>
        <w:right w:val="none" w:sz="0" w:space="0" w:color="auto"/>
      </w:divBdr>
    </w:div>
    <w:div w:id="1558972505">
      <w:marLeft w:val="0"/>
      <w:marRight w:val="0"/>
      <w:marTop w:val="100"/>
      <w:marBottom w:val="0"/>
      <w:divBdr>
        <w:top w:val="none" w:sz="0" w:space="0" w:color="auto"/>
        <w:left w:val="none" w:sz="0" w:space="0" w:color="auto"/>
        <w:bottom w:val="none" w:sz="0" w:space="0" w:color="auto"/>
        <w:right w:val="none" w:sz="0" w:space="0" w:color="auto"/>
      </w:divBdr>
    </w:div>
    <w:div w:id="1561212069">
      <w:marLeft w:val="0"/>
      <w:marRight w:val="0"/>
      <w:marTop w:val="0"/>
      <w:marBottom w:val="0"/>
      <w:divBdr>
        <w:top w:val="none" w:sz="0" w:space="0" w:color="auto"/>
        <w:left w:val="none" w:sz="0" w:space="0" w:color="auto"/>
        <w:bottom w:val="none" w:sz="0" w:space="0" w:color="auto"/>
        <w:right w:val="none" w:sz="0" w:space="0" w:color="auto"/>
      </w:divBdr>
      <w:divsChild>
        <w:div w:id="512955993">
          <w:marLeft w:val="0"/>
          <w:marRight w:val="0"/>
          <w:marTop w:val="0"/>
          <w:marBottom w:val="100"/>
          <w:divBdr>
            <w:top w:val="none" w:sz="0" w:space="0" w:color="auto"/>
            <w:left w:val="none" w:sz="0" w:space="0" w:color="auto"/>
            <w:bottom w:val="none" w:sz="0" w:space="0" w:color="auto"/>
            <w:right w:val="none" w:sz="0" w:space="0" w:color="auto"/>
          </w:divBdr>
        </w:div>
      </w:divsChild>
    </w:div>
    <w:div w:id="1561357444">
      <w:marLeft w:val="0"/>
      <w:marRight w:val="0"/>
      <w:marTop w:val="0"/>
      <w:marBottom w:val="100"/>
      <w:divBdr>
        <w:top w:val="none" w:sz="0" w:space="0" w:color="auto"/>
        <w:left w:val="none" w:sz="0" w:space="0" w:color="auto"/>
        <w:bottom w:val="none" w:sz="0" w:space="0" w:color="auto"/>
        <w:right w:val="none" w:sz="0" w:space="0" w:color="auto"/>
      </w:divBdr>
    </w:div>
    <w:div w:id="1562446085">
      <w:marLeft w:val="0"/>
      <w:marRight w:val="0"/>
      <w:marTop w:val="0"/>
      <w:marBottom w:val="0"/>
      <w:divBdr>
        <w:top w:val="none" w:sz="0" w:space="0" w:color="auto"/>
        <w:left w:val="none" w:sz="0" w:space="0" w:color="auto"/>
        <w:bottom w:val="none" w:sz="0" w:space="0" w:color="auto"/>
        <w:right w:val="none" w:sz="0" w:space="0" w:color="auto"/>
      </w:divBdr>
    </w:div>
    <w:div w:id="1562986235">
      <w:marLeft w:val="0"/>
      <w:marRight w:val="0"/>
      <w:marTop w:val="0"/>
      <w:marBottom w:val="0"/>
      <w:divBdr>
        <w:top w:val="none" w:sz="0" w:space="0" w:color="auto"/>
        <w:left w:val="none" w:sz="0" w:space="0" w:color="auto"/>
        <w:bottom w:val="none" w:sz="0" w:space="0" w:color="auto"/>
        <w:right w:val="none" w:sz="0" w:space="0" w:color="auto"/>
      </w:divBdr>
    </w:div>
    <w:div w:id="1563364379">
      <w:marLeft w:val="0"/>
      <w:marRight w:val="0"/>
      <w:marTop w:val="100"/>
      <w:marBottom w:val="0"/>
      <w:divBdr>
        <w:top w:val="none" w:sz="0" w:space="0" w:color="auto"/>
        <w:left w:val="none" w:sz="0" w:space="0" w:color="auto"/>
        <w:bottom w:val="none" w:sz="0" w:space="0" w:color="auto"/>
        <w:right w:val="none" w:sz="0" w:space="0" w:color="auto"/>
      </w:divBdr>
    </w:div>
    <w:div w:id="1564291761">
      <w:marLeft w:val="0"/>
      <w:marRight w:val="0"/>
      <w:marTop w:val="180"/>
      <w:marBottom w:val="0"/>
      <w:divBdr>
        <w:top w:val="none" w:sz="0" w:space="0" w:color="auto"/>
        <w:left w:val="none" w:sz="0" w:space="0" w:color="auto"/>
        <w:bottom w:val="none" w:sz="0" w:space="0" w:color="auto"/>
        <w:right w:val="none" w:sz="0" w:space="0" w:color="auto"/>
      </w:divBdr>
    </w:div>
    <w:div w:id="1564294040">
      <w:marLeft w:val="0"/>
      <w:marRight w:val="0"/>
      <w:marTop w:val="180"/>
      <w:marBottom w:val="0"/>
      <w:divBdr>
        <w:top w:val="none" w:sz="0" w:space="0" w:color="auto"/>
        <w:left w:val="none" w:sz="0" w:space="0" w:color="auto"/>
        <w:bottom w:val="none" w:sz="0" w:space="0" w:color="auto"/>
        <w:right w:val="none" w:sz="0" w:space="0" w:color="auto"/>
      </w:divBdr>
    </w:div>
    <w:div w:id="1565992005">
      <w:marLeft w:val="0"/>
      <w:marRight w:val="0"/>
      <w:marTop w:val="180"/>
      <w:marBottom w:val="0"/>
      <w:divBdr>
        <w:top w:val="none" w:sz="0" w:space="0" w:color="auto"/>
        <w:left w:val="none" w:sz="0" w:space="0" w:color="auto"/>
        <w:bottom w:val="none" w:sz="0" w:space="0" w:color="auto"/>
        <w:right w:val="none" w:sz="0" w:space="0" w:color="auto"/>
      </w:divBdr>
    </w:div>
    <w:div w:id="1566332091">
      <w:marLeft w:val="0"/>
      <w:marRight w:val="0"/>
      <w:marTop w:val="180"/>
      <w:marBottom w:val="0"/>
      <w:divBdr>
        <w:top w:val="none" w:sz="0" w:space="0" w:color="auto"/>
        <w:left w:val="none" w:sz="0" w:space="0" w:color="auto"/>
        <w:bottom w:val="none" w:sz="0" w:space="0" w:color="auto"/>
        <w:right w:val="none" w:sz="0" w:space="0" w:color="auto"/>
      </w:divBdr>
    </w:div>
    <w:div w:id="1568682527">
      <w:marLeft w:val="0"/>
      <w:marRight w:val="0"/>
      <w:marTop w:val="200"/>
      <w:marBottom w:val="100"/>
      <w:divBdr>
        <w:top w:val="none" w:sz="0" w:space="0" w:color="auto"/>
        <w:left w:val="none" w:sz="0" w:space="0" w:color="auto"/>
        <w:bottom w:val="none" w:sz="0" w:space="0" w:color="auto"/>
        <w:right w:val="none" w:sz="0" w:space="0" w:color="auto"/>
      </w:divBdr>
    </w:div>
    <w:div w:id="1571185853">
      <w:marLeft w:val="0"/>
      <w:marRight w:val="0"/>
      <w:marTop w:val="0"/>
      <w:marBottom w:val="100"/>
      <w:divBdr>
        <w:top w:val="none" w:sz="0" w:space="0" w:color="auto"/>
        <w:left w:val="none" w:sz="0" w:space="0" w:color="auto"/>
        <w:bottom w:val="none" w:sz="0" w:space="0" w:color="auto"/>
        <w:right w:val="none" w:sz="0" w:space="0" w:color="auto"/>
      </w:divBdr>
    </w:div>
    <w:div w:id="1571426855">
      <w:marLeft w:val="0"/>
      <w:marRight w:val="0"/>
      <w:marTop w:val="180"/>
      <w:marBottom w:val="100"/>
      <w:divBdr>
        <w:top w:val="none" w:sz="0" w:space="0" w:color="auto"/>
        <w:left w:val="none" w:sz="0" w:space="0" w:color="auto"/>
        <w:bottom w:val="none" w:sz="0" w:space="0" w:color="auto"/>
        <w:right w:val="none" w:sz="0" w:space="0" w:color="auto"/>
      </w:divBdr>
    </w:div>
    <w:div w:id="1571454234">
      <w:marLeft w:val="0"/>
      <w:marRight w:val="0"/>
      <w:marTop w:val="100"/>
      <w:marBottom w:val="100"/>
      <w:divBdr>
        <w:top w:val="none" w:sz="0" w:space="0" w:color="auto"/>
        <w:left w:val="none" w:sz="0" w:space="0" w:color="auto"/>
        <w:bottom w:val="none" w:sz="0" w:space="0" w:color="auto"/>
        <w:right w:val="none" w:sz="0" w:space="0" w:color="auto"/>
      </w:divBdr>
    </w:div>
    <w:div w:id="1571576165">
      <w:marLeft w:val="0"/>
      <w:marRight w:val="0"/>
      <w:marTop w:val="0"/>
      <w:marBottom w:val="0"/>
      <w:divBdr>
        <w:top w:val="none" w:sz="0" w:space="0" w:color="auto"/>
        <w:left w:val="none" w:sz="0" w:space="0" w:color="auto"/>
        <w:bottom w:val="none" w:sz="0" w:space="0" w:color="auto"/>
        <w:right w:val="none" w:sz="0" w:space="0" w:color="auto"/>
      </w:divBdr>
    </w:div>
    <w:div w:id="1574008772">
      <w:marLeft w:val="0"/>
      <w:marRight w:val="0"/>
      <w:marTop w:val="100"/>
      <w:marBottom w:val="100"/>
      <w:divBdr>
        <w:top w:val="none" w:sz="0" w:space="0" w:color="auto"/>
        <w:left w:val="none" w:sz="0" w:space="0" w:color="auto"/>
        <w:bottom w:val="none" w:sz="0" w:space="0" w:color="auto"/>
        <w:right w:val="none" w:sz="0" w:space="0" w:color="auto"/>
      </w:divBdr>
    </w:div>
    <w:div w:id="1574778313">
      <w:marLeft w:val="0"/>
      <w:marRight w:val="0"/>
      <w:marTop w:val="180"/>
      <w:marBottom w:val="100"/>
      <w:divBdr>
        <w:top w:val="none" w:sz="0" w:space="0" w:color="auto"/>
        <w:left w:val="none" w:sz="0" w:space="0" w:color="auto"/>
        <w:bottom w:val="none" w:sz="0" w:space="0" w:color="auto"/>
        <w:right w:val="none" w:sz="0" w:space="0" w:color="auto"/>
      </w:divBdr>
    </w:div>
    <w:div w:id="1575314952">
      <w:marLeft w:val="0"/>
      <w:marRight w:val="0"/>
      <w:marTop w:val="0"/>
      <w:marBottom w:val="0"/>
      <w:divBdr>
        <w:top w:val="none" w:sz="0" w:space="0" w:color="auto"/>
        <w:left w:val="none" w:sz="0" w:space="0" w:color="auto"/>
        <w:bottom w:val="none" w:sz="0" w:space="0" w:color="auto"/>
        <w:right w:val="none" w:sz="0" w:space="0" w:color="auto"/>
      </w:divBdr>
    </w:div>
    <w:div w:id="1575551453">
      <w:marLeft w:val="0"/>
      <w:marRight w:val="0"/>
      <w:marTop w:val="0"/>
      <w:marBottom w:val="0"/>
      <w:divBdr>
        <w:top w:val="none" w:sz="0" w:space="0" w:color="auto"/>
        <w:left w:val="none" w:sz="0" w:space="0" w:color="auto"/>
        <w:bottom w:val="none" w:sz="0" w:space="0" w:color="auto"/>
        <w:right w:val="none" w:sz="0" w:space="0" w:color="auto"/>
      </w:divBdr>
      <w:divsChild>
        <w:div w:id="1282961161">
          <w:marLeft w:val="0"/>
          <w:marRight w:val="0"/>
          <w:marTop w:val="0"/>
          <w:marBottom w:val="100"/>
          <w:divBdr>
            <w:top w:val="none" w:sz="0" w:space="0" w:color="auto"/>
            <w:left w:val="none" w:sz="0" w:space="0" w:color="auto"/>
            <w:bottom w:val="none" w:sz="0" w:space="0" w:color="auto"/>
            <w:right w:val="none" w:sz="0" w:space="0" w:color="auto"/>
          </w:divBdr>
        </w:div>
      </w:divsChild>
    </w:div>
    <w:div w:id="1575703126">
      <w:marLeft w:val="0"/>
      <w:marRight w:val="0"/>
      <w:marTop w:val="100"/>
      <w:marBottom w:val="100"/>
      <w:divBdr>
        <w:top w:val="none" w:sz="0" w:space="0" w:color="auto"/>
        <w:left w:val="none" w:sz="0" w:space="0" w:color="auto"/>
        <w:bottom w:val="none" w:sz="0" w:space="0" w:color="auto"/>
        <w:right w:val="none" w:sz="0" w:space="0" w:color="auto"/>
      </w:divBdr>
    </w:div>
    <w:div w:id="1575820207">
      <w:marLeft w:val="0"/>
      <w:marRight w:val="0"/>
      <w:marTop w:val="100"/>
      <w:marBottom w:val="100"/>
      <w:divBdr>
        <w:top w:val="none" w:sz="0" w:space="0" w:color="auto"/>
        <w:left w:val="none" w:sz="0" w:space="0" w:color="auto"/>
        <w:bottom w:val="none" w:sz="0" w:space="0" w:color="auto"/>
        <w:right w:val="none" w:sz="0" w:space="0" w:color="auto"/>
      </w:divBdr>
    </w:div>
    <w:div w:id="1575895623">
      <w:marLeft w:val="0"/>
      <w:marRight w:val="0"/>
      <w:marTop w:val="180"/>
      <w:marBottom w:val="100"/>
      <w:divBdr>
        <w:top w:val="none" w:sz="0" w:space="0" w:color="auto"/>
        <w:left w:val="none" w:sz="0" w:space="0" w:color="auto"/>
        <w:bottom w:val="none" w:sz="0" w:space="0" w:color="auto"/>
        <w:right w:val="none" w:sz="0" w:space="0" w:color="auto"/>
      </w:divBdr>
    </w:div>
    <w:div w:id="1576238349">
      <w:marLeft w:val="0"/>
      <w:marRight w:val="0"/>
      <w:marTop w:val="0"/>
      <w:marBottom w:val="0"/>
      <w:divBdr>
        <w:top w:val="none" w:sz="0" w:space="0" w:color="auto"/>
        <w:left w:val="none" w:sz="0" w:space="0" w:color="auto"/>
        <w:bottom w:val="none" w:sz="0" w:space="0" w:color="auto"/>
        <w:right w:val="none" w:sz="0" w:space="0" w:color="auto"/>
      </w:divBdr>
      <w:divsChild>
        <w:div w:id="777066573">
          <w:marLeft w:val="0"/>
          <w:marRight w:val="0"/>
          <w:marTop w:val="0"/>
          <w:marBottom w:val="0"/>
          <w:divBdr>
            <w:top w:val="none" w:sz="0" w:space="0" w:color="auto"/>
            <w:left w:val="none" w:sz="0" w:space="0" w:color="auto"/>
            <w:bottom w:val="none" w:sz="0" w:space="0" w:color="auto"/>
            <w:right w:val="none" w:sz="0" w:space="0" w:color="auto"/>
          </w:divBdr>
          <w:divsChild>
            <w:div w:id="64385080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78242136">
      <w:marLeft w:val="0"/>
      <w:marRight w:val="0"/>
      <w:marTop w:val="0"/>
      <w:marBottom w:val="0"/>
      <w:divBdr>
        <w:top w:val="none" w:sz="0" w:space="0" w:color="auto"/>
        <w:left w:val="none" w:sz="0" w:space="0" w:color="auto"/>
        <w:bottom w:val="none" w:sz="0" w:space="0" w:color="auto"/>
        <w:right w:val="none" w:sz="0" w:space="0" w:color="auto"/>
      </w:divBdr>
      <w:divsChild>
        <w:div w:id="858664932">
          <w:marLeft w:val="0"/>
          <w:marRight w:val="0"/>
          <w:marTop w:val="0"/>
          <w:marBottom w:val="0"/>
          <w:divBdr>
            <w:top w:val="none" w:sz="0" w:space="0" w:color="auto"/>
            <w:left w:val="none" w:sz="0" w:space="0" w:color="auto"/>
            <w:bottom w:val="none" w:sz="0" w:space="0" w:color="auto"/>
            <w:right w:val="none" w:sz="0" w:space="0" w:color="auto"/>
          </w:divBdr>
          <w:divsChild>
            <w:div w:id="129644521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78591866">
      <w:marLeft w:val="0"/>
      <w:marRight w:val="0"/>
      <w:marTop w:val="0"/>
      <w:marBottom w:val="100"/>
      <w:divBdr>
        <w:top w:val="none" w:sz="0" w:space="0" w:color="auto"/>
        <w:left w:val="none" w:sz="0" w:space="0" w:color="auto"/>
        <w:bottom w:val="none" w:sz="0" w:space="0" w:color="auto"/>
        <w:right w:val="none" w:sz="0" w:space="0" w:color="auto"/>
      </w:divBdr>
    </w:div>
    <w:div w:id="1579704033">
      <w:marLeft w:val="0"/>
      <w:marRight w:val="0"/>
      <w:marTop w:val="0"/>
      <w:marBottom w:val="100"/>
      <w:divBdr>
        <w:top w:val="none" w:sz="0" w:space="0" w:color="auto"/>
        <w:left w:val="none" w:sz="0" w:space="0" w:color="auto"/>
        <w:bottom w:val="none" w:sz="0" w:space="0" w:color="auto"/>
        <w:right w:val="none" w:sz="0" w:space="0" w:color="auto"/>
      </w:divBdr>
    </w:div>
    <w:div w:id="1579947659">
      <w:marLeft w:val="0"/>
      <w:marRight w:val="0"/>
      <w:marTop w:val="0"/>
      <w:marBottom w:val="100"/>
      <w:divBdr>
        <w:top w:val="none" w:sz="0" w:space="0" w:color="auto"/>
        <w:left w:val="none" w:sz="0" w:space="0" w:color="auto"/>
        <w:bottom w:val="none" w:sz="0" w:space="0" w:color="auto"/>
        <w:right w:val="none" w:sz="0" w:space="0" w:color="auto"/>
      </w:divBdr>
    </w:div>
    <w:div w:id="1582371912">
      <w:marLeft w:val="0"/>
      <w:marRight w:val="0"/>
      <w:marTop w:val="0"/>
      <w:marBottom w:val="0"/>
      <w:divBdr>
        <w:top w:val="none" w:sz="0" w:space="0" w:color="auto"/>
        <w:left w:val="none" w:sz="0" w:space="0" w:color="auto"/>
        <w:bottom w:val="none" w:sz="0" w:space="0" w:color="auto"/>
        <w:right w:val="none" w:sz="0" w:space="0" w:color="auto"/>
      </w:divBdr>
      <w:divsChild>
        <w:div w:id="2121365875">
          <w:marLeft w:val="0"/>
          <w:marRight w:val="0"/>
          <w:marTop w:val="0"/>
          <w:marBottom w:val="0"/>
          <w:divBdr>
            <w:top w:val="none" w:sz="0" w:space="0" w:color="auto"/>
            <w:left w:val="none" w:sz="0" w:space="0" w:color="auto"/>
            <w:bottom w:val="none" w:sz="0" w:space="0" w:color="auto"/>
            <w:right w:val="none" w:sz="0" w:space="0" w:color="auto"/>
          </w:divBdr>
          <w:divsChild>
            <w:div w:id="21128169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83099605">
      <w:marLeft w:val="0"/>
      <w:marRight w:val="0"/>
      <w:marTop w:val="0"/>
      <w:marBottom w:val="100"/>
      <w:divBdr>
        <w:top w:val="none" w:sz="0" w:space="0" w:color="auto"/>
        <w:left w:val="none" w:sz="0" w:space="0" w:color="auto"/>
        <w:bottom w:val="none" w:sz="0" w:space="0" w:color="auto"/>
        <w:right w:val="none" w:sz="0" w:space="0" w:color="auto"/>
      </w:divBdr>
    </w:div>
    <w:div w:id="1583300595">
      <w:marLeft w:val="0"/>
      <w:marRight w:val="0"/>
      <w:marTop w:val="100"/>
      <w:marBottom w:val="100"/>
      <w:divBdr>
        <w:top w:val="none" w:sz="0" w:space="0" w:color="auto"/>
        <w:left w:val="none" w:sz="0" w:space="0" w:color="auto"/>
        <w:bottom w:val="none" w:sz="0" w:space="0" w:color="auto"/>
        <w:right w:val="none" w:sz="0" w:space="0" w:color="auto"/>
      </w:divBdr>
    </w:div>
    <w:div w:id="1583485862">
      <w:marLeft w:val="0"/>
      <w:marRight w:val="0"/>
      <w:marTop w:val="0"/>
      <w:marBottom w:val="0"/>
      <w:divBdr>
        <w:top w:val="none" w:sz="0" w:space="0" w:color="auto"/>
        <w:left w:val="none" w:sz="0" w:space="0" w:color="auto"/>
        <w:bottom w:val="none" w:sz="0" w:space="0" w:color="auto"/>
        <w:right w:val="none" w:sz="0" w:space="0" w:color="auto"/>
      </w:divBdr>
    </w:div>
    <w:div w:id="1583905389">
      <w:marLeft w:val="0"/>
      <w:marRight w:val="0"/>
      <w:marTop w:val="180"/>
      <w:marBottom w:val="100"/>
      <w:divBdr>
        <w:top w:val="none" w:sz="0" w:space="0" w:color="auto"/>
        <w:left w:val="none" w:sz="0" w:space="0" w:color="auto"/>
        <w:bottom w:val="none" w:sz="0" w:space="0" w:color="auto"/>
        <w:right w:val="none" w:sz="0" w:space="0" w:color="auto"/>
      </w:divBdr>
    </w:div>
    <w:div w:id="1586769021">
      <w:marLeft w:val="0"/>
      <w:marRight w:val="0"/>
      <w:marTop w:val="0"/>
      <w:marBottom w:val="0"/>
      <w:divBdr>
        <w:top w:val="none" w:sz="0" w:space="0" w:color="auto"/>
        <w:left w:val="none" w:sz="0" w:space="0" w:color="auto"/>
        <w:bottom w:val="none" w:sz="0" w:space="0" w:color="auto"/>
        <w:right w:val="none" w:sz="0" w:space="0" w:color="auto"/>
      </w:divBdr>
    </w:div>
    <w:div w:id="1587492445">
      <w:marLeft w:val="0"/>
      <w:marRight w:val="0"/>
      <w:marTop w:val="100"/>
      <w:marBottom w:val="100"/>
      <w:divBdr>
        <w:top w:val="none" w:sz="0" w:space="0" w:color="auto"/>
        <w:left w:val="none" w:sz="0" w:space="0" w:color="auto"/>
        <w:bottom w:val="none" w:sz="0" w:space="0" w:color="auto"/>
        <w:right w:val="none" w:sz="0" w:space="0" w:color="auto"/>
      </w:divBdr>
    </w:div>
    <w:div w:id="1589847186">
      <w:marLeft w:val="0"/>
      <w:marRight w:val="0"/>
      <w:marTop w:val="180"/>
      <w:marBottom w:val="0"/>
      <w:divBdr>
        <w:top w:val="none" w:sz="0" w:space="0" w:color="auto"/>
        <w:left w:val="none" w:sz="0" w:space="0" w:color="auto"/>
        <w:bottom w:val="none" w:sz="0" w:space="0" w:color="auto"/>
        <w:right w:val="none" w:sz="0" w:space="0" w:color="auto"/>
      </w:divBdr>
    </w:div>
    <w:div w:id="1590113383">
      <w:marLeft w:val="0"/>
      <w:marRight w:val="0"/>
      <w:marTop w:val="100"/>
      <w:marBottom w:val="100"/>
      <w:divBdr>
        <w:top w:val="none" w:sz="0" w:space="0" w:color="auto"/>
        <w:left w:val="none" w:sz="0" w:space="0" w:color="auto"/>
        <w:bottom w:val="none" w:sz="0" w:space="0" w:color="auto"/>
        <w:right w:val="none" w:sz="0" w:space="0" w:color="auto"/>
      </w:divBdr>
    </w:div>
    <w:div w:id="1595237971">
      <w:marLeft w:val="0"/>
      <w:marRight w:val="0"/>
      <w:marTop w:val="0"/>
      <w:marBottom w:val="0"/>
      <w:divBdr>
        <w:top w:val="none" w:sz="0" w:space="0" w:color="auto"/>
        <w:left w:val="none" w:sz="0" w:space="0" w:color="auto"/>
        <w:bottom w:val="none" w:sz="0" w:space="0" w:color="auto"/>
        <w:right w:val="none" w:sz="0" w:space="0" w:color="auto"/>
      </w:divBdr>
    </w:div>
    <w:div w:id="1599406698">
      <w:marLeft w:val="0"/>
      <w:marRight w:val="0"/>
      <w:marTop w:val="0"/>
      <w:marBottom w:val="100"/>
      <w:divBdr>
        <w:top w:val="none" w:sz="0" w:space="0" w:color="auto"/>
        <w:left w:val="none" w:sz="0" w:space="0" w:color="auto"/>
        <w:bottom w:val="none" w:sz="0" w:space="0" w:color="auto"/>
        <w:right w:val="none" w:sz="0" w:space="0" w:color="auto"/>
      </w:divBdr>
    </w:div>
    <w:div w:id="1600021111">
      <w:marLeft w:val="0"/>
      <w:marRight w:val="0"/>
      <w:marTop w:val="100"/>
      <w:marBottom w:val="0"/>
      <w:divBdr>
        <w:top w:val="none" w:sz="0" w:space="0" w:color="auto"/>
        <w:left w:val="none" w:sz="0" w:space="0" w:color="auto"/>
        <w:bottom w:val="none" w:sz="0" w:space="0" w:color="auto"/>
        <w:right w:val="none" w:sz="0" w:space="0" w:color="auto"/>
      </w:divBdr>
    </w:div>
    <w:div w:id="1602251324">
      <w:marLeft w:val="0"/>
      <w:marRight w:val="0"/>
      <w:marTop w:val="0"/>
      <w:marBottom w:val="0"/>
      <w:divBdr>
        <w:top w:val="none" w:sz="0" w:space="0" w:color="auto"/>
        <w:left w:val="none" w:sz="0" w:space="0" w:color="auto"/>
        <w:bottom w:val="none" w:sz="0" w:space="0" w:color="auto"/>
        <w:right w:val="none" w:sz="0" w:space="0" w:color="auto"/>
      </w:divBdr>
    </w:div>
    <w:div w:id="1603611399">
      <w:marLeft w:val="0"/>
      <w:marRight w:val="0"/>
      <w:marTop w:val="100"/>
      <w:marBottom w:val="100"/>
      <w:divBdr>
        <w:top w:val="none" w:sz="0" w:space="0" w:color="auto"/>
        <w:left w:val="none" w:sz="0" w:space="0" w:color="auto"/>
        <w:bottom w:val="none" w:sz="0" w:space="0" w:color="auto"/>
        <w:right w:val="none" w:sz="0" w:space="0" w:color="auto"/>
      </w:divBdr>
      <w:divsChild>
        <w:div w:id="506404904">
          <w:marLeft w:val="0"/>
          <w:marRight w:val="0"/>
          <w:marTop w:val="0"/>
          <w:marBottom w:val="0"/>
          <w:divBdr>
            <w:top w:val="none" w:sz="0" w:space="0" w:color="auto"/>
            <w:left w:val="none" w:sz="0" w:space="0" w:color="auto"/>
            <w:bottom w:val="none" w:sz="0" w:space="0" w:color="auto"/>
            <w:right w:val="none" w:sz="0" w:space="0" w:color="auto"/>
          </w:divBdr>
        </w:div>
        <w:div w:id="822505114">
          <w:marLeft w:val="0"/>
          <w:marRight w:val="0"/>
          <w:marTop w:val="0"/>
          <w:marBottom w:val="0"/>
          <w:divBdr>
            <w:top w:val="none" w:sz="0" w:space="0" w:color="auto"/>
            <w:left w:val="none" w:sz="0" w:space="0" w:color="auto"/>
            <w:bottom w:val="none" w:sz="0" w:space="0" w:color="auto"/>
            <w:right w:val="none" w:sz="0" w:space="0" w:color="auto"/>
          </w:divBdr>
        </w:div>
        <w:div w:id="741173068">
          <w:marLeft w:val="0"/>
          <w:marRight w:val="0"/>
          <w:marTop w:val="0"/>
          <w:marBottom w:val="0"/>
          <w:divBdr>
            <w:top w:val="none" w:sz="0" w:space="0" w:color="auto"/>
            <w:left w:val="none" w:sz="0" w:space="0" w:color="auto"/>
            <w:bottom w:val="none" w:sz="0" w:space="0" w:color="auto"/>
            <w:right w:val="none" w:sz="0" w:space="0" w:color="auto"/>
          </w:divBdr>
        </w:div>
        <w:div w:id="2129003672">
          <w:marLeft w:val="0"/>
          <w:marRight w:val="0"/>
          <w:marTop w:val="0"/>
          <w:marBottom w:val="0"/>
          <w:divBdr>
            <w:top w:val="none" w:sz="0" w:space="0" w:color="auto"/>
            <w:left w:val="none" w:sz="0" w:space="0" w:color="auto"/>
            <w:bottom w:val="none" w:sz="0" w:space="0" w:color="auto"/>
            <w:right w:val="none" w:sz="0" w:space="0" w:color="auto"/>
          </w:divBdr>
        </w:div>
      </w:divsChild>
    </w:div>
    <w:div w:id="1604533663">
      <w:marLeft w:val="0"/>
      <w:marRight w:val="0"/>
      <w:marTop w:val="0"/>
      <w:marBottom w:val="0"/>
      <w:divBdr>
        <w:top w:val="none" w:sz="0" w:space="0" w:color="auto"/>
        <w:left w:val="none" w:sz="0" w:space="0" w:color="auto"/>
        <w:bottom w:val="none" w:sz="0" w:space="0" w:color="auto"/>
        <w:right w:val="none" w:sz="0" w:space="0" w:color="auto"/>
      </w:divBdr>
      <w:divsChild>
        <w:div w:id="1468235250">
          <w:marLeft w:val="0"/>
          <w:marRight w:val="0"/>
          <w:marTop w:val="0"/>
          <w:marBottom w:val="0"/>
          <w:divBdr>
            <w:top w:val="none" w:sz="0" w:space="0" w:color="auto"/>
            <w:left w:val="none" w:sz="0" w:space="0" w:color="auto"/>
            <w:bottom w:val="none" w:sz="0" w:space="0" w:color="auto"/>
            <w:right w:val="none" w:sz="0" w:space="0" w:color="auto"/>
          </w:divBdr>
          <w:divsChild>
            <w:div w:id="14779114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07613322">
      <w:marLeft w:val="0"/>
      <w:marRight w:val="0"/>
      <w:marTop w:val="100"/>
      <w:marBottom w:val="100"/>
      <w:divBdr>
        <w:top w:val="none" w:sz="0" w:space="0" w:color="auto"/>
        <w:left w:val="none" w:sz="0" w:space="0" w:color="auto"/>
        <w:bottom w:val="none" w:sz="0" w:space="0" w:color="auto"/>
        <w:right w:val="none" w:sz="0" w:space="0" w:color="auto"/>
      </w:divBdr>
    </w:div>
    <w:div w:id="1608853375">
      <w:marLeft w:val="0"/>
      <w:marRight w:val="0"/>
      <w:marTop w:val="0"/>
      <w:marBottom w:val="100"/>
      <w:divBdr>
        <w:top w:val="none" w:sz="0" w:space="0" w:color="auto"/>
        <w:left w:val="none" w:sz="0" w:space="0" w:color="auto"/>
        <w:bottom w:val="none" w:sz="0" w:space="0" w:color="auto"/>
        <w:right w:val="none" w:sz="0" w:space="0" w:color="auto"/>
      </w:divBdr>
    </w:div>
    <w:div w:id="1610430572">
      <w:marLeft w:val="0"/>
      <w:marRight w:val="0"/>
      <w:marTop w:val="100"/>
      <w:marBottom w:val="120"/>
      <w:divBdr>
        <w:top w:val="none" w:sz="0" w:space="0" w:color="auto"/>
        <w:left w:val="none" w:sz="0" w:space="0" w:color="auto"/>
        <w:bottom w:val="none" w:sz="0" w:space="0" w:color="auto"/>
        <w:right w:val="none" w:sz="0" w:space="0" w:color="auto"/>
      </w:divBdr>
    </w:div>
    <w:div w:id="1610578477">
      <w:marLeft w:val="0"/>
      <w:marRight w:val="0"/>
      <w:marTop w:val="180"/>
      <w:marBottom w:val="100"/>
      <w:divBdr>
        <w:top w:val="none" w:sz="0" w:space="0" w:color="auto"/>
        <w:left w:val="none" w:sz="0" w:space="0" w:color="auto"/>
        <w:bottom w:val="none" w:sz="0" w:space="0" w:color="auto"/>
        <w:right w:val="none" w:sz="0" w:space="0" w:color="auto"/>
      </w:divBdr>
    </w:div>
    <w:div w:id="1611473451">
      <w:marLeft w:val="0"/>
      <w:marRight w:val="0"/>
      <w:marTop w:val="0"/>
      <w:marBottom w:val="100"/>
      <w:divBdr>
        <w:top w:val="none" w:sz="0" w:space="0" w:color="auto"/>
        <w:left w:val="none" w:sz="0" w:space="0" w:color="auto"/>
        <w:bottom w:val="none" w:sz="0" w:space="0" w:color="auto"/>
        <w:right w:val="none" w:sz="0" w:space="0" w:color="auto"/>
      </w:divBdr>
    </w:div>
    <w:div w:id="1612281729">
      <w:marLeft w:val="0"/>
      <w:marRight w:val="0"/>
      <w:marTop w:val="0"/>
      <w:marBottom w:val="100"/>
      <w:divBdr>
        <w:top w:val="none" w:sz="0" w:space="0" w:color="auto"/>
        <w:left w:val="none" w:sz="0" w:space="0" w:color="auto"/>
        <w:bottom w:val="none" w:sz="0" w:space="0" w:color="auto"/>
        <w:right w:val="none" w:sz="0" w:space="0" w:color="auto"/>
      </w:divBdr>
    </w:div>
    <w:div w:id="1612862420">
      <w:marLeft w:val="0"/>
      <w:marRight w:val="0"/>
      <w:marTop w:val="0"/>
      <w:marBottom w:val="0"/>
      <w:divBdr>
        <w:top w:val="none" w:sz="0" w:space="0" w:color="auto"/>
        <w:left w:val="none" w:sz="0" w:space="0" w:color="auto"/>
        <w:bottom w:val="none" w:sz="0" w:space="0" w:color="auto"/>
        <w:right w:val="none" w:sz="0" w:space="0" w:color="auto"/>
      </w:divBdr>
      <w:divsChild>
        <w:div w:id="1220901959">
          <w:marLeft w:val="0"/>
          <w:marRight w:val="0"/>
          <w:marTop w:val="0"/>
          <w:marBottom w:val="100"/>
          <w:divBdr>
            <w:top w:val="none" w:sz="0" w:space="0" w:color="auto"/>
            <w:left w:val="none" w:sz="0" w:space="0" w:color="auto"/>
            <w:bottom w:val="none" w:sz="0" w:space="0" w:color="auto"/>
            <w:right w:val="none" w:sz="0" w:space="0" w:color="auto"/>
          </w:divBdr>
        </w:div>
      </w:divsChild>
    </w:div>
    <w:div w:id="1612979169">
      <w:marLeft w:val="0"/>
      <w:marRight w:val="0"/>
      <w:marTop w:val="180"/>
      <w:marBottom w:val="0"/>
      <w:divBdr>
        <w:top w:val="none" w:sz="0" w:space="0" w:color="auto"/>
        <w:left w:val="none" w:sz="0" w:space="0" w:color="auto"/>
        <w:bottom w:val="none" w:sz="0" w:space="0" w:color="auto"/>
        <w:right w:val="none" w:sz="0" w:space="0" w:color="auto"/>
      </w:divBdr>
    </w:div>
    <w:div w:id="1613122283">
      <w:marLeft w:val="0"/>
      <w:marRight w:val="0"/>
      <w:marTop w:val="180"/>
      <w:marBottom w:val="0"/>
      <w:divBdr>
        <w:top w:val="none" w:sz="0" w:space="0" w:color="auto"/>
        <w:left w:val="none" w:sz="0" w:space="0" w:color="auto"/>
        <w:bottom w:val="none" w:sz="0" w:space="0" w:color="auto"/>
        <w:right w:val="none" w:sz="0" w:space="0" w:color="auto"/>
      </w:divBdr>
    </w:div>
    <w:div w:id="1613172795">
      <w:marLeft w:val="0"/>
      <w:marRight w:val="0"/>
      <w:marTop w:val="100"/>
      <w:marBottom w:val="100"/>
      <w:divBdr>
        <w:top w:val="none" w:sz="0" w:space="0" w:color="auto"/>
        <w:left w:val="none" w:sz="0" w:space="0" w:color="auto"/>
        <w:bottom w:val="none" w:sz="0" w:space="0" w:color="auto"/>
        <w:right w:val="none" w:sz="0" w:space="0" w:color="auto"/>
      </w:divBdr>
    </w:div>
    <w:div w:id="1613439757">
      <w:marLeft w:val="0"/>
      <w:marRight w:val="0"/>
      <w:marTop w:val="0"/>
      <w:marBottom w:val="100"/>
      <w:divBdr>
        <w:top w:val="none" w:sz="0" w:space="0" w:color="auto"/>
        <w:left w:val="none" w:sz="0" w:space="0" w:color="auto"/>
        <w:bottom w:val="none" w:sz="0" w:space="0" w:color="auto"/>
        <w:right w:val="none" w:sz="0" w:space="0" w:color="auto"/>
      </w:divBdr>
    </w:div>
    <w:div w:id="1615401457">
      <w:marLeft w:val="0"/>
      <w:marRight w:val="0"/>
      <w:marTop w:val="100"/>
      <w:marBottom w:val="100"/>
      <w:divBdr>
        <w:top w:val="none" w:sz="0" w:space="0" w:color="auto"/>
        <w:left w:val="none" w:sz="0" w:space="0" w:color="auto"/>
        <w:bottom w:val="none" w:sz="0" w:space="0" w:color="auto"/>
        <w:right w:val="none" w:sz="0" w:space="0" w:color="auto"/>
      </w:divBdr>
    </w:div>
    <w:div w:id="1617639425">
      <w:marLeft w:val="0"/>
      <w:marRight w:val="0"/>
      <w:marTop w:val="0"/>
      <w:marBottom w:val="100"/>
      <w:divBdr>
        <w:top w:val="none" w:sz="0" w:space="0" w:color="auto"/>
        <w:left w:val="none" w:sz="0" w:space="0" w:color="auto"/>
        <w:bottom w:val="none" w:sz="0" w:space="0" w:color="auto"/>
        <w:right w:val="none" w:sz="0" w:space="0" w:color="auto"/>
      </w:divBdr>
    </w:div>
    <w:div w:id="1617982304">
      <w:marLeft w:val="0"/>
      <w:marRight w:val="0"/>
      <w:marTop w:val="100"/>
      <w:marBottom w:val="100"/>
      <w:divBdr>
        <w:top w:val="none" w:sz="0" w:space="0" w:color="auto"/>
        <w:left w:val="none" w:sz="0" w:space="0" w:color="auto"/>
        <w:bottom w:val="none" w:sz="0" w:space="0" w:color="auto"/>
        <w:right w:val="none" w:sz="0" w:space="0" w:color="auto"/>
      </w:divBdr>
    </w:div>
    <w:div w:id="1618490005">
      <w:marLeft w:val="0"/>
      <w:marRight w:val="0"/>
      <w:marTop w:val="0"/>
      <w:marBottom w:val="0"/>
      <w:divBdr>
        <w:top w:val="none" w:sz="0" w:space="0" w:color="auto"/>
        <w:left w:val="none" w:sz="0" w:space="0" w:color="auto"/>
        <w:bottom w:val="none" w:sz="0" w:space="0" w:color="auto"/>
        <w:right w:val="none" w:sz="0" w:space="0" w:color="auto"/>
      </w:divBdr>
    </w:div>
    <w:div w:id="1622612733">
      <w:marLeft w:val="0"/>
      <w:marRight w:val="0"/>
      <w:marTop w:val="0"/>
      <w:marBottom w:val="0"/>
      <w:divBdr>
        <w:top w:val="none" w:sz="0" w:space="0" w:color="auto"/>
        <w:left w:val="none" w:sz="0" w:space="0" w:color="auto"/>
        <w:bottom w:val="none" w:sz="0" w:space="0" w:color="auto"/>
        <w:right w:val="none" w:sz="0" w:space="0" w:color="auto"/>
      </w:divBdr>
    </w:div>
    <w:div w:id="1622762176">
      <w:marLeft w:val="0"/>
      <w:marRight w:val="0"/>
      <w:marTop w:val="0"/>
      <w:marBottom w:val="0"/>
      <w:divBdr>
        <w:top w:val="none" w:sz="0" w:space="0" w:color="auto"/>
        <w:left w:val="none" w:sz="0" w:space="0" w:color="auto"/>
        <w:bottom w:val="none" w:sz="0" w:space="0" w:color="auto"/>
        <w:right w:val="none" w:sz="0" w:space="0" w:color="auto"/>
      </w:divBdr>
      <w:divsChild>
        <w:div w:id="1837844244">
          <w:marLeft w:val="0"/>
          <w:marRight w:val="0"/>
          <w:marTop w:val="0"/>
          <w:marBottom w:val="100"/>
          <w:divBdr>
            <w:top w:val="none" w:sz="0" w:space="0" w:color="auto"/>
            <w:left w:val="none" w:sz="0" w:space="0" w:color="auto"/>
            <w:bottom w:val="none" w:sz="0" w:space="0" w:color="auto"/>
            <w:right w:val="none" w:sz="0" w:space="0" w:color="auto"/>
          </w:divBdr>
        </w:div>
      </w:divsChild>
    </w:div>
    <w:div w:id="1624262371">
      <w:marLeft w:val="0"/>
      <w:marRight w:val="0"/>
      <w:marTop w:val="0"/>
      <w:marBottom w:val="0"/>
      <w:divBdr>
        <w:top w:val="none" w:sz="0" w:space="0" w:color="auto"/>
        <w:left w:val="none" w:sz="0" w:space="0" w:color="auto"/>
        <w:bottom w:val="none" w:sz="0" w:space="0" w:color="auto"/>
        <w:right w:val="none" w:sz="0" w:space="0" w:color="auto"/>
      </w:divBdr>
      <w:divsChild>
        <w:div w:id="1582714765">
          <w:marLeft w:val="0"/>
          <w:marRight w:val="0"/>
          <w:marTop w:val="0"/>
          <w:marBottom w:val="100"/>
          <w:divBdr>
            <w:top w:val="none" w:sz="0" w:space="0" w:color="auto"/>
            <w:left w:val="none" w:sz="0" w:space="0" w:color="auto"/>
            <w:bottom w:val="none" w:sz="0" w:space="0" w:color="auto"/>
            <w:right w:val="none" w:sz="0" w:space="0" w:color="auto"/>
          </w:divBdr>
        </w:div>
      </w:divsChild>
    </w:div>
    <w:div w:id="1625036328">
      <w:marLeft w:val="0"/>
      <w:marRight w:val="0"/>
      <w:marTop w:val="0"/>
      <w:marBottom w:val="0"/>
      <w:divBdr>
        <w:top w:val="none" w:sz="0" w:space="0" w:color="auto"/>
        <w:left w:val="none" w:sz="0" w:space="0" w:color="auto"/>
        <w:bottom w:val="none" w:sz="0" w:space="0" w:color="auto"/>
        <w:right w:val="none" w:sz="0" w:space="0" w:color="auto"/>
      </w:divBdr>
    </w:div>
    <w:div w:id="1625191973">
      <w:marLeft w:val="0"/>
      <w:marRight w:val="0"/>
      <w:marTop w:val="0"/>
      <w:marBottom w:val="0"/>
      <w:divBdr>
        <w:top w:val="none" w:sz="0" w:space="0" w:color="auto"/>
        <w:left w:val="none" w:sz="0" w:space="0" w:color="auto"/>
        <w:bottom w:val="none" w:sz="0" w:space="0" w:color="auto"/>
        <w:right w:val="none" w:sz="0" w:space="0" w:color="auto"/>
      </w:divBdr>
    </w:div>
    <w:div w:id="1626230268">
      <w:marLeft w:val="0"/>
      <w:marRight w:val="0"/>
      <w:marTop w:val="0"/>
      <w:marBottom w:val="0"/>
      <w:divBdr>
        <w:top w:val="none" w:sz="0" w:space="0" w:color="auto"/>
        <w:left w:val="none" w:sz="0" w:space="0" w:color="auto"/>
        <w:bottom w:val="none" w:sz="0" w:space="0" w:color="auto"/>
        <w:right w:val="none" w:sz="0" w:space="0" w:color="auto"/>
      </w:divBdr>
      <w:divsChild>
        <w:div w:id="1589119369">
          <w:marLeft w:val="0"/>
          <w:marRight w:val="0"/>
          <w:marTop w:val="0"/>
          <w:marBottom w:val="0"/>
          <w:divBdr>
            <w:top w:val="none" w:sz="0" w:space="0" w:color="auto"/>
            <w:left w:val="none" w:sz="0" w:space="0" w:color="auto"/>
            <w:bottom w:val="none" w:sz="0" w:space="0" w:color="auto"/>
            <w:right w:val="none" w:sz="0" w:space="0" w:color="auto"/>
          </w:divBdr>
          <w:divsChild>
            <w:div w:id="3205034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28319271">
      <w:marLeft w:val="0"/>
      <w:marRight w:val="0"/>
      <w:marTop w:val="100"/>
      <w:marBottom w:val="100"/>
      <w:divBdr>
        <w:top w:val="none" w:sz="0" w:space="0" w:color="auto"/>
        <w:left w:val="none" w:sz="0" w:space="0" w:color="auto"/>
        <w:bottom w:val="none" w:sz="0" w:space="0" w:color="auto"/>
        <w:right w:val="none" w:sz="0" w:space="0" w:color="auto"/>
      </w:divBdr>
    </w:div>
    <w:div w:id="1628389129">
      <w:marLeft w:val="0"/>
      <w:marRight w:val="0"/>
      <w:marTop w:val="0"/>
      <w:marBottom w:val="100"/>
      <w:divBdr>
        <w:top w:val="none" w:sz="0" w:space="0" w:color="auto"/>
        <w:left w:val="none" w:sz="0" w:space="0" w:color="auto"/>
        <w:bottom w:val="none" w:sz="0" w:space="0" w:color="auto"/>
        <w:right w:val="none" w:sz="0" w:space="0" w:color="auto"/>
      </w:divBdr>
    </w:div>
    <w:div w:id="1628777756">
      <w:marLeft w:val="0"/>
      <w:marRight w:val="0"/>
      <w:marTop w:val="0"/>
      <w:marBottom w:val="100"/>
      <w:divBdr>
        <w:top w:val="none" w:sz="0" w:space="0" w:color="auto"/>
        <w:left w:val="none" w:sz="0" w:space="0" w:color="auto"/>
        <w:bottom w:val="none" w:sz="0" w:space="0" w:color="auto"/>
        <w:right w:val="none" w:sz="0" w:space="0" w:color="auto"/>
      </w:divBdr>
    </w:div>
    <w:div w:id="1632055959">
      <w:marLeft w:val="0"/>
      <w:marRight w:val="0"/>
      <w:marTop w:val="100"/>
      <w:marBottom w:val="100"/>
      <w:divBdr>
        <w:top w:val="none" w:sz="0" w:space="0" w:color="auto"/>
        <w:left w:val="none" w:sz="0" w:space="0" w:color="auto"/>
        <w:bottom w:val="none" w:sz="0" w:space="0" w:color="auto"/>
        <w:right w:val="none" w:sz="0" w:space="0" w:color="auto"/>
      </w:divBdr>
    </w:div>
    <w:div w:id="1632394414">
      <w:marLeft w:val="0"/>
      <w:marRight w:val="0"/>
      <w:marTop w:val="180"/>
      <w:marBottom w:val="0"/>
      <w:divBdr>
        <w:top w:val="none" w:sz="0" w:space="0" w:color="auto"/>
        <w:left w:val="none" w:sz="0" w:space="0" w:color="auto"/>
        <w:bottom w:val="none" w:sz="0" w:space="0" w:color="auto"/>
        <w:right w:val="none" w:sz="0" w:space="0" w:color="auto"/>
      </w:divBdr>
    </w:div>
    <w:div w:id="1632780459">
      <w:marLeft w:val="0"/>
      <w:marRight w:val="0"/>
      <w:marTop w:val="180"/>
      <w:marBottom w:val="0"/>
      <w:divBdr>
        <w:top w:val="none" w:sz="0" w:space="0" w:color="auto"/>
        <w:left w:val="none" w:sz="0" w:space="0" w:color="auto"/>
        <w:bottom w:val="none" w:sz="0" w:space="0" w:color="auto"/>
        <w:right w:val="none" w:sz="0" w:space="0" w:color="auto"/>
      </w:divBdr>
    </w:div>
    <w:div w:id="1633822919">
      <w:marLeft w:val="0"/>
      <w:marRight w:val="0"/>
      <w:marTop w:val="0"/>
      <w:marBottom w:val="100"/>
      <w:divBdr>
        <w:top w:val="none" w:sz="0" w:space="0" w:color="auto"/>
        <w:left w:val="none" w:sz="0" w:space="0" w:color="auto"/>
        <w:bottom w:val="none" w:sz="0" w:space="0" w:color="auto"/>
        <w:right w:val="none" w:sz="0" w:space="0" w:color="auto"/>
      </w:divBdr>
    </w:div>
    <w:div w:id="1635408301">
      <w:marLeft w:val="0"/>
      <w:marRight w:val="0"/>
      <w:marTop w:val="100"/>
      <w:marBottom w:val="100"/>
      <w:divBdr>
        <w:top w:val="none" w:sz="0" w:space="0" w:color="auto"/>
        <w:left w:val="none" w:sz="0" w:space="0" w:color="auto"/>
        <w:bottom w:val="none" w:sz="0" w:space="0" w:color="auto"/>
        <w:right w:val="none" w:sz="0" w:space="0" w:color="auto"/>
      </w:divBdr>
    </w:div>
    <w:div w:id="1637494437">
      <w:marLeft w:val="0"/>
      <w:marRight w:val="0"/>
      <w:marTop w:val="0"/>
      <w:marBottom w:val="100"/>
      <w:divBdr>
        <w:top w:val="none" w:sz="0" w:space="0" w:color="auto"/>
        <w:left w:val="none" w:sz="0" w:space="0" w:color="auto"/>
        <w:bottom w:val="none" w:sz="0" w:space="0" w:color="auto"/>
        <w:right w:val="none" w:sz="0" w:space="0" w:color="auto"/>
      </w:divBdr>
    </w:div>
    <w:div w:id="1637838101">
      <w:marLeft w:val="0"/>
      <w:marRight w:val="0"/>
      <w:marTop w:val="0"/>
      <w:marBottom w:val="100"/>
      <w:divBdr>
        <w:top w:val="none" w:sz="0" w:space="0" w:color="auto"/>
        <w:left w:val="none" w:sz="0" w:space="0" w:color="auto"/>
        <w:bottom w:val="none" w:sz="0" w:space="0" w:color="auto"/>
        <w:right w:val="none" w:sz="0" w:space="0" w:color="auto"/>
      </w:divBdr>
    </w:div>
    <w:div w:id="1638023739">
      <w:marLeft w:val="0"/>
      <w:marRight w:val="0"/>
      <w:marTop w:val="180"/>
      <w:marBottom w:val="100"/>
      <w:divBdr>
        <w:top w:val="none" w:sz="0" w:space="0" w:color="auto"/>
        <w:left w:val="none" w:sz="0" w:space="0" w:color="auto"/>
        <w:bottom w:val="none" w:sz="0" w:space="0" w:color="auto"/>
        <w:right w:val="none" w:sz="0" w:space="0" w:color="auto"/>
      </w:divBdr>
    </w:div>
    <w:div w:id="1638531700">
      <w:marLeft w:val="0"/>
      <w:marRight w:val="0"/>
      <w:marTop w:val="100"/>
      <w:marBottom w:val="100"/>
      <w:divBdr>
        <w:top w:val="none" w:sz="0" w:space="0" w:color="auto"/>
        <w:left w:val="none" w:sz="0" w:space="0" w:color="auto"/>
        <w:bottom w:val="none" w:sz="0" w:space="0" w:color="auto"/>
        <w:right w:val="none" w:sz="0" w:space="0" w:color="auto"/>
      </w:divBdr>
    </w:div>
    <w:div w:id="1640305999">
      <w:marLeft w:val="0"/>
      <w:marRight w:val="0"/>
      <w:marTop w:val="0"/>
      <w:marBottom w:val="0"/>
      <w:divBdr>
        <w:top w:val="none" w:sz="0" w:space="0" w:color="auto"/>
        <w:left w:val="none" w:sz="0" w:space="0" w:color="auto"/>
        <w:bottom w:val="none" w:sz="0" w:space="0" w:color="auto"/>
        <w:right w:val="none" w:sz="0" w:space="0" w:color="auto"/>
      </w:divBdr>
      <w:divsChild>
        <w:div w:id="1013339511">
          <w:marLeft w:val="0"/>
          <w:marRight w:val="0"/>
          <w:marTop w:val="0"/>
          <w:marBottom w:val="100"/>
          <w:divBdr>
            <w:top w:val="none" w:sz="0" w:space="0" w:color="auto"/>
            <w:left w:val="none" w:sz="0" w:space="0" w:color="auto"/>
            <w:bottom w:val="none" w:sz="0" w:space="0" w:color="auto"/>
            <w:right w:val="none" w:sz="0" w:space="0" w:color="auto"/>
          </w:divBdr>
        </w:div>
      </w:divsChild>
    </w:div>
    <w:div w:id="1640451391">
      <w:marLeft w:val="0"/>
      <w:marRight w:val="0"/>
      <w:marTop w:val="0"/>
      <w:marBottom w:val="0"/>
      <w:divBdr>
        <w:top w:val="none" w:sz="0" w:space="0" w:color="auto"/>
        <w:left w:val="none" w:sz="0" w:space="0" w:color="auto"/>
        <w:bottom w:val="none" w:sz="0" w:space="0" w:color="auto"/>
        <w:right w:val="none" w:sz="0" w:space="0" w:color="auto"/>
      </w:divBdr>
      <w:divsChild>
        <w:div w:id="200552043">
          <w:marLeft w:val="0"/>
          <w:marRight w:val="0"/>
          <w:marTop w:val="0"/>
          <w:marBottom w:val="100"/>
          <w:divBdr>
            <w:top w:val="none" w:sz="0" w:space="0" w:color="auto"/>
            <w:left w:val="none" w:sz="0" w:space="0" w:color="auto"/>
            <w:bottom w:val="none" w:sz="0" w:space="0" w:color="auto"/>
            <w:right w:val="none" w:sz="0" w:space="0" w:color="auto"/>
          </w:divBdr>
        </w:div>
      </w:divsChild>
    </w:div>
    <w:div w:id="1640695531">
      <w:marLeft w:val="0"/>
      <w:marRight w:val="0"/>
      <w:marTop w:val="100"/>
      <w:marBottom w:val="100"/>
      <w:divBdr>
        <w:top w:val="none" w:sz="0" w:space="0" w:color="auto"/>
        <w:left w:val="none" w:sz="0" w:space="0" w:color="auto"/>
        <w:bottom w:val="none" w:sz="0" w:space="0" w:color="auto"/>
        <w:right w:val="none" w:sz="0" w:space="0" w:color="auto"/>
      </w:divBdr>
    </w:div>
    <w:div w:id="1641031442">
      <w:marLeft w:val="0"/>
      <w:marRight w:val="0"/>
      <w:marTop w:val="100"/>
      <w:marBottom w:val="100"/>
      <w:divBdr>
        <w:top w:val="none" w:sz="0" w:space="0" w:color="auto"/>
        <w:left w:val="none" w:sz="0" w:space="0" w:color="auto"/>
        <w:bottom w:val="none" w:sz="0" w:space="0" w:color="auto"/>
        <w:right w:val="none" w:sz="0" w:space="0" w:color="auto"/>
      </w:divBdr>
    </w:div>
    <w:div w:id="1643076810">
      <w:marLeft w:val="0"/>
      <w:marRight w:val="0"/>
      <w:marTop w:val="0"/>
      <w:marBottom w:val="0"/>
      <w:divBdr>
        <w:top w:val="none" w:sz="0" w:space="0" w:color="auto"/>
        <w:left w:val="none" w:sz="0" w:space="0" w:color="auto"/>
        <w:bottom w:val="none" w:sz="0" w:space="0" w:color="auto"/>
        <w:right w:val="none" w:sz="0" w:space="0" w:color="auto"/>
      </w:divBdr>
    </w:div>
    <w:div w:id="1644122126">
      <w:marLeft w:val="0"/>
      <w:marRight w:val="0"/>
      <w:marTop w:val="100"/>
      <w:marBottom w:val="100"/>
      <w:divBdr>
        <w:top w:val="none" w:sz="0" w:space="0" w:color="auto"/>
        <w:left w:val="none" w:sz="0" w:space="0" w:color="auto"/>
        <w:bottom w:val="none" w:sz="0" w:space="0" w:color="auto"/>
        <w:right w:val="none" w:sz="0" w:space="0" w:color="auto"/>
      </w:divBdr>
    </w:div>
    <w:div w:id="1644694886">
      <w:marLeft w:val="0"/>
      <w:marRight w:val="0"/>
      <w:marTop w:val="0"/>
      <w:marBottom w:val="100"/>
      <w:divBdr>
        <w:top w:val="none" w:sz="0" w:space="0" w:color="auto"/>
        <w:left w:val="none" w:sz="0" w:space="0" w:color="auto"/>
        <w:bottom w:val="none" w:sz="0" w:space="0" w:color="auto"/>
        <w:right w:val="none" w:sz="0" w:space="0" w:color="auto"/>
      </w:divBdr>
    </w:div>
    <w:div w:id="1645885923">
      <w:marLeft w:val="0"/>
      <w:marRight w:val="0"/>
      <w:marTop w:val="0"/>
      <w:marBottom w:val="100"/>
      <w:divBdr>
        <w:top w:val="none" w:sz="0" w:space="0" w:color="auto"/>
        <w:left w:val="none" w:sz="0" w:space="0" w:color="auto"/>
        <w:bottom w:val="none" w:sz="0" w:space="0" w:color="auto"/>
        <w:right w:val="none" w:sz="0" w:space="0" w:color="auto"/>
      </w:divBdr>
    </w:div>
    <w:div w:id="1646545294">
      <w:marLeft w:val="0"/>
      <w:marRight w:val="0"/>
      <w:marTop w:val="180"/>
      <w:marBottom w:val="0"/>
      <w:divBdr>
        <w:top w:val="none" w:sz="0" w:space="0" w:color="auto"/>
        <w:left w:val="none" w:sz="0" w:space="0" w:color="auto"/>
        <w:bottom w:val="none" w:sz="0" w:space="0" w:color="auto"/>
        <w:right w:val="none" w:sz="0" w:space="0" w:color="auto"/>
      </w:divBdr>
    </w:div>
    <w:div w:id="1648973889">
      <w:marLeft w:val="0"/>
      <w:marRight w:val="0"/>
      <w:marTop w:val="100"/>
      <w:marBottom w:val="100"/>
      <w:divBdr>
        <w:top w:val="none" w:sz="0" w:space="0" w:color="auto"/>
        <w:left w:val="none" w:sz="0" w:space="0" w:color="auto"/>
        <w:bottom w:val="none" w:sz="0" w:space="0" w:color="auto"/>
        <w:right w:val="none" w:sz="0" w:space="0" w:color="auto"/>
      </w:divBdr>
    </w:div>
    <w:div w:id="1648975180">
      <w:marLeft w:val="0"/>
      <w:marRight w:val="0"/>
      <w:marTop w:val="100"/>
      <w:marBottom w:val="0"/>
      <w:divBdr>
        <w:top w:val="none" w:sz="0" w:space="0" w:color="auto"/>
        <w:left w:val="none" w:sz="0" w:space="0" w:color="auto"/>
        <w:bottom w:val="none" w:sz="0" w:space="0" w:color="auto"/>
        <w:right w:val="none" w:sz="0" w:space="0" w:color="auto"/>
      </w:divBdr>
    </w:div>
    <w:div w:id="1650553823">
      <w:marLeft w:val="0"/>
      <w:marRight w:val="0"/>
      <w:marTop w:val="0"/>
      <w:marBottom w:val="0"/>
      <w:divBdr>
        <w:top w:val="none" w:sz="0" w:space="0" w:color="auto"/>
        <w:left w:val="none" w:sz="0" w:space="0" w:color="auto"/>
        <w:bottom w:val="none" w:sz="0" w:space="0" w:color="auto"/>
        <w:right w:val="none" w:sz="0" w:space="0" w:color="auto"/>
      </w:divBdr>
    </w:div>
    <w:div w:id="1650591922">
      <w:marLeft w:val="0"/>
      <w:marRight w:val="0"/>
      <w:marTop w:val="180"/>
      <w:marBottom w:val="100"/>
      <w:divBdr>
        <w:top w:val="none" w:sz="0" w:space="0" w:color="auto"/>
        <w:left w:val="none" w:sz="0" w:space="0" w:color="auto"/>
        <w:bottom w:val="none" w:sz="0" w:space="0" w:color="auto"/>
        <w:right w:val="none" w:sz="0" w:space="0" w:color="auto"/>
      </w:divBdr>
    </w:div>
    <w:div w:id="1651471802">
      <w:marLeft w:val="0"/>
      <w:marRight w:val="0"/>
      <w:marTop w:val="0"/>
      <w:marBottom w:val="0"/>
      <w:divBdr>
        <w:top w:val="none" w:sz="0" w:space="0" w:color="auto"/>
        <w:left w:val="none" w:sz="0" w:space="0" w:color="auto"/>
        <w:bottom w:val="none" w:sz="0" w:space="0" w:color="auto"/>
        <w:right w:val="none" w:sz="0" w:space="0" w:color="auto"/>
      </w:divBdr>
    </w:div>
    <w:div w:id="1651641161">
      <w:marLeft w:val="0"/>
      <w:marRight w:val="0"/>
      <w:marTop w:val="100"/>
      <w:marBottom w:val="100"/>
      <w:divBdr>
        <w:top w:val="none" w:sz="0" w:space="0" w:color="auto"/>
        <w:left w:val="none" w:sz="0" w:space="0" w:color="auto"/>
        <w:bottom w:val="none" w:sz="0" w:space="0" w:color="auto"/>
        <w:right w:val="none" w:sz="0" w:space="0" w:color="auto"/>
      </w:divBdr>
    </w:div>
    <w:div w:id="1652324997">
      <w:marLeft w:val="0"/>
      <w:marRight w:val="0"/>
      <w:marTop w:val="0"/>
      <w:marBottom w:val="0"/>
      <w:divBdr>
        <w:top w:val="none" w:sz="0" w:space="0" w:color="auto"/>
        <w:left w:val="none" w:sz="0" w:space="0" w:color="auto"/>
        <w:bottom w:val="none" w:sz="0" w:space="0" w:color="auto"/>
        <w:right w:val="none" w:sz="0" w:space="0" w:color="auto"/>
      </w:divBdr>
    </w:div>
    <w:div w:id="1652516247">
      <w:marLeft w:val="0"/>
      <w:marRight w:val="0"/>
      <w:marTop w:val="0"/>
      <w:marBottom w:val="100"/>
      <w:divBdr>
        <w:top w:val="none" w:sz="0" w:space="0" w:color="auto"/>
        <w:left w:val="none" w:sz="0" w:space="0" w:color="auto"/>
        <w:bottom w:val="none" w:sz="0" w:space="0" w:color="auto"/>
        <w:right w:val="none" w:sz="0" w:space="0" w:color="auto"/>
      </w:divBdr>
    </w:div>
    <w:div w:id="1652975999">
      <w:marLeft w:val="0"/>
      <w:marRight w:val="0"/>
      <w:marTop w:val="100"/>
      <w:marBottom w:val="100"/>
      <w:divBdr>
        <w:top w:val="none" w:sz="0" w:space="0" w:color="auto"/>
        <w:left w:val="none" w:sz="0" w:space="0" w:color="auto"/>
        <w:bottom w:val="none" w:sz="0" w:space="0" w:color="auto"/>
        <w:right w:val="none" w:sz="0" w:space="0" w:color="auto"/>
      </w:divBdr>
    </w:div>
    <w:div w:id="1652979527">
      <w:marLeft w:val="0"/>
      <w:marRight w:val="0"/>
      <w:marTop w:val="100"/>
      <w:marBottom w:val="100"/>
      <w:divBdr>
        <w:top w:val="none" w:sz="0" w:space="0" w:color="auto"/>
        <w:left w:val="none" w:sz="0" w:space="0" w:color="auto"/>
        <w:bottom w:val="none" w:sz="0" w:space="0" w:color="auto"/>
        <w:right w:val="none" w:sz="0" w:space="0" w:color="auto"/>
      </w:divBdr>
      <w:divsChild>
        <w:div w:id="843975914">
          <w:marLeft w:val="0"/>
          <w:marRight w:val="0"/>
          <w:marTop w:val="0"/>
          <w:marBottom w:val="0"/>
          <w:divBdr>
            <w:top w:val="none" w:sz="0" w:space="0" w:color="auto"/>
            <w:left w:val="none" w:sz="0" w:space="0" w:color="auto"/>
            <w:bottom w:val="none" w:sz="0" w:space="0" w:color="auto"/>
            <w:right w:val="none" w:sz="0" w:space="0" w:color="auto"/>
          </w:divBdr>
        </w:div>
      </w:divsChild>
    </w:div>
    <w:div w:id="1657880775">
      <w:marLeft w:val="0"/>
      <w:marRight w:val="0"/>
      <w:marTop w:val="100"/>
      <w:marBottom w:val="100"/>
      <w:divBdr>
        <w:top w:val="none" w:sz="0" w:space="0" w:color="auto"/>
        <w:left w:val="none" w:sz="0" w:space="0" w:color="auto"/>
        <w:bottom w:val="none" w:sz="0" w:space="0" w:color="auto"/>
        <w:right w:val="none" w:sz="0" w:space="0" w:color="auto"/>
      </w:divBdr>
    </w:div>
    <w:div w:id="1660688535">
      <w:marLeft w:val="0"/>
      <w:marRight w:val="0"/>
      <w:marTop w:val="0"/>
      <w:marBottom w:val="0"/>
      <w:divBdr>
        <w:top w:val="none" w:sz="0" w:space="0" w:color="auto"/>
        <w:left w:val="none" w:sz="0" w:space="0" w:color="auto"/>
        <w:bottom w:val="none" w:sz="0" w:space="0" w:color="auto"/>
        <w:right w:val="none" w:sz="0" w:space="0" w:color="auto"/>
      </w:divBdr>
    </w:div>
    <w:div w:id="1663897974">
      <w:marLeft w:val="0"/>
      <w:marRight w:val="0"/>
      <w:marTop w:val="180"/>
      <w:marBottom w:val="0"/>
      <w:divBdr>
        <w:top w:val="none" w:sz="0" w:space="0" w:color="auto"/>
        <w:left w:val="none" w:sz="0" w:space="0" w:color="auto"/>
        <w:bottom w:val="none" w:sz="0" w:space="0" w:color="auto"/>
        <w:right w:val="none" w:sz="0" w:space="0" w:color="auto"/>
      </w:divBdr>
    </w:div>
    <w:div w:id="1664969732">
      <w:marLeft w:val="0"/>
      <w:marRight w:val="0"/>
      <w:marTop w:val="0"/>
      <w:marBottom w:val="100"/>
      <w:divBdr>
        <w:top w:val="none" w:sz="0" w:space="0" w:color="auto"/>
        <w:left w:val="none" w:sz="0" w:space="0" w:color="auto"/>
        <w:bottom w:val="none" w:sz="0" w:space="0" w:color="auto"/>
        <w:right w:val="none" w:sz="0" w:space="0" w:color="auto"/>
      </w:divBdr>
    </w:div>
    <w:div w:id="1665431003">
      <w:marLeft w:val="0"/>
      <w:marRight w:val="0"/>
      <w:marTop w:val="0"/>
      <w:marBottom w:val="100"/>
      <w:divBdr>
        <w:top w:val="none" w:sz="0" w:space="0" w:color="auto"/>
        <w:left w:val="none" w:sz="0" w:space="0" w:color="auto"/>
        <w:bottom w:val="none" w:sz="0" w:space="0" w:color="auto"/>
        <w:right w:val="none" w:sz="0" w:space="0" w:color="auto"/>
      </w:divBdr>
    </w:div>
    <w:div w:id="1666278424">
      <w:marLeft w:val="0"/>
      <w:marRight w:val="0"/>
      <w:marTop w:val="0"/>
      <w:marBottom w:val="0"/>
      <w:divBdr>
        <w:top w:val="none" w:sz="0" w:space="0" w:color="auto"/>
        <w:left w:val="none" w:sz="0" w:space="0" w:color="auto"/>
        <w:bottom w:val="none" w:sz="0" w:space="0" w:color="auto"/>
        <w:right w:val="none" w:sz="0" w:space="0" w:color="auto"/>
      </w:divBdr>
      <w:divsChild>
        <w:div w:id="1399859939">
          <w:marLeft w:val="0"/>
          <w:marRight w:val="0"/>
          <w:marTop w:val="0"/>
          <w:marBottom w:val="100"/>
          <w:divBdr>
            <w:top w:val="none" w:sz="0" w:space="0" w:color="auto"/>
            <w:left w:val="none" w:sz="0" w:space="0" w:color="auto"/>
            <w:bottom w:val="none" w:sz="0" w:space="0" w:color="auto"/>
            <w:right w:val="none" w:sz="0" w:space="0" w:color="auto"/>
          </w:divBdr>
        </w:div>
      </w:divsChild>
    </w:div>
    <w:div w:id="1667441709">
      <w:marLeft w:val="0"/>
      <w:marRight w:val="0"/>
      <w:marTop w:val="100"/>
      <w:marBottom w:val="120"/>
      <w:divBdr>
        <w:top w:val="none" w:sz="0" w:space="0" w:color="auto"/>
        <w:left w:val="none" w:sz="0" w:space="0" w:color="auto"/>
        <w:bottom w:val="none" w:sz="0" w:space="0" w:color="auto"/>
        <w:right w:val="none" w:sz="0" w:space="0" w:color="auto"/>
      </w:divBdr>
    </w:div>
    <w:div w:id="1668753439">
      <w:marLeft w:val="0"/>
      <w:marRight w:val="0"/>
      <w:marTop w:val="0"/>
      <w:marBottom w:val="0"/>
      <w:divBdr>
        <w:top w:val="none" w:sz="0" w:space="0" w:color="auto"/>
        <w:left w:val="none" w:sz="0" w:space="0" w:color="auto"/>
        <w:bottom w:val="none" w:sz="0" w:space="0" w:color="auto"/>
        <w:right w:val="none" w:sz="0" w:space="0" w:color="auto"/>
      </w:divBdr>
    </w:div>
    <w:div w:id="1670520242">
      <w:marLeft w:val="0"/>
      <w:marRight w:val="0"/>
      <w:marTop w:val="100"/>
      <w:marBottom w:val="100"/>
      <w:divBdr>
        <w:top w:val="none" w:sz="0" w:space="0" w:color="auto"/>
        <w:left w:val="none" w:sz="0" w:space="0" w:color="auto"/>
        <w:bottom w:val="none" w:sz="0" w:space="0" w:color="auto"/>
        <w:right w:val="none" w:sz="0" w:space="0" w:color="auto"/>
      </w:divBdr>
    </w:div>
    <w:div w:id="1670867063">
      <w:marLeft w:val="0"/>
      <w:marRight w:val="0"/>
      <w:marTop w:val="0"/>
      <w:marBottom w:val="100"/>
      <w:divBdr>
        <w:top w:val="none" w:sz="0" w:space="0" w:color="auto"/>
        <w:left w:val="none" w:sz="0" w:space="0" w:color="auto"/>
        <w:bottom w:val="none" w:sz="0" w:space="0" w:color="auto"/>
        <w:right w:val="none" w:sz="0" w:space="0" w:color="auto"/>
      </w:divBdr>
    </w:div>
    <w:div w:id="1673140935">
      <w:marLeft w:val="0"/>
      <w:marRight w:val="0"/>
      <w:marTop w:val="0"/>
      <w:marBottom w:val="0"/>
      <w:divBdr>
        <w:top w:val="none" w:sz="0" w:space="0" w:color="auto"/>
        <w:left w:val="none" w:sz="0" w:space="0" w:color="auto"/>
        <w:bottom w:val="none" w:sz="0" w:space="0" w:color="auto"/>
        <w:right w:val="none" w:sz="0" w:space="0" w:color="auto"/>
      </w:divBdr>
      <w:divsChild>
        <w:div w:id="394476828">
          <w:marLeft w:val="0"/>
          <w:marRight w:val="0"/>
          <w:marTop w:val="0"/>
          <w:marBottom w:val="100"/>
          <w:divBdr>
            <w:top w:val="none" w:sz="0" w:space="0" w:color="auto"/>
            <w:left w:val="none" w:sz="0" w:space="0" w:color="auto"/>
            <w:bottom w:val="none" w:sz="0" w:space="0" w:color="auto"/>
            <w:right w:val="none" w:sz="0" w:space="0" w:color="auto"/>
          </w:divBdr>
        </w:div>
      </w:divsChild>
    </w:div>
    <w:div w:id="1673289124">
      <w:marLeft w:val="0"/>
      <w:marRight w:val="0"/>
      <w:marTop w:val="100"/>
      <w:marBottom w:val="100"/>
      <w:divBdr>
        <w:top w:val="none" w:sz="0" w:space="0" w:color="auto"/>
        <w:left w:val="none" w:sz="0" w:space="0" w:color="auto"/>
        <w:bottom w:val="none" w:sz="0" w:space="0" w:color="auto"/>
        <w:right w:val="none" w:sz="0" w:space="0" w:color="auto"/>
      </w:divBdr>
    </w:div>
    <w:div w:id="1674452710">
      <w:marLeft w:val="0"/>
      <w:marRight w:val="0"/>
      <w:marTop w:val="0"/>
      <w:marBottom w:val="0"/>
      <w:divBdr>
        <w:top w:val="none" w:sz="0" w:space="0" w:color="auto"/>
        <w:left w:val="none" w:sz="0" w:space="0" w:color="auto"/>
        <w:bottom w:val="none" w:sz="0" w:space="0" w:color="auto"/>
        <w:right w:val="none" w:sz="0" w:space="0" w:color="auto"/>
      </w:divBdr>
    </w:div>
    <w:div w:id="1681466940">
      <w:marLeft w:val="0"/>
      <w:marRight w:val="0"/>
      <w:marTop w:val="100"/>
      <w:marBottom w:val="0"/>
      <w:divBdr>
        <w:top w:val="none" w:sz="0" w:space="0" w:color="auto"/>
        <w:left w:val="none" w:sz="0" w:space="0" w:color="auto"/>
        <w:bottom w:val="none" w:sz="0" w:space="0" w:color="auto"/>
        <w:right w:val="none" w:sz="0" w:space="0" w:color="auto"/>
      </w:divBdr>
    </w:div>
    <w:div w:id="1684551476">
      <w:marLeft w:val="0"/>
      <w:marRight w:val="0"/>
      <w:marTop w:val="0"/>
      <w:marBottom w:val="100"/>
      <w:divBdr>
        <w:top w:val="none" w:sz="0" w:space="0" w:color="auto"/>
        <w:left w:val="none" w:sz="0" w:space="0" w:color="auto"/>
        <w:bottom w:val="none" w:sz="0" w:space="0" w:color="auto"/>
        <w:right w:val="none" w:sz="0" w:space="0" w:color="auto"/>
      </w:divBdr>
    </w:div>
    <w:div w:id="1684671640">
      <w:marLeft w:val="0"/>
      <w:marRight w:val="0"/>
      <w:marTop w:val="100"/>
      <w:marBottom w:val="100"/>
      <w:divBdr>
        <w:top w:val="none" w:sz="0" w:space="0" w:color="auto"/>
        <w:left w:val="none" w:sz="0" w:space="0" w:color="auto"/>
        <w:bottom w:val="none" w:sz="0" w:space="0" w:color="auto"/>
        <w:right w:val="none" w:sz="0" w:space="0" w:color="auto"/>
      </w:divBdr>
    </w:div>
    <w:div w:id="1684822317">
      <w:marLeft w:val="0"/>
      <w:marRight w:val="0"/>
      <w:marTop w:val="0"/>
      <w:marBottom w:val="0"/>
      <w:divBdr>
        <w:top w:val="none" w:sz="0" w:space="0" w:color="auto"/>
        <w:left w:val="none" w:sz="0" w:space="0" w:color="auto"/>
        <w:bottom w:val="none" w:sz="0" w:space="0" w:color="auto"/>
        <w:right w:val="none" w:sz="0" w:space="0" w:color="auto"/>
      </w:divBdr>
    </w:div>
    <w:div w:id="1685590391">
      <w:marLeft w:val="0"/>
      <w:marRight w:val="0"/>
      <w:marTop w:val="100"/>
      <w:marBottom w:val="100"/>
      <w:divBdr>
        <w:top w:val="none" w:sz="0" w:space="0" w:color="auto"/>
        <w:left w:val="none" w:sz="0" w:space="0" w:color="auto"/>
        <w:bottom w:val="none" w:sz="0" w:space="0" w:color="auto"/>
        <w:right w:val="none" w:sz="0" w:space="0" w:color="auto"/>
      </w:divBdr>
    </w:div>
    <w:div w:id="1686974620">
      <w:marLeft w:val="0"/>
      <w:marRight w:val="0"/>
      <w:marTop w:val="0"/>
      <w:marBottom w:val="100"/>
      <w:divBdr>
        <w:top w:val="none" w:sz="0" w:space="0" w:color="auto"/>
        <w:left w:val="none" w:sz="0" w:space="0" w:color="auto"/>
        <w:bottom w:val="none" w:sz="0" w:space="0" w:color="auto"/>
        <w:right w:val="none" w:sz="0" w:space="0" w:color="auto"/>
      </w:divBdr>
    </w:div>
    <w:div w:id="1687554807">
      <w:marLeft w:val="0"/>
      <w:marRight w:val="0"/>
      <w:marTop w:val="0"/>
      <w:marBottom w:val="0"/>
      <w:divBdr>
        <w:top w:val="none" w:sz="0" w:space="0" w:color="auto"/>
        <w:left w:val="none" w:sz="0" w:space="0" w:color="auto"/>
        <w:bottom w:val="none" w:sz="0" w:space="0" w:color="auto"/>
        <w:right w:val="none" w:sz="0" w:space="0" w:color="auto"/>
      </w:divBdr>
      <w:divsChild>
        <w:div w:id="2015836096">
          <w:marLeft w:val="0"/>
          <w:marRight w:val="0"/>
          <w:marTop w:val="0"/>
          <w:marBottom w:val="100"/>
          <w:divBdr>
            <w:top w:val="none" w:sz="0" w:space="0" w:color="auto"/>
            <w:left w:val="none" w:sz="0" w:space="0" w:color="auto"/>
            <w:bottom w:val="none" w:sz="0" w:space="0" w:color="auto"/>
            <w:right w:val="none" w:sz="0" w:space="0" w:color="auto"/>
          </w:divBdr>
        </w:div>
      </w:divsChild>
    </w:div>
    <w:div w:id="1689453043">
      <w:marLeft w:val="0"/>
      <w:marRight w:val="0"/>
      <w:marTop w:val="0"/>
      <w:marBottom w:val="0"/>
      <w:divBdr>
        <w:top w:val="none" w:sz="0" w:space="0" w:color="auto"/>
        <w:left w:val="none" w:sz="0" w:space="0" w:color="auto"/>
        <w:bottom w:val="none" w:sz="0" w:space="0" w:color="auto"/>
        <w:right w:val="none" w:sz="0" w:space="0" w:color="auto"/>
      </w:divBdr>
      <w:divsChild>
        <w:div w:id="1523742307">
          <w:marLeft w:val="0"/>
          <w:marRight w:val="0"/>
          <w:marTop w:val="0"/>
          <w:marBottom w:val="100"/>
          <w:divBdr>
            <w:top w:val="none" w:sz="0" w:space="0" w:color="auto"/>
            <w:left w:val="none" w:sz="0" w:space="0" w:color="auto"/>
            <w:bottom w:val="none" w:sz="0" w:space="0" w:color="auto"/>
            <w:right w:val="none" w:sz="0" w:space="0" w:color="auto"/>
          </w:divBdr>
        </w:div>
      </w:divsChild>
    </w:div>
    <w:div w:id="1689866201">
      <w:marLeft w:val="0"/>
      <w:marRight w:val="0"/>
      <w:marTop w:val="100"/>
      <w:marBottom w:val="100"/>
      <w:divBdr>
        <w:top w:val="none" w:sz="0" w:space="0" w:color="auto"/>
        <w:left w:val="none" w:sz="0" w:space="0" w:color="auto"/>
        <w:bottom w:val="none" w:sz="0" w:space="0" w:color="auto"/>
        <w:right w:val="none" w:sz="0" w:space="0" w:color="auto"/>
      </w:divBdr>
    </w:div>
    <w:div w:id="1690452047">
      <w:marLeft w:val="0"/>
      <w:marRight w:val="0"/>
      <w:marTop w:val="100"/>
      <w:marBottom w:val="120"/>
      <w:divBdr>
        <w:top w:val="none" w:sz="0" w:space="0" w:color="auto"/>
        <w:left w:val="none" w:sz="0" w:space="0" w:color="auto"/>
        <w:bottom w:val="none" w:sz="0" w:space="0" w:color="auto"/>
        <w:right w:val="none" w:sz="0" w:space="0" w:color="auto"/>
      </w:divBdr>
    </w:div>
    <w:div w:id="1690831766">
      <w:marLeft w:val="0"/>
      <w:marRight w:val="0"/>
      <w:marTop w:val="180"/>
      <w:marBottom w:val="0"/>
      <w:divBdr>
        <w:top w:val="none" w:sz="0" w:space="0" w:color="auto"/>
        <w:left w:val="none" w:sz="0" w:space="0" w:color="auto"/>
        <w:bottom w:val="none" w:sz="0" w:space="0" w:color="auto"/>
        <w:right w:val="none" w:sz="0" w:space="0" w:color="auto"/>
      </w:divBdr>
    </w:div>
    <w:div w:id="1695113282">
      <w:marLeft w:val="0"/>
      <w:marRight w:val="0"/>
      <w:marTop w:val="0"/>
      <w:marBottom w:val="0"/>
      <w:divBdr>
        <w:top w:val="none" w:sz="0" w:space="0" w:color="auto"/>
        <w:left w:val="none" w:sz="0" w:space="0" w:color="auto"/>
        <w:bottom w:val="none" w:sz="0" w:space="0" w:color="auto"/>
        <w:right w:val="none" w:sz="0" w:space="0" w:color="auto"/>
      </w:divBdr>
      <w:divsChild>
        <w:div w:id="1005589685">
          <w:marLeft w:val="0"/>
          <w:marRight w:val="0"/>
          <w:marTop w:val="0"/>
          <w:marBottom w:val="100"/>
          <w:divBdr>
            <w:top w:val="none" w:sz="0" w:space="0" w:color="auto"/>
            <w:left w:val="none" w:sz="0" w:space="0" w:color="auto"/>
            <w:bottom w:val="none" w:sz="0" w:space="0" w:color="auto"/>
            <w:right w:val="none" w:sz="0" w:space="0" w:color="auto"/>
          </w:divBdr>
        </w:div>
      </w:divsChild>
    </w:div>
    <w:div w:id="1697072695">
      <w:marLeft w:val="0"/>
      <w:marRight w:val="0"/>
      <w:marTop w:val="100"/>
      <w:marBottom w:val="100"/>
      <w:divBdr>
        <w:top w:val="none" w:sz="0" w:space="0" w:color="auto"/>
        <w:left w:val="none" w:sz="0" w:space="0" w:color="auto"/>
        <w:bottom w:val="none" w:sz="0" w:space="0" w:color="auto"/>
        <w:right w:val="none" w:sz="0" w:space="0" w:color="auto"/>
      </w:divBdr>
    </w:div>
    <w:div w:id="1698461996">
      <w:marLeft w:val="0"/>
      <w:marRight w:val="0"/>
      <w:marTop w:val="180"/>
      <w:marBottom w:val="100"/>
      <w:divBdr>
        <w:top w:val="none" w:sz="0" w:space="0" w:color="auto"/>
        <w:left w:val="none" w:sz="0" w:space="0" w:color="auto"/>
        <w:bottom w:val="none" w:sz="0" w:space="0" w:color="auto"/>
        <w:right w:val="none" w:sz="0" w:space="0" w:color="auto"/>
      </w:divBdr>
    </w:div>
    <w:div w:id="1698507137">
      <w:marLeft w:val="0"/>
      <w:marRight w:val="0"/>
      <w:marTop w:val="0"/>
      <w:marBottom w:val="0"/>
      <w:divBdr>
        <w:top w:val="none" w:sz="0" w:space="0" w:color="auto"/>
        <w:left w:val="none" w:sz="0" w:space="0" w:color="auto"/>
        <w:bottom w:val="none" w:sz="0" w:space="0" w:color="auto"/>
        <w:right w:val="none" w:sz="0" w:space="0" w:color="auto"/>
      </w:divBdr>
    </w:div>
    <w:div w:id="1699158675">
      <w:marLeft w:val="0"/>
      <w:marRight w:val="0"/>
      <w:marTop w:val="0"/>
      <w:marBottom w:val="100"/>
      <w:divBdr>
        <w:top w:val="none" w:sz="0" w:space="0" w:color="auto"/>
        <w:left w:val="none" w:sz="0" w:space="0" w:color="auto"/>
        <w:bottom w:val="none" w:sz="0" w:space="0" w:color="auto"/>
        <w:right w:val="none" w:sz="0" w:space="0" w:color="auto"/>
      </w:divBdr>
    </w:div>
    <w:div w:id="1700620760">
      <w:marLeft w:val="0"/>
      <w:marRight w:val="0"/>
      <w:marTop w:val="180"/>
      <w:marBottom w:val="0"/>
      <w:divBdr>
        <w:top w:val="none" w:sz="0" w:space="0" w:color="auto"/>
        <w:left w:val="none" w:sz="0" w:space="0" w:color="auto"/>
        <w:bottom w:val="none" w:sz="0" w:space="0" w:color="auto"/>
        <w:right w:val="none" w:sz="0" w:space="0" w:color="auto"/>
      </w:divBdr>
    </w:div>
    <w:div w:id="1701661805">
      <w:marLeft w:val="0"/>
      <w:marRight w:val="0"/>
      <w:marTop w:val="0"/>
      <w:marBottom w:val="100"/>
      <w:divBdr>
        <w:top w:val="none" w:sz="0" w:space="0" w:color="auto"/>
        <w:left w:val="none" w:sz="0" w:space="0" w:color="auto"/>
        <w:bottom w:val="none" w:sz="0" w:space="0" w:color="auto"/>
        <w:right w:val="none" w:sz="0" w:space="0" w:color="auto"/>
      </w:divBdr>
    </w:div>
    <w:div w:id="1701779108">
      <w:marLeft w:val="0"/>
      <w:marRight w:val="0"/>
      <w:marTop w:val="100"/>
      <w:marBottom w:val="100"/>
      <w:divBdr>
        <w:top w:val="none" w:sz="0" w:space="0" w:color="auto"/>
        <w:left w:val="none" w:sz="0" w:space="0" w:color="auto"/>
        <w:bottom w:val="none" w:sz="0" w:space="0" w:color="auto"/>
        <w:right w:val="none" w:sz="0" w:space="0" w:color="auto"/>
      </w:divBdr>
    </w:div>
    <w:div w:id="1702823033">
      <w:marLeft w:val="0"/>
      <w:marRight w:val="0"/>
      <w:marTop w:val="0"/>
      <w:marBottom w:val="60"/>
      <w:divBdr>
        <w:top w:val="none" w:sz="0" w:space="0" w:color="auto"/>
        <w:left w:val="none" w:sz="0" w:space="0" w:color="auto"/>
        <w:bottom w:val="none" w:sz="0" w:space="0" w:color="auto"/>
        <w:right w:val="none" w:sz="0" w:space="0" w:color="auto"/>
      </w:divBdr>
      <w:divsChild>
        <w:div w:id="150558935">
          <w:marLeft w:val="0"/>
          <w:marRight w:val="0"/>
          <w:marTop w:val="0"/>
          <w:marBottom w:val="0"/>
          <w:divBdr>
            <w:top w:val="none" w:sz="0" w:space="0" w:color="auto"/>
            <w:left w:val="none" w:sz="0" w:space="0" w:color="auto"/>
            <w:bottom w:val="none" w:sz="0" w:space="0" w:color="auto"/>
            <w:right w:val="none" w:sz="0" w:space="0" w:color="auto"/>
          </w:divBdr>
        </w:div>
      </w:divsChild>
    </w:div>
    <w:div w:id="1702901797">
      <w:marLeft w:val="0"/>
      <w:marRight w:val="0"/>
      <w:marTop w:val="0"/>
      <w:marBottom w:val="0"/>
      <w:divBdr>
        <w:top w:val="none" w:sz="0" w:space="0" w:color="auto"/>
        <w:left w:val="none" w:sz="0" w:space="0" w:color="auto"/>
        <w:bottom w:val="none" w:sz="0" w:space="0" w:color="auto"/>
        <w:right w:val="none" w:sz="0" w:space="0" w:color="auto"/>
      </w:divBdr>
      <w:divsChild>
        <w:div w:id="203055390">
          <w:marLeft w:val="0"/>
          <w:marRight w:val="0"/>
          <w:marTop w:val="0"/>
          <w:marBottom w:val="100"/>
          <w:divBdr>
            <w:top w:val="none" w:sz="0" w:space="0" w:color="auto"/>
            <w:left w:val="none" w:sz="0" w:space="0" w:color="auto"/>
            <w:bottom w:val="none" w:sz="0" w:space="0" w:color="auto"/>
            <w:right w:val="none" w:sz="0" w:space="0" w:color="auto"/>
          </w:divBdr>
        </w:div>
      </w:divsChild>
    </w:div>
    <w:div w:id="1703288585">
      <w:marLeft w:val="0"/>
      <w:marRight w:val="0"/>
      <w:marTop w:val="100"/>
      <w:marBottom w:val="100"/>
      <w:divBdr>
        <w:top w:val="none" w:sz="0" w:space="0" w:color="auto"/>
        <w:left w:val="none" w:sz="0" w:space="0" w:color="auto"/>
        <w:bottom w:val="none" w:sz="0" w:space="0" w:color="auto"/>
        <w:right w:val="none" w:sz="0" w:space="0" w:color="auto"/>
      </w:divBdr>
    </w:div>
    <w:div w:id="1703362953">
      <w:marLeft w:val="0"/>
      <w:marRight w:val="0"/>
      <w:marTop w:val="100"/>
      <w:marBottom w:val="100"/>
      <w:divBdr>
        <w:top w:val="none" w:sz="0" w:space="0" w:color="auto"/>
        <w:left w:val="none" w:sz="0" w:space="0" w:color="auto"/>
        <w:bottom w:val="none" w:sz="0" w:space="0" w:color="auto"/>
        <w:right w:val="none" w:sz="0" w:space="0" w:color="auto"/>
      </w:divBdr>
    </w:div>
    <w:div w:id="1703558337">
      <w:marLeft w:val="0"/>
      <w:marRight w:val="0"/>
      <w:marTop w:val="180"/>
      <w:marBottom w:val="0"/>
      <w:divBdr>
        <w:top w:val="none" w:sz="0" w:space="0" w:color="auto"/>
        <w:left w:val="none" w:sz="0" w:space="0" w:color="auto"/>
        <w:bottom w:val="none" w:sz="0" w:space="0" w:color="auto"/>
        <w:right w:val="none" w:sz="0" w:space="0" w:color="auto"/>
      </w:divBdr>
    </w:div>
    <w:div w:id="1704474480">
      <w:marLeft w:val="0"/>
      <w:marRight w:val="0"/>
      <w:marTop w:val="180"/>
      <w:marBottom w:val="0"/>
      <w:divBdr>
        <w:top w:val="none" w:sz="0" w:space="0" w:color="auto"/>
        <w:left w:val="none" w:sz="0" w:space="0" w:color="auto"/>
        <w:bottom w:val="none" w:sz="0" w:space="0" w:color="auto"/>
        <w:right w:val="none" w:sz="0" w:space="0" w:color="auto"/>
      </w:divBdr>
    </w:div>
    <w:div w:id="1705521163">
      <w:marLeft w:val="0"/>
      <w:marRight w:val="0"/>
      <w:marTop w:val="0"/>
      <w:marBottom w:val="0"/>
      <w:divBdr>
        <w:top w:val="none" w:sz="0" w:space="0" w:color="auto"/>
        <w:left w:val="none" w:sz="0" w:space="0" w:color="auto"/>
        <w:bottom w:val="none" w:sz="0" w:space="0" w:color="auto"/>
        <w:right w:val="none" w:sz="0" w:space="0" w:color="auto"/>
      </w:divBdr>
      <w:divsChild>
        <w:div w:id="1415663504">
          <w:marLeft w:val="0"/>
          <w:marRight w:val="0"/>
          <w:marTop w:val="0"/>
          <w:marBottom w:val="0"/>
          <w:divBdr>
            <w:top w:val="none" w:sz="0" w:space="0" w:color="auto"/>
            <w:left w:val="none" w:sz="0" w:space="0" w:color="auto"/>
            <w:bottom w:val="none" w:sz="0" w:space="0" w:color="auto"/>
            <w:right w:val="none" w:sz="0" w:space="0" w:color="auto"/>
          </w:divBdr>
          <w:divsChild>
            <w:div w:id="179879034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06758109">
      <w:marLeft w:val="0"/>
      <w:marRight w:val="0"/>
      <w:marTop w:val="180"/>
      <w:marBottom w:val="0"/>
      <w:divBdr>
        <w:top w:val="none" w:sz="0" w:space="0" w:color="auto"/>
        <w:left w:val="none" w:sz="0" w:space="0" w:color="auto"/>
        <w:bottom w:val="none" w:sz="0" w:space="0" w:color="auto"/>
        <w:right w:val="none" w:sz="0" w:space="0" w:color="auto"/>
      </w:divBdr>
    </w:div>
    <w:div w:id="1706759191">
      <w:marLeft w:val="0"/>
      <w:marRight w:val="0"/>
      <w:marTop w:val="90"/>
      <w:marBottom w:val="90"/>
      <w:divBdr>
        <w:top w:val="none" w:sz="0" w:space="0" w:color="auto"/>
        <w:left w:val="none" w:sz="0" w:space="0" w:color="auto"/>
        <w:bottom w:val="none" w:sz="0" w:space="0" w:color="auto"/>
        <w:right w:val="none" w:sz="0" w:space="0" w:color="auto"/>
      </w:divBdr>
    </w:div>
    <w:div w:id="1706977829">
      <w:marLeft w:val="0"/>
      <w:marRight w:val="0"/>
      <w:marTop w:val="0"/>
      <w:marBottom w:val="100"/>
      <w:divBdr>
        <w:top w:val="none" w:sz="0" w:space="0" w:color="auto"/>
        <w:left w:val="none" w:sz="0" w:space="0" w:color="auto"/>
        <w:bottom w:val="none" w:sz="0" w:space="0" w:color="auto"/>
        <w:right w:val="none" w:sz="0" w:space="0" w:color="auto"/>
      </w:divBdr>
    </w:div>
    <w:div w:id="1709640965">
      <w:marLeft w:val="0"/>
      <w:marRight w:val="0"/>
      <w:marTop w:val="100"/>
      <w:marBottom w:val="100"/>
      <w:divBdr>
        <w:top w:val="none" w:sz="0" w:space="0" w:color="auto"/>
        <w:left w:val="none" w:sz="0" w:space="0" w:color="auto"/>
        <w:bottom w:val="none" w:sz="0" w:space="0" w:color="auto"/>
        <w:right w:val="none" w:sz="0" w:space="0" w:color="auto"/>
      </w:divBdr>
    </w:div>
    <w:div w:id="1711346635">
      <w:marLeft w:val="0"/>
      <w:marRight w:val="0"/>
      <w:marTop w:val="100"/>
      <w:marBottom w:val="100"/>
      <w:divBdr>
        <w:top w:val="none" w:sz="0" w:space="0" w:color="auto"/>
        <w:left w:val="none" w:sz="0" w:space="0" w:color="auto"/>
        <w:bottom w:val="none" w:sz="0" w:space="0" w:color="auto"/>
        <w:right w:val="none" w:sz="0" w:space="0" w:color="auto"/>
      </w:divBdr>
    </w:div>
    <w:div w:id="1711681570">
      <w:marLeft w:val="0"/>
      <w:marRight w:val="0"/>
      <w:marTop w:val="0"/>
      <w:marBottom w:val="0"/>
      <w:divBdr>
        <w:top w:val="none" w:sz="0" w:space="0" w:color="auto"/>
        <w:left w:val="none" w:sz="0" w:space="0" w:color="auto"/>
        <w:bottom w:val="none" w:sz="0" w:space="0" w:color="auto"/>
        <w:right w:val="none" w:sz="0" w:space="0" w:color="auto"/>
      </w:divBdr>
      <w:divsChild>
        <w:div w:id="1258518469">
          <w:marLeft w:val="0"/>
          <w:marRight w:val="0"/>
          <w:marTop w:val="0"/>
          <w:marBottom w:val="100"/>
          <w:divBdr>
            <w:top w:val="none" w:sz="0" w:space="0" w:color="auto"/>
            <w:left w:val="none" w:sz="0" w:space="0" w:color="auto"/>
            <w:bottom w:val="none" w:sz="0" w:space="0" w:color="auto"/>
            <w:right w:val="none" w:sz="0" w:space="0" w:color="auto"/>
          </w:divBdr>
        </w:div>
      </w:divsChild>
    </w:div>
    <w:div w:id="1712917970">
      <w:marLeft w:val="0"/>
      <w:marRight w:val="0"/>
      <w:marTop w:val="100"/>
      <w:marBottom w:val="100"/>
      <w:divBdr>
        <w:top w:val="none" w:sz="0" w:space="0" w:color="auto"/>
        <w:left w:val="none" w:sz="0" w:space="0" w:color="auto"/>
        <w:bottom w:val="none" w:sz="0" w:space="0" w:color="auto"/>
        <w:right w:val="none" w:sz="0" w:space="0" w:color="auto"/>
      </w:divBdr>
    </w:div>
    <w:div w:id="1716393447">
      <w:marLeft w:val="0"/>
      <w:marRight w:val="0"/>
      <w:marTop w:val="100"/>
      <w:marBottom w:val="100"/>
      <w:divBdr>
        <w:top w:val="none" w:sz="0" w:space="0" w:color="auto"/>
        <w:left w:val="none" w:sz="0" w:space="0" w:color="auto"/>
        <w:bottom w:val="none" w:sz="0" w:space="0" w:color="auto"/>
        <w:right w:val="none" w:sz="0" w:space="0" w:color="auto"/>
      </w:divBdr>
    </w:div>
    <w:div w:id="1721787464">
      <w:marLeft w:val="0"/>
      <w:marRight w:val="0"/>
      <w:marTop w:val="0"/>
      <w:marBottom w:val="0"/>
      <w:divBdr>
        <w:top w:val="none" w:sz="0" w:space="0" w:color="auto"/>
        <w:left w:val="none" w:sz="0" w:space="0" w:color="auto"/>
        <w:bottom w:val="none" w:sz="0" w:space="0" w:color="auto"/>
        <w:right w:val="none" w:sz="0" w:space="0" w:color="auto"/>
      </w:divBdr>
    </w:div>
    <w:div w:id="1724133152">
      <w:marLeft w:val="0"/>
      <w:marRight w:val="0"/>
      <w:marTop w:val="180"/>
      <w:marBottom w:val="0"/>
      <w:divBdr>
        <w:top w:val="none" w:sz="0" w:space="0" w:color="auto"/>
        <w:left w:val="none" w:sz="0" w:space="0" w:color="auto"/>
        <w:bottom w:val="none" w:sz="0" w:space="0" w:color="auto"/>
        <w:right w:val="none" w:sz="0" w:space="0" w:color="auto"/>
      </w:divBdr>
    </w:div>
    <w:div w:id="1724910665">
      <w:marLeft w:val="0"/>
      <w:marRight w:val="0"/>
      <w:marTop w:val="100"/>
      <w:marBottom w:val="100"/>
      <w:divBdr>
        <w:top w:val="none" w:sz="0" w:space="0" w:color="auto"/>
        <w:left w:val="none" w:sz="0" w:space="0" w:color="auto"/>
        <w:bottom w:val="none" w:sz="0" w:space="0" w:color="auto"/>
        <w:right w:val="none" w:sz="0" w:space="0" w:color="auto"/>
      </w:divBdr>
    </w:div>
    <w:div w:id="1725177585">
      <w:marLeft w:val="0"/>
      <w:marRight w:val="0"/>
      <w:marTop w:val="100"/>
      <w:marBottom w:val="100"/>
      <w:divBdr>
        <w:top w:val="none" w:sz="0" w:space="0" w:color="auto"/>
        <w:left w:val="none" w:sz="0" w:space="0" w:color="auto"/>
        <w:bottom w:val="none" w:sz="0" w:space="0" w:color="auto"/>
        <w:right w:val="none" w:sz="0" w:space="0" w:color="auto"/>
      </w:divBdr>
    </w:div>
    <w:div w:id="1728452412">
      <w:marLeft w:val="0"/>
      <w:marRight w:val="0"/>
      <w:marTop w:val="100"/>
      <w:marBottom w:val="100"/>
      <w:divBdr>
        <w:top w:val="none" w:sz="0" w:space="0" w:color="auto"/>
        <w:left w:val="none" w:sz="0" w:space="0" w:color="auto"/>
        <w:bottom w:val="none" w:sz="0" w:space="0" w:color="auto"/>
        <w:right w:val="none" w:sz="0" w:space="0" w:color="auto"/>
      </w:divBdr>
    </w:div>
    <w:div w:id="1729644642">
      <w:marLeft w:val="0"/>
      <w:marRight w:val="0"/>
      <w:marTop w:val="100"/>
      <w:marBottom w:val="100"/>
      <w:divBdr>
        <w:top w:val="none" w:sz="0" w:space="0" w:color="auto"/>
        <w:left w:val="none" w:sz="0" w:space="0" w:color="auto"/>
        <w:bottom w:val="none" w:sz="0" w:space="0" w:color="auto"/>
        <w:right w:val="none" w:sz="0" w:space="0" w:color="auto"/>
      </w:divBdr>
    </w:div>
    <w:div w:id="1731883224">
      <w:marLeft w:val="0"/>
      <w:marRight w:val="0"/>
      <w:marTop w:val="100"/>
      <w:marBottom w:val="100"/>
      <w:divBdr>
        <w:top w:val="none" w:sz="0" w:space="0" w:color="auto"/>
        <w:left w:val="none" w:sz="0" w:space="0" w:color="auto"/>
        <w:bottom w:val="none" w:sz="0" w:space="0" w:color="auto"/>
        <w:right w:val="none" w:sz="0" w:space="0" w:color="auto"/>
      </w:divBdr>
    </w:div>
    <w:div w:id="1732192208">
      <w:marLeft w:val="0"/>
      <w:marRight w:val="0"/>
      <w:marTop w:val="100"/>
      <w:marBottom w:val="100"/>
      <w:divBdr>
        <w:top w:val="none" w:sz="0" w:space="0" w:color="auto"/>
        <w:left w:val="none" w:sz="0" w:space="0" w:color="auto"/>
        <w:bottom w:val="none" w:sz="0" w:space="0" w:color="auto"/>
        <w:right w:val="none" w:sz="0" w:space="0" w:color="auto"/>
      </w:divBdr>
    </w:div>
    <w:div w:id="1733581559">
      <w:marLeft w:val="0"/>
      <w:marRight w:val="0"/>
      <w:marTop w:val="100"/>
      <w:marBottom w:val="100"/>
      <w:divBdr>
        <w:top w:val="none" w:sz="0" w:space="0" w:color="auto"/>
        <w:left w:val="none" w:sz="0" w:space="0" w:color="auto"/>
        <w:bottom w:val="none" w:sz="0" w:space="0" w:color="auto"/>
        <w:right w:val="none" w:sz="0" w:space="0" w:color="auto"/>
      </w:divBdr>
      <w:divsChild>
        <w:div w:id="294912567">
          <w:marLeft w:val="0"/>
          <w:marRight w:val="0"/>
          <w:marTop w:val="0"/>
          <w:marBottom w:val="0"/>
          <w:divBdr>
            <w:top w:val="none" w:sz="0" w:space="0" w:color="auto"/>
            <w:left w:val="none" w:sz="0" w:space="0" w:color="auto"/>
            <w:bottom w:val="none" w:sz="0" w:space="0" w:color="auto"/>
            <w:right w:val="none" w:sz="0" w:space="0" w:color="auto"/>
          </w:divBdr>
        </w:div>
        <w:div w:id="254674192">
          <w:marLeft w:val="0"/>
          <w:marRight w:val="0"/>
          <w:marTop w:val="0"/>
          <w:marBottom w:val="0"/>
          <w:divBdr>
            <w:top w:val="none" w:sz="0" w:space="0" w:color="auto"/>
            <w:left w:val="none" w:sz="0" w:space="0" w:color="auto"/>
            <w:bottom w:val="none" w:sz="0" w:space="0" w:color="auto"/>
            <w:right w:val="none" w:sz="0" w:space="0" w:color="auto"/>
          </w:divBdr>
        </w:div>
      </w:divsChild>
    </w:div>
    <w:div w:id="1733850308">
      <w:marLeft w:val="0"/>
      <w:marRight w:val="0"/>
      <w:marTop w:val="100"/>
      <w:marBottom w:val="0"/>
      <w:divBdr>
        <w:top w:val="none" w:sz="0" w:space="0" w:color="auto"/>
        <w:left w:val="none" w:sz="0" w:space="0" w:color="auto"/>
        <w:bottom w:val="none" w:sz="0" w:space="0" w:color="auto"/>
        <w:right w:val="none" w:sz="0" w:space="0" w:color="auto"/>
      </w:divBdr>
    </w:div>
    <w:div w:id="1734622946">
      <w:marLeft w:val="0"/>
      <w:marRight w:val="0"/>
      <w:marTop w:val="0"/>
      <w:marBottom w:val="100"/>
      <w:divBdr>
        <w:top w:val="none" w:sz="0" w:space="0" w:color="auto"/>
        <w:left w:val="none" w:sz="0" w:space="0" w:color="auto"/>
        <w:bottom w:val="none" w:sz="0" w:space="0" w:color="auto"/>
        <w:right w:val="none" w:sz="0" w:space="0" w:color="auto"/>
      </w:divBdr>
    </w:div>
    <w:div w:id="1735154732">
      <w:marLeft w:val="0"/>
      <w:marRight w:val="0"/>
      <w:marTop w:val="100"/>
      <w:marBottom w:val="100"/>
      <w:divBdr>
        <w:top w:val="none" w:sz="0" w:space="0" w:color="auto"/>
        <w:left w:val="none" w:sz="0" w:space="0" w:color="auto"/>
        <w:bottom w:val="none" w:sz="0" w:space="0" w:color="auto"/>
        <w:right w:val="none" w:sz="0" w:space="0" w:color="auto"/>
      </w:divBdr>
    </w:div>
    <w:div w:id="1735855077">
      <w:marLeft w:val="0"/>
      <w:marRight w:val="0"/>
      <w:marTop w:val="100"/>
      <w:marBottom w:val="100"/>
      <w:divBdr>
        <w:top w:val="none" w:sz="0" w:space="0" w:color="auto"/>
        <w:left w:val="none" w:sz="0" w:space="0" w:color="auto"/>
        <w:bottom w:val="none" w:sz="0" w:space="0" w:color="auto"/>
        <w:right w:val="none" w:sz="0" w:space="0" w:color="auto"/>
      </w:divBdr>
    </w:div>
    <w:div w:id="1737242110">
      <w:marLeft w:val="0"/>
      <w:marRight w:val="0"/>
      <w:marTop w:val="100"/>
      <w:marBottom w:val="100"/>
      <w:divBdr>
        <w:top w:val="none" w:sz="0" w:space="0" w:color="auto"/>
        <w:left w:val="none" w:sz="0" w:space="0" w:color="auto"/>
        <w:bottom w:val="none" w:sz="0" w:space="0" w:color="auto"/>
        <w:right w:val="none" w:sz="0" w:space="0" w:color="auto"/>
      </w:divBdr>
    </w:div>
    <w:div w:id="1738935132">
      <w:marLeft w:val="0"/>
      <w:marRight w:val="0"/>
      <w:marTop w:val="100"/>
      <w:marBottom w:val="100"/>
      <w:divBdr>
        <w:top w:val="none" w:sz="0" w:space="0" w:color="auto"/>
        <w:left w:val="none" w:sz="0" w:space="0" w:color="auto"/>
        <w:bottom w:val="none" w:sz="0" w:space="0" w:color="auto"/>
        <w:right w:val="none" w:sz="0" w:space="0" w:color="auto"/>
      </w:divBdr>
    </w:div>
    <w:div w:id="1738937853">
      <w:marLeft w:val="0"/>
      <w:marRight w:val="0"/>
      <w:marTop w:val="0"/>
      <w:marBottom w:val="100"/>
      <w:divBdr>
        <w:top w:val="none" w:sz="0" w:space="0" w:color="auto"/>
        <w:left w:val="none" w:sz="0" w:space="0" w:color="auto"/>
        <w:bottom w:val="none" w:sz="0" w:space="0" w:color="auto"/>
        <w:right w:val="none" w:sz="0" w:space="0" w:color="auto"/>
      </w:divBdr>
    </w:div>
    <w:div w:id="1739356432">
      <w:marLeft w:val="0"/>
      <w:marRight w:val="0"/>
      <w:marTop w:val="0"/>
      <w:marBottom w:val="0"/>
      <w:divBdr>
        <w:top w:val="none" w:sz="0" w:space="0" w:color="auto"/>
        <w:left w:val="none" w:sz="0" w:space="0" w:color="auto"/>
        <w:bottom w:val="none" w:sz="0" w:space="0" w:color="auto"/>
        <w:right w:val="none" w:sz="0" w:space="0" w:color="auto"/>
      </w:divBdr>
    </w:div>
    <w:div w:id="1741823870">
      <w:marLeft w:val="0"/>
      <w:marRight w:val="0"/>
      <w:marTop w:val="0"/>
      <w:marBottom w:val="0"/>
      <w:divBdr>
        <w:top w:val="none" w:sz="0" w:space="0" w:color="auto"/>
        <w:left w:val="none" w:sz="0" w:space="0" w:color="auto"/>
        <w:bottom w:val="none" w:sz="0" w:space="0" w:color="auto"/>
        <w:right w:val="none" w:sz="0" w:space="0" w:color="auto"/>
      </w:divBdr>
    </w:div>
    <w:div w:id="1742478915">
      <w:marLeft w:val="0"/>
      <w:marRight w:val="0"/>
      <w:marTop w:val="180"/>
      <w:marBottom w:val="100"/>
      <w:divBdr>
        <w:top w:val="none" w:sz="0" w:space="0" w:color="auto"/>
        <w:left w:val="none" w:sz="0" w:space="0" w:color="auto"/>
        <w:bottom w:val="none" w:sz="0" w:space="0" w:color="auto"/>
        <w:right w:val="none" w:sz="0" w:space="0" w:color="auto"/>
      </w:divBdr>
    </w:div>
    <w:div w:id="1744402972">
      <w:marLeft w:val="0"/>
      <w:marRight w:val="0"/>
      <w:marTop w:val="0"/>
      <w:marBottom w:val="100"/>
      <w:divBdr>
        <w:top w:val="none" w:sz="0" w:space="0" w:color="auto"/>
        <w:left w:val="none" w:sz="0" w:space="0" w:color="auto"/>
        <w:bottom w:val="none" w:sz="0" w:space="0" w:color="auto"/>
        <w:right w:val="none" w:sz="0" w:space="0" w:color="auto"/>
      </w:divBdr>
    </w:div>
    <w:div w:id="1744453729">
      <w:marLeft w:val="0"/>
      <w:marRight w:val="0"/>
      <w:marTop w:val="0"/>
      <w:marBottom w:val="0"/>
      <w:divBdr>
        <w:top w:val="none" w:sz="0" w:space="0" w:color="auto"/>
        <w:left w:val="none" w:sz="0" w:space="0" w:color="auto"/>
        <w:bottom w:val="none" w:sz="0" w:space="0" w:color="auto"/>
        <w:right w:val="none" w:sz="0" w:space="0" w:color="auto"/>
      </w:divBdr>
    </w:div>
    <w:div w:id="1745105321">
      <w:marLeft w:val="0"/>
      <w:marRight w:val="0"/>
      <w:marTop w:val="100"/>
      <w:marBottom w:val="100"/>
      <w:divBdr>
        <w:top w:val="none" w:sz="0" w:space="0" w:color="auto"/>
        <w:left w:val="none" w:sz="0" w:space="0" w:color="auto"/>
        <w:bottom w:val="none" w:sz="0" w:space="0" w:color="auto"/>
        <w:right w:val="none" w:sz="0" w:space="0" w:color="auto"/>
      </w:divBdr>
    </w:div>
    <w:div w:id="1745758608">
      <w:marLeft w:val="0"/>
      <w:marRight w:val="0"/>
      <w:marTop w:val="100"/>
      <w:marBottom w:val="100"/>
      <w:divBdr>
        <w:top w:val="none" w:sz="0" w:space="0" w:color="auto"/>
        <w:left w:val="none" w:sz="0" w:space="0" w:color="auto"/>
        <w:bottom w:val="none" w:sz="0" w:space="0" w:color="auto"/>
        <w:right w:val="none" w:sz="0" w:space="0" w:color="auto"/>
      </w:divBdr>
    </w:div>
    <w:div w:id="1747612046">
      <w:marLeft w:val="0"/>
      <w:marRight w:val="0"/>
      <w:marTop w:val="0"/>
      <w:marBottom w:val="0"/>
      <w:divBdr>
        <w:top w:val="none" w:sz="0" w:space="0" w:color="auto"/>
        <w:left w:val="none" w:sz="0" w:space="0" w:color="auto"/>
        <w:bottom w:val="none" w:sz="0" w:space="0" w:color="auto"/>
        <w:right w:val="none" w:sz="0" w:space="0" w:color="auto"/>
      </w:divBdr>
      <w:divsChild>
        <w:div w:id="640767258">
          <w:marLeft w:val="0"/>
          <w:marRight w:val="0"/>
          <w:marTop w:val="0"/>
          <w:marBottom w:val="100"/>
          <w:divBdr>
            <w:top w:val="none" w:sz="0" w:space="0" w:color="auto"/>
            <w:left w:val="none" w:sz="0" w:space="0" w:color="auto"/>
            <w:bottom w:val="none" w:sz="0" w:space="0" w:color="auto"/>
            <w:right w:val="none" w:sz="0" w:space="0" w:color="auto"/>
          </w:divBdr>
        </w:div>
      </w:divsChild>
    </w:div>
    <w:div w:id="1748112860">
      <w:marLeft w:val="0"/>
      <w:marRight w:val="0"/>
      <w:marTop w:val="100"/>
      <w:marBottom w:val="100"/>
      <w:divBdr>
        <w:top w:val="none" w:sz="0" w:space="0" w:color="auto"/>
        <w:left w:val="none" w:sz="0" w:space="0" w:color="auto"/>
        <w:bottom w:val="none" w:sz="0" w:space="0" w:color="auto"/>
        <w:right w:val="none" w:sz="0" w:space="0" w:color="auto"/>
      </w:divBdr>
    </w:div>
    <w:div w:id="1749880097">
      <w:marLeft w:val="0"/>
      <w:marRight w:val="0"/>
      <w:marTop w:val="0"/>
      <w:marBottom w:val="0"/>
      <w:divBdr>
        <w:top w:val="none" w:sz="0" w:space="0" w:color="auto"/>
        <w:left w:val="none" w:sz="0" w:space="0" w:color="auto"/>
        <w:bottom w:val="none" w:sz="0" w:space="0" w:color="auto"/>
        <w:right w:val="none" w:sz="0" w:space="0" w:color="auto"/>
      </w:divBdr>
    </w:div>
    <w:div w:id="1750804907">
      <w:marLeft w:val="0"/>
      <w:marRight w:val="0"/>
      <w:marTop w:val="100"/>
      <w:marBottom w:val="100"/>
      <w:divBdr>
        <w:top w:val="none" w:sz="0" w:space="0" w:color="auto"/>
        <w:left w:val="none" w:sz="0" w:space="0" w:color="auto"/>
        <w:bottom w:val="none" w:sz="0" w:space="0" w:color="auto"/>
        <w:right w:val="none" w:sz="0" w:space="0" w:color="auto"/>
      </w:divBdr>
    </w:div>
    <w:div w:id="1751732180">
      <w:marLeft w:val="0"/>
      <w:marRight w:val="0"/>
      <w:marTop w:val="0"/>
      <w:marBottom w:val="0"/>
      <w:divBdr>
        <w:top w:val="none" w:sz="0" w:space="0" w:color="auto"/>
        <w:left w:val="none" w:sz="0" w:space="0" w:color="auto"/>
        <w:bottom w:val="none" w:sz="0" w:space="0" w:color="auto"/>
        <w:right w:val="none" w:sz="0" w:space="0" w:color="auto"/>
      </w:divBdr>
      <w:divsChild>
        <w:div w:id="1704091330">
          <w:marLeft w:val="0"/>
          <w:marRight w:val="0"/>
          <w:marTop w:val="0"/>
          <w:marBottom w:val="0"/>
          <w:divBdr>
            <w:top w:val="none" w:sz="0" w:space="0" w:color="auto"/>
            <w:left w:val="none" w:sz="0" w:space="0" w:color="auto"/>
            <w:bottom w:val="none" w:sz="0" w:space="0" w:color="auto"/>
            <w:right w:val="none" w:sz="0" w:space="0" w:color="auto"/>
          </w:divBdr>
          <w:divsChild>
            <w:div w:id="13642102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56125261">
      <w:marLeft w:val="0"/>
      <w:marRight w:val="0"/>
      <w:marTop w:val="0"/>
      <w:marBottom w:val="0"/>
      <w:divBdr>
        <w:top w:val="none" w:sz="0" w:space="0" w:color="auto"/>
        <w:left w:val="none" w:sz="0" w:space="0" w:color="auto"/>
        <w:bottom w:val="none" w:sz="0" w:space="0" w:color="auto"/>
        <w:right w:val="none" w:sz="0" w:space="0" w:color="auto"/>
      </w:divBdr>
      <w:divsChild>
        <w:div w:id="757991327">
          <w:marLeft w:val="0"/>
          <w:marRight w:val="0"/>
          <w:marTop w:val="0"/>
          <w:marBottom w:val="100"/>
          <w:divBdr>
            <w:top w:val="none" w:sz="0" w:space="0" w:color="auto"/>
            <w:left w:val="none" w:sz="0" w:space="0" w:color="auto"/>
            <w:bottom w:val="none" w:sz="0" w:space="0" w:color="auto"/>
            <w:right w:val="none" w:sz="0" w:space="0" w:color="auto"/>
          </w:divBdr>
        </w:div>
      </w:divsChild>
    </w:div>
    <w:div w:id="1759525043">
      <w:marLeft w:val="0"/>
      <w:marRight w:val="0"/>
      <w:marTop w:val="180"/>
      <w:marBottom w:val="0"/>
      <w:divBdr>
        <w:top w:val="none" w:sz="0" w:space="0" w:color="auto"/>
        <w:left w:val="none" w:sz="0" w:space="0" w:color="auto"/>
        <w:bottom w:val="none" w:sz="0" w:space="0" w:color="auto"/>
        <w:right w:val="none" w:sz="0" w:space="0" w:color="auto"/>
      </w:divBdr>
    </w:div>
    <w:div w:id="1762408908">
      <w:marLeft w:val="0"/>
      <w:marRight w:val="0"/>
      <w:marTop w:val="0"/>
      <w:marBottom w:val="0"/>
      <w:divBdr>
        <w:top w:val="none" w:sz="0" w:space="0" w:color="auto"/>
        <w:left w:val="none" w:sz="0" w:space="0" w:color="auto"/>
        <w:bottom w:val="none" w:sz="0" w:space="0" w:color="auto"/>
        <w:right w:val="none" w:sz="0" w:space="0" w:color="auto"/>
      </w:divBdr>
    </w:div>
    <w:div w:id="1764103675">
      <w:marLeft w:val="0"/>
      <w:marRight w:val="0"/>
      <w:marTop w:val="0"/>
      <w:marBottom w:val="100"/>
      <w:divBdr>
        <w:top w:val="none" w:sz="0" w:space="0" w:color="auto"/>
        <w:left w:val="none" w:sz="0" w:space="0" w:color="auto"/>
        <w:bottom w:val="none" w:sz="0" w:space="0" w:color="auto"/>
        <w:right w:val="none" w:sz="0" w:space="0" w:color="auto"/>
      </w:divBdr>
    </w:div>
    <w:div w:id="1765880695">
      <w:marLeft w:val="0"/>
      <w:marRight w:val="0"/>
      <w:marTop w:val="100"/>
      <w:marBottom w:val="100"/>
      <w:divBdr>
        <w:top w:val="none" w:sz="0" w:space="0" w:color="auto"/>
        <w:left w:val="none" w:sz="0" w:space="0" w:color="auto"/>
        <w:bottom w:val="none" w:sz="0" w:space="0" w:color="auto"/>
        <w:right w:val="none" w:sz="0" w:space="0" w:color="auto"/>
      </w:divBdr>
    </w:div>
    <w:div w:id="1766882742">
      <w:marLeft w:val="0"/>
      <w:marRight w:val="0"/>
      <w:marTop w:val="0"/>
      <w:marBottom w:val="100"/>
      <w:divBdr>
        <w:top w:val="none" w:sz="0" w:space="0" w:color="auto"/>
        <w:left w:val="none" w:sz="0" w:space="0" w:color="auto"/>
        <w:bottom w:val="none" w:sz="0" w:space="0" w:color="auto"/>
        <w:right w:val="none" w:sz="0" w:space="0" w:color="auto"/>
      </w:divBdr>
    </w:div>
    <w:div w:id="1768307361">
      <w:marLeft w:val="0"/>
      <w:marRight w:val="0"/>
      <w:marTop w:val="180"/>
      <w:marBottom w:val="100"/>
      <w:divBdr>
        <w:top w:val="none" w:sz="0" w:space="0" w:color="auto"/>
        <w:left w:val="none" w:sz="0" w:space="0" w:color="auto"/>
        <w:bottom w:val="none" w:sz="0" w:space="0" w:color="auto"/>
        <w:right w:val="none" w:sz="0" w:space="0" w:color="auto"/>
      </w:divBdr>
    </w:div>
    <w:div w:id="1769083049">
      <w:marLeft w:val="0"/>
      <w:marRight w:val="0"/>
      <w:marTop w:val="0"/>
      <w:marBottom w:val="100"/>
      <w:divBdr>
        <w:top w:val="none" w:sz="0" w:space="0" w:color="auto"/>
        <w:left w:val="none" w:sz="0" w:space="0" w:color="auto"/>
        <w:bottom w:val="none" w:sz="0" w:space="0" w:color="auto"/>
        <w:right w:val="none" w:sz="0" w:space="0" w:color="auto"/>
      </w:divBdr>
    </w:div>
    <w:div w:id="1769764374">
      <w:marLeft w:val="0"/>
      <w:marRight w:val="0"/>
      <w:marTop w:val="180"/>
      <w:marBottom w:val="100"/>
      <w:divBdr>
        <w:top w:val="none" w:sz="0" w:space="0" w:color="auto"/>
        <w:left w:val="none" w:sz="0" w:space="0" w:color="auto"/>
        <w:bottom w:val="none" w:sz="0" w:space="0" w:color="auto"/>
        <w:right w:val="none" w:sz="0" w:space="0" w:color="auto"/>
      </w:divBdr>
    </w:div>
    <w:div w:id="1770421238">
      <w:marLeft w:val="0"/>
      <w:marRight w:val="0"/>
      <w:marTop w:val="180"/>
      <w:marBottom w:val="0"/>
      <w:divBdr>
        <w:top w:val="none" w:sz="0" w:space="0" w:color="auto"/>
        <w:left w:val="none" w:sz="0" w:space="0" w:color="auto"/>
        <w:bottom w:val="none" w:sz="0" w:space="0" w:color="auto"/>
        <w:right w:val="none" w:sz="0" w:space="0" w:color="auto"/>
      </w:divBdr>
    </w:div>
    <w:div w:id="1771462103">
      <w:marLeft w:val="0"/>
      <w:marRight w:val="0"/>
      <w:marTop w:val="0"/>
      <w:marBottom w:val="0"/>
      <w:divBdr>
        <w:top w:val="none" w:sz="0" w:space="0" w:color="auto"/>
        <w:left w:val="none" w:sz="0" w:space="0" w:color="auto"/>
        <w:bottom w:val="none" w:sz="0" w:space="0" w:color="auto"/>
        <w:right w:val="none" w:sz="0" w:space="0" w:color="auto"/>
      </w:divBdr>
      <w:divsChild>
        <w:div w:id="885415385">
          <w:marLeft w:val="0"/>
          <w:marRight w:val="0"/>
          <w:marTop w:val="0"/>
          <w:marBottom w:val="100"/>
          <w:divBdr>
            <w:top w:val="none" w:sz="0" w:space="0" w:color="auto"/>
            <w:left w:val="none" w:sz="0" w:space="0" w:color="auto"/>
            <w:bottom w:val="none" w:sz="0" w:space="0" w:color="auto"/>
            <w:right w:val="none" w:sz="0" w:space="0" w:color="auto"/>
          </w:divBdr>
        </w:div>
      </w:divsChild>
    </w:div>
    <w:div w:id="1772317372">
      <w:marLeft w:val="0"/>
      <w:marRight w:val="0"/>
      <w:marTop w:val="100"/>
      <w:marBottom w:val="100"/>
      <w:divBdr>
        <w:top w:val="none" w:sz="0" w:space="0" w:color="auto"/>
        <w:left w:val="none" w:sz="0" w:space="0" w:color="auto"/>
        <w:bottom w:val="none" w:sz="0" w:space="0" w:color="auto"/>
        <w:right w:val="none" w:sz="0" w:space="0" w:color="auto"/>
      </w:divBdr>
    </w:div>
    <w:div w:id="1772970091">
      <w:marLeft w:val="0"/>
      <w:marRight w:val="0"/>
      <w:marTop w:val="100"/>
      <w:marBottom w:val="100"/>
      <w:divBdr>
        <w:top w:val="none" w:sz="0" w:space="0" w:color="auto"/>
        <w:left w:val="none" w:sz="0" w:space="0" w:color="auto"/>
        <w:bottom w:val="none" w:sz="0" w:space="0" w:color="auto"/>
        <w:right w:val="none" w:sz="0" w:space="0" w:color="auto"/>
      </w:divBdr>
      <w:divsChild>
        <w:div w:id="1994681114">
          <w:marLeft w:val="0"/>
          <w:marRight w:val="0"/>
          <w:marTop w:val="0"/>
          <w:marBottom w:val="0"/>
          <w:divBdr>
            <w:top w:val="none" w:sz="0" w:space="0" w:color="auto"/>
            <w:left w:val="none" w:sz="0" w:space="0" w:color="auto"/>
            <w:bottom w:val="none" w:sz="0" w:space="0" w:color="auto"/>
            <w:right w:val="none" w:sz="0" w:space="0" w:color="auto"/>
          </w:divBdr>
        </w:div>
        <w:div w:id="1958952507">
          <w:marLeft w:val="0"/>
          <w:marRight w:val="0"/>
          <w:marTop w:val="0"/>
          <w:marBottom w:val="0"/>
          <w:divBdr>
            <w:top w:val="none" w:sz="0" w:space="0" w:color="auto"/>
            <w:left w:val="none" w:sz="0" w:space="0" w:color="auto"/>
            <w:bottom w:val="none" w:sz="0" w:space="0" w:color="auto"/>
            <w:right w:val="none" w:sz="0" w:space="0" w:color="auto"/>
          </w:divBdr>
        </w:div>
      </w:divsChild>
    </w:div>
    <w:div w:id="1773160013">
      <w:marLeft w:val="0"/>
      <w:marRight w:val="0"/>
      <w:marTop w:val="100"/>
      <w:marBottom w:val="100"/>
      <w:divBdr>
        <w:top w:val="none" w:sz="0" w:space="0" w:color="auto"/>
        <w:left w:val="none" w:sz="0" w:space="0" w:color="auto"/>
        <w:bottom w:val="none" w:sz="0" w:space="0" w:color="auto"/>
        <w:right w:val="none" w:sz="0" w:space="0" w:color="auto"/>
      </w:divBdr>
    </w:div>
    <w:div w:id="1774084307">
      <w:marLeft w:val="0"/>
      <w:marRight w:val="0"/>
      <w:marTop w:val="180"/>
      <w:marBottom w:val="100"/>
      <w:divBdr>
        <w:top w:val="none" w:sz="0" w:space="0" w:color="auto"/>
        <w:left w:val="none" w:sz="0" w:space="0" w:color="auto"/>
        <w:bottom w:val="none" w:sz="0" w:space="0" w:color="auto"/>
        <w:right w:val="none" w:sz="0" w:space="0" w:color="auto"/>
      </w:divBdr>
      <w:divsChild>
        <w:div w:id="22440896">
          <w:marLeft w:val="0"/>
          <w:marRight w:val="0"/>
          <w:marTop w:val="0"/>
          <w:marBottom w:val="0"/>
          <w:divBdr>
            <w:top w:val="none" w:sz="0" w:space="0" w:color="auto"/>
            <w:left w:val="none" w:sz="0" w:space="0" w:color="auto"/>
            <w:bottom w:val="none" w:sz="0" w:space="0" w:color="auto"/>
            <w:right w:val="none" w:sz="0" w:space="0" w:color="auto"/>
          </w:divBdr>
        </w:div>
        <w:div w:id="1094517933">
          <w:marLeft w:val="0"/>
          <w:marRight w:val="0"/>
          <w:marTop w:val="0"/>
          <w:marBottom w:val="0"/>
          <w:divBdr>
            <w:top w:val="none" w:sz="0" w:space="0" w:color="auto"/>
            <w:left w:val="none" w:sz="0" w:space="0" w:color="auto"/>
            <w:bottom w:val="none" w:sz="0" w:space="0" w:color="auto"/>
            <w:right w:val="none" w:sz="0" w:space="0" w:color="auto"/>
          </w:divBdr>
        </w:div>
        <w:div w:id="2028022422">
          <w:marLeft w:val="0"/>
          <w:marRight w:val="0"/>
          <w:marTop w:val="0"/>
          <w:marBottom w:val="0"/>
          <w:divBdr>
            <w:top w:val="none" w:sz="0" w:space="0" w:color="auto"/>
            <w:left w:val="none" w:sz="0" w:space="0" w:color="auto"/>
            <w:bottom w:val="none" w:sz="0" w:space="0" w:color="auto"/>
            <w:right w:val="none" w:sz="0" w:space="0" w:color="auto"/>
          </w:divBdr>
        </w:div>
      </w:divsChild>
    </w:div>
    <w:div w:id="1774739491">
      <w:marLeft w:val="0"/>
      <w:marRight w:val="0"/>
      <w:marTop w:val="0"/>
      <w:marBottom w:val="0"/>
      <w:divBdr>
        <w:top w:val="none" w:sz="0" w:space="0" w:color="auto"/>
        <w:left w:val="none" w:sz="0" w:space="0" w:color="auto"/>
        <w:bottom w:val="none" w:sz="0" w:space="0" w:color="auto"/>
        <w:right w:val="none" w:sz="0" w:space="0" w:color="auto"/>
      </w:divBdr>
      <w:divsChild>
        <w:div w:id="257951183">
          <w:marLeft w:val="0"/>
          <w:marRight w:val="0"/>
          <w:marTop w:val="0"/>
          <w:marBottom w:val="100"/>
          <w:divBdr>
            <w:top w:val="none" w:sz="0" w:space="0" w:color="auto"/>
            <w:left w:val="none" w:sz="0" w:space="0" w:color="auto"/>
            <w:bottom w:val="none" w:sz="0" w:space="0" w:color="auto"/>
            <w:right w:val="none" w:sz="0" w:space="0" w:color="auto"/>
          </w:divBdr>
        </w:div>
      </w:divsChild>
    </w:div>
    <w:div w:id="1774784513">
      <w:marLeft w:val="0"/>
      <w:marRight w:val="0"/>
      <w:marTop w:val="0"/>
      <w:marBottom w:val="0"/>
      <w:divBdr>
        <w:top w:val="none" w:sz="0" w:space="0" w:color="auto"/>
        <w:left w:val="none" w:sz="0" w:space="0" w:color="auto"/>
        <w:bottom w:val="none" w:sz="0" w:space="0" w:color="auto"/>
        <w:right w:val="none" w:sz="0" w:space="0" w:color="auto"/>
      </w:divBdr>
      <w:divsChild>
        <w:div w:id="1035739258">
          <w:marLeft w:val="0"/>
          <w:marRight w:val="0"/>
          <w:marTop w:val="0"/>
          <w:marBottom w:val="100"/>
          <w:divBdr>
            <w:top w:val="none" w:sz="0" w:space="0" w:color="auto"/>
            <w:left w:val="none" w:sz="0" w:space="0" w:color="auto"/>
            <w:bottom w:val="none" w:sz="0" w:space="0" w:color="auto"/>
            <w:right w:val="none" w:sz="0" w:space="0" w:color="auto"/>
          </w:divBdr>
        </w:div>
      </w:divsChild>
    </w:div>
    <w:div w:id="1774982925">
      <w:marLeft w:val="0"/>
      <w:marRight w:val="0"/>
      <w:marTop w:val="180"/>
      <w:marBottom w:val="0"/>
      <w:divBdr>
        <w:top w:val="none" w:sz="0" w:space="0" w:color="auto"/>
        <w:left w:val="none" w:sz="0" w:space="0" w:color="auto"/>
        <w:bottom w:val="none" w:sz="0" w:space="0" w:color="auto"/>
        <w:right w:val="none" w:sz="0" w:space="0" w:color="auto"/>
      </w:divBdr>
    </w:div>
    <w:div w:id="1776437040">
      <w:marLeft w:val="0"/>
      <w:marRight w:val="0"/>
      <w:marTop w:val="100"/>
      <w:marBottom w:val="100"/>
      <w:divBdr>
        <w:top w:val="none" w:sz="0" w:space="0" w:color="auto"/>
        <w:left w:val="none" w:sz="0" w:space="0" w:color="auto"/>
        <w:bottom w:val="none" w:sz="0" w:space="0" w:color="auto"/>
        <w:right w:val="none" w:sz="0" w:space="0" w:color="auto"/>
      </w:divBdr>
      <w:divsChild>
        <w:div w:id="124348560">
          <w:marLeft w:val="0"/>
          <w:marRight w:val="0"/>
          <w:marTop w:val="0"/>
          <w:marBottom w:val="0"/>
          <w:divBdr>
            <w:top w:val="none" w:sz="0" w:space="0" w:color="auto"/>
            <w:left w:val="none" w:sz="0" w:space="0" w:color="auto"/>
            <w:bottom w:val="none" w:sz="0" w:space="0" w:color="auto"/>
            <w:right w:val="none" w:sz="0" w:space="0" w:color="auto"/>
          </w:divBdr>
        </w:div>
        <w:div w:id="2118208498">
          <w:marLeft w:val="0"/>
          <w:marRight w:val="0"/>
          <w:marTop w:val="0"/>
          <w:marBottom w:val="0"/>
          <w:divBdr>
            <w:top w:val="none" w:sz="0" w:space="0" w:color="auto"/>
            <w:left w:val="none" w:sz="0" w:space="0" w:color="auto"/>
            <w:bottom w:val="none" w:sz="0" w:space="0" w:color="auto"/>
            <w:right w:val="none" w:sz="0" w:space="0" w:color="auto"/>
          </w:divBdr>
        </w:div>
        <w:div w:id="370761967">
          <w:marLeft w:val="0"/>
          <w:marRight w:val="0"/>
          <w:marTop w:val="0"/>
          <w:marBottom w:val="0"/>
          <w:divBdr>
            <w:top w:val="none" w:sz="0" w:space="0" w:color="auto"/>
            <w:left w:val="none" w:sz="0" w:space="0" w:color="auto"/>
            <w:bottom w:val="none" w:sz="0" w:space="0" w:color="auto"/>
            <w:right w:val="none" w:sz="0" w:space="0" w:color="auto"/>
          </w:divBdr>
        </w:div>
        <w:div w:id="1190221868">
          <w:marLeft w:val="0"/>
          <w:marRight w:val="0"/>
          <w:marTop w:val="0"/>
          <w:marBottom w:val="0"/>
          <w:divBdr>
            <w:top w:val="none" w:sz="0" w:space="0" w:color="auto"/>
            <w:left w:val="none" w:sz="0" w:space="0" w:color="auto"/>
            <w:bottom w:val="none" w:sz="0" w:space="0" w:color="auto"/>
            <w:right w:val="none" w:sz="0" w:space="0" w:color="auto"/>
          </w:divBdr>
        </w:div>
        <w:div w:id="1085415421">
          <w:marLeft w:val="0"/>
          <w:marRight w:val="0"/>
          <w:marTop w:val="0"/>
          <w:marBottom w:val="0"/>
          <w:divBdr>
            <w:top w:val="none" w:sz="0" w:space="0" w:color="auto"/>
            <w:left w:val="none" w:sz="0" w:space="0" w:color="auto"/>
            <w:bottom w:val="none" w:sz="0" w:space="0" w:color="auto"/>
            <w:right w:val="none" w:sz="0" w:space="0" w:color="auto"/>
          </w:divBdr>
        </w:div>
        <w:div w:id="1127969864">
          <w:marLeft w:val="0"/>
          <w:marRight w:val="0"/>
          <w:marTop w:val="0"/>
          <w:marBottom w:val="0"/>
          <w:divBdr>
            <w:top w:val="none" w:sz="0" w:space="0" w:color="auto"/>
            <w:left w:val="none" w:sz="0" w:space="0" w:color="auto"/>
            <w:bottom w:val="none" w:sz="0" w:space="0" w:color="auto"/>
            <w:right w:val="none" w:sz="0" w:space="0" w:color="auto"/>
          </w:divBdr>
        </w:div>
        <w:div w:id="551966154">
          <w:marLeft w:val="0"/>
          <w:marRight w:val="0"/>
          <w:marTop w:val="0"/>
          <w:marBottom w:val="0"/>
          <w:divBdr>
            <w:top w:val="none" w:sz="0" w:space="0" w:color="auto"/>
            <w:left w:val="none" w:sz="0" w:space="0" w:color="auto"/>
            <w:bottom w:val="none" w:sz="0" w:space="0" w:color="auto"/>
            <w:right w:val="none" w:sz="0" w:space="0" w:color="auto"/>
          </w:divBdr>
        </w:div>
        <w:div w:id="1334989576">
          <w:marLeft w:val="0"/>
          <w:marRight w:val="0"/>
          <w:marTop w:val="0"/>
          <w:marBottom w:val="0"/>
          <w:divBdr>
            <w:top w:val="none" w:sz="0" w:space="0" w:color="auto"/>
            <w:left w:val="none" w:sz="0" w:space="0" w:color="auto"/>
            <w:bottom w:val="none" w:sz="0" w:space="0" w:color="auto"/>
            <w:right w:val="none" w:sz="0" w:space="0" w:color="auto"/>
          </w:divBdr>
        </w:div>
        <w:div w:id="2119055878">
          <w:marLeft w:val="0"/>
          <w:marRight w:val="0"/>
          <w:marTop w:val="0"/>
          <w:marBottom w:val="0"/>
          <w:divBdr>
            <w:top w:val="none" w:sz="0" w:space="0" w:color="auto"/>
            <w:left w:val="none" w:sz="0" w:space="0" w:color="auto"/>
            <w:bottom w:val="none" w:sz="0" w:space="0" w:color="auto"/>
            <w:right w:val="none" w:sz="0" w:space="0" w:color="auto"/>
          </w:divBdr>
        </w:div>
        <w:div w:id="227887187">
          <w:marLeft w:val="0"/>
          <w:marRight w:val="0"/>
          <w:marTop w:val="0"/>
          <w:marBottom w:val="0"/>
          <w:divBdr>
            <w:top w:val="none" w:sz="0" w:space="0" w:color="auto"/>
            <w:left w:val="none" w:sz="0" w:space="0" w:color="auto"/>
            <w:bottom w:val="none" w:sz="0" w:space="0" w:color="auto"/>
            <w:right w:val="none" w:sz="0" w:space="0" w:color="auto"/>
          </w:divBdr>
        </w:div>
        <w:div w:id="830606700">
          <w:marLeft w:val="0"/>
          <w:marRight w:val="0"/>
          <w:marTop w:val="0"/>
          <w:marBottom w:val="0"/>
          <w:divBdr>
            <w:top w:val="none" w:sz="0" w:space="0" w:color="auto"/>
            <w:left w:val="none" w:sz="0" w:space="0" w:color="auto"/>
            <w:bottom w:val="none" w:sz="0" w:space="0" w:color="auto"/>
            <w:right w:val="none" w:sz="0" w:space="0" w:color="auto"/>
          </w:divBdr>
        </w:div>
        <w:div w:id="1912151806">
          <w:marLeft w:val="0"/>
          <w:marRight w:val="0"/>
          <w:marTop w:val="0"/>
          <w:marBottom w:val="0"/>
          <w:divBdr>
            <w:top w:val="none" w:sz="0" w:space="0" w:color="auto"/>
            <w:left w:val="none" w:sz="0" w:space="0" w:color="auto"/>
            <w:bottom w:val="none" w:sz="0" w:space="0" w:color="auto"/>
            <w:right w:val="none" w:sz="0" w:space="0" w:color="auto"/>
          </w:divBdr>
        </w:div>
        <w:div w:id="285964148">
          <w:marLeft w:val="0"/>
          <w:marRight w:val="0"/>
          <w:marTop w:val="0"/>
          <w:marBottom w:val="0"/>
          <w:divBdr>
            <w:top w:val="none" w:sz="0" w:space="0" w:color="auto"/>
            <w:left w:val="none" w:sz="0" w:space="0" w:color="auto"/>
            <w:bottom w:val="none" w:sz="0" w:space="0" w:color="auto"/>
            <w:right w:val="none" w:sz="0" w:space="0" w:color="auto"/>
          </w:divBdr>
        </w:div>
        <w:div w:id="1239559658">
          <w:marLeft w:val="0"/>
          <w:marRight w:val="0"/>
          <w:marTop w:val="0"/>
          <w:marBottom w:val="0"/>
          <w:divBdr>
            <w:top w:val="none" w:sz="0" w:space="0" w:color="auto"/>
            <w:left w:val="none" w:sz="0" w:space="0" w:color="auto"/>
            <w:bottom w:val="none" w:sz="0" w:space="0" w:color="auto"/>
            <w:right w:val="none" w:sz="0" w:space="0" w:color="auto"/>
          </w:divBdr>
        </w:div>
        <w:div w:id="201676222">
          <w:marLeft w:val="0"/>
          <w:marRight w:val="0"/>
          <w:marTop w:val="0"/>
          <w:marBottom w:val="0"/>
          <w:divBdr>
            <w:top w:val="none" w:sz="0" w:space="0" w:color="auto"/>
            <w:left w:val="none" w:sz="0" w:space="0" w:color="auto"/>
            <w:bottom w:val="none" w:sz="0" w:space="0" w:color="auto"/>
            <w:right w:val="none" w:sz="0" w:space="0" w:color="auto"/>
          </w:divBdr>
        </w:div>
      </w:divsChild>
    </w:div>
    <w:div w:id="1777015903">
      <w:marLeft w:val="0"/>
      <w:marRight w:val="0"/>
      <w:marTop w:val="100"/>
      <w:marBottom w:val="100"/>
      <w:divBdr>
        <w:top w:val="none" w:sz="0" w:space="0" w:color="auto"/>
        <w:left w:val="none" w:sz="0" w:space="0" w:color="auto"/>
        <w:bottom w:val="none" w:sz="0" w:space="0" w:color="auto"/>
        <w:right w:val="none" w:sz="0" w:space="0" w:color="auto"/>
      </w:divBdr>
    </w:div>
    <w:div w:id="1778140228">
      <w:marLeft w:val="0"/>
      <w:marRight w:val="0"/>
      <w:marTop w:val="100"/>
      <w:marBottom w:val="100"/>
      <w:divBdr>
        <w:top w:val="none" w:sz="0" w:space="0" w:color="auto"/>
        <w:left w:val="none" w:sz="0" w:space="0" w:color="auto"/>
        <w:bottom w:val="none" w:sz="0" w:space="0" w:color="auto"/>
        <w:right w:val="none" w:sz="0" w:space="0" w:color="auto"/>
      </w:divBdr>
    </w:div>
    <w:div w:id="1778602122">
      <w:marLeft w:val="0"/>
      <w:marRight w:val="0"/>
      <w:marTop w:val="100"/>
      <w:marBottom w:val="100"/>
      <w:divBdr>
        <w:top w:val="none" w:sz="0" w:space="0" w:color="auto"/>
        <w:left w:val="none" w:sz="0" w:space="0" w:color="auto"/>
        <w:bottom w:val="none" w:sz="0" w:space="0" w:color="auto"/>
        <w:right w:val="none" w:sz="0" w:space="0" w:color="auto"/>
      </w:divBdr>
    </w:div>
    <w:div w:id="1778795428">
      <w:marLeft w:val="0"/>
      <w:marRight w:val="0"/>
      <w:marTop w:val="180"/>
      <w:marBottom w:val="100"/>
      <w:divBdr>
        <w:top w:val="none" w:sz="0" w:space="0" w:color="auto"/>
        <w:left w:val="none" w:sz="0" w:space="0" w:color="auto"/>
        <w:bottom w:val="none" w:sz="0" w:space="0" w:color="auto"/>
        <w:right w:val="none" w:sz="0" w:space="0" w:color="auto"/>
      </w:divBdr>
    </w:div>
    <w:div w:id="1779522344">
      <w:marLeft w:val="0"/>
      <w:marRight w:val="0"/>
      <w:marTop w:val="0"/>
      <w:marBottom w:val="0"/>
      <w:divBdr>
        <w:top w:val="none" w:sz="0" w:space="0" w:color="auto"/>
        <w:left w:val="none" w:sz="0" w:space="0" w:color="auto"/>
        <w:bottom w:val="none" w:sz="0" w:space="0" w:color="auto"/>
        <w:right w:val="none" w:sz="0" w:space="0" w:color="auto"/>
      </w:divBdr>
    </w:div>
    <w:div w:id="1779718122">
      <w:marLeft w:val="0"/>
      <w:marRight w:val="0"/>
      <w:marTop w:val="0"/>
      <w:marBottom w:val="100"/>
      <w:divBdr>
        <w:top w:val="none" w:sz="0" w:space="0" w:color="auto"/>
        <w:left w:val="none" w:sz="0" w:space="0" w:color="auto"/>
        <w:bottom w:val="none" w:sz="0" w:space="0" w:color="auto"/>
        <w:right w:val="none" w:sz="0" w:space="0" w:color="auto"/>
      </w:divBdr>
    </w:div>
    <w:div w:id="1780219955">
      <w:marLeft w:val="0"/>
      <w:marRight w:val="0"/>
      <w:marTop w:val="340"/>
      <w:marBottom w:val="340"/>
      <w:divBdr>
        <w:top w:val="none" w:sz="0" w:space="0" w:color="auto"/>
        <w:left w:val="none" w:sz="0" w:space="0" w:color="auto"/>
        <w:bottom w:val="none" w:sz="0" w:space="0" w:color="auto"/>
        <w:right w:val="none" w:sz="0" w:space="0" w:color="auto"/>
      </w:divBdr>
    </w:div>
    <w:div w:id="1785342368">
      <w:marLeft w:val="0"/>
      <w:marRight w:val="0"/>
      <w:marTop w:val="0"/>
      <w:marBottom w:val="100"/>
      <w:divBdr>
        <w:top w:val="none" w:sz="0" w:space="0" w:color="auto"/>
        <w:left w:val="none" w:sz="0" w:space="0" w:color="auto"/>
        <w:bottom w:val="none" w:sz="0" w:space="0" w:color="auto"/>
        <w:right w:val="none" w:sz="0" w:space="0" w:color="auto"/>
      </w:divBdr>
    </w:div>
    <w:div w:id="1785492551">
      <w:marLeft w:val="0"/>
      <w:marRight w:val="0"/>
      <w:marTop w:val="0"/>
      <w:marBottom w:val="100"/>
      <w:divBdr>
        <w:top w:val="none" w:sz="0" w:space="0" w:color="auto"/>
        <w:left w:val="none" w:sz="0" w:space="0" w:color="auto"/>
        <w:bottom w:val="none" w:sz="0" w:space="0" w:color="auto"/>
        <w:right w:val="none" w:sz="0" w:space="0" w:color="auto"/>
      </w:divBdr>
    </w:div>
    <w:div w:id="1788236826">
      <w:marLeft w:val="0"/>
      <w:marRight w:val="0"/>
      <w:marTop w:val="100"/>
      <w:marBottom w:val="100"/>
      <w:divBdr>
        <w:top w:val="none" w:sz="0" w:space="0" w:color="auto"/>
        <w:left w:val="none" w:sz="0" w:space="0" w:color="auto"/>
        <w:bottom w:val="none" w:sz="0" w:space="0" w:color="auto"/>
        <w:right w:val="none" w:sz="0" w:space="0" w:color="auto"/>
      </w:divBdr>
    </w:div>
    <w:div w:id="1789274877">
      <w:marLeft w:val="0"/>
      <w:marRight w:val="0"/>
      <w:marTop w:val="0"/>
      <w:marBottom w:val="120"/>
      <w:divBdr>
        <w:top w:val="none" w:sz="0" w:space="0" w:color="auto"/>
        <w:left w:val="none" w:sz="0" w:space="0" w:color="auto"/>
        <w:bottom w:val="none" w:sz="0" w:space="0" w:color="auto"/>
        <w:right w:val="none" w:sz="0" w:space="0" w:color="auto"/>
      </w:divBdr>
    </w:div>
    <w:div w:id="1790120388">
      <w:marLeft w:val="0"/>
      <w:marRight w:val="0"/>
      <w:marTop w:val="0"/>
      <w:marBottom w:val="0"/>
      <w:divBdr>
        <w:top w:val="none" w:sz="0" w:space="0" w:color="auto"/>
        <w:left w:val="none" w:sz="0" w:space="0" w:color="auto"/>
        <w:bottom w:val="none" w:sz="0" w:space="0" w:color="auto"/>
        <w:right w:val="none" w:sz="0" w:space="0" w:color="auto"/>
      </w:divBdr>
    </w:div>
    <w:div w:id="1791780833">
      <w:marLeft w:val="0"/>
      <w:marRight w:val="0"/>
      <w:marTop w:val="0"/>
      <w:marBottom w:val="0"/>
      <w:divBdr>
        <w:top w:val="none" w:sz="0" w:space="0" w:color="auto"/>
        <w:left w:val="none" w:sz="0" w:space="0" w:color="auto"/>
        <w:bottom w:val="none" w:sz="0" w:space="0" w:color="auto"/>
        <w:right w:val="none" w:sz="0" w:space="0" w:color="auto"/>
      </w:divBdr>
      <w:divsChild>
        <w:div w:id="689182391">
          <w:marLeft w:val="0"/>
          <w:marRight w:val="0"/>
          <w:marTop w:val="0"/>
          <w:marBottom w:val="0"/>
          <w:divBdr>
            <w:top w:val="none" w:sz="0" w:space="0" w:color="auto"/>
            <w:left w:val="none" w:sz="0" w:space="0" w:color="auto"/>
            <w:bottom w:val="none" w:sz="0" w:space="0" w:color="auto"/>
            <w:right w:val="none" w:sz="0" w:space="0" w:color="auto"/>
          </w:divBdr>
          <w:divsChild>
            <w:div w:id="47441633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92699606">
      <w:marLeft w:val="0"/>
      <w:marRight w:val="0"/>
      <w:marTop w:val="0"/>
      <w:marBottom w:val="0"/>
      <w:divBdr>
        <w:top w:val="none" w:sz="0" w:space="0" w:color="auto"/>
        <w:left w:val="none" w:sz="0" w:space="0" w:color="auto"/>
        <w:bottom w:val="none" w:sz="0" w:space="0" w:color="auto"/>
        <w:right w:val="none" w:sz="0" w:space="0" w:color="auto"/>
      </w:divBdr>
      <w:divsChild>
        <w:div w:id="1569069197">
          <w:marLeft w:val="0"/>
          <w:marRight w:val="0"/>
          <w:marTop w:val="0"/>
          <w:marBottom w:val="0"/>
          <w:divBdr>
            <w:top w:val="none" w:sz="0" w:space="0" w:color="auto"/>
            <w:left w:val="none" w:sz="0" w:space="0" w:color="auto"/>
            <w:bottom w:val="none" w:sz="0" w:space="0" w:color="auto"/>
            <w:right w:val="none" w:sz="0" w:space="0" w:color="auto"/>
          </w:divBdr>
          <w:divsChild>
            <w:div w:id="14393258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92938787">
      <w:marLeft w:val="0"/>
      <w:marRight w:val="0"/>
      <w:marTop w:val="0"/>
      <w:marBottom w:val="100"/>
      <w:divBdr>
        <w:top w:val="none" w:sz="0" w:space="0" w:color="auto"/>
        <w:left w:val="none" w:sz="0" w:space="0" w:color="auto"/>
        <w:bottom w:val="none" w:sz="0" w:space="0" w:color="auto"/>
        <w:right w:val="none" w:sz="0" w:space="0" w:color="auto"/>
      </w:divBdr>
    </w:div>
    <w:div w:id="1797142246">
      <w:marLeft w:val="0"/>
      <w:marRight w:val="0"/>
      <w:marTop w:val="180"/>
      <w:marBottom w:val="0"/>
      <w:divBdr>
        <w:top w:val="none" w:sz="0" w:space="0" w:color="auto"/>
        <w:left w:val="none" w:sz="0" w:space="0" w:color="auto"/>
        <w:bottom w:val="none" w:sz="0" w:space="0" w:color="auto"/>
        <w:right w:val="none" w:sz="0" w:space="0" w:color="auto"/>
      </w:divBdr>
    </w:div>
    <w:div w:id="1798182360">
      <w:marLeft w:val="0"/>
      <w:marRight w:val="0"/>
      <w:marTop w:val="180"/>
      <w:marBottom w:val="100"/>
      <w:divBdr>
        <w:top w:val="none" w:sz="0" w:space="0" w:color="auto"/>
        <w:left w:val="none" w:sz="0" w:space="0" w:color="auto"/>
        <w:bottom w:val="none" w:sz="0" w:space="0" w:color="auto"/>
        <w:right w:val="none" w:sz="0" w:space="0" w:color="auto"/>
      </w:divBdr>
    </w:div>
    <w:div w:id="1798793369">
      <w:marLeft w:val="0"/>
      <w:marRight w:val="0"/>
      <w:marTop w:val="0"/>
      <w:marBottom w:val="0"/>
      <w:divBdr>
        <w:top w:val="none" w:sz="0" w:space="0" w:color="auto"/>
        <w:left w:val="none" w:sz="0" w:space="0" w:color="auto"/>
        <w:bottom w:val="none" w:sz="0" w:space="0" w:color="auto"/>
        <w:right w:val="none" w:sz="0" w:space="0" w:color="auto"/>
      </w:divBdr>
    </w:div>
    <w:div w:id="1802065822">
      <w:marLeft w:val="0"/>
      <w:marRight w:val="0"/>
      <w:marTop w:val="0"/>
      <w:marBottom w:val="100"/>
      <w:divBdr>
        <w:top w:val="none" w:sz="0" w:space="0" w:color="auto"/>
        <w:left w:val="none" w:sz="0" w:space="0" w:color="auto"/>
        <w:bottom w:val="none" w:sz="0" w:space="0" w:color="auto"/>
        <w:right w:val="none" w:sz="0" w:space="0" w:color="auto"/>
      </w:divBdr>
    </w:div>
    <w:div w:id="1802067513">
      <w:marLeft w:val="0"/>
      <w:marRight w:val="0"/>
      <w:marTop w:val="0"/>
      <w:marBottom w:val="0"/>
      <w:divBdr>
        <w:top w:val="none" w:sz="0" w:space="0" w:color="auto"/>
        <w:left w:val="none" w:sz="0" w:space="0" w:color="auto"/>
        <w:bottom w:val="none" w:sz="0" w:space="0" w:color="auto"/>
        <w:right w:val="none" w:sz="0" w:space="0" w:color="auto"/>
      </w:divBdr>
      <w:divsChild>
        <w:div w:id="206838315">
          <w:marLeft w:val="0"/>
          <w:marRight w:val="0"/>
          <w:marTop w:val="0"/>
          <w:marBottom w:val="100"/>
          <w:divBdr>
            <w:top w:val="none" w:sz="0" w:space="0" w:color="auto"/>
            <w:left w:val="none" w:sz="0" w:space="0" w:color="auto"/>
            <w:bottom w:val="none" w:sz="0" w:space="0" w:color="auto"/>
            <w:right w:val="none" w:sz="0" w:space="0" w:color="auto"/>
          </w:divBdr>
        </w:div>
      </w:divsChild>
    </w:div>
    <w:div w:id="1803379372">
      <w:marLeft w:val="0"/>
      <w:marRight w:val="0"/>
      <w:marTop w:val="0"/>
      <w:marBottom w:val="0"/>
      <w:divBdr>
        <w:top w:val="none" w:sz="0" w:space="0" w:color="auto"/>
        <w:left w:val="none" w:sz="0" w:space="0" w:color="auto"/>
        <w:bottom w:val="none" w:sz="0" w:space="0" w:color="auto"/>
        <w:right w:val="none" w:sz="0" w:space="0" w:color="auto"/>
      </w:divBdr>
    </w:div>
    <w:div w:id="1803687645">
      <w:marLeft w:val="0"/>
      <w:marRight w:val="0"/>
      <w:marTop w:val="0"/>
      <w:marBottom w:val="0"/>
      <w:divBdr>
        <w:top w:val="none" w:sz="0" w:space="0" w:color="auto"/>
        <w:left w:val="none" w:sz="0" w:space="0" w:color="auto"/>
        <w:bottom w:val="none" w:sz="0" w:space="0" w:color="auto"/>
        <w:right w:val="none" w:sz="0" w:space="0" w:color="auto"/>
      </w:divBdr>
    </w:div>
    <w:div w:id="1805389578">
      <w:marLeft w:val="0"/>
      <w:marRight w:val="0"/>
      <w:marTop w:val="180"/>
      <w:marBottom w:val="100"/>
      <w:divBdr>
        <w:top w:val="none" w:sz="0" w:space="0" w:color="auto"/>
        <w:left w:val="none" w:sz="0" w:space="0" w:color="auto"/>
        <w:bottom w:val="none" w:sz="0" w:space="0" w:color="auto"/>
        <w:right w:val="none" w:sz="0" w:space="0" w:color="auto"/>
      </w:divBdr>
    </w:div>
    <w:div w:id="1808932568">
      <w:marLeft w:val="0"/>
      <w:marRight w:val="0"/>
      <w:marTop w:val="100"/>
      <w:marBottom w:val="100"/>
      <w:divBdr>
        <w:top w:val="none" w:sz="0" w:space="0" w:color="auto"/>
        <w:left w:val="none" w:sz="0" w:space="0" w:color="auto"/>
        <w:bottom w:val="none" w:sz="0" w:space="0" w:color="auto"/>
        <w:right w:val="none" w:sz="0" w:space="0" w:color="auto"/>
      </w:divBdr>
    </w:div>
    <w:div w:id="1809278947">
      <w:marLeft w:val="0"/>
      <w:marRight w:val="0"/>
      <w:marTop w:val="180"/>
      <w:marBottom w:val="0"/>
      <w:divBdr>
        <w:top w:val="none" w:sz="0" w:space="0" w:color="auto"/>
        <w:left w:val="none" w:sz="0" w:space="0" w:color="auto"/>
        <w:bottom w:val="none" w:sz="0" w:space="0" w:color="auto"/>
        <w:right w:val="none" w:sz="0" w:space="0" w:color="auto"/>
      </w:divBdr>
    </w:div>
    <w:div w:id="1811315610">
      <w:marLeft w:val="0"/>
      <w:marRight w:val="0"/>
      <w:marTop w:val="0"/>
      <w:marBottom w:val="100"/>
      <w:divBdr>
        <w:top w:val="none" w:sz="0" w:space="0" w:color="auto"/>
        <w:left w:val="none" w:sz="0" w:space="0" w:color="auto"/>
        <w:bottom w:val="none" w:sz="0" w:space="0" w:color="auto"/>
        <w:right w:val="none" w:sz="0" w:space="0" w:color="auto"/>
      </w:divBdr>
    </w:div>
    <w:div w:id="1811894652">
      <w:marLeft w:val="0"/>
      <w:marRight w:val="0"/>
      <w:marTop w:val="100"/>
      <w:marBottom w:val="100"/>
      <w:divBdr>
        <w:top w:val="none" w:sz="0" w:space="0" w:color="auto"/>
        <w:left w:val="none" w:sz="0" w:space="0" w:color="auto"/>
        <w:bottom w:val="none" w:sz="0" w:space="0" w:color="auto"/>
        <w:right w:val="none" w:sz="0" w:space="0" w:color="auto"/>
      </w:divBdr>
    </w:div>
    <w:div w:id="1814635153">
      <w:marLeft w:val="0"/>
      <w:marRight w:val="0"/>
      <w:marTop w:val="100"/>
      <w:marBottom w:val="100"/>
      <w:divBdr>
        <w:top w:val="none" w:sz="0" w:space="0" w:color="auto"/>
        <w:left w:val="none" w:sz="0" w:space="0" w:color="auto"/>
        <w:bottom w:val="none" w:sz="0" w:space="0" w:color="auto"/>
        <w:right w:val="none" w:sz="0" w:space="0" w:color="auto"/>
      </w:divBdr>
    </w:div>
    <w:div w:id="1816528827">
      <w:marLeft w:val="0"/>
      <w:marRight w:val="0"/>
      <w:marTop w:val="0"/>
      <w:marBottom w:val="100"/>
      <w:divBdr>
        <w:top w:val="none" w:sz="0" w:space="0" w:color="auto"/>
        <w:left w:val="none" w:sz="0" w:space="0" w:color="auto"/>
        <w:bottom w:val="none" w:sz="0" w:space="0" w:color="auto"/>
        <w:right w:val="none" w:sz="0" w:space="0" w:color="auto"/>
      </w:divBdr>
    </w:div>
    <w:div w:id="1818719300">
      <w:marLeft w:val="0"/>
      <w:marRight w:val="0"/>
      <w:marTop w:val="180"/>
      <w:marBottom w:val="0"/>
      <w:divBdr>
        <w:top w:val="none" w:sz="0" w:space="0" w:color="auto"/>
        <w:left w:val="none" w:sz="0" w:space="0" w:color="auto"/>
        <w:bottom w:val="none" w:sz="0" w:space="0" w:color="auto"/>
        <w:right w:val="none" w:sz="0" w:space="0" w:color="auto"/>
      </w:divBdr>
    </w:div>
    <w:div w:id="1818722100">
      <w:marLeft w:val="0"/>
      <w:marRight w:val="0"/>
      <w:marTop w:val="180"/>
      <w:marBottom w:val="0"/>
      <w:divBdr>
        <w:top w:val="none" w:sz="0" w:space="0" w:color="auto"/>
        <w:left w:val="none" w:sz="0" w:space="0" w:color="auto"/>
        <w:bottom w:val="none" w:sz="0" w:space="0" w:color="auto"/>
        <w:right w:val="none" w:sz="0" w:space="0" w:color="auto"/>
      </w:divBdr>
    </w:div>
    <w:div w:id="1819765686">
      <w:marLeft w:val="0"/>
      <w:marRight w:val="0"/>
      <w:marTop w:val="100"/>
      <w:marBottom w:val="100"/>
      <w:divBdr>
        <w:top w:val="none" w:sz="0" w:space="0" w:color="auto"/>
        <w:left w:val="none" w:sz="0" w:space="0" w:color="auto"/>
        <w:bottom w:val="none" w:sz="0" w:space="0" w:color="auto"/>
        <w:right w:val="none" w:sz="0" w:space="0" w:color="auto"/>
      </w:divBdr>
      <w:divsChild>
        <w:div w:id="541866019">
          <w:marLeft w:val="0"/>
          <w:marRight w:val="0"/>
          <w:marTop w:val="0"/>
          <w:marBottom w:val="0"/>
          <w:divBdr>
            <w:top w:val="none" w:sz="0" w:space="0" w:color="auto"/>
            <w:left w:val="none" w:sz="0" w:space="0" w:color="auto"/>
            <w:bottom w:val="none" w:sz="0" w:space="0" w:color="auto"/>
            <w:right w:val="none" w:sz="0" w:space="0" w:color="auto"/>
          </w:divBdr>
        </w:div>
      </w:divsChild>
    </w:div>
    <w:div w:id="1820270511">
      <w:marLeft w:val="0"/>
      <w:marRight w:val="0"/>
      <w:marTop w:val="180"/>
      <w:marBottom w:val="0"/>
      <w:divBdr>
        <w:top w:val="none" w:sz="0" w:space="0" w:color="auto"/>
        <w:left w:val="none" w:sz="0" w:space="0" w:color="auto"/>
        <w:bottom w:val="none" w:sz="0" w:space="0" w:color="auto"/>
        <w:right w:val="none" w:sz="0" w:space="0" w:color="auto"/>
      </w:divBdr>
    </w:div>
    <w:div w:id="1821001418">
      <w:marLeft w:val="0"/>
      <w:marRight w:val="0"/>
      <w:marTop w:val="0"/>
      <w:marBottom w:val="0"/>
      <w:divBdr>
        <w:top w:val="none" w:sz="0" w:space="0" w:color="auto"/>
        <w:left w:val="none" w:sz="0" w:space="0" w:color="auto"/>
        <w:bottom w:val="none" w:sz="0" w:space="0" w:color="auto"/>
        <w:right w:val="none" w:sz="0" w:space="0" w:color="auto"/>
      </w:divBdr>
      <w:divsChild>
        <w:div w:id="1345666589">
          <w:marLeft w:val="0"/>
          <w:marRight w:val="0"/>
          <w:marTop w:val="0"/>
          <w:marBottom w:val="100"/>
          <w:divBdr>
            <w:top w:val="none" w:sz="0" w:space="0" w:color="auto"/>
            <w:left w:val="none" w:sz="0" w:space="0" w:color="auto"/>
            <w:bottom w:val="none" w:sz="0" w:space="0" w:color="auto"/>
            <w:right w:val="none" w:sz="0" w:space="0" w:color="auto"/>
          </w:divBdr>
        </w:div>
      </w:divsChild>
    </w:div>
    <w:div w:id="1826972095">
      <w:marLeft w:val="0"/>
      <w:marRight w:val="0"/>
      <w:marTop w:val="0"/>
      <w:marBottom w:val="100"/>
      <w:divBdr>
        <w:top w:val="none" w:sz="0" w:space="0" w:color="auto"/>
        <w:left w:val="none" w:sz="0" w:space="0" w:color="auto"/>
        <w:bottom w:val="none" w:sz="0" w:space="0" w:color="auto"/>
        <w:right w:val="none" w:sz="0" w:space="0" w:color="auto"/>
      </w:divBdr>
    </w:div>
    <w:div w:id="1829518967">
      <w:marLeft w:val="0"/>
      <w:marRight w:val="0"/>
      <w:marTop w:val="180"/>
      <w:marBottom w:val="0"/>
      <w:divBdr>
        <w:top w:val="none" w:sz="0" w:space="0" w:color="auto"/>
        <w:left w:val="none" w:sz="0" w:space="0" w:color="auto"/>
        <w:bottom w:val="none" w:sz="0" w:space="0" w:color="auto"/>
        <w:right w:val="none" w:sz="0" w:space="0" w:color="auto"/>
      </w:divBdr>
    </w:div>
    <w:div w:id="1830946045">
      <w:marLeft w:val="0"/>
      <w:marRight w:val="0"/>
      <w:marTop w:val="0"/>
      <w:marBottom w:val="0"/>
      <w:divBdr>
        <w:top w:val="none" w:sz="0" w:space="0" w:color="auto"/>
        <w:left w:val="none" w:sz="0" w:space="0" w:color="auto"/>
        <w:bottom w:val="none" w:sz="0" w:space="0" w:color="auto"/>
        <w:right w:val="none" w:sz="0" w:space="0" w:color="auto"/>
      </w:divBdr>
    </w:div>
    <w:div w:id="1832599672">
      <w:marLeft w:val="0"/>
      <w:marRight w:val="0"/>
      <w:marTop w:val="0"/>
      <w:marBottom w:val="100"/>
      <w:divBdr>
        <w:top w:val="none" w:sz="0" w:space="0" w:color="auto"/>
        <w:left w:val="none" w:sz="0" w:space="0" w:color="auto"/>
        <w:bottom w:val="none" w:sz="0" w:space="0" w:color="auto"/>
        <w:right w:val="none" w:sz="0" w:space="0" w:color="auto"/>
      </w:divBdr>
    </w:div>
    <w:div w:id="1833255710">
      <w:marLeft w:val="0"/>
      <w:marRight w:val="0"/>
      <w:marTop w:val="100"/>
      <w:marBottom w:val="100"/>
      <w:divBdr>
        <w:top w:val="none" w:sz="0" w:space="0" w:color="auto"/>
        <w:left w:val="none" w:sz="0" w:space="0" w:color="auto"/>
        <w:bottom w:val="none" w:sz="0" w:space="0" w:color="auto"/>
        <w:right w:val="none" w:sz="0" w:space="0" w:color="auto"/>
      </w:divBdr>
    </w:div>
    <w:div w:id="1833376191">
      <w:marLeft w:val="0"/>
      <w:marRight w:val="0"/>
      <w:marTop w:val="0"/>
      <w:marBottom w:val="0"/>
      <w:divBdr>
        <w:top w:val="none" w:sz="0" w:space="0" w:color="auto"/>
        <w:left w:val="none" w:sz="0" w:space="0" w:color="auto"/>
        <w:bottom w:val="none" w:sz="0" w:space="0" w:color="auto"/>
        <w:right w:val="none" w:sz="0" w:space="0" w:color="auto"/>
      </w:divBdr>
    </w:div>
    <w:div w:id="1833716979">
      <w:marLeft w:val="0"/>
      <w:marRight w:val="0"/>
      <w:marTop w:val="100"/>
      <w:marBottom w:val="100"/>
      <w:divBdr>
        <w:top w:val="none" w:sz="0" w:space="0" w:color="auto"/>
        <w:left w:val="none" w:sz="0" w:space="0" w:color="auto"/>
        <w:bottom w:val="none" w:sz="0" w:space="0" w:color="auto"/>
        <w:right w:val="none" w:sz="0" w:space="0" w:color="auto"/>
      </w:divBdr>
    </w:div>
    <w:div w:id="1834570003">
      <w:marLeft w:val="0"/>
      <w:marRight w:val="0"/>
      <w:marTop w:val="100"/>
      <w:marBottom w:val="100"/>
      <w:divBdr>
        <w:top w:val="none" w:sz="0" w:space="0" w:color="auto"/>
        <w:left w:val="none" w:sz="0" w:space="0" w:color="auto"/>
        <w:bottom w:val="none" w:sz="0" w:space="0" w:color="auto"/>
        <w:right w:val="none" w:sz="0" w:space="0" w:color="auto"/>
      </w:divBdr>
    </w:div>
    <w:div w:id="1834877023">
      <w:marLeft w:val="0"/>
      <w:marRight w:val="0"/>
      <w:marTop w:val="0"/>
      <w:marBottom w:val="90"/>
      <w:divBdr>
        <w:top w:val="none" w:sz="0" w:space="0" w:color="auto"/>
        <w:left w:val="none" w:sz="0" w:space="0" w:color="auto"/>
        <w:bottom w:val="none" w:sz="0" w:space="0" w:color="auto"/>
        <w:right w:val="none" w:sz="0" w:space="0" w:color="auto"/>
      </w:divBdr>
    </w:div>
    <w:div w:id="1835218530">
      <w:marLeft w:val="0"/>
      <w:marRight w:val="0"/>
      <w:marTop w:val="0"/>
      <w:marBottom w:val="0"/>
      <w:divBdr>
        <w:top w:val="none" w:sz="0" w:space="0" w:color="auto"/>
        <w:left w:val="none" w:sz="0" w:space="0" w:color="auto"/>
        <w:bottom w:val="none" w:sz="0" w:space="0" w:color="auto"/>
        <w:right w:val="none" w:sz="0" w:space="0" w:color="auto"/>
      </w:divBdr>
      <w:divsChild>
        <w:div w:id="1604530883">
          <w:marLeft w:val="0"/>
          <w:marRight w:val="0"/>
          <w:marTop w:val="0"/>
          <w:marBottom w:val="0"/>
          <w:divBdr>
            <w:top w:val="none" w:sz="0" w:space="0" w:color="auto"/>
            <w:left w:val="none" w:sz="0" w:space="0" w:color="auto"/>
            <w:bottom w:val="none" w:sz="0" w:space="0" w:color="auto"/>
            <w:right w:val="none" w:sz="0" w:space="0" w:color="auto"/>
          </w:divBdr>
          <w:divsChild>
            <w:div w:id="71211490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36336840">
      <w:marLeft w:val="0"/>
      <w:marRight w:val="0"/>
      <w:marTop w:val="0"/>
      <w:marBottom w:val="0"/>
      <w:divBdr>
        <w:top w:val="none" w:sz="0" w:space="0" w:color="auto"/>
        <w:left w:val="none" w:sz="0" w:space="0" w:color="auto"/>
        <w:bottom w:val="none" w:sz="0" w:space="0" w:color="auto"/>
        <w:right w:val="none" w:sz="0" w:space="0" w:color="auto"/>
      </w:divBdr>
    </w:div>
    <w:div w:id="1836801278">
      <w:marLeft w:val="0"/>
      <w:marRight w:val="0"/>
      <w:marTop w:val="0"/>
      <w:marBottom w:val="100"/>
      <w:divBdr>
        <w:top w:val="none" w:sz="0" w:space="0" w:color="auto"/>
        <w:left w:val="none" w:sz="0" w:space="0" w:color="auto"/>
        <w:bottom w:val="none" w:sz="0" w:space="0" w:color="auto"/>
        <w:right w:val="none" w:sz="0" w:space="0" w:color="auto"/>
      </w:divBdr>
    </w:div>
    <w:div w:id="1837262306">
      <w:marLeft w:val="0"/>
      <w:marRight w:val="0"/>
      <w:marTop w:val="0"/>
      <w:marBottom w:val="0"/>
      <w:divBdr>
        <w:top w:val="none" w:sz="0" w:space="0" w:color="auto"/>
        <w:left w:val="none" w:sz="0" w:space="0" w:color="auto"/>
        <w:bottom w:val="none" w:sz="0" w:space="0" w:color="auto"/>
        <w:right w:val="none" w:sz="0" w:space="0" w:color="auto"/>
      </w:divBdr>
    </w:div>
    <w:div w:id="1839807536">
      <w:marLeft w:val="0"/>
      <w:marRight w:val="0"/>
      <w:marTop w:val="0"/>
      <w:marBottom w:val="100"/>
      <w:divBdr>
        <w:top w:val="none" w:sz="0" w:space="0" w:color="auto"/>
        <w:left w:val="none" w:sz="0" w:space="0" w:color="auto"/>
        <w:bottom w:val="none" w:sz="0" w:space="0" w:color="auto"/>
        <w:right w:val="none" w:sz="0" w:space="0" w:color="auto"/>
      </w:divBdr>
    </w:div>
    <w:div w:id="1840003062">
      <w:marLeft w:val="0"/>
      <w:marRight w:val="0"/>
      <w:marTop w:val="0"/>
      <w:marBottom w:val="0"/>
      <w:divBdr>
        <w:top w:val="none" w:sz="0" w:space="0" w:color="auto"/>
        <w:left w:val="none" w:sz="0" w:space="0" w:color="auto"/>
        <w:bottom w:val="none" w:sz="0" w:space="0" w:color="auto"/>
        <w:right w:val="none" w:sz="0" w:space="0" w:color="auto"/>
      </w:divBdr>
    </w:div>
    <w:div w:id="1840148748">
      <w:marLeft w:val="0"/>
      <w:marRight w:val="0"/>
      <w:marTop w:val="180"/>
      <w:marBottom w:val="0"/>
      <w:divBdr>
        <w:top w:val="none" w:sz="0" w:space="0" w:color="auto"/>
        <w:left w:val="none" w:sz="0" w:space="0" w:color="auto"/>
        <w:bottom w:val="none" w:sz="0" w:space="0" w:color="auto"/>
        <w:right w:val="none" w:sz="0" w:space="0" w:color="auto"/>
      </w:divBdr>
    </w:div>
    <w:div w:id="1841968113">
      <w:marLeft w:val="0"/>
      <w:marRight w:val="0"/>
      <w:marTop w:val="100"/>
      <w:marBottom w:val="100"/>
      <w:divBdr>
        <w:top w:val="none" w:sz="0" w:space="0" w:color="auto"/>
        <w:left w:val="none" w:sz="0" w:space="0" w:color="auto"/>
        <w:bottom w:val="none" w:sz="0" w:space="0" w:color="auto"/>
        <w:right w:val="none" w:sz="0" w:space="0" w:color="auto"/>
      </w:divBdr>
    </w:div>
    <w:div w:id="1842577320">
      <w:marLeft w:val="0"/>
      <w:marRight w:val="0"/>
      <w:marTop w:val="180"/>
      <w:marBottom w:val="100"/>
      <w:divBdr>
        <w:top w:val="none" w:sz="0" w:space="0" w:color="auto"/>
        <w:left w:val="none" w:sz="0" w:space="0" w:color="auto"/>
        <w:bottom w:val="none" w:sz="0" w:space="0" w:color="auto"/>
        <w:right w:val="none" w:sz="0" w:space="0" w:color="auto"/>
      </w:divBdr>
    </w:div>
    <w:div w:id="1844008264">
      <w:marLeft w:val="0"/>
      <w:marRight w:val="0"/>
      <w:marTop w:val="0"/>
      <w:marBottom w:val="0"/>
      <w:divBdr>
        <w:top w:val="none" w:sz="0" w:space="0" w:color="auto"/>
        <w:left w:val="none" w:sz="0" w:space="0" w:color="auto"/>
        <w:bottom w:val="none" w:sz="0" w:space="0" w:color="auto"/>
        <w:right w:val="none" w:sz="0" w:space="0" w:color="auto"/>
      </w:divBdr>
    </w:div>
    <w:div w:id="1849637409">
      <w:marLeft w:val="0"/>
      <w:marRight w:val="0"/>
      <w:marTop w:val="100"/>
      <w:marBottom w:val="100"/>
      <w:divBdr>
        <w:top w:val="none" w:sz="0" w:space="0" w:color="auto"/>
        <w:left w:val="none" w:sz="0" w:space="0" w:color="auto"/>
        <w:bottom w:val="none" w:sz="0" w:space="0" w:color="auto"/>
        <w:right w:val="none" w:sz="0" w:space="0" w:color="auto"/>
      </w:divBdr>
    </w:div>
    <w:div w:id="1851096291">
      <w:marLeft w:val="0"/>
      <w:marRight w:val="0"/>
      <w:marTop w:val="0"/>
      <w:marBottom w:val="100"/>
      <w:divBdr>
        <w:top w:val="none" w:sz="0" w:space="0" w:color="auto"/>
        <w:left w:val="none" w:sz="0" w:space="0" w:color="auto"/>
        <w:bottom w:val="none" w:sz="0" w:space="0" w:color="auto"/>
        <w:right w:val="none" w:sz="0" w:space="0" w:color="auto"/>
      </w:divBdr>
    </w:div>
    <w:div w:id="1852721632">
      <w:marLeft w:val="0"/>
      <w:marRight w:val="0"/>
      <w:marTop w:val="100"/>
      <w:marBottom w:val="100"/>
      <w:divBdr>
        <w:top w:val="none" w:sz="0" w:space="0" w:color="auto"/>
        <w:left w:val="none" w:sz="0" w:space="0" w:color="auto"/>
        <w:bottom w:val="none" w:sz="0" w:space="0" w:color="auto"/>
        <w:right w:val="none" w:sz="0" w:space="0" w:color="auto"/>
      </w:divBdr>
    </w:div>
    <w:div w:id="1853101864">
      <w:marLeft w:val="0"/>
      <w:marRight w:val="0"/>
      <w:marTop w:val="0"/>
      <w:marBottom w:val="0"/>
      <w:divBdr>
        <w:top w:val="none" w:sz="0" w:space="0" w:color="auto"/>
        <w:left w:val="none" w:sz="0" w:space="0" w:color="auto"/>
        <w:bottom w:val="none" w:sz="0" w:space="0" w:color="auto"/>
        <w:right w:val="none" w:sz="0" w:space="0" w:color="auto"/>
      </w:divBdr>
      <w:divsChild>
        <w:div w:id="1087507456">
          <w:marLeft w:val="0"/>
          <w:marRight w:val="0"/>
          <w:marTop w:val="0"/>
          <w:marBottom w:val="0"/>
          <w:divBdr>
            <w:top w:val="none" w:sz="0" w:space="0" w:color="auto"/>
            <w:left w:val="none" w:sz="0" w:space="0" w:color="auto"/>
            <w:bottom w:val="none" w:sz="0" w:space="0" w:color="auto"/>
            <w:right w:val="none" w:sz="0" w:space="0" w:color="auto"/>
          </w:divBdr>
          <w:divsChild>
            <w:div w:id="6044623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54224304">
      <w:marLeft w:val="0"/>
      <w:marRight w:val="0"/>
      <w:marTop w:val="100"/>
      <w:marBottom w:val="100"/>
      <w:divBdr>
        <w:top w:val="none" w:sz="0" w:space="0" w:color="auto"/>
        <w:left w:val="none" w:sz="0" w:space="0" w:color="auto"/>
        <w:bottom w:val="none" w:sz="0" w:space="0" w:color="auto"/>
        <w:right w:val="none" w:sz="0" w:space="0" w:color="auto"/>
      </w:divBdr>
    </w:div>
    <w:div w:id="1854610586">
      <w:marLeft w:val="0"/>
      <w:marRight w:val="0"/>
      <w:marTop w:val="100"/>
      <w:marBottom w:val="100"/>
      <w:divBdr>
        <w:top w:val="none" w:sz="0" w:space="0" w:color="auto"/>
        <w:left w:val="none" w:sz="0" w:space="0" w:color="auto"/>
        <w:bottom w:val="none" w:sz="0" w:space="0" w:color="auto"/>
        <w:right w:val="none" w:sz="0" w:space="0" w:color="auto"/>
      </w:divBdr>
    </w:div>
    <w:div w:id="1856966434">
      <w:marLeft w:val="0"/>
      <w:marRight w:val="0"/>
      <w:marTop w:val="0"/>
      <w:marBottom w:val="0"/>
      <w:divBdr>
        <w:top w:val="none" w:sz="0" w:space="0" w:color="auto"/>
        <w:left w:val="none" w:sz="0" w:space="0" w:color="auto"/>
        <w:bottom w:val="none" w:sz="0" w:space="0" w:color="auto"/>
        <w:right w:val="none" w:sz="0" w:space="0" w:color="auto"/>
      </w:divBdr>
      <w:divsChild>
        <w:div w:id="1675524157">
          <w:marLeft w:val="0"/>
          <w:marRight w:val="0"/>
          <w:marTop w:val="0"/>
          <w:marBottom w:val="0"/>
          <w:divBdr>
            <w:top w:val="none" w:sz="0" w:space="0" w:color="auto"/>
            <w:left w:val="none" w:sz="0" w:space="0" w:color="auto"/>
            <w:bottom w:val="none" w:sz="0" w:space="0" w:color="auto"/>
            <w:right w:val="none" w:sz="0" w:space="0" w:color="auto"/>
          </w:divBdr>
          <w:divsChild>
            <w:div w:id="190541237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2278686">
      <w:marLeft w:val="0"/>
      <w:marRight w:val="0"/>
      <w:marTop w:val="0"/>
      <w:marBottom w:val="0"/>
      <w:divBdr>
        <w:top w:val="none" w:sz="0" w:space="0" w:color="auto"/>
        <w:left w:val="none" w:sz="0" w:space="0" w:color="auto"/>
        <w:bottom w:val="none" w:sz="0" w:space="0" w:color="auto"/>
        <w:right w:val="none" w:sz="0" w:space="0" w:color="auto"/>
      </w:divBdr>
      <w:divsChild>
        <w:div w:id="1122580166">
          <w:marLeft w:val="0"/>
          <w:marRight w:val="0"/>
          <w:marTop w:val="0"/>
          <w:marBottom w:val="0"/>
          <w:divBdr>
            <w:top w:val="none" w:sz="0" w:space="0" w:color="auto"/>
            <w:left w:val="none" w:sz="0" w:space="0" w:color="auto"/>
            <w:bottom w:val="none" w:sz="0" w:space="0" w:color="auto"/>
            <w:right w:val="none" w:sz="0" w:space="0" w:color="auto"/>
          </w:divBdr>
          <w:divsChild>
            <w:div w:id="132894149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2476089">
      <w:marLeft w:val="0"/>
      <w:marRight w:val="0"/>
      <w:marTop w:val="0"/>
      <w:marBottom w:val="0"/>
      <w:divBdr>
        <w:top w:val="none" w:sz="0" w:space="0" w:color="auto"/>
        <w:left w:val="none" w:sz="0" w:space="0" w:color="auto"/>
        <w:bottom w:val="none" w:sz="0" w:space="0" w:color="auto"/>
        <w:right w:val="none" w:sz="0" w:space="0" w:color="auto"/>
      </w:divBdr>
    </w:div>
    <w:div w:id="1863788443">
      <w:marLeft w:val="0"/>
      <w:marRight w:val="0"/>
      <w:marTop w:val="180"/>
      <w:marBottom w:val="0"/>
      <w:divBdr>
        <w:top w:val="none" w:sz="0" w:space="0" w:color="auto"/>
        <w:left w:val="none" w:sz="0" w:space="0" w:color="auto"/>
        <w:bottom w:val="none" w:sz="0" w:space="0" w:color="auto"/>
        <w:right w:val="none" w:sz="0" w:space="0" w:color="auto"/>
      </w:divBdr>
    </w:div>
    <w:div w:id="1863860230">
      <w:marLeft w:val="0"/>
      <w:marRight w:val="0"/>
      <w:marTop w:val="100"/>
      <w:marBottom w:val="100"/>
      <w:divBdr>
        <w:top w:val="none" w:sz="0" w:space="0" w:color="auto"/>
        <w:left w:val="none" w:sz="0" w:space="0" w:color="auto"/>
        <w:bottom w:val="none" w:sz="0" w:space="0" w:color="auto"/>
        <w:right w:val="none" w:sz="0" w:space="0" w:color="auto"/>
      </w:divBdr>
    </w:div>
    <w:div w:id="1863979410">
      <w:marLeft w:val="0"/>
      <w:marRight w:val="0"/>
      <w:marTop w:val="0"/>
      <w:marBottom w:val="0"/>
      <w:divBdr>
        <w:top w:val="none" w:sz="0" w:space="0" w:color="auto"/>
        <w:left w:val="none" w:sz="0" w:space="0" w:color="auto"/>
        <w:bottom w:val="none" w:sz="0" w:space="0" w:color="auto"/>
        <w:right w:val="none" w:sz="0" w:space="0" w:color="auto"/>
      </w:divBdr>
    </w:div>
    <w:div w:id="1864588373">
      <w:marLeft w:val="0"/>
      <w:marRight w:val="0"/>
      <w:marTop w:val="100"/>
      <w:marBottom w:val="100"/>
      <w:divBdr>
        <w:top w:val="none" w:sz="0" w:space="0" w:color="auto"/>
        <w:left w:val="none" w:sz="0" w:space="0" w:color="auto"/>
        <w:bottom w:val="none" w:sz="0" w:space="0" w:color="auto"/>
        <w:right w:val="none" w:sz="0" w:space="0" w:color="auto"/>
      </w:divBdr>
    </w:div>
    <w:div w:id="1865091979">
      <w:marLeft w:val="0"/>
      <w:marRight w:val="0"/>
      <w:marTop w:val="0"/>
      <w:marBottom w:val="0"/>
      <w:divBdr>
        <w:top w:val="none" w:sz="0" w:space="0" w:color="auto"/>
        <w:left w:val="none" w:sz="0" w:space="0" w:color="auto"/>
        <w:bottom w:val="none" w:sz="0" w:space="0" w:color="auto"/>
        <w:right w:val="none" w:sz="0" w:space="0" w:color="auto"/>
      </w:divBdr>
      <w:divsChild>
        <w:div w:id="1998995914">
          <w:marLeft w:val="0"/>
          <w:marRight w:val="0"/>
          <w:marTop w:val="0"/>
          <w:marBottom w:val="0"/>
          <w:divBdr>
            <w:top w:val="none" w:sz="0" w:space="0" w:color="auto"/>
            <w:left w:val="none" w:sz="0" w:space="0" w:color="auto"/>
            <w:bottom w:val="none" w:sz="0" w:space="0" w:color="auto"/>
            <w:right w:val="none" w:sz="0" w:space="0" w:color="auto"/>
          </w:divBdr>
          <w:divsChild>
            <w:div w:id="19719322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5168750">
      <w:marLeft w:val="0"/>
      <w:marRight w:val="0"/>
      <w:marTop w:val="0"/>
      <w:marBottom w:val="0"/>
      <w:divBdr>
        <w:top w:val="none" w:sz="0" w:space="0" w:color="auto"/>
        <w:left w:val="none" w:sz="0" w:space="0" w:color="auto"/>
        <w:bottom w:val="none" w:sz="0" w:space="0" w:color="auto"/>
        <w:right w:val="none" w:sz="0" w:space="0" w:color="auto"/>
      </w:divBdr>
    </w:div>
    <w:div w:id="1865286676">
      <w:marLeft w:val="0"/>
      <w:marRight w:val="0"/>
      <w:marTop w:val="0"/>
      <w:marBottom w:val="100"/>
      <w:divBdr>
        <w:top w:val="none" w:sz="0" w:space="0" w:color="auto"/>
        <w:left w:val="none" w:sz="0" w:space="0" w:color="auto"/>
        <w:bottom w:val="none" w:sz="0" w:space="0" w:color="auto"/>
        <w:right w:val="none" w:sz="0" w:space="0" w:color="auto"/>
      </w:divBdr>
    </w:div>
    <w:div w:id="1866363723">
      <w:marLeft w:val="0"/>
      <w:marRight w:val="0"/>
      <w:marTop w:val="100"/>
      <w:marBottom w:val="100"/>
      <w:divBdr>
        <w:top w:val="none" w:sz="0" w:space="0" w:color="auto"/>
        <w:left w:val="none" w:sz="0" w:space="0" w:color="auto"/>
        <w:bottom w:val="none" w:sz="0" w:space="0" w:color="auto"/>
        <w:right w:val="none" w:sz="0" w:space="0" w:color="auto"/>
      </w:divBdr>
    </w:div>
    <w:div w:id="1867061573">
      <w:marLeft w:val="0"/>
      <w:marRight w:val="0"/>
      <w:marTop w:val="0"/>
      <w:marBottom w:val="0"/>
      <w:divBdr>
        <w:top w:val="none" w:sz="0" w:space="0" w:color="auto"/>
        <w:left w:val="none" w:sz="0" w:space="0" w:color="auto"/>
        <w:bottom w:val="none" w:sz="0" w:space="0" w:color="auto"/>
        <w:right w:val="none" w:sz="0" w:space="0" w:color="auto"/>
      </w:divBdr>
    </w:div>
    <w:div w:id="1867595059">
      <w:marLeft w:val="0"/>
      <w:marRight w:val="0"/>
      <w:marTop w:val="0"/>
      <w:marBottom w:val="0"/>
      <w:divBdr>
        <w:top w:val="none" w:sz="0" w:space="0" w:color="auto"/>
        <w:left w:val="none" w:sz="0" w:space="0" w:color="auto"/>
        <w:bottom w:val="none" w:sz="0" w:space="0" w:color="auto"/>
        <w:right w:val="none" w:sz="0" w:space="0" w:color="auto"/>
      </w:divBdr>
      <w:divsChild>
        <w:div w:id="719551196">
          <w:marLeft w:val="0"/>
          <w:marRight w:val="0"/>
          <w:marTop w:val="0"/>
          <w:marBottom w:val="100"/>
          <w:divBdr>
            <w:top w:val="none" w:sz="0" w:space="0" w:color="auto"/>
            <w:left w:val="none" w:sz="0" w:space="0" w:color="auto"/>
            <w:bottom w:val="none" w:sz="0" w:space="0" w:color="auto"/>
            <w:right w:val="none" w:sz="0" w:space="0" w:color="auto"/>
          </w:divBdr>
        </w:div>
      </w:divsChild>
    </w:div>
    <w:div w:id="1869296353">
      <w:marLeft w:val="0"/>
      <w:marRight w:val="0"/>
      <w:marTop w:val="0"/>
      <w:marBottom w:val="100"/>
      <w:divBdr>
        <w:top w:val="none" w:sz="0" w:space="0" w:color="auto"/>
        <w:left w:val="none" w:sz="0" w:space="0" w:color="auto"/>
        <w:bottom w:val="none" w:sz="0" w:space="0" w:color="auto"/>
        <w:right w:val="none" w:sz="0" w:space="0" w:color="auto"/>
      </w:divBdr>
    </w:div>
    <w:div w:id="1869370702">
      <w:marLeft w:val="0"/>
      <w:marRight w:val="0"/>
      <w:marTop w:val="100"/>
      <w:marBottom w:val="100"/>
      <w:divBdr>
        <w:top w:val="none" w:sz="0" w:space="0" w:color="auto"/>
        <w:left w:val="none" w:sz="0" w:space="0" w:color="auto"/>
        <w:bottom w:val="none" w:sz="0" w:space="0" w:color="auto"/>
        <w:right w:val="none" w:sz="0" w:space="0" w:color="auto"/>
      </w:divBdr>
    </w:div>
    <w:div w:id="1870022653">
      <w:marLeft w:val="0"/>
      <w:marRight w:val="0"/>
      <w:marTop w:val="0"/>
      <w:marBottom w:val="100"/>
      <w:divBdr>
        <w:top w:val="none" w:sz="0" w:space="0" w:color="auto"/>
        <w:left w:val="none" w:sz="0" w:space="0" w:color="auto"/>
        <w:bottom w:val="none" w:sz="0" w:space="0" w:color="auto"/>
        <w:right w:val="none" w:sz="0" w:space="0" w:color="auto"/>
      </w:divBdr>
    </w:div>
    <w:div w:id="1871382265">
      <w:marLeft w:val="0"/>
      <w:marRight w:val="0"/>
      <w:marTop w:val="180"/>
      <w:marBottom w:val="100"/>
      <w:divBdr>
        <w:top w:val="none" w:sz="0" w:space="0" w:color="auto"/>
        <w:left w:val="none" w:sz="0" w:space="0" w:color="auto"/>
        <w:bottom w:val="none" w:sz="0" w:space="0" w:color="auto"/>
        <w:right w:val="none" w:sz="0" w:space="0" w:color="auto"/>
      </w:divBdr>
    </w:div>
    <w:div w:id="1871406120">
      <w:marLeft w:val="0"/>
      <w:marRight w:val="0"/>
      <w:marTop w:val="100"/>
      <w:marBottom w:val="100"/>
      <w:divBdr>
        <w:top w:val="none" w:sz="0" w:space="0" w:color="auto"/>
        <w:left w:val="none" w:sz="0" w:space="0" w:color="auto"/>
        <w:bottom w:val="none" w:sz="0" w:space="0" w:color="auto"/>
        <w:right w:val="none" w:sz="0" w:space="0" w:color="auto"/>
      </w:divBdr>
    </w:div>
    <w:div w:id="1872450839">
      <w:marLeft w:val="0"/>
      <w:marRight w:val="0"/>
      <w:marTop w:val="100"/>
      <w:marBottom w:val="0"/>
      <w:divBdr>
        <w:top w:val="none" w:sz="0" w:space="0" w:color="auto"/>
        <w:left w:val="none" w:sz="0" w:space="0" w:color="auto"/>
        <w:bottom w:val="none" w:sz="0" w:space="0" w:color="auto"/>
        <w:right w:val="none" w:sz="0" w:space="0" w:color="auto"/>
      </w:divBdr>
    </w:div>
    <w:div w:id="1872910953">
      <w:marLeft w:val="0"/>
      <w:marRight w:val="0"/>
      <w:marTop w:val="100"/>
      <w:marBottom w:val="100"/>
      <w:divBdr>
        <w:top w:val="none" w:sz="0" w:space="0" w:color="auto"/>
        <w:left w:val="none" w:sz="0" w:space="0" w:color="auto"/>
        <w:bottom w:val="none" w:sz="0" w:space="0" w:color="auto"/>
        <w:right w:val="none" w:sz="0" w:space="0" w:color="auto"/>
      </w:divBdr>
    </w:div>
    <w:div w:id="1874343767">
      <w:marLeft w:val="0"/>
      <w:marRight w:val="0"/>
      <w:marTop w:val="100"/>
      <w:marBottom w:val="100"/>
      <w:divBdr>
        <w:top w:val="none" w:sz="0" w:space="0" w:color="auto"/>
        <w:left w:val="none" w:sz="0" w:space="0" w:color="auto"/>
        <w:bottom w:val="none" w:sz="0" w:space="0" w:color="auto"/>
        <w:right w:val="none" w:sz="0" w:space="0" w:color="auto"/>
      </w:divBdr>
    </w:div>
    <w:div w:id="1874726032">
      <w:marLeft w:val="0"/>
      <w:marRight w:val="0"/>
      <w:marTop w:val="180"/>
      <w:marBottom w:val="0"/>
      <w:divBdr>
        <w:top w:val="none" w:sz="0" w:space="0" w:color="auto"/>
        <w:left w:val="none" w:sz="0" w:space="0" w:color="auto"/>
        <w:bottom w:val="none" w:sz="0" w:space="0" w:color="auto"/>
        <w:right w:val="none" w:sz="0" w:space="0" w:color="auto"/>
      </w:divBdr>
    </w:div>
    <w:div w:id="1874927460">
      <w:marLeft w:val="0"/>
      <w:marRight w:val="0"/>
      <w:marTop w:val="0"/>
      <w:marBottom w:val="0"/>
      <w:divBdr>
        <w:top w:val="none" w:sz="0" w:space="0" w:color="auto"/>
        <w:left w:val="none" w:sz="0" w:space="0" w:color="auto"/>
        <w:bottom w:val="none" w:sz="0" w:space="0" w:color="auto"/>
        <w:right w:val="none" w:sz="0" w:space="0" w:color="auto"/>
      </w:divBdr>
      <w:divsChild>
        <w:div w:id="842823287">
          <w:marLeft w:val="0"/>
          <w:marRight w:val="0"/>
          <w:marTop w:val="0"/>
          <w:marBottom w:val="100"/>
          <w:divBdr>
            <w:top w:val="none" w:sz="0" w:space="0" w:color="auto"/>
            <w:left w:val="none" w:sz="0" w:space="0" w:color="auto"/>
            <w:bottom w:val="none" w:sz="0" w:space="0" w:color="auto"/>
            <w:right w:val="none" w:sz="0" w:space="0" w:color="auto"/>
          </w:divBdr>
        </w:div>
      </w:divsChild>
    </w:div>
    <w:div w:id="1877035313">
      <w:marLeft w:val="0"/>
      <w:marRight w:val="0"/>
      <w:marTop w:val="0"/>
      <w:marBottom w:val="0"/>
      <w:divBdr>
        <w:top w:val="none" w:sz="0" w:space="0" w:color="auto"/>
        <w:left w:val="none" w:sz="0" w:space="0" w:color="auto"/>
        <w:bottom w:val="none" w:sz="0" w:space="0" w:color="auto"/>
        <w:right w:val="none" w:sz="0" w:space="0" w:color="auto"/>
      </w:divBdr>
      <w:divsChild>
        <w:div w:id="318774157">
          <w:marLeft w:val="0"/>
          <w:marRight w:val="0"/>
          <w:marTop w:val="0"/>
          <w:marBottom w:val="0"/>
          <w:divBdr>
            <w:top w:val="none" w:sz="0" w:space="0" w:color="auto"/>
            <w:left w:val="none" w:sz="0" w:space="0" w:color="auto"/>
            <w:bottom w:val="none" w:sz="0" w:space="0" w:color="auto"/>
            <w:right w:val="none" w:sz="0" w:space="0" w:color="auto"/>
          </w:divBdr>
          <w:divsChild>
            <w:div w:id="204867783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77887220">
      <w:marLeft w:val="0"/>
      <w:marRight w:val="0"/>
      <w:marTop w:val="0"/>
      <w:marBottom w:val="0"/>
      <w:divBdr>
        <w:top w:val="none" w:sz="0" w:space="0" w:color="auto"/>
        <w:left w:val="none" w:sz="0" w:space="0" w:color="auto"/>
        <w:bottom w:val="none" w:sz="0" w:space="0" w:color="auto"/>
        <w:right w:val="none" w:sz="0" w:space="0" w:color="auto"/>
      </w:divBdr>
    </w:div>
    <w:div w:id="1878159565">
      <w:marLeft w:val="0"/>
      <w:marRight w:val="0"/>
      <w:marTop w:val="0"/>
      <w:marBottom w:val="100"/>
      <w:divBdr>
        <w:top w:val="none" w:sz="0" w:space="0" w:color="auto"/>
        <w:left w:val="none" w:sz="0" w:space="0" w:color="auto"/>
        <w:bottom w:val="none" w:sz="0" w:space="0" w:color="auto"/>
        <w:right w:val="none" w:sz="0" w:space="0" w:color="auto"/>
      </w:divBdr>
    </w:div>
    <w:div w:id="1878203881">
      <w:marLeft w:val="0"/>
      <w:marRight w:val="0"/>
      <w:marTop w:val="100"/>
      <w:marBottom w:val="100"/>
      <w:divBdr>
        <w:top w:val="none" w:sz="0" w:space="0" w:color="auto"/>
        <w:left w:val="none" w:sz="0" w:space="0" w:color="auto"/>
        <w:bottom w:val="none" w:sz="0" w:space="0" w:color="auto"/>
        <w:right w:val="none" w:sz="0" w:space="0" w:color="auto"/>
      </w:divBdr>
    </w:div>
    <w:div w:id="1879507913">
      <w:marLeft w:val="0"/>
      <w:marRight w:val="0"/>
      <w:marTop w:val="0"/>
      <w:marBottom w:val="100"/>
      <w:divBdr>
        <w:top w:val="none" w:sz="0" w:space="0" w:color="auto"/>
        <w:left w:val="none" w:sz="0" w:space="0" w:color="auto"/>
        <w:bottom w:val="none" w:sz="0" w:space="0" w:color="auto"/>
        <w:right w:val="none" w:sz="0" w:space="0" w:color="auto"/>
      </w:divBdr>
    </w:div>
    <w:div w:id="1880821946">
      <w:marLeft w:val="0"/>
      <w:marRight w:val="0"/>
      <w:marTop w:val="0"/>
      <w:marBottom w:val="0"/>
      <w:divBdr>
        <w:top w:val="none" w:sz="0" w:space="0" w:color="auto"/>
        <w:left w:val="none" w:sz="0" w:space="0" w:color="auto"/>
        <w:bottom w:val="none" w:sz="0" w:space="0" w:color="auto"/>
        <w:right w:val="none" w:sz="0" w:space="0" w:color="auto"/>
      </w:divBdr>
    </w:div>
    <w:div w:id="1881699737">
      <w:marLeft w:val="0"/>
      <w:marRight w:val="0"/>
      <w:marTop w:val="0"/>
      <w:marBottom w:val="0"/>
      <w:divBdr>
        <w:top w:val="none" w:sz="0" w:space="0" w:color="auto"/>
        <w:left w:val="none" w:sz="0" w:space="0" w:color="auto"/>
        <w:bottom w:val="none" w:sz="0" w:space="0" w:color="auto"/>
        <w:right w:val="none" w:sz="0" w:space="0" w:color="auto"/>
      </w:divBdr>
    </w:div>
    <w:div w:id="1881896933">
      <w:marLeft w:val="0"/>
      <w:marRight w:val="0"/>
      <w:marTop w:val="100"/>
      <w:marBottom w:val="100"/>
      <w:divBdr>
        <w:top w:val="none" w:sz="0" w:space="0" w:color="auto"/>
        <w:left w:val="none" w:sz="0" w:space="0" w:color="auto"/>
        <w:bottom w:val="none" w:sz="0" w:space="0" w:color="auto"/>
        <w:right w:val="none" w:sz="0" w:space="0" w:color="auto"/>
      </w:divBdr>
      <w:divsChild>
        <w:div w:id="1485899447">
          <w:marLeft w:val="0"/>
          <w:marRight w:val="0"/>
          <w:marTop w:val="0"/>
          <w:marBottom w:val="0"/>
          <w:divBdr>
            <w:top w:val="none" w:sz="0" w:space="0" w:color="auto"/>
            <w:left w:val="none" w:sz="0" w:space="0" w:color="auto"/>
            <w:bottom w:val="none" w:sz="0" w:space="0" w:color="auto"/>
            <w:right w:val="none" w:sz="0" w:space="0" w:color="auto"/>
          </w:divBdr>
        </w:div>
      </w:divsChild>
    </w:div>
    <w:div w:id="1882209645">
      <w:marLeft w:val="0"/>
      <w:marRight w:val="0"/>
      <w:marTop w:val="0"/>
      <w:marBottom w:val="0"/>
      <w:divBdr>
        <w:top w:val="none" w:sz="0" w:space="0" w:color="auto"/>
        <w:left w:val="none" w:sz="0" w:space="0" w:color="auto"/>
        <w:bottom w:val="none" w:sz="0" w:space="0" w:color="auto"/>
        <w:right w:val="none" w:sz="0" w:space="0" w:color="auto"/>
      </w:divBdr>
    </w:div>
    <w:div w:id="1882327145">
      <w:marLeft w:val="0"/>
      <w:marRight w:val="0"/>
      <w:marTop w:val="0"/>
      <w:marBottom w:val="0"/>
      <w:divBdr>
        <w:top w:val="none" w:sz="0" w:space="0" w:color="auto"/>
        <w:left w:val="none" w:sz="0" w:space="0" w:color="auto"/>
        <w:bottom w:val="none" w:sz="0" w:space="0" w:color="auto"/>
        <w:right w:val="none" w:sz="0" w:space="0" w:color="auto"/>
      </w:divBdr>
      <w:divsChild>
        <w:div w:id="2079398436">
          <w:marLeft w:val="0"/>
          <w:marRight w:val="0"/>
          <w:marTop w:val="0"/>
          <w:marBottom w:val="0"/>
          <w:divBdr>
            <w:top w:val="none" w:sz="0" w:space="0" w:color="auto"/>
            <w:left w:val="none" w:sz="0" w:space="0" w:color="auto"/>
            <w:bottom w:val="none" w:sz="0" w:space="0" w:color="auto"/>
            <w:right w:val="none" w:sz="0" w:space="0" w:color="auto"/>
          </w:divBdr>
          <w:divsChild>
            <w:div w:id="18326742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84441311">
      <w:marLeft w:val="0"/>
      <w:marRight w:val="0"/>
      <w:marTop w:val="0"/>
      <w:marBottom w:val="100"/>
      <w:divBdr>
        <w:top w:val="none" w:sz="0" w:space="0" w:color="auto"/>
        <w:left w:val="none" w:sz="0" w:space="0" w:color="auto"/>
        <w:bottom w:val="none" w:sz="0" w:space="0" w:color="auto"/>
        <w:right w:val="none" w:sz="0" w:space="0" w:color="auto"/>
      </w:divBdr>
    </w:div>
    <w:div w:id="1885435785">
      <w:marLeft w:val="0"/>
      <w:marRight w:val="0"/>
      <w:marTop w:val="0"/>
      <w:marBottom w:val="0"/>
      <w:divBdr>
        <w:top w:val="none" w:sz="0" w:space="0" w:color="auto"/>
        <w:left w:val="none" w:sz="0" w:space="0" w:color="auto"/>
        <w:bottom w:val="none" w:sz="0" w:space="0" w:color="auto"/>
        <w:right w:val="none" w:sz="0" w:space="0" w:color="auto"/>
      </w:divBdr>
      <w:divsChild>
        <w:div w:id="671447438">
          <w:marLeft w:val="0"/>
          <w:marRight w:val="0"/>
          <w:marTop w:val="0"/>
          <w:marBottom w:val="100"/>
          <w:divBdr>
            <w:top w:val="none" w:sz="0" w:space="0" w:color="auto"/>
            <w:left w:val="none" w:sz="0" w:space="0" w:color="auto"/>
            <w:bottom w:val="none" w:sz="0" w:space="0" w:color="auto"/>
            <w:right w:val="none" w:sz="0" w:space="0" w:color="auto"/>
          </w:divBdr>
        </w:div>
      </w:divsChild>
    </w:div>
    <w:div w:id="1885755001">
      <w:marLeft w:val="0"/>
      <w:marRight w:val="0"/>
      <w:marTop w:val="0"/>
      <w:marBottom w:val="0"/>
      <w:divBdr>
        <w:top w:val="none" w:sz="0" w:space="0" w:color="auto"/>
        <w:left w:val="none" w:sz="0" w:space="0" w:color="auto"/>
        <w:bottom w:val="none" w:sz="0" w:space="0" w:color="auto"/>
        <w:right w:val="none" w:sz="0" w:space="0" w:color="auto"/>
      </w:divBdr>
    </w:div>
    <w:div w:id="1886211176">
      <w:marLeft w:val="0"/>
      <w:marRight w:val="0"/>
      <w:marTop w:val="180"/>
      <w:marBottom w:val="100"/>
      <w:divBdr>
        <w:top w:val="none" w:sz="0" w:space="0" w:color="auto"/>
        <w:left w:val="none" w:sz="0" w:space="0" w:color="auto"/>
        <w:bottom w:val="none" w:sz="0" w:space="0" w:color="auto"/>
        <w:right w:val="none" w:sz="0" w:space="0" w:color="auto"/>
      </w:divBdr>
    </w:div>
    <w:div w:id="1886211845">
      <w:marLeft w:val="0"/>
      <w:marRight w:val="0"/>
      <w:marTop w:val="0"/>
      <w:marBottom w:val="100"/>
      <w:divBdr>
        <w:top w:val="none" w:sz="0" w:space="0" w:color="auto"/>
        <w:left w:val="none" w:sz="0" w:space="0" w:color="auto"/>
        <w:bottom w:val="none" w:sz="0" w:space="0" w:color="auto"/>
        <w:right w:val="none" w:sz="0" w:space="0" w:color="auto"/>
      </w:divBdr>
    </w:div>
    <w:div w:id="1886330588">
      <w:marLeft w:val="0"/>
      <w:marRight w:val="0"/>
      <w:marTop w:val="100"/>
      <w:marBottom w:val="100"/>
      <w:divBdr>
        <w:top w:val="none" w:sz="0" w:space="0" w:color="auto"/>
        <w:left w:val="none" w:sz="0" w:space="0" w:color="auto"/>
        <w:bottom w:val="none" w:sz="0" w:space="0" w:color="auto"/>
        <w:right w:val="none" w:sz="0" w:space="0" w:color="auto"/>
      </w:divBdr>
    </w:div>
    <w:div w:id="1886797254">
      <w:marLeft w:val="0"/>
      <w:marRight w:val="0"/>
      <w:marTop w:val="100"/>
      <w:marBottom w:val="100"/>
      <w:divBdr>
        <w:top w:val="none" w:sz="0" w:space="0" w:color="auto"/>
        <w:left w:val="none" w:sz="0" w:space="0" w:color="auto"/>
        <w:bottom w:val="none" w:sz="0" w:space="0" w:color="auto"/>
        <w:right w:val="none" w:sz="0" w:space="0" w:color="auto"/>
      </w:divBdr>
    </w:div>
    <w:div w:id="1887065790">
      <w:marLeft w:val="0"/>
      <w:marRight w:val="0"/>
      <w:marTop w:val="0"/>
      <w:marBottom w:val="0"/>
      <w:divBdr>
        <w:top w:val="none" w:sz="0" w:space="0" w:color="auto"/>
        <w:left w:val="none" w:sz="0" w:space="0" w:color="auto"/>
        <w:bottom w:val="none" w:sz="0" w:space="0" w:color="auto"/>
        <w:right w:val="none" w:sz="0" w:space="0" w:color="auto"/>
      </w:divBdr>
    </w:div>
    <w:div w:id="1887599321">
      <w:marLeft w:val="0"/>
      <w:marRight w:val="0"/>
      <w:marTop w:val="0"/>
      <w:marBottom w:val="0"/>
      <w:divBdr>
        <w:top w:val="none" w:sz="0" w:space="0" w:color="auto"/>
        <w:left w:val="none" w:sz="0" w:space="0" w:color="auto"/>
        <w:bottom w:val="none" w:sz="0" w:space="0" w:color="auto"/>
        <w:right w:val="none" w:sz="0" w:space="0" w:color="auto"/>
      </w:divBdr>
    </w:div>
    <w:div w:id="1888224818">
      <w:marLeft w:val="0"/>
      <w:marRight w:val="0"/>
      <w:marTop w:val="0"/>
      <w:marBottom w:val="100"/>
      <w:divBdr>
        <w:top w:val="none" w:sz="0" w:space="0" w:color="auto"/>
        <w:left w:val="none" w:sz="0" w:space="0" w:color="auto"/>
        <w:bottom w:val="none" w:sz="0" w:space="0" w:color="auto"/>
        <w:right w:val="none" w:sz="0" w:space="0" w:color="auto"/>
      </w:divBdr>
    </w:div>
    <w:div w:id="1890190955">
      <w:marLeft w:val="0"/>
      <w:marRight w:val="0"/>
      <w:marTop w:val="0"/>
      <w:marBottom w:val="100"/>
      <w:divBdr>
        <w:top w:val="none" w:sz="0" w:space="0" w:color="auto"/>
        <w:left w:val="none" w:sz="0" w:space="0" w:color="auto"/>
        <w:bottom w:val="none" w:sz="0" w:space="0" w:color="auto"/>
        <w:right w:val="none" w:sz="0" w:space="0" w:color="auto"/>
      </w:divBdr>
    </w:div>
    <w:div w:id="1893927948">
      <w:marLeft w:val="0"/>
      <w:marRight w:val="0"/>
      <w:marTop w:val="0"/>
      <w:marBottom w:val="100"/>
      <w:divBdr>
        <w:top w:val="none" w:sz="0" w:space="0" w:color="auto"/>
        <w:left w:val="none" w:sz="0" w:space="0" w:color="auto"/>
        <w:bottom w:val="none" w:sz="0" w:space="0" w:color="auto"/>
        <w:right w:val="none" w:sz="0" w:space="0" w:color="auto"/>
      </w:divBdr>
    </w:div>
    <w:div w:id="1894732335">
      <w:marLeft w:val="0"/>
      <w:marRight w:val="0"/>
      <w:marTop w:val="100"/>
      <w:marBottom w:val="100"/>
      <w:divBdr>
        <w:top w:val="none" w:sz="0" w:space="0" w:color="auto"/>
        <w:left w:val="none" w:sz="0" w:space="0" w:color="auto"/>
        <w:bottom w:val="none" w:sz="0" w:space="0" w:color="auto"/>
        <w:right w:val="none" w:sz="0" w:space="0" w:color="auto"/>
      </w:divBdr>
    </w:div>
    <w:div w:id="1895434107">
      <w:marLeft w:val="0"/>
      <w:marRight w:val="0"/>
      <w:marTop w:val="0"/>
      <w:marBottom w:val="100"/>
      <w:divBdr>
        <w:top w:val="none" w:sz="0" w:space="0" w:color="auto"/>
        <w:left w:val="none" w:sz="0" w:space="0" w:color="auto"/>
        <w:bottom w:val="none" w:sz="0" w:space="0" w:color="auto"/>
        <w:right w:val="none" w:sz="0" w:space="0" w:color="auto"/>
      </w:divBdr>
    </w:div>
    <w:div w:id="1897276370">
      <w:marLeft w:val="0"/>
      <w:marRight w:val="0"/>
      <w:marTop w:val="100"/>
      <w:marBottom w:val="100"/>
      <w:divBdr>
        <w:top w:val="none" w:sz="0" w:space="0" w:color="auto"/>
        <w:left w:val="none" w:sz="0" w:space="0" w:color="auto"/>
        <w:bottom w:val="none" w:sz="0" w:space="0" w:color="auto"/>
        <w:right w:val="none" w:sz="0" w:space="0" w:color="auto"/>
      </w:divBdr>
    </w:div>
    <w:div w:id="1897545703">
      <w:marLeft w:val="0"/>
      <w:marRight w:val="0"/>
      <w:marTop w:val="0"/>
      <w:marBottom w:val="100"/>
      <w:divBdr>
        <w:top w:val="none" w:sz="0" w:space="0" w:color="auto"/>
        <w:left w:val="none" w:sz="0" w:space="0" w:color="auto"/>
        <w:bottom w:val="none" w:sz="0" w:space="0" w:color="auto"/>
        <w:right w:val="none" w:sz="0" w:space="0" w:color="auto"/>
      </w:divBdr>
    </w:div>
    <w:div w:id="1899323202">
      <w:marLeft w:val="0"/>
      <w:marRight w:val="0"/>
      <w:marTop w:val="100"/>
      <w:marBottom w:val="100"/>
      <w:divBdr>
        <w:top w:val="none" w:sz="0" w:space="0" w:color="auto"/>
        <w:left w:val="none" w:sz="0" w:space="0" w:color="auto"/>
        <w:bottom w:val="none" w:sz="0" w:space="0" w:color="auto"/>
        <w:right w:val="none" w:sz="0" w:space="0" w:color="auto"/>
      </w:divBdr>
    </w:div>
    <w:div w:id="1899707023">
      <w:marLeft w:val="0"/>
      <w:marRight w:val="0"/>
      <w:marTop w:val="0"/>
      <w:marBottom w:val="0"/>
      <w:divBdr>
        <w:top w:val="none" w:sz="0" w:space="0" w:color="auto"/>
        <w:left w:val="none" w:sz="0" w:space="0" w:color="auto"/>
        <w:bottom w:val="none" w:sz="0" w:space="0" w:color="auto"/>
        <w:right w:val="none" w:sz="0" w:space="0" w:color="auto"/>
      </w:divBdr>
    </w:div>
    <w:div w:id="1900046906">
      <w:marLeft w:val="0"/>
      <w:marRight w:val="0"/>
      <w:marTop w:val="0"/>
      <w:marBottom w:val="0"/>
      <w:divBdr>
        <w:top w:val="none" w:sz="0" w:space="0" w:color="auto"/>
        <w:left w:val="none" w:sz="0" w:space="0" w:color="auto"/>
        <w:bottom w:val="none" w:sz="0" w:space="0" w:color="auto"/>
        <w:right w:val="none" w:sz="0" w:space="0" w:color="auto"/>
      </w:divBdr>
    </w:div>
    <w:div w:id="1901017903">
      <w:marLeft w:val="0"/>
      <w:marRight w:val="0"/>
      <w:marTop w:val="0"/>
      <w:marBottom w:val="100"/>
      <w:divBdr>
        <w:top w:val="none" w:sz="0" w:space="0" w:color="auto"/>
        <w:left w:val="none" w:sz="0" w:space="0" w:color="auto"/>
        <w:bottom w:val="none" w:sz="0" w:space="0" w:color="auto"/>
        <w:right w:val="none" w:sz="0" w:space="0" w:color="auto"/>
      </w:divBdr>
    </w:div>
    <w:div w:id="1903248588">
      <w:marLeft w:val="0"/>
      <w:marRight w:val="0"/>
      <w:marTop w:val="100"/>
      <w:marBottom w:val="100"/>
      <w:divBdr>
        <w:top w:val="none" w:sz="0" w:space="0" w:color="auto"/>
        <w:left w:val="none" w:sz="0" w:space="0" w:color="auto"/>
        <w:bottom w:val="none" w:sz="0" w:space="0" w:color="auto"/>
        <w:right w:val="none" w:sz="0" w:space="0" w:color="auto"/>
      </w:divBdr>
    </w:div>
    <w:div w:id="1903441848">
      <w:marLeft w:val="0"/>
      <w:marRight w:val="0"/>
      <w:marTop w:val="0"/>
      <w:marBottom w:val="100"/>
      <w:divBdr>
        <w:top w:val="none" w:sz="0" w:space="0" w:color="auto"/>
        <w:left w:val="none" w:sz="0" w:space="0" w:color="auto"/>
        <w:bottom w:val="none" w:sz="0" w:space="0" w:color="auto"/>
        <w:right w:val="none" w:sz="0" w:space="0" w:color="auto"/>
      </w:divBdr>
    </w:div>
    <w:div w:id="1903638206">
      <w:marLeft w:val="0"/>
      <w:marRight w:val="0"/>
      <w:marTop w:val="280"/>
      <w:marBottom w:val="100"/>
      <w:divBdr>
        <w:top w:val="none" w:sz="0" w:space="0" w:color="auto"/>
        <w:left w:val="none" w:sz="0" w:space="0" w:color="auto"/>
        <w:bottom w:val="none" w:sz="0" w:space="0" w:color="auto"/>
        <w:right w:val="none" w:sz="0" w:space="0" w:color="auto"/>
      </w:divBdr>
    </w:div>
    <w:div w:id="1904636524">
      <w:marLeft w:val="0"/>
      <w:marRight w:val="0"/>
      <w:marTop w:val="0"/>
      <w:marBottom w:val="0"/>
      <w:divBdr>
        <w:top w:val="none" w:sz="0" w:space="0" w:color="auto"/>
        <w:left w:val="none" w:sz="0" w:space="0" w:color="auto"/>
        <w:bottom w:val="none" w:sz="0" w:space="0" w:color="auto"/>
        <w:right w:val="none" w:sz="0" w:space="0" w:color="auto"/>
      </w:divBdr>
      <w:divsChild>
        <w:div w:id="1037924176">
          <w:marLeft w:val="0"/>
          <w:marRight w:val="0"/>
          <w:marTop w:val="0"/>
          <w:marBottom w:val="0"/>
          <w:divBdr>
            <w:top w:val="none" w:sz="0" w:space="0" w:color="auto"/>
            <w:left w:val="none" w:sz="0" w:space="0" w:color="auto"/>
            <w:bottom w:val="none" w:sz="0" w:space="0" w:color="auto"/>
            <w:right w:val="none" w:sz="0" w:space="0" w:color="auto"/>
          </w:divBdr>
          <w:divsChild>
            <w:div w:id="12456054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05331783">
      <w:marLeft w:val="0"/>
      <w:marRight w:val="0"/>
      <w:marTop w:val="100"/>
      <w:marBottom w:val="100"/>
      <w:divBdr>
        <w:top w:val="none" w:sz="0" w:space="0" w:color="auto"/>
        <w:left w:val="none" w:sz="0" w:space="0" w:color="auto"/>
        <w:bottom w:val="none" w:sz="0" w:space="0" w:color="auto"/>
        <w:right w:val="none" w:sz="0" w:space="0" w:color="auto"/>
      </w:divBdr>
    </w:div>
    <w:div w:id="1908026081">
      <w:marLeft w:val="0"/>
      <w:marRight w:val="0"/>
      <w:marTop w:val="0"/>
      <w:marBottom w:val="100"/>
      <w:divBdr>
        <w:top w:val="none" w:sz="0" w:space="0" w:color="auto"/>
        <w:left w:val="none" w:sz="0" w:space="0" w:color="auto"/>
        <w:bottom w:val="none" w:sz="0" w:space="0" w:color="auto"/>
        <w:right w:val="none" w:sz="0" w:space="0" w:color="auto"/>
      </w:divBdr>
    </w:div>
    <w:div w:id="1908103283">
      <w:marLeft w:val="0"/>
      <w:marRight w:val="0"/>
      <w:marTop w:val="100"/>
      <w:marBottom w:val="0"/>
      <w:divBdr>
        <w:top w:val="none" w:sz="0" w:space="0" w:color="auto"/>
        <w:left w:val="none" w:sz="0" w:space="0" w:color="auto"/>
        <w:bottom w:val="none" w:sz="0" w:space="0" w:color="auto"/>
        <w:right w:val="none" w:sz="0" w:space="0" w:color="auto"/>
      </w:divBdr>
    </w:div>
    <w:div w:id="1908877533">
      <w:marLeft w:val="0"/>
      <w:marRight w:val="0"/>
      <w:marTop w:val="0"/>
      <w:marBottom w:val="0"/>
      <w:divBdr>
        <w:top w:val="none" w:sz="0" w:space="0" w:color="auto"/>
        <w:left w:val="none" w:sz="0" w:space="0" w:color="auto"/>
        <w:bottom w:val="none" w:sz="0" w:space="0" w:color="auto"/>
        <w:right w:val="none" w:sz="0" w:space="0" w:color="auto"/>
      </w:divBdr>
    </w:div>
    <w:div w:id="1912153647">
      <w:marLeft w:val="0"/>
      <w:marRight w:val="0"/>
      <w:marTop w:val="0"/>
      <w:marBottom w:val="0"/>
      <w:divBdr>
        <w:top w:val="none" w:sz="0" w:space="0" w:color="auto"/>
        <w:left w:val="none" w:sz="0" w:space="0" w:color="auto"/>
        <w:bottom w:val="none" w:sz="0" w:space="0" w:color="auto"/>
        <w:right w:val="none" w:sz="0" w:space="0" w:color="auto"/>
      </w:divBdr>
    </w:div>
    <w:div w:id="1913270674">
      <w:marLeft w:val="0"/>
      <w:marRight w:val="0"/>
      <w:marTop w:val="180"/>
      <w:marBottom w:val="100"/>
      <w:divBdr>
        <w:top w:val="none" w:sz="0" w:space="0" w:color="auto"/>
        <w:left w:val="none" w:sz="0" w:space="0" w:color="auto"/>
        <w:bottom w:val="none" w:sz="0" w:space="0" w:color="auto"/>
        <w:right w:val="none" w:sz="0" w:space="0" w:color="auto"/>
      </w:divBdr>
    </w:div>
    <w:div w:id="1913932078">
      <w:marLeft w:val="0"/>
      <w:marRight w:val="0"/>
      <w:marTop w:val="0"/>
      <w:marBottom w:val="0"/>
      <w:divBdr>
        <w:top w:val="none" w:sz="0" w:space="0" w:color="auto"/>
        <w:left w:val="none" w:sz="0" w:space="0" w:color="auto"/>
        <w:bottom w:val="none" w:sz="0" w:space="0" w:color="auto"/>
        <w:right w:val="none" w:sz="0" w:space="0" w:color="auto"/>
      </w:divBdr>
    </w:div>
    <w:div w:id="1914005528">
      <w:marLeft w:val="0"/>
      <w:marRight w:val="0"/>
      <w:marTop w:val="100"/>
      <w:marBottom w:val="0"/>
      <w:divBdr>
        <w:top w:val="none" w:sz="0" w:space="0" w:color="auto"/>
        <w:left w:val="none" w:sz="0" w:space="0" w:color="auto"/>
        <w:bottom w:val="none" w:sz="0" w:space="0" w:color="auto"/>
        <w:right w:val="none" w:sz="0" w:space="0" w:color="auto"/>
      </w:divBdr>
    </w:div>
    <w:div w:id="1915159925">
      <w:marLeft w:val="0"/>
      <w:marRight w:val="0"/>
      <w:marTop w:val="100"/>
      <w:marBottom w:val="100"/>
      <w:divBdr>
        <w:top w:val="none" w:sz="0" w:space="0" w:color="auto"/>
        <w:left w:val="none" w:sz="0" w:space="0" w:color="auto"/>
        <w:bottom w:val="none" w:sz="0" w:space="0" w:color="auto"/>
        <w:right w:val="none" w:sz="0" w:space="0" w:color="auto"/>
      </w:divBdr>
    </w:div>
    <w:div w:id="1916931380">
      <w:marLeft w:val="0"/>
      <w:marRight w:val="0"/>
      <w:marTop w:val="0"/>
      <w:marBottom w:val="0"/>
      <w:divBdr>
        <w:top w:val="none" w:sz="0" w:space="0" w:color="auto"/>
        <w:left w:val="none" w:sz="0" w:space="0" w:color="auto"/>
        <w:bottom w:val="none" w:sz="0" w:space="0" w:color="auto"/>
        <w:right w:val="none" w:sz="0" w:space="0" w:color="auto"/>
      </w:divBdr>
    </w:div>
    <w:div w:id="1920170975">
      <w:marLeft w:val="0"/>
      <w:marRight w:val="0"/>
      <w:marTop w:val="100"/>
      <w:marBottom w:val="100"/>
      <w:divBdr>
        <w:top w:val="none" w:sz="0" w:space="0" w:color="auto"/>
        <w:left w:val="none" w:sz="0" w:space="0" w:color="auto"/>
        <w:bottom w:val="none" w:sz="0" w:space="0" w:color="auto"/>
        <w:right w:val="none" w:sz="0" w:space="0" w:color="auto"/>
      </w:divBdr>
    </w:div>
    <w:div w:id="1920560067">
      <w:marLeft w:val="0"/>
      <w:marRight w:val="0"/>
      <w:marTop w:val="180"/>
      <w:marBottom w:val="0"/>
      <w:divBdr>
        <w:top w:val="none" w:sz="0" w:space="0" w:color="auto"/>
        <w:left w:val="none" w:sz="0" w:space="0" w:color="auto"/>
        <w:bottom w:val="none" w:sz="0" w:space="0" w:color="auto"/>
        <w:right w:val="none" w:sz="0" w:space="0" w:color="auto"/>
      </w:divBdr>
    </w:div>
    <w:div w:id="1920678031">
      <w:marLeft w:val="0"/>
      <w:marRight w:val="0"/>
      <w:marTop w:val="180"/>
      <w:marBottom w:val="100"/>
      <w:divBdr>
        <w:top w:val="none" w:sz="0" w:space="0" w:color="auto"/>
        <w:left w:val="none" w:sz="0" w:space="0" w:color="auto"/>
        <w:bottom w:val="none" w:sz="0" w:space="0" w:color="auto"/>
        <w:right w:val="none" w:sz="0" w:space="0" w:color="auto"/>
      </w:divBdr>
    </w:div>
    <w:div w:id="1925796016">
      <w:marLeft w:val="0"/>
      <w:marRight w:val="0"/>
      <w:marTop w:val="180"/>
      <w:marBottom w:val="0"/>
      <w:divBdr>
        <w:top w:val="none" w:sz="0" w:space="0" w:color="auto"/>
        <w:left w:val="none" w:sz="0" w:space="0" w:color="auto"/>
        <w:bottom w:val="none" w:sz="0" w:space="0" w:color="auto"/>
        <w:right w:val="none" w:sz="0" w:space="0" w:color="auto"/>
      </w:divBdr>
    </w:div>
    <w:div w:id="1926381366">
      <w:marLeft w:val="0"/>
      <w:marRight w:val="0"/>
      <w:marTop w:val="100"/>
      <w:marBottom w:val="100"/>
      <w:divBdr>
        <w:top w:val="none" w:sz="0" w:space="0" w:color="auto"/>
        <w:left w:val="none" w:sz="0" w:space="0" w:color="auto"/>
        <w:bottom w:val="none" w:sz="0" w:space="0" w:color="auto"/>
        <w:right w:val="none" w:sz="0" w:space="0" w:color="auto"/>
      </w:divBdr>
    </w:div>
    <w:div w:id="1926648791">
      <w:marLeft w:val="0"/>
      <w:marRight w:val="0"/>
      <w:marTop w:val="180"/>
      <w:marBottom w:val="100"/>
      <w:divBdr>
        <w:top w:val="none" w:sz="0" w:space="0" w:color="auto"/>
        <w:left w:val="none" w:sz="0" w:space="0" w:color="auto"/>
        <w:bottom w:val="none" w:sz="0" w:space="0" w:color="auto"/>
        <w:right w:val="none" w:sz="0" w:space="0" w:color="auto"/>
      </w:divBdr>
    </w:div>
    <w:div w:id="1927883459">
      <w:marLeft w:val="0"/>
      <w:marRight w:val="0"/>
      <w:marTop w:val="100"/>
      <w:marBottom w:val="100"/>
      <w:divBdr>
        <w:top w:val="none" w:sz="0" w:space="0" w:color="auto"/>
        <w:left w:val="none" w:sz="0" w:space="0" w:color="auto"/>
        <w:bottom w:val="none" w:sz="0" w:space="0" w:color="auto"/>
        <w:right w:val="none" w:sz="0" w:space="0" w:color="auto"/>
      </w:divBdr>
    </w:div>
    <w:div w:id="1934120914">
      <w:marLeft w:val="0"/>
      <w:marRight w:val="0"/>
      <w:marTop w:val="0"/>
      <w:marBottom w:val="100"/>
      <w:divBdr>
        <w:top w:val="none" w:sz="0" w:space="0" w:color="auto"/>
        <w:left w:val="none" w:sz="0" w:space="0" w:color="auto"/>
        <w:bottom w:val="none" w:sz="0" w:space="0" w:color="auto"/>
        <w:right w:val="none" w:sz="0" w:space="0" w:color="auto"/>
      </w:divBdr>
    </w:div>
    <w:div w:id="1934774964">
      <w:marLeft w:val="0"/>
      <w:marRight w:val="0"/>
      <w:marTop w:val="100"/>
      <w:marBottom w:val="100"/>
      <w:divBdr>
        <w:top w:val="none" w:sz="0" w:space="0" w:color="auto"/>
        <w:left w:val="none" w:sz="0" w:space="0" w:color="auto"/>
        <w:bottom w:val="none" w:sz="0" w:space="0" w:color="auto"/>
        <w:right w:val="none" w:sz="0" w:space="0" w:color="auto"/>
      </w:divBdr>
    </w:div>
    <w:div w:id="1935434120">
      <w:marLeft w:val="0"/>
      <w:marRight w:val="0"/>
      <w:marTop w:val="0"/>
      <w:marBottom w:val="100"/>
      <w:divBdr>
        <w:top w:val="none" w:sz="0" w:space="0" w:color="auto"/>
        <w:left w:val="none" w:sz="0" w:space="0" w:color="auto"/>
        <w:bottom w:val="none" w:sz="0" w:space="0" w:color="auto"/>
        <w:right w:val="none" w:sz="0" w:space="0" w:color="auto"/>
      </w:divBdr>
    </w:div>
    <w:div w:id="1935941582">
      <w:marLeft w:val="0"/>
      <w:marRight w:val="0"/>
      <w:marTop w:val="100"/>
      <w:marBottom w:val="100"/>
      <w:divBdr>
        <w:top w:val="none" w:sz="0" w:space="0" w:color="auto"/>
        <w:left w:val="none" w:sz="0" w:space="0" w:color="auto"/>
        <w:bottom w:val="none" w:sz="0" w:space="0" w:color="auto"/>
        <w:right w:val="none" w:sz="0" w:space="0" w:color="auto"/>
      </w:divBdr>
    </w:div>
    <w:div w:id="1936984934">
      <w:marLeft w:val="0"/>
      <w:marRight w:val="0"/>
      <w:marTop w:val="0"/>
      <w:marBottom w:val="100"/>
      <w:divBdr>
        <w:top w:val="none" w:sz="0" w:space="0" w:color="auto"/>
        <w:left w:val="none" w:sz="0" w:space="0" w:color="auto"/>
        <w:bottom w:val="none" w:sz="0" w:space="0" w:color="auto"/>
        <w:right w:val="none" w:sz="0" w:space="0" w:color="auto"/>
      </w:divBdr>
    </w:div>
    <w:div w:id="1937251181">
      <w:marLeft w:val="0"/>
      <w:marRight w:val="0"/>
      <w:marTop w:val="0"/>
      <w:marBottom w:val="100"/>
      <w:divBdr>
        <w:top w:val="none" w:sz="0" w:space="0" w:color="auto"/>
        <w:left w:val="none" w:sz="0" w:space="0" w:color="auto"/>
        <w:bottom w:val="none" w:sz="0" w:space="0" w:color="auto"/>
        <w:right w:val="none" w:sz="0" w:space="0" w:color="auto"/>
      </w:divBdr>
    </w:div>
    <w:div w:id="1937589088">
      <w:marLeft w:val="0"/>
      <w:marRight w:val="0"/>
      <w:marTop w:val="90"/>
      <w:marBottom w:val="0"/>
      <w:divBdr>
        <w:top w:val="none" w:sz="0" w:space="0" w:color="auto"/>
        <w:left w:val="none" w:sz="0" w:space="0" w:color="auto"/>
        <w:bottom w:val="none" w:sz="0" w:space="0" w:color="auto"/>
        <w:right w:val="none" w:sz="0" w:space="0" w:color="auto"/>
      </w:divBdr>
    </w:div>
    <w:div w:id="1937707285">
      <w:marLeft w:val="0"/>
      <w:marRight w:val="0"/>
      <w:marTop w:val="0"/>
      <w:marBottom w:val="0"/>
      <w:divBdr>
        <w:top w:val="none" w:sz="0" w:space="0" w:color="auto"/>
        <w:left w:val="none" w:sz="0" w:space="0" w:color="auto"/>
        <w:bottom w:val="none" w:sz="0" w:space="0" w:color="auto"/>
        <w:right w:val="none" w:sz="0" w:space="0" w:color="auto"/>
      </w:divBdr>
    </w:div>
    <w:div w:id="1938711071">
      <w:marLeft w:val="0"/>
      <w:marRight w:val="0"/>
      <w:marTop w:val="0"/>
      <w:marBottom w:val="0"/>
      <w:divBdr>
        <w:top w:val="none" w:sz="0" w:space="0" w:color="auto"/>
        <w:left w:val="none" w:sz="0" w:space="0" w:color="auto"/>
        <w:bottom w:val="none" w:sz="0" w:space="0" w:color="auto"/>
        <w:right w:val="none" w:sz="0" w:space="0" w:color="auto"/>
      </w:divBdr>
    </w:div>
    <w:div w:id="1938948670">
      <w:marLeft w:val="0"/>
      <w:marRight w:val="0"/>
      <w:marTop w:val="180"/>
      <w:marBottom w:val="0"/>
      <w:divBdr>
        <w:top w:val="none" w:sz="0" w:space="0" w:color="auto"/>
        <w:left w:val="none" w:sz="0" w:space="0" w:color="auto"/>
        <w:bottom w:val="none" w:sz="0" w:space="0" w:color="auto"/>
        <w:right w:val="none" w:sz="0" w:space="0" w:color="auto"/>
      </w:divBdr>
    </w:div>
    <w:div w:id="1940064098">
      <w:marLeft w:val="0"/>
      <w:marRight w:val="0"/>
      <w:marTop w:val="100"/>
      <w:marBottom w:val="100"/>
      <w:divBdr>
        <w:top w:val="none" w:sz="0" w:space="0" w:color="auto"/>
        <w:left w:val="none" w:sz="0" w:space="0" w:color="auto"/>
        <w:bottom w:val="none" w:sz="0" w:space="0" w:color="auto"/>
        <w:right w:val="none" w:sz="0" w:space="0" w:color="auto"/>
      </w:divBdr>
    </w:div>
    <w:div w:id="1941331747">
      <w:marLeft w:val="0"/>
      <w:marRight w:val="0"/>
      <w:marTop w:val="180"/>
      <w:marBottom w:val="0"/>
      <w:divBdr>
        <w:top w:val="none" w:sz="0" w:space="0" w:color="auto"/>
        <w:left w:val="none" w:sz="0" w:space="0" w:color="auto"/>
        <w:bottom w:val="none" w:sz="0" w:space="0" w:color="auto"/>
        <w:right w:val="none" w:sz="0" w:space="0" w:color="auto"/>
      </w:divBdr>
    </w:div>
    <w:div w:id="1942833445">
      <w:marLeft w:val="0"/>
      <w:marRight w:val="0"/>
      <w:marTop w:val="0"/>
      <w:marBottom w:val="100"/>
      <w:divBdr>
        <w:top w:val="none" w:sz="0" w:space="0" w:color="auto"/>
        <w:left w:val="none" w:sz="0" w:space="0" w:color="auto"/>
        <w:bottom w:val="none" w:sz="0" w:space="0" w:color="auto"/>
        <w:right w:val="none" w:sz="0" w:space="0" w:color="auto"/>
      </w:divBdr>
    </w:div>
    <w:div w:id="1944336214">
      <w:marLeft w:val="0"/>
      <w:marRight w:val="0"/>
      <w:marTop w:val="180"/>
      <w:marBottom w:val="0"/>
      <w:divBdr>
        <w:top w:val="none" w:sz="0" w:space="0" w:color="auto"/>
        <w:left w:val="none" w:sz="0" w:space="0" w:color="auto"/>
        <w:bottom w:val="none" w:sz="0" w:space="0" w:color="auto"/>
        <w:right w:val="none" w:sz="0" w:space="0" w:color="auto"/>
      </w:divBdr>
    </w:div>
    <w:div w:id="1944532942">
      <w:marLeft w:val="0"/>
      <w:marRight w:val="0"/>
      <w:marTop w:val="0"/>
      <w:marBottom w:val="100"/>
      <w:divBdr>
        <w:top w:val="none" w:sz="0" w:space="0" w:color="auto"/>
        <w:left w:val="none" w:sz="0" w:space="0" w:color="auto"/>
        <w:bottom w:val="none" w:sz="0" w:space="0" w:color="auto"/>
        <w:right w:val="none" w:sz="0" w:space="0" w:color="auto"/>
      </w:divBdr>
    </w:div>
    <w:div w:id="1944725729">
      <w:marLeft w:val="0"/>
      <w:marRight w:val="0"/>
      <w:marTop w:val="100"/>
      <w:marBottom w:val="100"/>
      <w:divBdr>
        <w:top w:val="none" w:sz="0" w:space="0" w:color="auto"/>
        <w:left w:val="none" w:sz="0" w:space="0" w:color="auto"/>
        <w:bottom w:val="none" w:sz="0" w:space="0" w:color="auto"/>
        <w:right w:val="none" w:sz="0" w:space="0" w:color="auto"/>
      </w:divBdr>
    </w:div>
    <w:div w:id="1946032930">
      <w:marLeft w:val="0"/>
      <w:marRight w:val="0"/>
      <w:marTop w:val="100"/>
      <w:marBottom w:val="0"/>
      <w:divBdr>
        <w:top w:val="none" w:sz="0" w:space="0" w:color="auto"/>
        <w:left w:val="none" w:sz="0" w:space="0" w:color="auto"/>
        <w:bottom w:val="none" w:sz="0" w:space="0" w:color="auto"/>
        <w:right w:val="none" w:sz="0" w:space="0" w:color="auto"/>
      </w:divBdr>
    </w:div>
    <w:div w:id="1947106522">
      <w:marLeft w:val="0"/>
      <w:marRight w:val="0"/>
      <w:marTop w:val="180"/>
      <w:marBottom w:val="0"/>
      <w:divBdr>
        <w:top w:val="none" w:sz="0" w:space="0" w:color="auto"/>
        <w:left w:val="none" w:sz="0" w:space="0" w:color="auto"/>
        <w:bottom w:val="none" w:sz="0" w:space="0" w:color="auto"/>
        <w:right w:val="none" w:sz="0" w:space="0" w:color="auto"/>
      </w:divBdr>
    </w:div>
    <w:div w:id="1947227231">
      <w:marLeft w:val="0"/>
      <w:marRight w:val="0"/>
      <w:marTop w:val="100"/>
      <w:marBottom w:val="100"/>
      <w:divBdr>
        <w:top w:val="none" w:sz="0" w:space="0" w:color="auto"/>
        <w:left w:val="none" w:sz="0" w:space="0" w:color="auto"/>
        <w:bottom w:val="none" w:sz="0" w:space="0" w:color="auto"/>
        <w:right w:val="none" w:sz="0" w:space="0" w:color="auto"/>
      </w:divBdr>
    </w:div>
    <w:div w:id="1947930385">
      <w:marLeft w:val="0"/>
      <w:marRight w:val="0"/>
      <w:marTop w:val="100"/>
      <w:marBottom w:val="100"/>
      <w:divBdr>
        <w:top w:val="none" w:sz="0" w:space="0" w:color="auto"/>
        <w:left w:val="none" w:sz="0" w:space="0" w:color="auto"/>
        <w:bottom w:val="none" w:sz="0" w:space="0" w:color="auto"/>
        <w:right w:val="none" w:sz="0" w:space="0" w:color="auto"/>
      </w:divBdr>
    </w:div>
    <w:div w:id="1949120123">
      <w:marLeft w:val="0"/>
      <w:marRight w:val="0"/>
      <w:marTop w:val="180"/>
      <w:marBottom w:val="100"/>
      <w:divBdr>
        <w:top w:val="none" w:sz="0" w:space="0" w:color="auto"/>
        <w:left w:val="none" w:sz="0" w:space="0" w:color="auto"/>
        <w:bottom w:val="none" w:sz="0" w:space="0" w:color="auto"/>
        <w:right w:val="none" w:sz="0" w:space="0" w:color="auto"/>
      </w:divBdr>
    </w:div>
    <w:div w:id="1951158983">
      <w:marLeft w:val="0"/>
      <w:marRight w:val="0"/>
      <w:marTop w:val="100"/>
      <w:marBottom w:val="100"/>
      <w:divBdr>
        <w:top w:val="none" w:sz="0" w:space="0" w:color="auto"/>
        <w:left w:val="none" w:sz="0" w:space="0" w:color="auto"/>
        <w:bottom w:val="none" w:sz="0" w:space="0" w:color="auto"/>
        <w:right w:val="none" w:sz="0" w:space="0" w:color="auto"/>
      </w:divBdr>
    </w:div>
    <w:div w:id="1952782571">
      <w:marLeft w:val="0"/>
      <w:marRight w:val="0"/>
      <w:marTop w:val="200"/>
      <w:marBottom w:val="100"/>
      <w:divBdr>
        <w:top w:val="none" w:sz="0" w:space="0" w:color="auto"/>
        <w:left w:val="none" w:sz="0" w:space="0" w:color="auto"/>
        <w:bottom w:val="none" w:sz="0" w:space="0" w:color="auto"/>
        <w:right w:val="none" w:sz="0" w:space="0" w:color="auto"/>
      </w:divBdr>
      <w:divsChild>
        <w:div w:id="135882965">
          <w:marLeft w:val="0"/>
          <w:marRight w:val="0"/>
          <w:marTop w:val="0"/>
          <w:marBottom w:val="0"/>
          <w:divBdr>
            <w:top w:val="none" w:sz="0" w:space="0" w:color="auto"/>
            <w:left w:val="none" w:sz="0" w:space="0" w:color="auto"/>
            <w:bottom w:val="none" w:sz="0" w:space="0" w:color="auto"/>
            <w:right w:val="none" w:sz="0" w:space="0" w:color="auto"/>
          </w:divBdr>
        </w:div>
      </w:divsChild>
    </w:div>
    <w:div w:id="1953052570">
      <w:marLeft w:val="0"/>
      <w:marRight w:val="0"/>
      <w:marTop w:val="100"/>
      <w:marBottom w:val="100"/>
      <w:divBdr>
        <w:top w:val="none" w:sz="0" w:space="0" w:color="auto"/>
        <w:left w:val="none" w:sz="0" w:space="0" w:color="auto"/>
        <w:bottom w:val="none" w:sz="0" w:space="0" w:color="auto"/>
        <w:right w:val="none" w:sz="0" w:space="0" w:color="auto"/>
      </w:divBdr>
    </w:div>
    <w:div w:id="1953240555">
      <w:marLeft w:val="0"/>
      <w:marRight w:val="0"/>
      <w:marTop w:val="100"/>
      <w:marBottom w:val="100"/>
      <w:divBdr>
        <w:top w:val="none" w:sz="0" w:space="0" w:color="auto"/>
        <w:left w:val="none" w:sz="0" w:space="0" w:color="auto"/>
        <w:bottom w:val="none" w:sz="0" w:space="0" w:color="auto"/>
        <w:right w:val="none" w:sz="0" w:space="0" w:color="auto"/>
      </w:divBdr>
    </w:div>
    <w:div w:id="1954357080">
      <w:marLeft w:val="0"/>
      <w:marRight w:val="0"/>
      <w:marTop w:val="0"/>
      <w:marBottom w:val="0"/>
      <w:divBdr>
        <w:top w:val="none" w:sz="0" w:space="0" w:color="auto"/>
        <w:left w:val="none" w:sz="0" w:space="0" w:color="auto"/>
        <w:bottom w:val="none" w:sz="0" w:space="0" w:color="auto"/>
        <w:right w:val="none" w:sz="0" w:space="0" w:color="auto"/>
      </w:divBdr>
      <w:divsChild>
        <w:div w:id="281112353">
          <w:marLeft w:val="0"/>
          <w:marRight w:val="0"/>
          <w:marTop w:val="0"/>
          <w:marBottom w:val="100"/>
          <w:divBdr>
            <w:top w:val="none" w:sz="0" w:space="0" w:color="auto"/>
            <w:left w:val="none" w:sz="0" w:space="0" w:color="auto"/>
            <w:bottom w:val="none" w:sz="0" w:space="0" w:color="auto"/>
            <w:right w:val="none" w:sz="0" w:space="0" w:color="auto"/>
          </w:divBdr>
        </w:div>
      </w:divsChild>
    </w:div>
    <w:div w:id="1956056816">
      <w:marLeft w:val="0"/>
      <w:marRight w:val="0"/>
      <w:marTop w:val="0"/>
      <w:marBottom w:val="0"/>
      <w:divBdr>
        <w:top w:val="none" w:sz="0" w:space="0" w:color="auto"/>
        <w:left w:val="none" w:sz="0" w:space="0" w:color="auto"/>
        <w:bottom w:val="none" w:sz="0" w:space="0" w:color="auto"/>
        <w:right w:val="none" w:sz="0" w:space="0" w:color="auto"/>
      </w:divBdr>
    </w:div>
    <w:div w:id="1957905715">
      <w:marLeft w:val="0"/>
      <w:marRight w:val="0"/>
      <w:marTop w:val="0"/>
      <w:marBottom w:val="0"/>
      <w:divBdr>
        <w:top w:val="none" w:sz="0" w:space="0" w:color="auto"/>
        <w:left w:val="none" w:sz="0" w:space="0" w:color="auto"/>
        <w:bottom w:val="none" w:sz="0" w:space="0" w:color="auto"/>
        <w:right w:val="none" w:sz="0" w:space="0" w:color="auto"/>
      </w:divBdr>
      <w:divsChild>
        <w:div w:id="1613397317">
          <w:marLeft w:val="0"/>
          <w:marRight w:val="0"/>
          <w:marTop w:val="0"/>
          <w:marBottom w:val="0"/>
          <w:divBdr>
            <w:top w:val="none" w:sz="0" w:space="0" w:color="auto"/>
            <w:left w:val="none" w:sz="0" w:space="0" w:color="auto"/>
            <w:bottom w:val="none" w:sz="0" w:space="0" w:color="auto"/>
            <w:right w:val="none" w:sz="0" w:space="0" w:color="auto"/>
          </w:divBdr>
          <w:divsChild>
            <w:div w:id="188652146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59339012">
      <w:marLeft w:val="0"/>
      <w:marRight w:val="0"/>
      <w:marTop w:val="180"/>
      <w:marBottom w:val="100"/>
      <w:divBdr>
        <w:top w:val="none" w:sz="0" w:space="0" w:color="auto"/>
        <w:left w:val="none" w:sz="0" w:space="0" w:color="auto"/>
        <w:bottom w:val="none" w:sz="0" w:space="0" w:color="auto"/>
        <w:right w:val="none" w:sz="0" w:space="0" w:color="auto"/>
      </w:divBdr>
    </w:div>
    <w:div w:id="1960867606">
      <w:marLeft w:val="0"/>
      <w:marRight w:val="0"/>
      <w:marTop w:val="180"/>
      <w:marBottom w:val="100"/>
      <w:divBdr>
        <w:top w:val="none" w:sz="0" w:space="0" w:color="auto"/>
        <w:left w:val="none" w:sz="0" w:space="0" w:color="auto"/>
        <w:bottom w:val="none" w:sz="0" w:space="0" w:color="auto"/>
        <w:right w:val="none" w:sz="0" w:space="0" w:color="auto"/>
      </w:divBdr>
    </w:div>
    <w:div w:id="1961260729">
      <w:marLeft w:val="0"/>
      <w:marRight w:val="0"/>
      <w:marTop w:val="100"/>
      <w:marBottom w:val="100"/>
      <w:divBdr>
        <w:top w:val="none" w:sz="0" w:space="0" w:color="auto"/>
        <w:left w:val="none" w:sz="0" w:space="0" w:color="auto"/>
        <w:bottom w:val="none" w:sz="0" w:space="0" w:color="auto"/>
        <w:right w:val="none" w:sz="0" w:space="0" w:color="auto"/>
      </w:divBdr>
    </w:div>
    <w:div w:id="1961957525">
      <w:marLeft w:val="0"/>
      <w:marRight w:val="0"/>
      <w:marTop w:val="180"/>
      <w:marBottom w:val="100"/>
      <w:divBdr>
        <w:top w:val="none" w:sz="0" w:space="0" w:color="auto"/>
        <w:left w:val="none" w:sz="0" w:space="0" w:color="auto"/>
        <w:bottom w:val="none" w:sz="0" w:space="0" w:color="auto"/>
        <w:right w:val="none" w:sz="0" w:space="0" w:color="auto"/>
      </w:divBdr>
    </w:div>
    <w:div w:id="1962225020">
      <w:marLeft w:val="0"/>
      <w:marRight w:val="0"/>
      <w:marTop w:val="0"/>
      <w:marBottom w:val="100"/>
      <w:divBdr>
        <w:top w:val="none" w:sz="0" w:space="0" w:color="auto"/>
        <w:left w:val="none" w:sz="0" w:space="0" w:color="auto"/>
        <w:bottom w:val="none" w:sz="0" w:space="0" w:color="auto"/>
        <w:right w:val="none" w:sz="0" w:space="0" w:color="auto"/>
      </w:divBdr>
    </w:div>
    <w:div w:id="1962300325">
      <w:marLeft w:val="0"/>
      <w:marRight w:val="0"/>
      <w:marTop w:val="100"/>
      <w:marBottom w:val="100"/>
      <w:divBdr>
        <w:top w:val="none" w:sz="0" w:space="0" w:color="auto"/>
        <w:left w:val="none" w:sz="0" w:space="0" w:color="auto"/>
        <w:bottom w:val="none" w:sz="0" w:space="0" w:color="auto"/>
        <w:right w:val="none" w:sz="0" w:space="0" w:color="auto"/>
      </w:divBdr>
    </w:div>
    <w:div w:id="1962419228">
      <w:marLeft w:val="0"/>
      <w:marRight w:val="0"/>
      <w:marTop w:val="0"/>
      <w:marBottom w:val="0"/>
      <w:divBdr>
        <w:top w:val="none" w:sz="0" w:space="0" w:color="auto"/>
        <w:left w:val="none" w:sz="0" w:space="0" w:color="auto"/>
        <w:bottom w:val="none" w:sz="0" w:space="0" w:color="auto"/>
        <w:right w:val="none" w:sz="0" w:space="0" w:color="auto"/>
      </w:divBdr>
    </w:div>
    <w:div w:id="1962612946">
      <w:marLeft w:val="0"/>
      <w:marRight w:val="0"/>
      <w:marTop w:val="100"/>
      <w:marBottom w:val="100"/>
      <w:divBdr>
        <w:top w:val="none" w:sz="0" w:space="0" w:color="auto"/>
        <w:left w:val="none" w:sz="0" w:space="0" w:color="auto"/>
        <w:bottom w:val="none" w:sz="0" w:space="0" w:color="auto"/>
        <w:right w:val="none" w:sz="0" w:space="0" w:color="auto"/>
      </w:divBdr>
    </w:div>
    <w:div w:id="1963728649">
      <w:marLeft w:val="0"/>
      <w:marRight w:val="0"/>
      <w:marTop w:val="100"/>
      <w:marBottom w:val="100"/>
      <w:divBdr>
        <w:top w:val="none" w:sz="0" w:space="0" w:color="auto"/>
        <w:left w:val="none" w:sz="0" w:space="0" w:color="auto"/>
        <w:bottom w:val="none" w:sz="0" w:space="0" w:color="auto"/>
        <w:right w:val="none" w:sz="0" w:space="0" w:color="auto"/>
      </w:divBdr>
    </w:div>
    <w:div w:id="1963878109">
      <w:marLeft w:val="0"/>
      <w:marRight w:val="0"/>
      <w:marTop w:val="180"/>
      <w:marBottom w:val="0"/>
      <w:divBdr>
        <w:top w:val="none" w:sz="0" w:space="0" w:color="auto"/>
        <w:left w:val="none" w:sz="0" w:space="0" w:color="auto"/>
        <w:bottom w:val="none" w:sz="0" w:space="0" w:color="auto"/>
        <w:right w:val="none" w:sz="0" w:space="0" w:color="auto"/>
      </w:divBdr>
    </w:div>
    <w:div w:id="1963925100">
      <w:marLeft w:val="0"/>
      <w:marRight w:val="0"/>
      <w:marTop w:val="0"/>
      <w:marBottom w:val="100"/>
      <w:divBdr>
        <w:top w:val="none" w:sz="0" w:space="0" w:color="auto"/>
        <w:left w:val="none" w:sz="0" w:space="0" w:color="auto"/>
        <w:bottom w:val="none" w:sz="0" w:space="0" w:color="auto"/>
        <w:right w:val="none" w:sz="0" w:space="0" w:color="auto"/>
      </w:divBdr>
    </w:div>
    <w:div w:id="1964146260">
      <w:marLeft w:val="0"/>
      <w:marRight w:val="0"/>
      <w:marTop w:val="100"/>
      <w:marBottom w:val="100"/>
      <w:divBdr>
        <w:top w:val="none" w:sz="0" w:space="0" w:color="auto"/>
        <w:left w:val="none" w:sz="0" w:space="0" w:color="auto"/>
        <w:bottom w:val="none" w:sz="0" w:space="0" w:color="auto"/>
        <w:right w:val="none" w:sz="0" w:space="0" w:color="auto"/>
      </w:divBdr>
    </w:div>
    <w:div w:id="1964916914">
      <w:marLeft w:val="0"/>
      <w:marRight w:val="0"/>
      <w:marTop w:val="180"/>
      <w:marBottom w:val="100"/>
      <w:divBdr>
        <w:top w:val="none" w:sz="0" w:space="0" w:color="auto"/>
        <w:left w:val="none" w:sz="0" w:space="0" w:color="auto"/>
        <w:bottom w:val="none" w:sz="0" w:space="0" w:color="auto"/>
        <w:right w:val="none" w:sz="0" w:space="0" w:color="auto"/>
      </w:divBdr>
    </w:div>
    <w:div w:id="1965110405">
      <w:marLeft w:val="0"/>
      <w:marRight w:val="0"/>
      <w:marTop w:val="100"/>
      <w:marBottom w:val="100"/>
      <w:divBdr>
        <w:top w:val="none" w:sz="0" w:space="0" w:color="auto"/>
        <w:left w:val="none" w:sz="0" w:space="0" w:color="auto"/>
        <w:bottom w:val="none" w:sz="0" w:space="0" w:color="auto"/>
        <w:right w:val="none" w:sz="0" w:space="0" w:color="auto"/>
      </w:divBdr>
    </w:div>
    <w:div w:id="1967732468">
      <w:marLeft w:val="0"/>
      <w:marRight w:val="0"/>
      <w:marTop w:val="0"/>
      <w:marBottom w:val="100"/>
      <w:divBdr>
        <w:top w:val="none" w:sz="0" w:space="0" w:color="auto"/>
        <w:left w:val="none" w:sz="0" w:space="0" w:color="auto"/>
        <w:bottom w:val="none" w:sz="0" w:space="0" w:color="auto"/>
        <w:right w:val="none" w:sz="0" w:space="0" w:color="auto"/>
      </w:divBdr>
    </w:div>
    <w:div w:id="1968391440">
      <w:marLeft w:val="0"/>
      <w:marRight w:val="0"/>
      <w:marTop w:val="0"/>
      <w:marBottom w:val="100"/>
      <w:divBdr>
        <w:top w:val="none" w:sz="0" w:space="0" w:color="auto"/>
        <w:left w:val="none" w:sz="0" w:space="0" w:color="auto"/>
        <w:bottom w:val="none" w:sz="0" w:space="0" w:color="auto"/>
        <w:right w:val="none" w:sz="0" w:space="0" w:color="auto"/>
      </w:divBdr>
    </w:div>
    <w:div w:id="1969046460">
      <w:marLeft w:val="0"/>
      <w:marRight w:val="0"/>
      <w:marTop w:val="0"/>
      <w:marBottom w:val="0"/>
      <w:divBdr>
        <w:top w:val="none" w:sz="0" w:space="0" w:color="auto"/>
        <w:left w:val="none" w:sz="0" w:space="0" w:color="auto"/>
        <w:bottom w:val="none" w:sz="0" w:space="0" w:color="auto"/>
        <w:right w:val="none" w:sz="0" w:space="0" w:color="auto"/>
      </w:divBdr>
    </w:div>
    <w:div w:id="1971398975">
      <w:marLeft w:val="0"/>
      <w:marRight w:val="0"/>
      <w:marTop w:val="0"/>
      <w:marBottom w:val="0"/>
      <w:divBdr>
        <w:top w:val="none" w:sz="0" w:space="0" w:color="auto"/>
        <w:left w:val="none" w:sz="0" w:space="0" w:color="auto"/>
        <w:bottom w:val="none" w:sz="0" w:space="0" w:color="auto"/>
        <w:right w:val="none" w:sz="0" w:space="0" w:color="auto"/>
      </w:divBdr>
      <w:divsChild>
        <w:div w:id="1919709542">
          <w:marLeft w:val="0"/>
          <w:marRight w:val="0"/>
          <w:marTop w:val="0"/>
          <w:marBottom w:val="0"/>
          <w:divBdr>
            <w:top w:val="none" w:sz="0" w:space="0" w:color="auto"/>
            <w:left w:val="none" w:sz="0" w:space="0" w:color="auto"/>
            <w:bottom w:val="none" w:sz="0" w:space="0" w:color="auto"/>
            <w:right w:val="none" w:sz="0" w:space="0" w:color="auto"/>
          </w:divBdr>
          <w:divsChild>
            <w:div w:id="39617296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71401506">
      <w:marLeft w:val="0"/>
      <w:marRight w:val="0"/>
      <w:marTop w:val="100"/>
      <w:marBottom w:val="100"/>
      <w:divBdr>
        <w:top w:val="none" w:sz="0" w:space="0" w:color="auto"/>
        <w:left w:val="none" w:sz="0" w:space="0" w:color="auto"/>
        <w:bottom w:val="none" w:sz="0" w:space="0" w:color="auto"/>
        <w:right w:val="none" w:sz="0" w:space="0" w:color="auto"/>
      </w:divBdr>
    </w:div>
    <w:div w:id="1972976298">
      <w:marLeft w:val="0"/>
      <w:marRight w:val="0"/>
      <w:marTop w:val="180"/>
      <w:marBottom w:val="100"/>
      <w:divBdr>
        <w:top w:val="none" w:sz="0" w:space="0" w:color="auto"/>
        <w:left w:val="none" w:sz="0" w:space="0" w:color="auto"/>
        <w:bottom w:val="none" w:sz="0" w:space="0" w:color="auto"/>
        <w:right w:val="none" w:sz="0" w:space="0" w:color="auto"/>
      </w:divBdr>
    </w:div>
    <w:div w:id="1975207876">
      <w:marLeft w:val="0"/>
      <w:marRight w:val="0"/>
      <w:marTop w:val="100"/>
      <w:marBottom w:val="100"/>
      <w:divBdr>
        <w:top w:val="none" w:sz="0" w:space="0" w:color="auto"/>
        <w:left w:val="none" w:sz="0" w:space="0" w:color="auto"/>
        <w:bottom w:val="none" w:sz="0" w:space="0" w:color="auto"/>
        <w:right w:val="none" w:sz="0" w:space="0" w:color="auto"/>
      </w:divBdr>
    </w:div>
    <w:div w:id="1977107493">
      <w:marLeft w:val="0"/>
      <w:marRight w:val="0"/>
      <w:marTop w:val="100"/>
      <w:marBottom w:val="100"/>
      <w:divBdr>
        <w:top w:val="none" w:sz="0" w:space="0" w:color="auto"/>
        <w:left w:val="none" w:sz="0" w:space="0" w:color="auto"/>
        <w:bottom w:val="none" w:sz="0" w:space="0" w:color="auto"/>
        <w:right w:val="none" w:sz="0" w:space="0" w:color="auto"/>
      </w:divBdr>
    </w:div>
    <w:div w:id="1977296252">
      <w:marLeft w:val="0"/>
      <w:marRight w:val="0"/>
      <w:marTop w:val="0"/>
      <w:marBottom w:val="0"/>
      <w:divBdr>
        <w:top w:val="none" w:sz="0" w:space="0" w:color="auto"/>
        <w:left w:val="none" w:sz="0" w:space="0" w:color="auto"/>
        <w:bottom w:val="none" w:sz="0" w:space="0" w:color="auto"/>
        <w:right w:val="none" w:sz="0" w:space="0" w:color="auto"/>
      </w:divBdr>
      <w:divsChild>
        <w:div w:id="486821399">
          <w:marLeft w:val="0"/>
          <w:marRight w:val="0"/>
          <w:marTop w:val="0"/>
          <w:marBottom w:val="100"/>
          <w:divBdr>
            <w:top w:val="none" w:sz="0" w:space="0" w:color="auto"/>
            <w:left w:val="none" w:sz="0" w:space="0" w:color="auto"/>
            <w:bottom w:val="none" w:sz="0" w:space="0" w:color="auto"/>
            <w:right w:val="none" w:sz="0" w:space="0" w:color="auto"/>
          </w:divBdr>
        </w:div>
      </w:divsChild>
    </w:div>
    <w:div w:id="1978534045">
      <w:marLeft w:val="0"/>
      <w:marRight w:val="0"/>
      <w:marTop w:val="100"/>
      <w:marBottom w:val="100"/>
      <w:divBdr>
        <w:top w:val="none" w:sz="0" w:space="0" w:color="auto"/>
        <w:left w:val="none" w:sz="0" w:space="0" w:color="auto"/>
        <w:bottom w:val="none" w:sz="0" w:space="0" w:color="auto"/>
        <w:right w:val="none" w:sz="0" w:space="0" w:color="auto"/>
      </w:divBdr>
    </w:div>
    <w:div w:id="1979534357">
      <w:marLeft w:val="0"/>
      <w:marRight w:val="0"/>
      <w:marTop w:val="0"/>
      <w:marBottom w:val="0"/>
      <w:divBdr>
        <w:top w:val="none" w:sz="0" w:space="0" w:color="auto"/>
        <w:left w:val="none" w:sz="0" w:space="0" w:color="auto"/>
        <w:bottom w:val="none" w:sz="0" w:space="0" w:color="auto"/>
        <w:right w:val="none" w:sz="0" w:space="0" w:color="auto"/>
      </w:divBdr>
      <w:divsChild>
        <w:div w:id="363948756">
          <w:marLeft w:val="0"/>
          <w:marRight w:val="0"/>
          <w:marTop w:val="0"/>
          <w:marBottom w:val="0"/>
          <w:divBdr>
            <w:top w:val="none" w:sz="0" w:space="0" w:color="auto"/>
            <w:left w:val="none" w:sz="0" w:space="0" w:color="auto"/>
            <w:bottom w:val="none" w:sz="0" w:space="0" w:color="auto"/>
            <w:right w:val="none" w:sz="0" w:space="0" w:color="auto"/>
          </w:divBdr>
          <w:divsChild>
            <w:div w:id="11560699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79995059">
      <w:marLeft w:val="0"/>
      <w:marRight w:val="0"/>
      <w:marTop w:val="180"/>
      <w:marBottom w:val="0"/>
      <w:divBdr>
        <w:top w:val="none" w:sz="0" w:space="0" w:color="auto"/>
        <w:left w:val="none" w:sz="0" w:space="0" w:color="auto"/>
        <w:bottom w:val="none" w:sz="0" w:space="0" w:color="auto"/>
        <w:right w:val="none" w:sz="0" w:space="0" w:color="auto"/>
      </w:divBdr>
    </w:div>
    <w:div w:id="1980452971">
      <w:marLeft w:val="0"/>
      <w:marRight w:val="0"/>
      <w:marTop w:val="0"/>
      <w:marBottom w:val="0"/>
      <w:divBdr>
        <w:top w:val="none" w:sz="0" w:space="0" w:color="auto"/>
        <w:left w:val="none" w:sz="0" w:space="0" w:color="auto"/>
        <w:bottom w:val="none" w:sz="0" w:space="0" w:color="auto"/>
        <w:right w:val="none" w:sz="0" w:space="0" w:color="auto"/>
      </w:divBdr>
    </w:div>
    <w:div w:id="1980722880">
      <w:marLeft w:val="0"/>
      <w:marRight w:val="0"/>
      <w:marTop w:val="0"/>
      <w:marBottom w:val="0"/>
      <w:divBdr>
        <w:top w:val="none" w:sz="0" w:space="0" w:color="auto"/>
        <w:left w:val="none" w:sz="0" w:space="0" w:color="auto"/>
        <w:bottom w:val="none" w:sz="0" w:space="0" w:color="auto"/>
        <w:right w:val="none" w:sz="0" w:space="0" w:color="auto"/>
      </w:divBdr>
    </w:div>
    <w:div w:id="1981809472">
      <w:marLeft w:val="0"/>
      <w:marRight w:val="0"/>
      <w:marTop w:val="0"/>
      <w:marBottom w:val="100"/>
      <w:divBdr>
        <w:top w:val="none" w:sz="0" w:space="0" w:color="auto"/>
        <w:left w:val="none" w:sz="0" w:space="0" w:color="auto"/>
        <w:bottom w:val="none" w:sz="0" w:space="0" w:color="auto"/>
        <w:right w:val="none" w:sz="0" w:space="0" w:color="auto"/>
      </w:divBdr>
    </w:div>
    <w:div w:id="1982687638">
      <w:marLeft w:val="0"/>
      <w:marRight w:val="0"/>
      <w:marTop w:val="100"/>
      <w:marBottom w:val="100"/>
      <w:divBdr>
        <w:top w:val="none" w:sz="0" w:space="0" w:color="auto"/>
        <w:left w:val="none" w:sz="0" w:space="0" w:color="auto"/>
        <w:bottom w:val="none" w:sz="0" w:space="0" w:color="auto"/>
        <w:right w:val="none" w:sz="0" w:space="0" w:color="auto"/>
      </w:divBdr>
    </w:div>
    <w:div w:id="1983384029">
      <w:marLeft w:val="0"/>
      <w:marRight w:val="0"/>
      <w:marTop w:val="0"/>
      <w:marBottom w:val="0"/>
      <w:divBdr>
        <w:top w:val="none" w:sz="0" w:space="0" w:color="auto"/>
        <w:left w:val="none" w:sz="0" w:space="0" w:color="auto"/>
        <w:bottom w:val="none" w:sz="0" w:space="0" w:color="auto"/>
        <w:right w:val="none" w:sz="0" w:space="0" w:color="auto"/>
      </w:divBdr>
      <w:divsChild>
        <w:div w:id="1360352832">
          <w:marLeft w:val="0"/>
          <w:marRight w:val="0"/>
          <w:marTop w:val="0"/>
          <w:marBottom w:val="0"/>
          <w:divBdr>
            <w:top w:val="none" w:sz="0" w:space="0" w:color="auto"/>
            <w:left w:val="none" w:sz="0" w:space="0" w:color="auto"/>
            <w:bottom w:val="none" w:sz="0" w:space="0" w:color="auto"/>
            <w:right w:val="none" w:sz="0" w:space="0" w:color="auto"/>
          </w:divBdr>
          <w:divsChild>
            <w:div w:id="17552817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83461211">
      <w:marLeft w:val="0"/>
      <w:marRight w:val="0"/>
      <w:marTop w:val="0"/>
      <w:marBottom w:val="100"/>
      <w:divBdr>
        <w:top w:val="none" w:sz="0" w:space="0" w:color="auto"/>
        <w:left w:val="none" w:sz="0" w:space="0" w:color="auto"/>
        <w:bottom w:val="none" w:sz="0" w:space="0" w:color="auto"/>
        <w:right w:val="none" w:sz="0" w:space="0" w:color="auto"/>
      </w:divBdr>
    </w:div>
    <w:div w:id="1984000775">
      <w:marLeft w:val="0"/>
      <w:marRight w:val="0"/>
      <w:marTop w:val="100"/>
      <w:marBottom w:val="0"/>
      <w:divBdr>
        <w:top w:val="none" w:sz="0" w:space="0" w:color="auto"/>
        <w:left w:val="none" w:sz="0" w:space="0" w:color="auto"/>
        <w:bottom w:val="none" w:sz="0" w:space="0" w:color="auto"/>
        <w:right w:val="none" w:sz="0" w:space="0" w:color="auto"/>
      </w:divBdr>
    </w:div>
    <w:div w:id="1985115165">
      <w:marLeft w:val="0"/>
      <w:marRight w:val="0"/>
      <w:marTop w:val="0"/>
      <w:marBottom w:val="0"/>
      <w:divBdr>
        <w:top w:val="none" w:sz="0" w:space="0" w:color="auto"/>
        <w:left w:val="none" w:sz="0" w:space="0" w:color="auto"/>
        <w:bottom w:val="none" w:sz="0" w:space="0" w:color="auto"/>
        <w:right w:val="none" w:sz="0" w:space="0" w:color="auto"/>
      </w:divBdr>
      <w:divsChild>
        <w:div w:id="2001731941">
          <w:marLeft w:val="0"/>
          <w:marRight w:val="0"/>
          <w:marTop w:val="0"/>
          <w:marBottom w:val="0"/>
          <w:divBdr>
            <w:top w:val="none" w:sz="0" w:space="0" w:color="auto"/>
            <w:left w:val="none" w:sz="0" w:space="0" w:color="auto"/>
            <w:bottom w:val="none" w:sz="0" w:space="0" w:color="auto"/>
            <w:right w:val="none" w:sz="0" w:space="0" w:color="auto"/>
          </w:divBdr>
          <w:divsChild>
            <w:div w:id="16458197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86811031">
      <w:marLeft w:val="0"/>
      <w:marRight w:val="0"/>
      <w:marTop w:val="180"/>
      <w:marBottom w:val="0"/>
      <w:divBdr>
        <w:top w:val="none" w:sz="0" w:space="0" w:color="auto"/>
        <w:left w:val="none" w:sz="0" w:space="0" w:color="auto"/>
        <w:bottom w:val="none" w:sz="0" w:space="0" w:color="auto"/>
        <w:right w:val="none" w:sz="0" w:space="0" w:color="auto"/>
      </w:divBdr>
    </w:div>
    <w:div w:id="1987660131">
      <w:marLeft w:val="0"/>
      <w:marRight w:val="0"/>
      <w:marTop w:val="0"/>
      <w:marBottom w:val="100"/>
      <w:divBdr>
        <w:top w:val="none" w:sz="0" w:space="0" w:color="auto"/>
        <w:left w:val="none" w:sz="0" w:space="0" w:color="auto"/>
        <w:bottom w:val="none" w:sz="0" w:space="0" w:color="auto"/>
        <w:right w:val="none" w:sz="0" w:space="0" w:color="auto"/>
      </w:divBdr>
    </w:div>
    <w:div w:id="1988315172">
      <w:marLeft w:val="0"/>
      <w:marRight w:val="0"/>
      <w:marTop w:val="100"/>
      <w:marBottom w:val="100"/>
      <w:divBdr>
        <w:top w:val="none" w:sz="0" w:space="0" w:color="auto"/>
        <w:left w:val="none" w:sz="0" w:space="0" w:color="auto"/>
        <w:bottom w:val="none" w:sz="0" w:space="0" w:color="auto"/>
        <w:right w:val="none" w:sz="0" w:space="0" w:color="auto"/>
      </w:divBdr>
    </w:div>
    <w:div w:id="1989242193">
      <w:marLeft w:val="0"/>
      <w:marRight w:val="0"/>
      <w:marTop w:val="0"/>
      <w:marBottom w:val="0"/>
      <w:divBdr>
        <w:top w:val="none" w:sz="0" w:space="0" w:color="auto"/>
        <w:left w:val="none" w:sz="0" w:space="0" w:color="auto"/>
        <w:bottom w:val="none" w:sz="0" w:space="0" w:color="auto"/>
        <w:right w:val="none" w:sz="0" w:space="0" w:color="auto"/>
      </w:divBdr>
      <w:divsChild>
        <w:div w:id="434592560">
          <w:marLeft w:val="0"/>
          <w:marRight w:val="0"/>
          <w:marTop w:val="0"/>
          <w:marBottom w:val="100"/>
          <w:divBdr>
            <w:top w:val="none" w:sz="0" w:space="0" w:color="auto"/>
            <w:left w:val="none" w:sz="0" w:space="0" w:color="auto"/>
            <w:bottom w:val="none" w:sz="0" w:space="0" w:color="auto"/>
            <w:right w:val="none" w:sz="0" w:space="0" w:color="auto"/>
          </w:divBdr>
        </w:div>
      </w:divsChild>
    </w:div>
    <w:div w:id="1990282560">
      <w:marLeft w:val="0"/>
      <w:marRight w:val="0"/>
      <w:marTop w:val="100"/>
      <w:marBottom w:val="100"/>
      <w:divBdr>
        <w:top w:val="none" w:sz="0" w:space="0" w:color="auto"/>
        <w:left w:val="none" w:sz="0" w:space="0" w:color="auto"/>
        <w:bottom w:val="none" w:sz="0" w:space="0" w:color="auto"/>
        <w:right w:val="none" w:sz="0" w:space="0" w:color="auto"/>
      </w:divBdr>
    </w:div>
    <w:div w:id="1991056063">
      <w:marLeft w:val="0"/>
      <w:marRight w:val="0"/>
      <w:marTop w:val="100"/>
      <w:marBottom w:val="100"/>
      <w:divBdr>
        <w:top w:val="none" w:sz="0" w:space="0" w:color="auto"/>
        <w:left w:val="none" w:sz="0" w:space="0" w:color="auto"/>
        <w:bottom w:val="none" w:sz="0" w:space="0" w:color="auto"/>
        <w:right w:val="none" w:sz="0" w:space="0" w:color="auto"/>
      </w:divBdr>
    </w:div>
    <w:div w:id="1991129493">
      <w:marLeft w:val="0"/>
      <w:marRight w:val="0"/>
      <w:marTop w:val="0"/>
      <w:marBottom w:val="0"/>
      <w:divBdr>
        <w:top w:val="none" w:sz="0" w:space="0" w:color="auto"/>
        <w:left w:val="none" w:sz="0" w:space="0" w:color="auto"/>
        <w:bottom w:val="none" w:sz="0" w:space="0" w:color="auto"/>
        <w:right w:val="none" w:sz="0" w:space="0" w:color="auto"/>
      </w:divBdr>
      <w:divsChild>
        <w:div w:id="1326783987">
          <w:marLeft w:val="0"/>
          <w:marRight w:val="0"/>
          <w:marTop w:val="0"/>
          <w:marBottom w:val="100"/>
          <w:divBdr>
            <w:top w:val="none" w:sz="0" w:space="0" w:color="auto"/>
            <w:left w:val="none" w:sz="0" w:space="0" w:color="auto"/>
            <w:bottom w:val="none" w:sz="0" w:space="0" w:color="auto"/>
            <w:right w:val="none" w:sz="0" w:space="0" w:color="auto"/>
          </w:divBdr>
        </w:div>
      </w:divsChild>
    </w:div>
    <w:div w:id="1991248876">
      <w:marLeft w:val="0"/>
      <w:marRight w:val="0"/>
      <w:marTop w:val="100"/>
      <w:marBottom w:val="0"/>
      <w:divBdr>
        <w:top w:val="none" w:sz="0" w:space="0" w:color="auto"/>
        <w:left w:val="none" w:sz="0" w:space="0" w:color="auto"/>
        <w:bottom w:val="none" w:sz="0" w:space="0" w:color="auto"/>
        <w:right w:val="none" w:sz="0" w:space="0" w:color="auto"/>
      </w:divBdr>
    </w:div>
    <w:div w:id="1991981935">
      <w:marLeft w:val="0"/>
      <w:marRight w:val="0"/>
      <w:marTop w:val="0"/>
      <w:marBottom w:val="0"/>
      <w:divBdr>
        <w:top w:val="none" w:sz="0" w:space="0" w:color="auto"/>
        <w:left w:val="none" w:sz="0" w:space="0" w:color="auto"/>
        <w:bottom w:val="none" w:sz="0" w:space="0" w:color="auto"/>
        <w:right w:val="none" w:sz="0" w:space="0" w:color="auto"/>
      </w:divBdr>
    </w:div>
    <w:div w:id="1992631398">
      <w:marLeft w:val="0"/>
      <w:marRight w:val="0"/>
      <w:marTop w:val="180"/>
      <w:marBottom w:val="0"/>
      <w:divBdr>
        <w:top w:val="none" w:sz="0" w:space="0" w:color="auto"/>
        <w:left w:val="none" w:sz="0" w:space="0" w:color="auto"/>
        <w:bottom w:val="none" w:sz="0" w:space="0" w:color="auto"/>
        <w:right w:val="none" w:sz="0" w:space="0" w:color="auto"/>
      </w:divBdr>
    </w:div>
    <w:div w:id="1993101112">
      <w:marLeft w:val="0"/>
      <w:marRight w:val="0"/>
      <w:marTop w:val="180"/>
      <w:marBottom w:val="0"/>
      <w:divBdr>
        <w:top w:val="none" w:sz="0" w:space="0" w:color="auto"/>
        <w:left w:val="none" w:sz="0" w:space="0" w:color="auto"/>
        <w:bottom w:val="none" w:sz="0" w:space="0" w:color="auto"/>
        <w:right w:val="none" w:sz="0" w:space="0" w:color="auto"/>
      </w:divBdr>
    </w:div>
    <w:div w:id="1994289996">
      <w:marLeft w:val="0"/>
      <w:marRight w:val="0"/>
      <w:marTop w:val="100"/>
      <w:marBottom w:val="100"/>
      <w:divBdr>
        <w:top w:val="none" w:sz="0" w:space="0" w:color="auto"/>
        <w:left w:val="none" w:sz="0" w:space="0" w:color="auto"/>
        <w:bottom w:val="none" w:sz="0" w:space="0" w:color="auto"/>
        <w:right w:val="none" w:sz="0" w:space="0" w:color="auto"/>
      </w:divBdr>
    </w:div>
    <w:div w:id="1996762557">
      <w:marLeft w:val="0"/>
      <w:marRight w:val="0"/>
      <w:marTop w:val="0"/>
      <w:marBottom w:val="0"/>
      <w:divBdr>
        <w:top w:val="none" w:sz="0" w:space="0" w:color="auto"/>
        <w:left w:val="none" w:sz="0" w:space="0" w:color="auto"/>
        <w:bottom w:val="none" w:sz="0" w:space="0" w:color="auto"/>
        <w:right w:val="none" w:sz="0" w:space="0" w:color="auto"/>
      </w:divBdr>
      <w:divsChild>
        <w:div w:id="1479105876">
          <w:marLeft w:val="0"/>
          <w:marRight w:val="0"/>
          <w:marTop w:val="0"/>
          <w:marBottom w:val="100"/>
          <w:divBdr>
            <w:top w:val="none" w:sz="0" w:space="0" w:color="auto"/>
            <w:left w:val="none" w:sz="0" w:space="0" w:color="auto"/>
            <w:bottom w:val="none" w:sz="0" w:space="0" w:color="auto"/>
            <w:right w:val="none" w:sz="0" w:space="0" w:color="auto"/>
          </w:divBdr>
        </w:div>
      </w:divsChild>
    </w:div>
    <w:div w:id="2000499708">
      <w:marLeft w:val="0"/>
      <w:marRight w:val="0"/>
      <w:marTop w:val="0"/>
      <w:marBottom w:val="100"/>
      <w:divBdr>
        <w:top w:val="none" w:sz="0" w:space="0" w:color="auto"/>
        <w:left w:val="none" w:sz="0" w:space="0" w:color="auto"/>
        <w:bottom w:val="none" w:sz="0" w:space="0" w:color="auto"/>
        <w:right w:val="none" w:sz="0" w:space="0" w:color="auto"/>
      </w:divBdr>
    </w:div>
    <w:div w:id="2001882343">
      <w:marLeft w:val="0"/>
      <w:marRight w:val="0"/>
      <w:marTop w:val="0"/>
      <w:marBottom w:val="100"/>
      <w:divBdr>
        <w:top w:val="none" w:sz="0" w:space="0" w:color="auto"/>
        <w:left w:val="none" w:sz="0" w:space="0" w:color="auto"/>
        <w:bottom w:val="none" w:sz="0" w:space="0" w:color="auto"/>
        <w:right w:val="none" w:sz="0" w:space="0" w:color="auto"/>
      </w:divBdr>
    </w:div>
    <w:div w:id="2003702317">
      <w:marLeft w:val="0"/>
      <w:marRight w:val="0"/>
      <w:marTop w:val="100"/>
      <w:marBottom w:val="100"/>
      <w:divBdr>
        <w:top w:val="none" w:sz="0" w:space="0" w:color="auto"/>
        <w:left w:val="none" w:sz="0" w:space="0" w:color="auto"/>
        <w:bottom w:val="none" w:sz="0" w:space="0" w:color="auto"/>
        <w:right w:val="none" w:sz="0" w:space="0" w:color="auto"/>
      </w:divBdr>
    </w:div>
    <w:div w:id="2007511200">
      <w:marLeft w:val="0"/>
      <w:marRight w:val="0"/>
      <w:marTop w:val="100"/>
      <w:marBottom w:val="100"/>
      <w:divBdr>
        <w:top w:val="none" w:sz="0" w:space="0" w:color="auto"/>
        <w:left w:val="none" w:sz="0" w:space="0" w:color="auto"/>
        <w:bottom w:val="none" w:sz="0" w:space="0" w:color="auto"/>
        <w:right w:val="none" w:sz="0" w:space="0" w:color="auto"/>
      </w:divBdr>
    </w:div>
    <w:div w:id="2009625863">
      <w:marLeft w:val="0"/>
      <w:marRight w:val="0"/>
      <w:marTop w:val="0"/>
      <w:marBottom w:val="100"/>
      <w:divBdr>
        <w:top w:val="none" w:sz="0" w:space="0" w:color="auto"/>
        <w:left w:val="none" w:sz="0" w:space="0" w:color="auto"/>
        <w:bottom w:val="none" w:sz="0" w:space="0" w:color="auto"/>
        <w:right w:val="none" w:sz="0" w:space="0" w:color="auto"/>
      </w:divBdr>
    </w:div>
    <w:div w:id="2010862284">
      <w:marLeft w:val="0"/>
      <w:marRight w:val="0"/>
      <w:marTop w:val="0"/>
      <w:marBottom w:val="0"/>
      <w:divBdr>
        <w:top w:val="none" w:sz="0" w:space="0" w:color="auto"/>
        <w:left w:val="none" w:sz="0" w:space="0" w:color="auto"/>
        <w:bottom w:val="none" w:sz="0" w:space="0" w:color="auto"/>
        <w:right w:val="none" w:sz="0" w:space="0" w:color="auto"/>
      </w:divBdr>
    </w:div>
    <w:div w:id="2014912877">
      <w:marLeft w:val="0"/>
      <w:marRight w:val="0"/>
      <w:marTop w:val="180"/>
      <w:marBottom w:val="100"/>
      <w:divBdr>
        <w:top w:val="none" w:sz="0" w:space="0" w:color="auto"/>
        <w:left w:val="none" w:sz="0" w:space="0" w:color="auto"/>
        <w:bottom w:val="none" w:sz="0" w:space="0" w:color="auto"/>
        <w:right w:val="none" w:sz="0" w:space="0" w:color="auto"/>
      </w:divBdr>
    </w:div>
    <w:div w:id="2015061476">
      <w:marLeft w:val="0"/>
      <w:marRight w:val="0"/>
      <w:marTop w:val="100"/>
      <w:marBottom w:val="100"/>
      <w:divBdr>
        <w:top w:val="none" w:sz="0" w:space="0" w:color="auto"/>
        <w:left w:val="none" w:sz="0" w:space="0" w:color="auto"/>
        <w:bottom w:val="none" w:sz="0" w:space="0" w:color="auto"/>
        <w:right w:val="none" w:sz="0" w:space="0" w:color="auto"/>
      </w:divBdr>
    </w:div>
    <w:div w:id="2015448355">
      <w:marLeft w:val="0"/>
      <w:marRight w:val="0"/>
      <w:marTop w:val="100"/>
      <w:marBottom w:val="100"/>
      <w:divBdr>
        <w:top w:val="none" w:sz="0" w:space="0" w:color="auto"/>
        <w:left w:val="none" w:sz="0" w:space="0" w:color="auto"/>
        <w:bottom w:val="none" w:sz="0" w:space="0" w:color="auto"/>
        <w:right w:val="none" w:sz="0" w:space="0" w:color="auto"/>
      </w:divBdr>
    </w:div>
    <w:div w:id="2015959481">
      <w:marLeft w:val="0"/>
      <w:marRight w:val="0"/>
      <w:marTop w:val="100"/>
      <w:marBottom w:val="100"/>
      <w:divBdr>
        <w:top w:val="none" w:sz="0" w:space="0" w:color="auto"/>
        <w:left w:val="none" w:sz="0" w:space="0" w:color="auto"/>
        <w:bottom w:val="none" w:sz="0" w:space="0" w:color="auto"/>
        <w:right w:val="none" w:sz="0" w:space="0" w:color="auto"/>
      </w:divBdr>
      <w:divsChild>
        <w:div w:id="1321154197">
          <w:marLeft w:val="0"/>
          <w:marRight w:val="0"/>
          <w:marTop w:val="0"/>
          <w:marBottom w:val="120"/>
          <w:divBdr>
            <w:top w:val="none" w:sz="0" w:space="0" w:color="auto"/>
            <w:left w:val="none" w:sz="0" w:space="0" w:color="auto"/>
            <w:bottom w:val="none" w:sz="0" w:space="0" w:color="auto"/>
            <w:right w:val="none" w:sz="0" w:space="0" w:color="auto"/>
          </w:divBdr>
        </w:div>
        <w:div w:id="340938912">
          <w:marLeft w:val="0"/>
          <w:marRight w:val="0"/>
          <w:marTop w:val="0"/>
          <w:marBottom w:val="120"/>
          <w:divBdr>
            <w:top w:val="none" w:sz="0" w:space="0" w:color="auto"/>
            <w:left w:val="none" w:sz="0" w:space="0" w:color="auto"/>
            <w:bottom w:val="none" w:sz="0" w:space="0" w:color="auto"/>
            <w:right w:val="none" w:sz="0" w:space="0" w:color="auto"/>
          </w:divBdr>
        </w:div>
      </w:divsChild>
    </w:div>
    <w:div w:id="2016490759">
      <w:marLeft w:val="0"/>
      <w:marRight w:val="0"/>
      <w:marTop w:val="100"/>
      <w:marBottom w:val="100"/>
      <w:divBdr>
        <w:top w:val="none" w:sz="0" w:space="0" w:color="auto"/>
        <w:left w:val="none" w:sz="0" w:space="0" w:color="auto"/>
        <w:bottom w:val="none" w:sz="0" w:space="0" w:color="auto"/>
        <w:right w:val="none" w:sz="0" w:space="0" w:color="auto"/>
      </w:divBdr>
    </w:div>
    <w:div w:id="2016492202">
      <w:marLeft w:val="0"/>
      <w:marRight w:val="0"/>
      <w:marTop w:val="0"/>
      <w:marBottom w:val="100"/>
      <w:divBdr>
        <w:top w:val="none" w:sz="0" w:space="0" w:color="auto"/>
        <w:left w:val="none" w:sz="0" w:space="0" w:color="auto"/>
        <w:bottom w:val="none" w:sz="0" w:space="0" w:color="auto"/>
        <w:right w:val="none" w:sz="0" w:space="0" w:color="auto"/>
      </w:divBdr>
    </w:div>
    <w:div w:id="2019189751">
      <w:marLeft w:val="0"/>
      <w:marRight w:val="0"/>
      <w:marTop w:val="0"/>
      <w:marBottom w:val="0"/>
      <w:divBdr>
        <w:top w:val="none" w:sz="0" w:space="0" w:color="auto"/>
        <w:left w:val="none" w:sz="0" w:space="0" w:color="auto"/>
        <w:bottom w:val="none" w:sz="0" w:space="0" w:color="auto"/>
        <w:right w:val="none" w:sz="0" w:space="0" w:color="auto"/>
      </w:divBdr>
      <w:divsChild>
        <w:div w:id="131019142">
          <w:marLeft w:val="0"/>
          <w:marRight w:val="0"/>
          <w:marTop w:val="0"/>
          <w:marBottom w:val="0"/>
          <w:divBdr>
            <w:top w:val="none" w:sz="0" w:space="0" w:color="auto"/>
            <w:left w:val="none" w:sz="0" w:space="0" w:color="auto"/>
            <w:bottom w:val="none" w:sz="0" w:space="0" w:color="auto"/>
            <w:right w:val="none" w:sz="0" w:space="0" w:color="auto"/>
          </w:divBdr>
          <w:divsChild>
            <w:div w:id="11861375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20429540">
      <w:marLeft w:val="0"/>
      <w:marRight w:val="0"/>
      <w:marTop w:val="0"/>
      <w:marBottom w:val="100"/>
      <w:divBdr>
        <w:top w:val="none" w:sz="0" w:space="0" w:color="auto"/>
        <w:left w:val="none" w:sz="0" w:space="0" w:color="auto"/>
        <w:bottom w:val="none" w:sz="0" w:space="0" w:color="auto"/>
        <w:right w:val="none" w:sz="0" w:space="0" w:color="auto"/>
      </w:divBdr>
    </w:div>
    <w:div w:id="2020499942">
      <w:marLeft w:val="0"/>
      <w:marRight w:val="0"/>
      <w:marTop w:val="0"/>
      <w:marBottom w:val="0"/>
      <w:divBdr>
        <w:top w:val="none" w:sz="0" w:space="0" w:color="auto"/>
        <w:left w:val="none" w:sz="0" w:space="0" w:color="auto"/>
        <w:bottom w:val="none" w:sz="0" w:space="0" w:color="auto"/>
        <w:right w:val="none" w:sz="0" w:space="0" w:color="auto"/>
      </w:divBdr>
      <w:divsChild>
        <w:div w:id="1821263616">
          <w:marLeft w:val="0"/>
          <w:marRight w:val="0"/>
          <w:marTop w:val="0"/>
          <w:marBottom w:val="100"/>
          <w:divBdr>
            <w:top w:val="none" w:sz="0" w:space="0" w:color="auto"/>
            <w:left w:val="none" w:sz="0" w:space="0" w:color="auto"/>
            <w:bottom w:val="none" w:sz="0" w:space="0" w:color="auto"/>
            <w:right w:val="none" w:sz="0" w:space="0" w:color="auto"/>
          </w:divBdr>
        </w:div>
      </w:divsChild>
    </w:div>
    <w:div w:id="2028091061">
      <w:marLeft w:val="0"/>
      <w:marRight w:val="0"/>
      <w:marTop w:val="0"/>
      <w:marBottom w:val="0"/>
      <w:divBdr>
        <w:top w:val="none" w:sz="0" w:space="0" w:color="auto"/>
        <w:left w:val="none" w:sz="0" w:space="0" w:color="auto"/>
        <w:bottom w:val="none" w:sz="0" w:space="0" w:color="auto"/>
        <w:right w:val="none" w:sz="0" w:space="0" w:color="auto"/>
      </w:divBdr>
      <w:divsChild>
        <w:div w:id="1751780089">
          <w:marLeft w:val="0"/>
          <w:marRight w:val="0"/>
          <w:marTop w:val="0"/>
          <w:marBottom w:val="0"/>
          <w:divBdr>
            <w:top w:val="none" w:sz="0" w:space="0" w:color="auto"/>
            <w:left w:val="none" w:sz="0" w:space="0" w:color="auto"/>
            <w:bottom w:val="none" w:sz="0" w:space="0" w:color="auto"/>
            <w:right w:val="none" w:sz="0" w:space="0" w:color="auto"/>
          </w:divBdr>
          <w:divsChild>
            <w:div w:id="11793445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28368092">
      <w:marLeft w:val="0"/>
      <w:marRight w:val="0"/>
      <w:marTop w:val="0"/>
      <w:marBottom w:val="0"/>
      <w:divBdr>
        <w:top w:val="none" w:sz="0" w:space="0" w:color="auto"/>
        <w:left w:val="none" w:sz="0" w:space="0" w:color="auto"/>
        <w:bottom w:val="none" w:sz="0" w:space="0" w:color="auto"/>
        <w:right w:val="none" w:sz="0" w:space="0" w:color="auto"/>
      </w:divBdr>
      <w:divsChild>
        <w:div w:id="1145660399">
          <w:marLeft w:val="0"/>
          <w:marRight w:val="0"/>
          <w:marTop w:val="0"/>
          <w:marBottom w:val="100"/>
          <w:divBdr>
            <w:top w:val="none" w:sz="0" w:space="0" w:color="auto"/>
            <w:left w:val="none" w:sz="0" w:space="0" w:color="auto"/>
            <w:bottom w:val="none" w:sz="0" w:space="0" w:color="auto"/>
            <w:right w:val="none" w:sz="0" w:space="0" w:color="auto"/>
          </w:divBdr>
        </w:div>
      </w:divsChild>
    </w:div>
    <w:div w:id="2029672461">
      <w:marLeft w:val="0"/>
      <w:marRight w:val="0"/>
      <w:marTop w:val="0"/>
      <w:marBottom w:val="100"/>
      <w:divBdr>
        <w:top w:val="none" w:sz="0" w:space="0" w:color="auto"/>
        <w:left w:val="none" w:sz="0" w:space="0" w:color="auto"/>
        <w:bottom w:val="none" w:sz="0" w:space="0" w:color="auto"/>
        <w:right w:val="none" w:sz="0" w:space="0" w:color="auto"/>
      </w:divBdr>
    </w:div>
    <w:div w:id="2031178577">
      <w:marLeft w:val="0"/>
      <w:marRight w:val="0"/>
      <w:marTop w:val="180"/>
      <w:marBottom w:val="100"/>
      <w:divBdr>
        <w:top w:val="none" w:sz="0" w:space="0" w:color="auto"/>
        <w:left w:val="none" w:sz="0" w:space="0" w:color="auto"/>
        <w:bottom w:val="none" w:sz="0" w:space="0" w:color="auto"/>
        <w:right w:val="none" w:sz="0" w:space="0" w:color="auto"/>
      </w:divBdr>
    </w:div>
    <w:div w:id="2031225212">
      <w:marLeft w:val="0"/>
      <w:marRight w:val="0"/>
      <w:marTop w:val="0"/>
      <w:marBottom w:val="0"/>
      <w:divBdr>
        <w:top w:val="none" w:sz="0" w:space="0" w:color="auto"/>
        <w:left w:val="none" w:sz="0" w:space="0" w:color="auto"/>
        <w:bottom w:val="none" w:sz="0" w:space="0" w:color="auto"/>
        <w:right w:val="none" w:sz="0" w:space="0" w:color="auto"/>
      </w:divBdr>
    </w:div>
    <w:div w:id="2033845021">
      <w:marLeft w:val="0"/>
      <w:marRight w:val="0"/>
      <w:marTop w:val="180"/>
      <w:marBottom w:val="100"/>
      <w:divBdr>
        <w:top w:val="none" w:sz="0" w:space="0" w:color="auto"/>
        <w:left w:val="none" w:sz="0" w:space="0" w:color="auto"/>
        <w:bottom w:val="none" w:sz="0" w:space="0" w:color="auto"/>
        <w:right w:val="none" w:sz="0" w:space="0" w:color="auto"/>
      </w:divBdr>
    </w:div>
    <w:div w:id="2035956168">
      <w:marLeft w:val="0"/>
      <w:marRight w:val="0"/>
      <w:marTop w:val="180"/>
      <w:marBottom w:val="0"/>
      <w:divBdr>
        <w:top w:val="none" w:sz="0" w:space="0" w:color="auto"/>
        <w:left w:val="none" w:sz="0" w:space="0" w:color="auto"/>
        <w:bottom w:val="none" w:sz="0" w:space="0" w:color="auto"/>
        <w:right w:val="none" w:sz="0" w:space="0" w:color="auto"/>
      </w:divBdr>
    </w:div>
    <w:div w:id="2036687127">
      <w:marLeft w:val="0"/>
      <w:marRight w:val="0"/>
      <w:marTop w:val="0"/>
      <w:marBottom w:val="0"/>
      <w:divBdr>
        <w:top w:val="none" w:sz="0" w:space="0" w:color="auto"/>
        <w:left w:val="none" w:sz="0" w:space="0" w:color="auto"/>
        <w:bottom w:val="none" w:sz="0" w:space="0" w:color="auto"/>
        <w:right w:val="none" w:sz="0" w:space="0" w:color="auto"/>
      </w:divBdr>
    </w:div>
    <w:div w:id="2037466299">
      <w:marLeft w:val="0"/>
      <w:marRight w:val="0"/>
      <w:marTop w:val="0"/>
      <w:marBottom w:val="100"/>
      <w:divBdr>
        <w:top w:val="none" w:sz="0" w:space="0" w:color="auto"/>
        <w:left w:val="none" w:sz="0" w:space="0" w:color="auto"/>
        <w:bottom w:val="none" w:sz="0" w:space="0" w:color="auto"/>
        <w:right w:val="none" w:sz="0" w:space="0" w:color="auto"/>
      </w:divBdr>
    </w:div>
    <w:div w:id="2038195852">
      <w:marLeft w:val="0"/>
      <w:marRight w:val="0"/>
      <w:marTop w:val="0"/>
      <w:marBottom w:val="0"/>
      <w:divBdr>
        <w:top w:val="none" w:sz="0" w:space="0" w:color="auto"/>
        <w:left w:val="none" w:sz="0" w:space="0" w:color="auto"/>
        <w:bottom w:val="none" w:sz="0" w:space="0" w:color="auto"/>
        <w:right w:val="none" w:sz="0" w:space="0" w:color="auto"/>
      </w:divBdr>
    </w:div>
    <w:div w:id="2041007301">
      <w:marLeft w:val="0"/>
      <w:marRight w:val="0"/>
      <w:marTop w:val="0"/>
      <w:marBottom w:val="0"/>
      <w:divBdr>
        <w:top w:val="none" w:sz="0" w:space="0" w:color="auto"/>
        <w:left w:val="none" w:sz="0" w:space="0" w:color="auto"/>
        <w:bottom w:val="none" w:sz="0" w:space="0" w:color="auto"/>
        <w:right w:val="none" w:sz="0" w:space="0" w:color="auto"/>
      </w:divBdr>
      <w:divsChild>
        <w:div w:id="1466194783">
          <w:marLeft w:val="0"/>
          <w:marRight w:val="0"/>
          <w:marTop w:val="0"/>
          <w:marBottom w:val="100"/>
          <w:divBdr>
            <w:top w:val="none" w:sz="0" w:space="0" w:color="auto"/>
            <w:left w:val="none" w:sz="0" w:space="0" w:color="auto"/>
            <w:bottom w:val="none" w:sz="0" w:space="0" w:color="auto"/>
            <w:right w:val="none" w:sz="0" w:space="0" w:color="auto"/>
          </w:divBdr>
        </w:div>
      </w:divsChild>
    </w:div>
    <w:div w:id="2043437326">
      <w:marLeft w:val="0"/>
      <w:marRight w:val="0"/>
      <w:marTop w:val="180"/>
      <w:marBottom w:val="0"/>
      <w:divBdr>
        <w:top w:val="none" w:sz="0" w:space="0" w:color="auto"/>
        <w:left w:val="none" w:sz="0" w:space="0" w:color="auto"/>
        <w:bottom w:val="none" w:sz="0" w:space="0" w:color="auto"/>
        <w:right w:val="none" w:sz="0" w:space="0" w:color="auto"/>
      </w:divBdr>
    </w:div>
    <w:div w:id="2043437409">
      <w:marLeft w:val="0"/>
      <w:marRight w:val="0"/>
      <w:marTop w:val="180"/>
      <w:marBottom w:val="0"/>
      <w:divBdr>
        <w:top w:val="none" w:sz="0" w:space="0" w:color="auto"/>
        <w:left w:val="none" w:sz="0" w:space="0" w:color="auto"/>
        <w:bottom w:val="none" w:sz="0" w:space="0" w:color="auto"/>
        <w:right w:val="none" w:sz="0" w:space="0" w:color="auto"/>
      </w:divBdr>
    </w:div>
    <w:div w:id="2043510175">
      <w:marLeft w:val="0"/>
      <w:marRight w:val="0"/>
      <w:marTop w:val="100"/>
      <w:marBottom w:val="100"/>
      <w:divBdr>
        <w:top w:val="none" w:sz="0" w:space="0" w:color="auto"/>
        <w:left w:val="none" w:sz="0" w:space="0" w:color="auto"/>
        <w:bottom w:val="none" w:sz="0" w:space="0" w:color="auto"/>
        <w:right w:val="none" w:sz="0" w:space="0" w:color="auto"/>
      </w:divBdr>
    </w:div>
    <w:div w:id="2043625323">
      <w:marLeft w:val="0"/>
      <w:marRight w:val="0"/>
      <w:marTop w:val="180"/>
      <w:marBottom w:val="0"/>
      <w:divBdr>
        <w:top w:val="none" w:sz="0" w:space="0" w:color="auto"/>
        <w:left w:val="none" w:sz="0" w:space="0" w:color="auto"/>
        <w:bottom w:val="none" w:sz="0" w:space="0" w:color="auto"/>
        <w:right w:val="none" w:sz="0" w:space="0" w:color="auto"/>
      </w:divBdr>
    </w:div>
    <w:div w:id="2046247347">
      <w:marLeft w:val="0"/>
      <w:marRight w:val="0"/>
      <w:marTop w:val="180"/>
      <w:marBottom w:val="0"/>
      <w:divBdr>
        <w:top w:val="none" w:sz="0" w:space="0" w:color="auto"/>
        <w:left w:val="none" w:sz="0" w:space="0" w:color="auto"/>
        <w:bottom w:val="none" w:sz="0" w:space="0" w:color="auto"/>
        <w:right w:val="none" w:sz="0" w:space="0" w:color="auto"/>
      </w:divBdr>
    </w:div>
    <w:div w:id="2048487722">
      <w:marLeft w:val="0"/>
      <w:marRight w:val="0"/>
      <w:marTop w:val="0"/>
      <w:marBottom w:val="0"/>
      <w:divBdr>
        <w:top w:val="none" w:sz="0" w:space="0" w:color="auto"/>
        <w:left w:val="none" w:sz="0" w:space="0" w:color="auto"/>
        <w:bottom w:val="none" w:sz="0" w:space="0" w:color="auto"/>
        <w:right w:val="none" w:sz="0" w:space="0" w:color="auto"/>
      </w:divBdr>
    </w:div>
    <w:div w:id="2048867435">
      <w:marLeft w:val="0"/>
      <w:marRight w:val="0"/>
      <w:marTop w:val="180"/>
      <w:marBottom w:val="0"/>
      <w:divBdr>
        <w:top w:val="none" w:sz="0" w:space="0" w:color="auto"/>
        <w:left w:val="none" w:sz="0" w:space="0" w:color="auto"/>
        <w:bottom w:val="none" w:sz="0" w:space="0" w:color="auto"/>
        <w:right w:val="none" w:sz="0" w:space="0" w:color="auto"/>
      </w:divBdr>
    </w:div>
    <w:div w:id="2050371467">
      <w:marLeft w:val="0"/>
      <w:marRight w:val="0"/>
      <w:marTop w:val="0"/>
      <w:marBottom w:val="100"/>
      <w:divBdr>
        <w:top w:val="none" w:sz="0" w:space="0" w:color="auto"/>
        <w:left w:val="none" w:sz="0" w:space="0" w:color="auto"/>
        <w:bottom w:val="none" w:sz="0" w:space="0" w:color="auto"/>
        <w:right w:val="none" w:sz="0" w:space="0" w:color="auto"/>
      </w:divBdr>
    </w:div>
    <w:div w:id="2051950981">
      <w:marLeft w:val="0"/>
      <w:marRight w:val="0"/>
      <w:marTop w:val="180"/>
      <w:marBottom w:val="100"/>
      <w:divBdr>
        <w:top w:val="none" w:sz="0" w:space="0" w:color="auto"/>
        <w:left w:val="none" w:sz="0" w:space="0" w:color="auto"/>
        <w:bottom w:val="none" w:sz="0" w:space="0" w:color="auto"/>
        <w:right w:val="none" w:sz="0" w:space="0" w:color="auto"/>
      </w:divBdr>
    </w:div>
    <w:div w:id="2051999956">
      <w:marLeft w:val="0"/>
      <w:marRight w:val="0"/>
      <w:marTop w:val="100"/>
      <w:marBottom w:val="100"/>
      <w:divBdr>
        <w:top w:val="none" w:sz="0" w:space="0" w:color="auto"/>
        <w:left w:val="none" w:sz="0" w:space="0" w:color="auto"/>
        <w:bottom w:val="none" w:sz="0" w:space="0" w:color="auto"/>
        <w:right w:val="none" w:sz="0" w:space="0" w:color="auto"/>
      </w:divBdr>
    </w:div>
    <w:div w:id="2054573142">
      <w:marLeft w:val="0"/>
      <w:marRight w:val="0"/>
      <w:marTop w:val="0"/>
      <w:marBottom w:val="0"/>
      <w:divBdr>
        <w:top w:val="none" w:sz="0" w:space="0" w:color="auto"/>
        <w:left w:val="none" w:sz="0" w:space="0" w:color="auto"/>
        <w:bottom w:val="none" w:sz="0" w:space="0" w:color="auto"/>
        <w:right w:val="none" w:sz="0" w:space="0" w:color="auto"/>
      </w:divBdr>
    </w:div>
    <w:div w:id="2055883648">
      <w:marLeft w:val="0"/>
      <w:marRight w:val="0"/>
      <w:marTop w:val="0"/>
      <w:marBottom w:val="0"/>
      <w:divBdr>
        <w:top w:val="none" w:sz="0" w:space="0" w:color="auto"/>
        <w:left w:val="none" w:sz="0" w:space="0" w:color="auto"/>
        <w:bottom w:val="none" w:sz="0" w:space="0" w:color="auto"/>
        <w:right w:val="none" w:sz="0" w:space="0" w:color="auto"/>
      </w:divBdr>
    </w:div>
    <w:div w:id="2056153790">
      <w:marLeft w:val="0"/>
      <w:marRight w:val="0"/>
      <w:marTop w:val="0"/>
      <w:marBottom w:val="0"/>
      <w:divBdr>
        <w:top w:val="none" w:sz="0" w:space="0" w:color="auto"/>
        <w:left w:val="none" w:sz="0" w:space="0" w:color="auto"/>
        <w:bottom w:val="none" w:sz="0" w:space="0" w:color="auto"/>
        <w:right w:val="none" w:sz="0" w:space="0" w:color="auto"/>
      </w:divBdr>
      <w:divsChild>
        <w:div w:id="941491313">
          <w:marLeft w:val="0"/>
          <w:marRight w:val="0"/>
          <w:marTop w:val="0"/>
          <w:marBottom w:val="100"/>
          <w:divBdr>
            <w:top w:val="none" w:sz="0" w:space="0" w:color="auto"/>
            <w:left w:val="none" w:sz="0" w:space="0" w:color="auto"/>
            <w:bottom w:val="none" w:sz="0" w:space="0" w:color="auto"/>
            <w:right w:val="none" w:sz="0" w:space="0" w:color="auto"/>
          </w:divBdr>
        </w:div>
      </w:divsChild>
    </w:div>
    <w:div w:id="2056810166">
      <w:marLeft w:val="0"/>
      <w:marRight w:val="0"/>
      <w:marTop w:val="180"/>
      <w:marBottom w:val="0"/>
      <w:divBdr>
        <w:top w:val="none" w:sz="0" w:space="0" w:color="auto"/>
        <w:left w:val="none" w:sz="0" w:space="0" w:color="auto"/>
        <w:bottom w:val="none" w:sz="0" w:space="0" w:color="auto"/>
        <w:right w:val="none" w:sz="0" w:space="0" w:color="auto"/>
      </w:divBdr>
    </w:div>
    <w:div w:id="2058239089">
      <w:marLeft w:val="0"/>
      <w:marRight w:val="0"/>
      <w:marTop w:val="0"/>
      <w:marBottom w:val="0"/>
      <w:divBdr>
        <w:top w:val="none" w:sz="0" w:space="0" w:color="auto"/>
        <w:left w:val="none" w:sz="0" w:space="0" w:color="auto"/>
        <w:bottom w:val="none" w:sz="0" w:space="0" w:color="auto"/>
        <w:right w:val="none" w:sz="0" w:space="0" w:color="auto"/>
      </w:divBdr>
      <w:divsChild>
        <w:div w:id="283274037">
          <w:marLeft w:val="0"/>
          <w:marRight w:val="0"/>
          <w:marTop w:val="0"/>
          <w:marBottom w:val="0"/>
          <w:divBdr>
            <w:top w:val="none" w:sz="0" w:space="0" w:color="auto"/>
            <w:left w:val="none" w:sz="0" w:space="0" w:color="auto"/>
            <w:bottom w:val="none" w:sz="0" w:space="0" w:color="auto"/>
            <w:right w:val="none" w:sz="0" w:space="0" w:color="auto"/>
          </w:divBdr>
          <w:divsChild>
            <w:div w:id="8764346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58629458">
      <w:marLeft w:val="0"/>
      <w:marRight w:val="0"/>
      <w:marTop w:val="100"/>
      <w:marBottom w:val="100"/>
      <w:divBdr>
        <w:top w:val="none" w:sz="0" w:space="0" w:color="auto"/>
        <w:left w:val="none" w:sz="0" w:space="0" w:color="auto"/>
        <w:bottom w:val="none" w:sz="0" w:space="0" w:color="auto"/>
        <w:right w:val="none" w:sz="0" w:space="0" w:color="auto"/>
      </w:divBdr>
    </w:div>
    <w:div w:id="2059744168">
      <w:marLeft w:val="0"/>
      <w:marRight w:val="0"/>
      <w:marTop w:val="180"/>
      <w:marBottom w:val="120"/>
      <w:divBdr>
        <w:top w:val="none" w:sz="0" w:space="0" w:color="auto"/>
        <w:left w:val="none" w:sz="0" w:space="0" w:color="auto"/>
        <w:bottom w:val="none" w:sz="0" w:space="0" w:color="auto"/>
        <w:right w:val="none" w:sz="0" w:space="0" w:color="auto"/>
      </w:divBdr>
    </w:div>
    <w:div w:id="2061785806">
      <w:marLeft w:val="0"/>
      <w:marRight w:val="0"/>
      <w:marTop w:val="100"/>
      <w:marBottom w:val="100"/>
      <w:divBdr>
        <w:top w:val="none" w:sz="0" w:space="0" w:color="auto"/>
        <w:left w:val="none" w:sz="0" w:space="0" w:color="auto"/>
        <w:bottom w:val="none" w:sz="0" w:space="0" w:color="auto"/>
        <w:right w:val="none" w:sz="0" w:space="0" w:color="auto"/>
      </w:divBdr>
      <w:divsChild>
        <w:div w:id="1135879312">
          <w:marLeft w:val="0"/>
          <w:marRight w:val="0"/>
          <w:marTop w:val="0"/>
          <w:marBottom w:val="0"/>
          <w:divBdr>
            <w:top w:val="none" w:sz="0" w:space="0" w:color="auto"/>
            <w:left w:val="none" w:sz="0" w:space="0" w:color="auto"/>
            <w:bottom w:val="none" w:sz="0" w:space="0" w:color="auto"/>
            <w:right w:val="none" w:sz="0" w:space="0" w:color="auto"/>
          </w:divBdr>
        </w:div>
        <w:div w:id="1200706388">
          <w:marLeft w:val="0"/>
          <w:marRight w:val="0"/>
          <w:marTop w:val="0"/>
          <w:marBottom w:val="0"/>
          <w:divBdr>
            <w:top w:val="none" w:sz="0" w:space="0" w:color="auto"/>
            <w:left w:val="none" w:sz="0" w:space="0" w:color="auto"/>
            <w:bottom w:val="none" w:sz="0" w:space="0" w:color="auto"/>
            <w:right w:val="none" w:sz="0" w:space="0" w:color="auto"/>
          </w:divBdr>
        </w:div>
        <w:div w:id="1753117677">
          <w:marLeft w:val="0"/>
          <w:marRight w:val="0"/>
          <w:marTop w:val="0"/>
          <w:marBottom w:val="0"/>
          <w:divBdr>
            <w:top w:val="none" w:sz="0" w:space="0" w:color="auto"/>
            <w:left w:val="none" w:sz="0" w:space="0" w:color="auto"/>
            <w:bottom w:val="none" w:sz="0" w:space="0" w:color="auto"/>
            <w:right w:val="none" w:sz="0" w:space="0" w:color="auto"/>
          </w:divBdr>
        </w:div>
        <w:div w:id="2106799844">
          <w:marLeft w:val="0"/>
          <w:marRight w:val="0"/>
          <w:marTop w:val="0"/>
          <w:marBottom w:val="0"/>
          <w:divBdr>
            <w:top w:val="none" w:sz="0" w:space="0" w:color="auto"/>
            <w:left w:val="none" w:sz="0" w:space="0" w:color="auto"/>
            <w:bottom w:val="none" w:sz="0" w:space="0" w:color="auto"/>
            <w:right w:val="none" w:sz="0" w:space="0" w:color="auto"/>
          </w:divBdr>
        </w:div>
        <w:div w:id="1427849180">
          <w:marLeft w:val="0"/>
          <w:marRight w:val="0"/>
          <w:marTop w:val="0"/>
          <w:marBottom w:val="0"/>
          <w:divBdr>
            <w:top w:val="none" w:sz="0" w:space="0" w:color="auto"/>
            <w:left w:val="none" w:sz="0" w:space="0" w:color="auto"/>
            <w:bottom w:val="none" w:sz="0" w:space="0" w:color="auto"/>
            <w:right w:val="none" w:sz="0" w:space="0" w:color="auto"/>
          </w:divBdr>
        </w:div>
        <w:div w:id="1694569540">
          <w:marLeft w:val="0"/>
          <w:marRight w:val="0"/>
          <w:marTop w:val="0"/>
          <w:marBottom w:val="0"/>
          <w:divBdr>
            <w:top w:val="none" w:sz="0" w:space="0" w:color="auto"/>
            <w:left w:val="none" w:sz="0" w:space="0" w:color="auto"/>
            <w:bottom w:val="none" w:sz="0" w:space="0" w:color="auto"/>
            <w:right w:val="none" w:sz="0" w:space="0" w:color="auto"/>
          </w:divBdr>
        </w:div>
        <w:div w:id="1969970288">
          <w:marLeft w:val="0"/>
          <w:marRight w:val="0"/>
          <w:marTop w:val="0"/>
          <w:marBottom w:val="0"/>
          <w:divBdr>
            <w:top w:val="none" w:sz="0" w:space="0" w:color="auto"/>
            <w:left w:val="none" w:sz="0" w:space="0" w:color="auto"/>
            <w:bottom w:val="none" w:sz="0" w:space="0" w:color="auto"/>
            <w:right w:val="none" w:sz="0" w:space="0" w:color="auto"/>
          </w:divBdr>
        </w:div>
        <w:div w:id="1354192088">
          <w:marLeft w:val="0"/>
          <w:marRight w:val="0"/>
          <w:marTop w:val="0"/>
          <w:marBottom w:val="0"/>
          <w:divBdr>
            <w:top w:val="none" w:sz="0" w:space="0" w:color="auto"/>
            <w:left w:val="none" w:sz="0" w:space="0" w:color="auto"/>
            <w:bottom w:val="none" w:sz="0" w:space="0" w:color="auto"/>
            <w:right w:val="none" w:sz="0" w:space="0" w:color="auto"/>
          </w:divBdr>
        </w:div>
        <w:div w:id="187181055">
          <w:marLeft w:val="0"/>
          <w:marRight w:val="0"/>
          <w:marTop w:val="0"/>
          <w:marBottom w:val="0"/>
          <w:divBdr>
            <w:top w:val="none" w:sz="0" w:space="0" w:color="auto"/>
            <w:left w:val="none" w:sz="0" w:space="0" w:color="auto"/>
            <w:bottom w:val="none" w:sz="0" w:space="0" w:color="auto"/>
            <w:right w:val="none" w:sz="0" w:space="0" w:color="auto"/>
          </w:divBdr>
        </w:div>
      </w:divsChild>
    </w:div>
    <w:div w:id="2063096512">
      <w:marLeft w:val="0"/>
      <w:marRight w:val="0"/>
      <w:marTop w:val="180"/>
      <w:marBottom w:val="0"/>
      <w:divBdr>
        <w:top w:val="none" w:sz="0" w:space="0" w:color="auto"/>
        <w:left w:val="none" w:sz="0" w:space="0" w:color="auto"/>
        <w:bottom w:val="none" w:sz="0" w:space="0" w:color="auto"/>
        <w:right w:val="none" w:sz="0" w:space="0" w:color="auto"/>
      </w:divBdr>
    </w:div>
    <w:div w:id="2063479342">
      <w:marLeft w:val="0"/>
      <w:marRight w:val="0"/>
      <w:marTop w:val="0"/>
      <w:marBottom w:val="0"/>
      <w:divBdr>
        <w:top w:val="none" w:sz="0" w:space="0" w:color="auto"/>
        <w:left w:val="none" w:sz="0" w:space="0" w:color="auto"/>
        <w:bottom w:val="none" w:sz="0" w:space="0" w:color="auto"/>
        <w:right w:val="none" w:sz="0" w:space="0" w:color="auto"/>
      </w:divBdr>
    </w:div>
    <w:div w:id="2064403955">
      <w:marLeft w:val="0"/>
      <w:marRight w:val="0"/>
      <w:marTop w:val="100"/>
      <w:marBottom w:val="0"/>
      <w:divBdr>
        <w:top w:val="none" w:sz="0" w:space="0" w:color="auto"/>
        <w:left w:val="none" w:sz="0" w:space="0" w:color="auto"/>
        <w:bottom w:val="none" w:sz="0" w:space="0" w:color="auto"/>
        <w:right w:val="none" w:sz="0" w:space="0" w:color="auto"/>
      </w:divBdr>
    </w:div>
    <w:div w:id="2064406773">
      <w:marLeft w:val="0"/>
      <w:marRight w:val="0"/>
      <w:marTop w:val="180"/>
      <w:marBottom w:val="100"/>
      <w:divBdr>
        <w:top w:val="none" w:sz="0" w:space="0" w:color="auto"/>
        <w:left w:val="none" w:sz="0" w:space="0" w:color="auto"/>
        <w:bottom w:val="none" w:sz="0" w:space="0" w:color="auto"/>
        <w:right w:val="none" w:sz="0" w:space="0" w:color="auto"/>
      </w:divBdr>
    </w:div>
    <w:div w:id="2064519453">
      <w:marLeft w:val="0"/>
      <w:marRight w:val="0"/>
      <w:marTop w:val="180"/>
      <w:marBottom w:val="0"/>
      <w:divBdr>
        <w:top w:val="none" w:sz="0" w:space="0" w:color="auto"/>
        <w:left w:val="none" w:sz="0" w:space="0" w:color="auto"/>
        <w:bottom w:val="none" w:sz="0" w:space="0" w:color="auto"/>
        <w:right w:val="none" w:sz="0" w:space="0" w:color="auto"/>
      </w:divBdr>
    </w:div>
    <w:div w:id="2066445903">
      <w:marLeft w:val="0"/>
      <w:marRight w:val="0"/>
      <w:marTop w:val="100"/>
      <w:marBottom w:val="0"/>
      <w:divBdr>
        <w:top w:val="none" w:sz="0" w:space="0" w:color="auto"/>
        <w:left w:val="none" w:sz="0" w:space="0" w:color="auto"/>
        <w:bottom w:val="none" w:sz="0" w:space="0" w:color="auto"/>
        <w:right w:val="none" w:sz="0" w:space="0" w:color="auto"/>
      </w:divBdr>
    </w:div>
    <w:div w:id="2066833361">
      <w:marLeft w:val="0"/>
      <w:marRight w:val="0"/>
      <w:marTop w:val="100"/>
      <w:marBottom w:val="100"/>
      <w:divBdr>
        <w:top w:val="none" w:sz="0" w:space="0" w:color="auto"/>
        <w:left w:val="none" w:sz="0" w:space="0" w:color="auto"/>
        <w:bottom w:val="none" w:sz="0" w:space="0" w:color="auto"/>
        <w:right w:val="none" w:sz="0" w:space="0" w:color="auto"/>
      </w:divBdr>
    </w:div>
    <w:div w:id="2069187619">
      <w:marLeft w:val="0"/>
      <w:marRight w:val="0"/>
      <w:marTop w:val="180"/>
      <w:marBottom w:val="0"/>
      <w:divBdr>
        <w:top w:val="none" w:sz="0" w:space="0" w:color="auto"/>
        <w:left w:val="none" w:sz="0" w:space="0" w:color="auto"/>
        <w:bottom w:val="none" w:sz="0" w:space="0" w:color="auto"/>
        <w:right w:val="none" w:sz="0" w:space="0" w:color="auto"/>
      </w:divBdr>
    </w:div>
    <w:div w:id="2072314704">
      <w:marLeft w:val="0"/>
      <w:marRight w:val="0"/>
      <w:marTop w:val="100"/>
      <w:marBottom w:val="100"/>
      <w:divBdr>
        <w:top w:val="none" w:sz="0" w:space="0" w:color="auto"/>
        <w:left w:val="none" w:sz="0" w:space="0" w:color="auto"/>
        <w:bottom w:val="none" w:sz="0" w:space="0" w:color="auto"/>
        <w:right w:val="none" w:sz="0" w:space="0" w:color="auto"/>
      </w:divBdr>
    </w:div>
    <w:div w:id="2074697656">
      <w:marLeft w:val="0"/>
      <w:marRight w:val="0"/>
      <w:marTop w:val="0"/>
      <w:marBottom w:val="0"/>
      <w:divBdr>
        <w:top w:val="none" w:sz="0" w:space="0" w:color="auto"/>
        <w:left w:val="none" w:sz="0" w:space="0" w:color="auto"/>
        <w:bottom w:val="none" w:sz="0" w:space="0" w:color="auto"/>
        <w:right w:val="none" w:sz="0" w:space="0" w:color="auto"/>
      </w:divBdr>
      <w:divsChild>
        <w:div w:id="57170456">
          <w:marLeft w:val="0"/>
          <w:marRight w:val="0"/>
          <w:marTop w:val="0"/>
          <w:marBottom w:val="100"/>
          <w:divBdr>
            <w:top w:val="none" w:sz="0" w:space="0" w:color="auto"/>
            <w:left w:val="none" w:sz="0" w:space="0" w:color="auto"/>
            <w:bottom w:val="none" w:sz="0" w:space="0" w:color="auto"/>
            <w:right w:val="none" w:sz="0" w:space="0" w:color="auto"/>
          </w:divBdr>
        </w:div>
        <w:div w:id="1842425877">
          <w:marLeft w:val="0"/>
          <w:marRight w:val="0"/>
          <w:marTop w:val="0"/>
          <w:marBottom w:val="100"/>
          <w:divBdr>
            <w:top w:val="none" w:sz="0" w:space="0" w:color="auto"/>
            <w:left w:val="none" w:sz="0" w:space="0" w:color="auto"/>
            <w:bottom w:val="none" w:sz="0" w:space="0" w:color="auto"/>
            <w:right w:val="none" w:sz="0" w:space="0" w:color="auto"/>
          </w:divBdr>
        </w:div>
        <w:div w:id="924915994">
          <w:marLeft w:val="0"/>
          <w:marRight w:val="0"/>
          <w:marTop w:val="0"/>
          <w:marBottom w:val="100"/>
          <w:divBdr>
            <w:top w:val="none" w:sz="0" w:space="0" w:color="auto"/>
            <w:left w:val="none" w:sz="0" w:space="0" w:color="auto"/>
            <w:bottom w:val="none" w:sz="0" w:space="0" w:color="auto"/>
            <w:right w:val="none" w:sz="0" w:space="0" w:color="auto"/>
          </w:divBdr>
        </w:div>
        <w:div w:id="184877720">
          <w:marLeft w:val="0"/>
          <w:marRight w:val="0"/>
          <w:marTop w:val="0"/>
          <w:marBottom w:val="100"/>
          <w:divBdr>
            <w:top w:val="none" w:sz="0" w:space="0" w:color="auto"/>
            <w:left w:val="none" w:sz="0" w:space="0" w:color="auto"/>
            <w:bottom w:val="none" w:sz="0" w:space="0" w:color="auto"/>
            <w:right w:val="none" w:sz="0" w:space="0" w:color="auto"/>
          </w:divBdr>
        </w:div>
      </w:divsChild>
    </w:div>
    <w:div w:id="2074889798">
      <w:marLeft w:val="0"/>
      <w:marRight w:val="0"/>
      <w:marTop w:val="0"/>
      <w:marBottom w:val="0"/>
      <w:divBdr>
        <w:top w:val="none" w:sz="0" w:space="0" w:color="auto"/>
        <w:left w:val="none" w:sz="0" w:space="0" w:color="auto"/>
        <w:bottom w:val="none" w:sz="0" w:space="0" w:color="auto"/>
        <w:right w:val="none" w:sz="0" w:space="0" w:color="auto"/>
      </w:divBdr>
      <w:divsChild>
        <w:div w:id="1990205272">
          <w:marLeft w:val="0"/>
          <w:marRight w:val="0"/>
          <w:marTop w:val="0"/>
          <w:marBottom w:val="100"/>
          <w:divBdr>
            <w:top w:val="none" w:sz="0" w:space="0" w:color="auto"/>
            <w:left w:val="none" w:sz="0" w:space="0" w:color="auto"/>
            <w:bottom w:val="none" w:sz="0" w:space="0" w:color="auto"/>
            <w:right w:val="none" w:sz="0" w:space="0" w:color="auto"/>
          </w:divBdr>
        </w:div>
      </w:divsChild>
    </w:div>
    <w:div w:id="2076318541">
      <w:marLeft w:val="0"/>
      <w:marRight w:val="0"/>
      <w:marTop w:val="0"/>
      <w:marBottom w:val="0"/>
      <w:divBdr>
        <w:top w:val="none" w:sz="0" w:space="0" w:color="auto"/>
        <w:left w:val="none" w:sz="0" w:space="0" w:color="auto"/>
        <w:bottom w:val="none" w:sz="0" w:space="0" w:color="auto"/>
        <w:right w:val="none" w:sz="0" w:space="0" w:color="auto"/>
      </w:divBdr>
    </w:div>
    <w:div w:id="2078047692">
      <w:marLeft w:val="0"/>
      <w:marRight w:val="0"/>
      <w:marTop w:val="100"/>
      <w:marBottom w:val="0"/>
      <w:divBdr>
        <w:top w:val="none" w:sz="0" w:space="0" w:color="auto"/>
        <w:left w:val="none" w:sz="0" w:space="0" w:color="auto"/>
        <w:bottom w:val="none" w:sz="0" w:space="0" w:color="auto"/>
        <w:right w:val="none" w:sz="0" w:space="0" w:color="auto"/>
      </w:divBdr>
    </w:div>
    <w:div w:id="2078622576">
      <w:marLeft w:val="0"/>
      <w:marRight w:val="0"/>
      <w:marTop w:val="0"/>
      <w:marBottom w:val="100"/>
      <w:divBdr>
        <w:top w:val="none" w:sz="0" w:space="0" w:color="auto"/>
        <w:left w:val="none" w:sz="0" w:space="0" w:color="auto"/>
        <w:bottom w:val="none" w:sz="0" w:space="0" w:color="auto"/>
        <w:right w:val="none" w:sz="0" w:space="0" w:color="auto"/>
      </w:divBdr>
    </w:div>
    <w:div w:id="2079475890">
      <w:marLeft w:val="0"/>
      <w:marRight w:val="0"/>
      <w:marTop w:val="0"/>
      <w:marBottom w:val="0"/>
      <w:divBdr>
        <w:top w:val="none" w:sz="0" w:space="0" w:color="auto"/>
        <w:left w:val="none" w:sz="0" w:space="0" w:color="auto"/>
        <w:bottom w:val="none" w:sz="0" w:space="0" w:color="auto"/>
        <w:right w:val="none" w:sz="0" w:space="0" w:color="auto"/>
      </w:divBdr>
    </w:div>
    <w:div w:id="2092894744">
      <w:marLeft w:val="0"/>
      <w:marRight w:val="0"/>
      <w:marTop w:val="100"/>
      <w:marBottom w:val="100"/>
      <w:divBdr>
        <w:top w:val="none" w:sz="0" w:space="0" w:color="auto"/>
        <w:left w:val="none" w:sz="0" w:space="0" w:color="auto"/>
        <w:bottom w:val="none" w:sz="0" w:space="0" w:color="auto"/>
        <w:right w:val="none" w:sz="0" w:space="0" w:color="auto"/>
      </w:divBdr>
    </w:div>
    <w:div w:id="2094932097">
      <w:marLeft w:val="0"/>
      <w:marRight w:val="0"/>
      <w:marTop w:val="0"/>
      <w:marBottom w:val="0"/>
      <w:divBdr>
        <w:top w:val="none" w:sz="0" w:space="0" w:color="auto"/>
        <w:left w:val="none" w:sz="0" w:space="0" w:color="auto"/>
        <w:bottom w:val="none" w:sz="0" w:space="0" w:color="auto"/>
        <w:right w:val="none" w:sz="0" w:space="0" w:color="auto"/>
      </w:divBdr>
    </w:div>
    <w:div w:id="2096049093">
      <w:marLeft w:val="0"/>
      <w:marRight w:val="0"/>
      <w:marTop w:val="100"/>
      <w:marBottom w:val="100"/>
      <w:divBdr>
        <w:top w:val="none" w:sz="0" w:space="0" w:color="auto"/>
        <w:left w:val="none" w:sz="0" w:space="0" w:color="auto"/>
        <w:bottom w:val="none" w:sz="0" w:space="0" w:color="auto"/>
        <w:right w:val="none" w:sz="0" w:space="0" w:color="auto"/>
      </w:divBdr>
    </w:div>
    <w:div w:id="2096659025">
      <w:marLeft w:val="0"/>
      <w:marRight w:val="0"/>
      <w:marTop w:val="100"/>
      <w:marBottom w:val="0"/>
      <w:divBdr>
        <w:top w:val="none" w:sz="0" w:space="0" w:color="auto"/>
        <w:left w:val="none" w:sz="0" w:space="0" w:color="auto"/>
        <w:bottom w:val="none" w:sz="0" w:space="0" w:color="auto"/>
        <w:right w:val="none" w:sz="0" w:space="0" w:color="auto"/>
      </w:divBdr>
    </w:div>
    <w:div w:id="2099475830">
      <w:marLeft w:val="0"/>
      <w:marRight w:val="0"/>
      <w:marTop w:val="0"/>
      <w:marBottom w:val="0"/>
      <w:divBdr>
        <w:top w:val="none" w:sz="0" w:space="0" w:color="auto"/>
        <w:left w:val="none" w:sz="0" w:space="0" w:color="auto"/>
        <w:bottom w:val="none" w:sz="0" w:space="0" w:color="auto"/>
        <w:right w:val="none" w:sz="0" w:space="0" w:color="auto"/>
      </w:divBdr>
      <w:divsChild>
        <w:div w:id="499543187">
          <w:marLeft w:val="0"/>
          <w:marRight w:val="0"/>
          <w:marTop w:val="0"/>
          <w:marBottom w:val="100"/>
          <w:divBdr>
            <w:top w:val="none" w:sz="0" w:space="0" w:color="auto"/>
            <w:left w:val="none" w:sz="0" w:space="0" w:color="auto"/>
            <w:bottom w:val="none" w:sz="0" w:space="0" w:color="auto"/>
            <w:right w:val="none" w:sz="0" w:space="0" w:color="auto"/>
          </w:divBdr>
        </w:div>
      </w:divsChild>
    </w:div>
    <w:div w:id="2101219089">
      <w:marLeft w:val="0"/>
      <w:marRight w:val="0"/>
      <w:marTop w:val="0"/>
      <w:marBottom w:val="0"/>
      <w:divBdr>
        <w:top w:val="none" w:sz="0" w:space="0" w:color="auto"/>
        <w:left w:val="none" w:sz="0" w:space="0" w:color="auto"/>
        <w:bottom w:val="none" w:sz="0" w:space="0" w:color="auto"/>
        <w:right w:val="none" w:sz="0" w:space="0" w:color="auto"/>
      </w:divBdr>
    </w:div>
    <w:div w:id="2101678539">
      <w:marLeft w:val="0"/>
      <w:marRight w:val="0"/>
      <w:marTop w:val="0"/>
      <w:marBottom w:val="0"/>
      <w:divBdr>
        <w:top w:val="none" w:sz="0" w:space="0" w:color="auto"/>
        <w:left w:val="none" w:sz="0" w:space="0" w:color="auto"/>
        <w:bottom w:val="none" w:sz="0" w:space="0" w:color="auto"/>
        <w:right w:val="none" w:sz="0" w:space="0" w:color="auto"/>
      </w:divBdr>
      <w:divsChild>
        <w:div w:id="1539900509">
          <w:marLeft w:val="0"/>
          <w:marRight w:val="0"/>
          <w:marTop w:val="0"/>
          <w:marBottom w:val="0"/>
          <w:divBdr>
            <w:top w:val="none" w:sz="0" w:space="0" w:color="auto"/>
            <w:left w:val="none" w:sz="0" w:space="0" w:color="auto"/>
            <w:bottom w:val="none" w:sz="0" w:space="0" w:color="auto"/>
            <w:right w:val="none" w:sz="0" w:space="0" w:color="auto"/>
          </w:divBdr>
          <w:divsChild>
            <w:div w:id="108291939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02409540">
      <w:marLeft w:val="0"/>
      <w:marRight w:val="0"/>
      <w:marTop w:val="0"/>
      <w:marBottom w:val="100"/>
      <w:divBdr>
        <w:top w:val="none" w:sz="0" w:space="0" w:color="auto"/>
        <w:left w:val="none" w:sz="0" w:space="0" w:color="auto"/>
        <w:bottom w:val="none" w:sz="0" w:space="0" w:color="auto"/>
        <w:right w:val="none" w:sz="0" w:space="0" w:color="auto"/>
      </w:divBdr>
    </w:div>
    <w:div w:id="2103060490">
      <w:marLeft w:val="0"/>
      <w:marRight w:val="0"/>
      <w:marTop w:val="0"/>
      <w:marBottom w:val="0"/>
      <w:divBdr>
        <w:top w:val="none" w:sz="0" w:space="0" w:color="auto"/>
        <w:left w:val="none" w:sz="0" w:space="0" w:color="auto"/>
        <w:bottom w:val="none" w:sz="0" w:space="0" w:color="auto"/>
        <w:right w:val="none" w:sz="0" w:space="0" w:color="auto"/>
      </w:divBdr>
    </w:div>
    <w:div w:id="2103602268">
      <w:marLeft w:val="0"/>
      <w:marRight w:val="0"/>
      <w:marTop w:val="0"/>
      <w:marBottom w:val="100"/>
      <w:divBdr>
        <w:top w:val="none" w:sz="0" w:space="0" w:color="auto"/>
        <w:left w:val="none" w:sz="0" w:space="0" w:color="auto"/>
        <w:bottom w:val="none" w:sz="0" w:space="0" w:color="auto"/>
        <w:right w:val="none" w:sz="0" w:space="0" w:color="auto"/>
      </w:divBdr>
    </w:div>
    <w:div w:id="2104951970">
      <w:marLeft w:val="0"/>
      <w:marRight w:val="0"/>
      <w:marTop w:val="0"/>
      <w:marBottom w:val="0"/>
      <w:divBdr>
        <w:top w:val="none" w:sz="0" w:space="0" w:color="auto"/>
        <w:left w:val="none" w:sz="0" w:space="0" w:color="auto"/>
        <w:bottom w:val="none" w:sz="0" w:space="0" w:color="auto"/>
        <w:right w:val="none" w:sz="0" w:space="0" w:color="auto"/>
      </w:divBdr>
    </w:div>
    <w:div w:id="2105029163">
      <w:marLeft w:val="0"/>
      <w:marRight w:val="0"/>
      <w:marTop w:val="100"/>
      <w:marBottom w:val="100"/>
      <w:divBdr>
        <w:top w:val="none" w:sz="0" w:space="0" w:color="auto"/>
        <w:left w:val="none" w:sz="0" w:space="0" w:color="auto"/>
        <w:bottom w:val="none" w:sz="0" w:space="0" w:color="auto"/>
        <w:right w:val="none" w:sz="0" w:space="0" w:color="auto"/>
      </w:divBdr>
    </w:div>
    <w:div w:id="2106533166">
      <w:marLeft w:val="0"/>
      <w:marRight w:val="0"/>
      <w:marTop w:val="0"/>
      <w:marBottom w:val="0"/>
      <w:divBdr>
        <w:top w:val="none" w:sz="0" w:space="0" w:color="auto"/>
        <w:left w:val="none" w:sz="0" w:space="0" w:color="auto"/>
        <w:bottom w:val="none" w:sz="0" w:space="0" w:color="auto"/>
        <w:right w:val="none" w:sz="0" w:space="0" w:color="auto"/>
      </w:divBdr>
      <w:divsChild>
        <w:div w:id="1759474065">
          <w:marLeft w:val="0"/>
          <w:marRight w:val="0"/>
          <w:marTop w:val="0"/>
          <w:marBottom w:val="100"/>
          <w:divBdr>
            <w:top w:val="none" w:sz="0" w:space="0" w:color="auto"/>
            <w:left w:val="none" w:sz="0" w:space="0" w:color="auto"/>
            <w:bottom w:val="none" w:sz="0" w:space="0" w:color="auto"/>
            <w:right w:val="none" w:sz="0" w:space="0" w:color="auto"/>
          </w:divBdr>
        </w:div>
      </w:divsChild>
    </w:div>
    <w:div w:id="2107075808">
      <w:marLeft w:val="0"/>
      <w:marRight w:val="0"/>
      <w:marTop w:val="180"/>
      <w:marBottom w:val="100"/>
      <w:divBdr>
        <w:top w:val="none" w:sz="0" w:space="0" w:color="auto"/>
        <w:left w:val="none" w:sz="0" w:space="0" w:color="auto"/>
        <w:bottom w:val="none" w:sz="0" w:space="0" w:color="auto"/>
        <w:right w:val="none" w:sz="0" w:space="0" w:color="auto"/>
      </w:divBdr>
    </w:div>
    <w:div w:id="2107116388">
      <w:marLeft w:val="0"/>
      <w:marRight w:val="0"/>
      <w:marTop w:val="180"/>
      <w:marBottom w:val="0"/>
      <w:divBdr>
        <w:top w:val="none" w:sz="0" w:space="0" w:color="auto"/>
        <w:left w:val="none" w:sz="0" w:space="0" w:color="auto"/>
        <w:bottom w:val="none" w:sz="0" w:space="0" w:color="auto"/>
        <w:right w:val="none" w:sz="0" w:space="0" w:color="auto"/>
      </w:divBdr>
    </w:div>
    <w:div w:id="2107723600">
      <w:marLeft w:val="0"/>
      <w:marRight w:val="0"/>
      <w:marTop w:val="180"/>
      <w:marBottom w:val="100"/>
      <w:divBdr>
        <w:top w:val="none" w:sz="0" w:space="0" w:color="auto"/>
        <w:left w:val="none" w:sz="0" w:space="0" w:color="auto"/>
        <w:bottom w:val="none" w:sz="0" w:space="0" w:color="auto"/>
        <w:right w:val="none" w:sz="0" w:space="0" w:color="auto"/>
      </w:divBdr>
    </w:div>
    <w:div w:id="2107771338">
      <w:marLeft w:val="0"/>
      <w:marRight w:val="0"/>
      <w:marTop w:val="100"/>
      <w:marBottom w:val="100"/>
      <w:divBdr>
        <w:top w:val="none" w:sz="0" w:space="0" w:color="auto"/>
        <w:left w:val="none" w:sz="0" w:space="0" w:color="auto"/>
        <w:bottom w:val="none" w:sz="0" w:space="0" w:color="auto"/>
        <w:right w:val="none" w:sz="0" w:space="0" w:color="auto"/>
      </w:divBdr>
    </w:div>
    <w:div w:id="2108959134">
      <w:marLeft w:val="0"/>
      <w:marRight w:val="0"/>
      <w:marTop w:val="0"/>
      <w:marBottom w:val="0"/>
      <w:divBdr>
        <w:top w:val="none" w:sz="0" w:space="0" w:color="auto"/>
        <w:left w:val="none" w:sz="0" w:space="0" w:color="auto"/>
        <w:bottom w:val="none" w:sz="0" w:space="0" w:color="auto"/>
        <w:right w:val="none" w:sz="0" w:space="0" w:color="auto"/>
      </w:divBdr>
      <w:divsChild>
        <w:div w:id="183980418">
          <w:marLeft w:val="0"/>
          <w:marRight w:val="0"/>
          <w:marTop w:val="0"/>
          <w:marBottom w:val="100"/>
          <w:divBdr>
            <w:top w:val="none" w:sz="0" w:space="0" w:color="auto"/>
            <w:left w:val="none" w:sz="0" w:space="0" w:color="auto"/>
            <w:bottom w:val="none" w:sz="0" w:space="0" w:color="auto"/>
            <w:right w:val="none" w:sz="0" w:space="0" w:color="auto"/>
          </w:divBdr>
        </w:div>
      </w:divsChild>
    </w:div>
    <w:div w:id="2109811557">
      <w:marLeft w:val="0"/>
      <w:marRight w:val="0"/>
      <w:marTop w:val="0"/>
      <w:marBottom w:val="0"/>
      <w:divBdr>
        <w:top w:val="none" w:sz="0" w:space="0" w:color="auto"/>
        <w:left w:val="none" w:sz="0" w:space="0" w:color="auto"/>
        <w:bottom w:val="none" w:sz="0" w:space="0" w:color="auto"/>
        <w:right w:val="none" w:sz="0" w:space="0" w:color="auto"/>
      </w:divBdr>
      <w:divsChild>
        <w:div w:id="647175250">
          <w:marLeft w:val="0"/>
          <w:marRight w:val="0"/>
          <w:marTop w:val="0"/>
          <w:marBottom w:val="100"/>
          <w:divBdr>
            <w:top w:val="none" w:sz="0" w:space="0" w:color="auto"/>
            <w:left w:val="none" w:sz="0" w:space="0" w:color="auto"/>
            <w:bottom w:val="none" w:sz="0" w:space="0" w:color="auto"/>
            <w:right w:val="none" w:sz="0" w:space="0" w:color="auto"/>
          </w:divBdr>
        </w:div>
      </w:divsChild>
    </w:div>
    <w:div w:id="2111508241">
      <w:marLeft w:val="0"/>
      <w:marRight w:val="0"/>
      <w:marTop w:val="0"/>
      <w:marBottom w:val="0"/>
      <w:divBdr>
        <w:top w:val="none" w:sz="0" w:space="0" w:color="auto"/>
        <w:left w:val="none" w:sz="0" w:space="0" w:color="auto"/>
        <w:bottom w:val="none" w:sz="0" w:space="0" w:color="auto"/>
        <w:right w:val="none" w:sz="0" w:space="0" w:color="auto"/>
      </w:divBdr>
      <w:divsChild>
        <w:div w:id="174732018">
          <w:marLeft w:val="0"/>
          <w:marRight w:val="0"/>
          <w:marTop w:val="0"/>
          <w:marBottom w:val="0"/>
          <w:divBdr>
            <w:top w:val="none" w:sz="0" w:space="0" w:color="auto"/>
            <w:left w:val="none" w:sz="0" w:space="0" w:color="auto"/>
            <w:bottom w:val="none" w:sz="0" w:space="0" w:color="auto"/>
            <w:right w:val="none" w:sz="0" w:space="0" w:color="auto"/>
          </w:divBdr>
          <w:divsChild>
            <w:div w:id="8586178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13086916">
      <w:marLeft w:val="0"/>
      <w:marRight w:val="0"/>
      <w:marTop w:val="0"/>
      <w:marBottom w:val="0"/>
      <w:divBdr>
        <w:top w:val="none" w:sz="0" w:space="0" w:color="auto"/>
        <w:left w:val="none" w:sz="0" w:space="0" w:color="auto"/>
        <w:bottom w:val="none" w:sz="0" w:space="0" w:color="auto"/>
        <w:right w:val="none" w:sz="0" w:space="0" w:color="auto"/>
      </w:divBdr>
      <w:divsChild>
        <w:div w:id="365059542">
          <w:marLeft w:val="0"/>
          <w:marRight w:val="0"/>
          <w:marTop w:val="0"/>
          <w:marBottom w:val="100"/>
          <w:divBdr>
            <w:top w:val="none" w:sz="0" w:space="0" w:color="auto"/>
            <w:left w:val="none" w:sz="0" w:space="0" w:color="auto"/>
            <w:bottom w:val="none" w:sz="0" w:space="0" w:color="auto"/>
            <w:right w:val="none" w:sz="0" w:space="0" w:color="auto"/>
          </w:divBdr>
        </w:div>
      </w:divsChild>
    </w:div>
    <w:div w:id="2114782304">
      <w:marLeft w:val="0"/>
      <w:marRight w:val="0"/>
      <w:marTop w:val="180"/>
      <w:marBottom w:val="0"/>
      <w:divBdr>
        <w:top w:val="none" w:sz="0" w:space="0" w:color="auto"/>
        <w:left w:val="none" w:sz="0" w:space="0" w:color="auto"/>
        <w:bottom w:val="none" w:sz="0" w:space="0" w:color="auto"/>
        <w:right w:val="none" w:sz="0" w:space="0" w:color="auto"/>
      </w:divBdr>
    </w:div>
    <w:div w:id="2116634815">
      <w:marLeft w:val="0"/>
      <w:marRight w:val="0"/>
      <w:marTop w:val="180"/>
      <w:marBottom w:val="0"/>
      <w:divBdr>
        <w:top w:val="none" w:sz="0" w:space="0" w:color="auto"/>
        <w:left w:val="none" w:sz="0" w:space="0" w:color="auto"/>
        <w:bottom w:val="none" w:sz="0" w:space="0" w:color="auto"/>
        <w:right w:val="none" w:sz="0" w:space="0" w:color="auto"/>
      </w:divBdr>
    </w:div>
    <w:div w:id="2116903693">
      <w:marLeft w:val="0"/>
      <w:marRight w:val="0"/>
      <w:marTop w:val="0"/>
      <w:marBottom w:val="0"/>
      <w:divBdr>
        <w:top w:val="none" w:sz="0" w:space="0" w:color="auto"/>
        <w:left w:val="none" w:sz="0" w:space="0" w:color="auto"/>
        <w:bottom w:val="none" w:sz="0" w:space="0" w:color="auto"/>
        <w:right w:val="none" w:sz="0" w:space="0" w:color="auto"/>
      </w:divBdr>
      <w:divsChild>
        <w:div w:id="1792742721">
          <w:marLeft w:val="0"/>
          <w:marRight w:val="0"/>
          <w:marTop w:val="0"/>
          <w:marBottom w:val="100"/>
          <w:divBdr>
            <w:top w:val="none" w:sz="0" w:space="0" w:color="auto"/>
            <w:left w:val="none" w:sz="0" w:space="0" w:color="auto"/>
            <w:bottom w:val="none" w:sz="0" w:space="0" w:color="auto"/>
            <w:right w:val="none" w:sz="0" w:space="0" w:color="auto"/>
          </w:divBdr>
        </w:div>
      </w:divsChild>
    </w:div>
    <w:div w:id="2117557372">
      <w:marLeft w:val="0"/>
      <w:marRight w:val="0"/>
      <w:marTop w:val="100"/>
      <w:marBottom w:val="90"/>
      <w:divBdr>
        <w:top w:val="none" w:sz="0" w:space="0" w:color="auto"/>
        <w:left w:val="none" w:sz="0" w:space="0" w:color="auto"/>
        <w:bottom w:val="none" w:sz="0" w:space="0" w:color="auto"/>
        <w:right w:val="none" w:sz="0" w:space="0" w:color="auto"/>
      </w:divBdr>
    </w:div>
    <w:div w:id="2118016132">
      <w:marLeft w:val="0"/>
      <w:marRight w:val="0"/>
      <w:marTop w:val="0"/>
      <w:marBottom w:val="0"/>
      <w:divBdr>
        <w:top w:val="none" w:sz="0" w:space="0" w:color="auto"/>
        <w:left w:val="none" w:sz="0" w:space="0" w:color="auto"/>
        <w:bottom w:val="none" w:sz="0" w:space="0" w:color="auto"/>
        <w:right w:val="none" w:sz="0" w:space="0" w:color="auto"/>
      </w:divBdr>
    </w:div>
    <w:div w:id="2118210168">
      <w:marLeft w:val="0"/>
      <w:marRight w:val="0"/>
      <w:marTop w:val="0"/>
      <w:marBottom w:val="100"/>
      <w:divBdr>
        <w:top w:val="none" w:sz="0" w:space="0" w:color="auto"/>
        <w:left w:val="none" w:sz="0" w:space="0" w:color="auto"/>
        <w:bottom w:val="none" w:sz="0" w:space="0" w:color="auto"/>
        <w:right w:val="none" w:sz="0" w:space="0" w:color="auto"/>
      </w:divBdr>
    </w:div>
    <w:div w:id="2119369202">
      <w:marLeft w:val="0"/>
      <w:marRight w:val="0"/>
      <w:marTop w:val="100"/>
      <w:marBottom w:val="100"/>
      <w:divBdr>
        <w:top w:val="none" w:sz="0" w:space="0" w:color="auto"/>
        <w:left w:val="none" w:sz="0" w:space="0" w:color="auto"/>
        <w:bottom w:val="none" w:sz="0" w:space="0" w:color="auto"/>
        <w:right w:val="none" w:sz="0" w:space="0" w:color="auto"/>
      </w:divBdr>
    </w:div>
    <w:div w:id="2121139273">
      <w:marLeft w:val="0"/>
      <w:marRight w:val="0"/>
      <w:marTop w:val="0"/>
      <w:marBottom w:val="0"/>
      <w:divBdr>
        <w:top w:val="none" w:sz="0" w:space="0" w:color="auto"/>
        <w:left w:val="none" w:sz="0" w:space="0" w:color="auto"/>
        <w:bottom w:val="none" w:sz="0" w:space="0" w:color="auto"/>
        <w:right w:val="none" w:sz="0" w:space="0" w:color="auto"/>
      </w:divBdr>
      <w:divsChild>
        <w:div w:id="514269666">
          <w:marLeft w:val="0"/>
          <w:marRight w:val="0"/>
          <w:marTop w:val="0"/>
          <w:marBottom w:val="100"/>
          <w:divBdr>
            <w:top w:val="none" w:sz="0" w:space="0" w:color="auto"/>
            <w:left w:val="none" w:sz="0" w:space="0" w:color="auto"/>
            <w:bottom w:val="none" w:sz="0" w:space="0" w:color="auto"/>
            <w:right w:val="none" w:sz="0" w:space="0" w:color="auto"/>
          </w:divBdr>
        </w:div>
      </w:divsChild>
    </w:div>
    <w:div w:id="2121756196">
      <w:marLeft w:val="0"/>
      <w:marRight w:val="0"/>
      <w:marTop w:val="180"/>
      <w:marBottom w:val="0"/>
      <w:divBdr>
        <w:top w:val="none" w:sz="0" w:space="0" w:color="auto"/>
        <w:left w:val="none" w:sz="0" w:space="0" w:color="auto"/>
        <w:bottom w:val="none" w:sz="0" w:space="0" w:color="auto"/>
        <w:right w:val="none" w:sz="0" w:space="0" w:color="auto"/>
      </w:divBdr>
    </w:div>
    <w:div w:id="2124154151">
      <w:marLeft w:val="0"/>
      <w:marRight w:val="0"/>
      <w:marTop w:val="0"/>
      <w:marBottom w:val="100"/>
      <w:divBdr>
        <w:top w:val="none" w:sz="0" w:space="0" w:color="auto"/>
        <w:left w:val="none" w:sz="0" w:space="0" w:color="auto"/>
        <w:bottom w:val="none" w:sz="0" w:space="0" w:color="auto"/>
        <w:right w:val="none" w:sz="0" w:space="0" w:color="auto"/>
      </w:divBdr>
    </w:div>
    <w:div w:id="2126195760">
      <w:marLeft w:val="0"/>
      <w:marRight w:val="0"/>
      <w:marTop w:val="0"/>
      <w:marBottom w:val="100"/>
      <w:divBdr>
        <w:top w:val="none" w:sz="0" w:space="0" w:color="auto"/>
        <w:left w:val="none" w:sz="0" w:space="0" w:color="auto"/>
        <w:bottom w:val="none" w:sz="0" w:space="0" w:color="auto"/>
        <w:right w:val="none" w:sz="0" w:space="0" w:color="auto"/>
      </w:divBdr>
    </w:div>
    <w:div w:id="2126389559">
      <w:marLeft w:val="0"/>
      <w:marRight w:val="0"/>
      <w:marTop w:val="180"/>
      <w:marBottom w:val="100"/>
      <w:divBdr>
        <w:top w:val="none" w:sz="0" w:space="0" w:color="auto"/>
        <w:left w:val="none" w:sz="0" w:space="0" w:color="auto"/>
        <w:bottom w:val="none" w:sz="0" w:space="0" w:color="auto"/>
        <w:right w:val="none" w:sz="0" w:space="0" w:color="auto"/>
      </w:divBdr>
    </w:div>
    <w:div w:id="2127693743">
      <w:marLeft w:val="0"/>
      <w:marRight w:val="0"/>
      <w:marTop w:val="0"/>
      <w:marBottom w:val="0"/>
      <w:divBdr>
        <w:top w:val="none" w:sz="0" w:space="0" w:color="auto"/>
        <w:left w:val="none" w:sz="0" w:space="0" w:color="auto"/>
        <w:bottom w:val="none" w:sz="0" w:space="0" w:color="auto"/>
        <w:right w:val="none" w:sz="0" w:space="0" w:color="auto"/>
      </w:divBdr>
    </w:div>
    <w:div w:id="2128114129">
      <w:marLeft w:val="0"/>
      <w:marRight w:val="0"/>
      <w:marTop w:val="0"/>
      <w:marBottom w:val="0"/>
      <w:divBdr>
        <w:top w:val="none" w:sz="0" w:space="0" w:color="auto"/>
        <w:left w:val="none" w:sz="0" w:space="0" w:color="auto"/>
        <w:bottom w:val="none" w:sz="0" w:space="0" w:color="auto"/>
        <w:right w:val="none" w:sz="0" w:space="0" w:color="auto"/>
      </w:divBdr>
    </w:div>
    <w:div w:id="2132042714">
      <w:marLeft w:val="0"/>
      <w:marRight w:val="0"/>
      <w:marTop w:val="100"/>
      <w:marBottom w:val="0"/>
      <w:divBdr>
        <w:top w:val="none" w:sz="0" w:space="0" w:color="auto"/>
        <w:left w:val="none" w:sz="0" w:space="0" w:color="auto"/>
        <w:bottom w:val="none" w:sz="0" w:space="0" w:color="auto"/>
        <w:right w:val="none" w:sz="0" w:space="0" w:color="auto"/>
      </w:divBdr>
    </w:div>
    <w:div w:id="2132048449">
      <w:marLeft w:val="0"/>
      <w:marRight w:val="0"/>
      <w:marTop w:val="0"/>
      <w:marBottom w:val="0"/>
      <w:divBdr>
        <w:top w:val="none" w:sz="0" w:space="0" w:color="auto"/>
        <w:left w:val="none" w:sz="0" w:space="0" w:color="auto"/>
        <w:bottom w:val="none" w:sz="0" w:space="0" w:color="auto"/>
        <w:right w:val="none" w:sz="0" w:space="0" w:color="auto"/>
      </w:divBdr>
    </w:div>
    <w:div w:id="2132283227">
      <w:marLeft w:val="0"/>
      <w:marRight w:val="0"/>
      <w:marTop w:val="180"/>
      <w:marBottom w:val="100"/>
      <w:divBdr>
        <w:top w:val="none" w:sz="0" w:space="0" w:color="auto"/>
        <w:left w:val="none" w:sz="0" w:space="0" w:color="auto"/>
        <w:bottom w:val="none" w:sz="0" w:space="0" w:color="auto"/>
        <w:right w:val="none" w:sz="0" w:space="0" w:color="auto"/>
      </w:divBdr>
    </w:div>
    <w:div w:id="2133088084">
      <w:marLeft w:val="0"/>
      <w:marRight w:val="0"/>
      <w:marTop w:val="100"/>
      <w:marBottom w:val="100"/>
      <w:divBdr>
        <w:top w:val="none" w:sz="0" w:space="0" w:color="auto"/>
        <w:left w:val="none" w:sz="0" w:space="0" w:color="auto"/>
        <w:bottom w:val="none" w:sz="0" w:space="0" w:color="auto"/>
        <w:right w:val="none" w:sz="0" w:space="0" w:color="auto"/>
      </w:divBdr>
    </w:div>
    <w:div w:id="2134015062">
      <w:marLeft w:val="0"/>
      <w:marRight w:val="0"/>
      <w:marTop w:val="180"/>
      <w:marBottom w:val="0"/>
      <w:divBdr>
        <w:top w:val="none" w:sz="0" w:space="0" w:color="auto"/>
        <w:left w:val="none" w:sz="0" w:space="0" w:color="auto"/>
        <w:bottom w:val="none" w:sz="0" w:space="0" w:color="auto"/>
        <w:right w:val="none" w:sz="0" w:space="0" w:color="auto"/>
      </w:divBdr>
    </w:div>
    <w:div w:id="2134592921">
      <w:marLeft w:val="0"/>
      <w:marRight w:val="0"/>
      <w:marTop w:val="0"/>
      <w:marBottom w:val="0"/>
      <w:divBdr>
        <w:top w:val="none" w:sz="0" w:space="0" w:color="auto"/>
        <w:left w:val="none" w:sz="0" w:space="0" w:color="auto"/>
        <w:bottom w:val="none" w:sz="0" w:space="0" w:color="auto"/>
        <w:right w:val="none" w:sz="0" w:space="0" w:color="auto"/>
      </w:divBdr>
    </w:div>
    <w:div w:id="2134975592">
      <w:marLeft w:val="0"/>
      <w:marRight w:val="0"/>
      <w:marTop w:val="0"/>
      <w:marBottom w:val="0"/>
      <w:divBdr>
        <w:top w:val="none" w:sz="0" w:space="0" w:color="auto"/>
        <w:left w:val="none" w:sz="0" w:space="0" w:color="auto"/>
        <w:bottom w:val="none" w:sz="0" w:space="0" w:color="auto"/>
        <w:right w:val="none" w:sz="0" w:space="0" w:color="auto"/>
      </w:divBdr>
      <w:divsChild>
        <w:div w:id="2080858489">
          <w:marLeft w:val="0"/>
          <w:marRight w:val="0"/>
          <w:marTop w:val="0"/>
          <w:marBottom w:val="0"/>
          <w:divBdr>
            <w:top w:val="none" w:sz="0" w:space="0" w:color="auto"/>
            <w:left w:val="none" w:sz="0" w:space="0" w:color="auto"/>
            <w:bottom w:val="none" w:sz="0" w:space="0" w:color="auto"/>
            <w:right w:val="none" w:sz="0" w:space="0" w:color="auto"/>
          </w:divBdr>
          <w:divsChild>
            <w:div w:id="9716393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35174340">
      <w:marLeft w:val="0"/>
      <w:marRight w:val="0"/>
      <w:marTop w:val="0"/>
      <w:marBottom w:val="0"/>
      <w:divBdr>
        <w:top w:val="none" w:sz="0" w:space="0" w:color="auto"/>
        <w:left w:val="none" w:sz="0" w:space="0" w:color="auto"/>
        <w:bottom w:val="none" w:sz="0" w:space="0" w:color="auto"/>
        <w:right w:val="none" w:sz="0" w:space="0" w:color="auto"/>
      </w:divBdr>
      <w:divsChild>
        <w:div w:id="2119567404">
          <w:marLeft w:val="0"/>
          <w:marRight w:val="0"/>
          <w:marTop w:val="0"/>
          <w:marBottom w:val="100"/>
          <w:divBdr>
            <w:top w:val="none" w:sz="0" w:space="0" w:color="auto"/>
            <w:left w:val="none" w:sz="0" w:space="0" w:color="auto"/>
            <w:bottom w:val="none" w:sz="0" w:space="0" w:color="auto"/>
            <w:right w:val="none" w:sz="0" w:space="0" w:color="auto"/>
          </w:divBdr>
        </w:div>
      </w:divsChild>
    </w:div>
    <w:div w:id="2135638180">
      <w:marLeft w:val="0"/>
      <w:marRight w:val="0"/>
      <w:marTop w:val="0"/>
      <w:marBottom w:val="0"/>
      <w:divBdr>
        <w:top w:val="none" w:sz="0" w:space="0" w:color="auto"/>
        <w:left w:val="none" w:sz="0" w:space="0" w:color="auto"/>
        <w:bottom w:val="none" w:sz="0" w:space="0" w:color="auto"/>
        <w:right w:val="none" w:sz="0" w:space="0" w:color="auto"/>
      </w:divBdr>
    </w:div>
    <w:div w:id="2138136102">
      <w:marLeft w:val="0"/>
      <w:marRight w:val="0"/>
      <w:marTop w:val="180"/>
      <w:marBottom w:val="0"/>
      <w:divBdr>
        <w:top w:val="none" w:sz="0" w:space="0" w:color="auto"/>
        <w:left w:val="none" w:sz="0" w:space="0" w:color="auto"/>
        <w:bottom w:val="none" w:sz="0" w:space="0" w:color="auto"/>
        <w:right w:val="none" w:sz="0" w:space="0" w:color="auto"/>
      </w:divBdr>
    </w:div>
    <w:div w:id="2138798004">
      <w:marLeft w:val="0"/>
      <w:marRight w:val="0"/>
      <w:marTop w:val="0"/>
      <w:marBottom w:val="100"/>
      <w:divBdr>
        <w:top w:val="none" w:sz="0" w:space="0" w:color="auto"/>
        <w:left w:val="none" w:sz="0" w:space="0" w:color="auto"/>
        <w:bottom w:val="none" w:sz="0" w:space="0" w:color="auto"/>
        <w:right w:val="none" w:sz="0" w:space="0" w:color="auto"/>
      </w:divBdr>
    </w:div>
    <w:div w:id="2139061397">
      <w:marLeft w:val="0"/>
      <w:marRight w:val="0"/>
      <w:marTop w:val="100"/>
      <w:marBottom w:val="100"/>
      <w:divBdr>
        <w:top w:val="none" w:sz="0" w:space="0" w:color="auto"/>
        <w:left w:val="none" w:sz="0" w:space="0" w:color="auto"/>
        <w:bottom w:val="none" w:sz="0" w:space="0" w:color="auto"/>
        <w:right w:val="none" w:sz="0" w:space="0" w:color="auto"/>
      </w:divBdr>
    </w:div>
    <w:div w:id="2140108943">
      <w:marLeft w:val="0"/>
      <w:marRight w:val="0"/>
      <w:marTop w:val="0"/>
      <w:marBottom w:val="0"/>
      <w:divBdr>
        <w:top w:val="none" w:sz="0" w:space="0" w:color="auto"/>
        <w:left w:val="none" w:sz="0" w:space="0" w:color="auto"/>
        <w:bottom w:val="none" w:sz="0" w:space="0" w:color="auto"/>
        <w:right w:val="none" w:sz="0" w:space="0" w:color="auto"/>
      </w:divBdr>
      <w:divsChild>
        <w:div w:id="1955165886">
          <w:marLeft w:val="0"/>
          <w:marRight w:val="0"/>
          <w:marTop w:val="0"/>
          <w:marBottom w:val="100"/>
          <w:divBdr>
            <w:top w:val="none" w:sz="0" w:space="0" w:color="auto"/>
            <w:left w:val="none" w:sz="0" w:space="0" w:color="auto"/>
            <w:bottom w:val="none" w:sz="0" w:space="0" w:color="auto"/>
            <w:right w:val="none" w:sz="0" w:space="0" w:color="auto"/>
          </w:divBdr>
        </w:div>
      </w:divsChild>
    </w:div>
    <w:div w:id="2140566888">
      <w:marLeft w:val="0"/>
      <w:marRight w:val="0"/>
      <w:marTop w:val="0"/>
      <w:marBottom w:val="100"/>
      <w:divBdr>
        <w:top w:val="none" w:sz="0" w:space="0" w:color="auto"/>
        <w:left w:val="none" w:sz="0" w:space="0" w:color="auto"/>
        <w:bottom w:val="none" w:sz="0" w:space="0" w:color="auto"/>
        <w:right w:val="none" w:sz="0" w:space="0" w:color="auto"/>
      </w:divBdr>
    </w:div>
    <w:div w:id="2141997089">
      <w:marLeft w:val="0"/>
      <w:marRight w:val="0"/>
      <w:marTop w:val="0"/>
      <w:marBottom w:val="0"/>
      <w:divBdr>
        <w:top w:val="none" w:sz="0" w:space="0" w:color="auto"/>
        <w:left w:val="none" w:sz="0" w:space="0" w:color="auto"/>
        <w:bottom w:val="none" w:sz="0" w:space="0" w:color="auto"/>
        <w:right w:val="none" w:sz="0" w:space="0" w:color="auto"/>
      </w:divBdr>
    </w:div>
    <w:div w:id="2142572222">
      <w:marLeft w:val="0"/>
      <w:marRight w:val="0"/>
      <w:marTop w:val="0"/>
      <w:marBottom w:val="0"/>
      <w:divBdr>
        <w:top w:val="none" w:sz="0" w:space="0" w:color="auto"/>
        <w:left w:val="none" w:sz="0" w:space="0" w:color="auto"/>
        <w:bottom w:val="none" w:sz="0" w:space="0" w:color="auto"/>
        <w:right w:val="none" w:sz="0" w:space="0" w:color="auto"/>
      </w:divBdr>
    </w:div>
    <w:div w:id="2142767034">
      <w:marLeft w:val="0"/>
      <w:marRight w:val="0"/>
      <w:marTop w:val="0"/>
      <w:marBottom w:val="0"/>
      <w:divBdr>
        <w:top w:val="none" w:sz="0" w:space="0" w:color="auto"/>
        <w:left w:val="none" w:sz="0" w:space="0" w:color="auto"/>
        <w:bottom w:val="none" w:sz="0" w:space="0" w:color="auto"/>
        <w:right w:val="none" w:sz="0" w:space="0" w:color="auto"/>
      </w:divBdr>
    </w:div>
    <w:div w:id="2143036479">
      <w:marLeft w:val="0"/>
      <w:marRight w:val="0"/>
      <w:marTop w:val="100"/>
      <w:marBottom w:val="100"/>
      <w:divBdr>
        <w:top w:val="none" w:sz="0" w:space="0" w:color="auto"/>
        <w:left w:val="none" w:sz="0" w:space="0" w:color="auto"/>
        <w:bottom w:val="none" w:sz="0" w:space="0" w:color="auto"/>
        <w:right w:val="none" w:sz="0" w:space="0" w:color="auto"/>
      </w:divBdr>
    </w:div>
    <w:div w:id="2144421554">
      <w:marLeft w:val="0"/>
      <w:marRight w:val="0"/>
      <w:marTop w:val="0"/>
      <w:marBottom w:val="100"/>
      <w:divBdr>
        <w:top w:val="none" w:sz="0" w:space="0" w:color="auto"/>
        <w:left w:val="none" w:sz="0" w:space="0" w:color="auto"/>
        <w:bottom w:val="none" w:sz="0" w:space="0" w:color="auto"/>
        <w:right w:val="none" w:sz="0" w:space="0" w:color="auto"/>
      </w:divBdr>
    </w:div>
    <w:div w:id="2144694361">
      <w:marLeft w:val="0"/>
      <w:marRight w:val="0"/>
      <w:marTop w:val="100"/>
      <w:marBottom w:val="100"/>
      <w:divBdr>
        <w:top w:val="none" w:sz="0" w:space="0" w:color="auto"/>
        <w:left w:val="none" w:sz="0" w:space="0" w:color="auto"/>
        <w:bottom w:val="none" w:sz="0" w:space="0" w:color="auto"/>
        <w:right w:val="none" w:sz="0" w:space="0" w:color="auto"/>
      </w:divBdr>
    </w:div>
    <w:div w:id="2145156015">
      <w:marLeft w:val="0"/>
      <w:marRight w:val="0"/>
      <w:marTop w:val="180"/>
      <w:marBottom w:val="0"/>
      <w:divBdr>
        <w:top w:val="none" w:sz="0" w:space="0" w:color="auto"/>
        <w:left w:val="none" w:sz="0" w:space="0" w:color="auto"/>
        <w:bottom w:val="none" w:sz="0" w:space="0" w:color="auto"/>
        <w:right w:val="none" w:sz="0" w:space="0" w:color="auto"/>
      </w:divBdr>
    </w:div>
    <w:div w:id="2145737637">
      <w:marLeft w:val="0"/>
      <w:marRight w:val="0"/>
      <w:marTop w:val="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02058/000114036119012394/ex4_1.htm" TargetMode="External"/><Relationship Id="rId299" Type="http://schemas.openxmlformats.org/officeDocument/2006/relationships/hyperlink" Target="https://www.sec.gov/Archives/edgar/data/202058/000020205820000040/exhibit106-rspxamendme.htm" TargetMode="External"/><Relationship Id="rId21" Type="http://schemas.openxmlformats.org/officeDocument/2006/relationships/hyperlink" Target="http://www.sec.gov/Archives/edgar/data/202058/000114036119012159/ex4.htm" TargetMode="External"/><Relationship Id="rId63" Type="http://schemas.openxmlformats.org/officeDocument/2006/relationships/hyperlink" Target="http://www.sec.gov/Archives/edgar/data/202058/000095012309010681/g17643exv4wn.htm" TargetMode="External"/><Relationship Id="rId159" Type="http://schemas.openxmlformats.org/officeDocument/2006/relationships/hyperlink" Target="http://www.sec.gov/Archives/edgar/data/202058/000095012310097519/g24630exv10wo.htm" TargetMode="External"/><Relationship Id="rId324" Type="http://schemas.openxmlformats.org/officeDocument/2006/relationships/hyperlink" Target="https://www.sec.gov/Archives/edgar/data/202058/000020205820000053/exhibit101q2cy2010-q.htm" TargetMode="External"/><Relationship Id="rId366" Type="http://schemas.openxmlformats.org/officeDocument/2006/relationships/hyperlink" Target="http://www.sec.gov/Archives/edgar/data/202058/000095012309039868/g20164exv10wxmyxiiy.htm" TargetMode="External"/><Relationship Id="rId170" Type="http://schemas.openxmlformats.org/officeDocument/2006/relationships/hyperlink" Target="https://www.sec.gov/Archives/edgar/data/202058/000020205820000017/exhibit101executivecic.htm" TargetMode="External"/><Relationship Id="rId226" Type="http://schemas.openxmlformats.org/officeDocument/2006/relationships/hyperlink" Target="http://www.sec.gov/Archives/edgar/data/202058/000020205819000103/exhibit104momentumpsut.htm" TargetMode="External"/><Relationship Id="rId433" Type="http://schemas.openxmlformats.org/officeDocument/2006/relationships/hyperlink" Target="http://www.sec.gov/Archives/edgar/data/202058/000114036119012139/ex10_3.htm" TargetMode="External"/><Relationship Id="rId268" Type="http://schemas.openxmlformats.org/officeDocument/2006/relationships/hyperlink" Target="https://www.sec.gov/Archives/edgar/data/202058/000020205820000040/exhibit105-2015equitys.htm" TargetMode="External"/><Relationship Id="rId475" Type="http://schemas.openxmlformats.org/officeDocument/2006/relationships/hyperlink" Target="exhibit23cy20-q410xk.htm" TargetMode="External"/><Relationship Id="rId32" Type="http://schemas.openxmlformats.org/officeDocument/2006/relationships/hyperlink" Target="http://www.sec.gov/Archives/edgar/data/202058/000095015202008048/l96983aexv99w4.txt" TargetMode="External"/><Relationship Id="rId74" Type="http://schemas.openxmlformats.org/officeDocument/2006/relationships/hyperlink" Target="https://www.sec.gov/Archives/edgar/data/202058/000020205820000021/exhibit41formofglobalnot.htm" TargetMode="External"/><Relationship Id="rId128" Type="http://schemas.openxmlformats.org/officeDocument/2006/relationships/hyperlink" Target="http://www.sec.gov/Archives/edgar/data/202058/000114036119012394/ex4_6.htm" TargetMode="External"/><Relationship Id="rId335" Type="http://schemas.openxmlformats.org/officeDocument/2006/relationships/hyperlink" Target="https://www.sec.gov/Archives/edgar/data/202058/000020205820000053/exhibit102q2cy2010-q.htm" TargetMode="External"/><Relationship Id="rId377" Type="http://schemas.openxmlformats.org/officeDocument/2006/relationships/hyperlink" Target="http://www.sec.gov/Archives/edgar/data/202058/000095015204000536/l05216bexv10wd.txt" TargetMode="External"/><Relationship Id="rId500" Type="http://schemas.openxmlformats.org/officeDocument/2006/relationships/fontTable" Target="fontTable.xml"/><Relationship Id="rId5" Type="http://schemas.openxmlformats.org/officeDocument/2006/relationships/image" Target="file:///E:\projects\LLMs\new_data_collection\data_new\htm\L3HARRIS%20TECHNOLOGIES,%20INC\hrs-20210101_g2.jpg" TargetMode="External"/><Relationship Id="rId181" Type="http://schemas.openxmlformats.org/officeDocument/2006/relationships/hyperlink" Target="https://www.sec.gov/Archives/edgar/data/202058/000020205820000017/exhibit2020l3harrissever.htm" TargetMode="External"/><Relationship Id="rId237" Type="http://schemas.openxmlformats.org/officeDocument/2006/relationships/hyperlink" Target="http://www.sec.gov/Archives/edgar/data/202058/000020205819000103/exhibit108integration-.htm" TargetMode="External"/><Relationship Id="rId402" Type="http://schemas.openxmlformats.org/officeDocument/2006/relationships/hyperlink" Target="http://www.sec.gov/Archives/edgar/data/202058/000095014407005792/g07908exv10w1.htm" TargetMode="External"/><Relationship Id="rId279" Type="http://schemas.openxmlformats.org/officeDocument/2006/relationships/hyperlink" Target="https://www.sec.gov/Archives/edgar/data/202058/000020205820000056/bod-20x181equityincent.htm" TargetMode="External"/><Relationship Id="rId444" Type="http://schemas.openxmlformats.org/officeDocument/2006/relationships/hyperlink" Target="http://www.sec.gov/Archives/edgar/data/202058/000114036119012139/ex10_2.htm" TargetMode="External"/><Relationship Id="rId486" Type="http://schemas.openxmlformats.org/officeDocument/2006/relationships/hyperlink" Target="exhibit312cy20-q410xk.htm" TargetMode="External"/><Relationship Id="rId43" Type="http://schemas.openxmlformats.org/officeDocument/2006/relationships/hyperlink" Target="http://www.sec.gov/Archives/edgar/data/202058/000095015203008045/l98139aexv4wb.htm" TargetMode="External"/><Relationship Id="rId139" Type="http://schemas.openxmlformats.org/officeDocument/2006/relationships/hyperlink" Target="http://www.sec.gov/Archives/edgar/data/202058/000114036119012394/ex4_9.htm" TargetMode="External"/><Relationship Id="rId290" Type="http://schemas.openxmlformats.org/officeDocument/2006/relationships/hyperlink" Target="https://www.sec.gov/Archives/edgar/data/202058/000020205820000011/exhibit10g-l3harrisret.htm" TargetMode="External"/><Relationship Id="rId304" Type="http://schemas.openxmlformats.org/officeDocument/2006/relationships/hyperlink" Target="https://www.sec.gov/Archives/edgar/data/202058/000020205820000040/exhibit107-rspxamendme.htm" TargetMode="External"/><Relationship Id="rId346" Type="http://schemas.openxmlformats.org/officeDocument/2006/relationships/hyperlink" Target="https://www.sec.gov/Archives/edgar/data/202058/000020205820000011/exhibit10jnon-employee.htm" TargetMode="External"/><Relationship Id="rId388" Type="http://schemas.openxmlformats.org/officeDocument/2006/relationships/hyperlink" Target="http://www.sec.gov/Archives/edgar/data/202058/000095014409001119/g17294exv10wxiy.htm" TargetMode="External"/><Relationship Id="rId85" Type="http://schemas.openxmlformats.org/officeDocument/2006/relationships/hyperlink" Target="http://www.sec.gov/Archives/edgar/data/202058/000020205818000052/global4400note-exhibit41.htm" TargetMode="External"/><Relationship Id="rId150" Type="http://schemas.openxmlformats.org/officeDocument/2006/relationships/hyperlink" Target="https://www.sec.gov/Archives/edgar/data/202058/000020205819000090/l3harrisexhibit4zhkdra.htm" TargetMode="External"/><Relationship Id="rId192" Type="http://schemas.openxmlformats.org/officeDocument/2006/relationships/hyperlink" Target="http://www.sec.gov/Archives/edgar/data/202058/000095012310083467/g24533exv10w4.htm" TargetMode="External"/><Relationship Id="rId206" Type="http://schemas.openxmlformats.org/officeDocument/2006/relationships/hyperlink" Target="http://www.sec.gov/Archives/edgar/data/202058/000119312513418845/d614318dex10a.htm" TargetMode="External"/><Relationship Id="rId413" Type="http://schemas.openxmlformats.org/officeDocument/2006/relationships/hyperlink" Target="http://www.sec.gov/Archives/edgar/data/202058/000095014407005792/g07908exv10w3.htm" TargetMode="External"/><Relationship Id="rId248" Type="http://schemas.openxmlformats.org/officeDocument/2006/relationships/hyperlink" Target="https://www.sec.gov/Archives/edgar/data/202058/000020205820000011/exhibit10fxl3harrisnon.htm" TargetMode="External"/><Relationship Id="rId455" Type="http://schemas.openxmlformats.org/officeDocument/2006/relationships/hyperlink" Target="exhibit10xiisalariedpensio.htm" TargetMode="External"/><Relationship Id="rId497" Type="http://schemas.openxmlformats.org/officeDocument/2006/relationships/hyperlink" Target="exhibit322cy20-q410xk.htm" TargetMode="External"/><Relationship Id="rId12" Type="http://schemas.openxmlformats.org/officeDocument/2006/relationships/hyperlink" Target="http://www.sec.gov/Archives/edgar/data/202058/000020205820000040/restatedcertificateofinc.htm" TargetMode="External"/><Relationship Id="rId108" Type="http://schemas.openxmlformats.org/officeDocument/2006/relationships/hyperlink" Target="http://www.sec.gov/Archives/edgar/data/202058/000095012310110843/g25428exv4w2.htm" TargetMode="External"/><Relationship Id="rId315" Type="http://schemas.openxmlformats.org/officeDocument/2006/relationships/hyperlink" Target="https://www.sec.gov/Archives/edgar/data/202058/000020205820000053/exhibit101q2cy2010-q.htm" TargetMode="External"/><Relationship Id="rId357" Type="http://schemas.openxmlformats.org/officeDocument/2006/relationships/hyperlink" Target="https://www.sec.gov/Archives/edgar/data/202058/000020205820000011/exhibit10jnon-employee.htm" TargetMode="External"/><Relationship Id="rId54" Type="http://schemas.openxmlformats.org/officeDocument/2006/relationships/hyperlink" Target="http://www.sec.gov/Archives/edgar/data/202058/000095015203008045/l98139aexv4wc.htm" TargetMode="External"/><Relationship Id="rId96" Type="http://schemas.openxmlformats.org/officeDocument/2006/relationships/hyperlink" Target="https://www.sec.gov/Archives/edgar/data/202058/000020205820000068/formofglobalnotedue2031_.htm" TargetMode="External"/><Relationship Id="rId161" Type="http://schemas.openxmlformats.org/officeDocument/2006/relationships/hyperlink" Target="https://www.sec.gov/Archives/edgar/data/202058/000020205820000017/exhibit101executivecic.htm" TargetMode="External"/><Relationship Id="rId217" Type="http://schemas.openxmlformats.org/officeDocument/2006/relationships/hyperlink" Target="http://www.sec.gov/Archives/edgar/data/202058/000129993315001553/exhibit1.htm" TargetMode="External"/><Relationship Id="rId399" Type="http://schemas.openxmlformats.org/officeDocument/2006/relationships/hyperlink" Target="http://www.sec.gov/Archives/edgar/data/202058/000095015205002945/l13101aexv99w2.txt" TargetMode="External"/><Relationship Id="rId259" Type="http://schemas.openxmlformats.org/officeDocument/2006/relationships/hyperlink" Target="https://www.sec.gov/Archives/edgar/data/202058/000020205820000040/exhibit104-2015equityp.htm" TargetMode="External"/><Relationship Id="rId424" Type="http://schemas.openxmlformats.org/officeDocument/2006/relationships/hyperlink" Target="http://www.sec.gov/Archives/edgar/data/202058/000114036119012139/ex10_4.htm" TargetMode="External"/><Relationship Id="rId466" Type="http://schemas.openxmlformats.org/officeDocument/2006/relationships/hyperlink" Target="exhibit10zl3harrisserp.htm" TargetMode="External"/><Relationship Id="rId23" Type="http://schemas.openxmlformats.org/officeDocument/2006/relationships/hyperlink" Target="http://www.sec.gov/Archives/edgar/data/202058/000114036119012159/ex4.htm" TargetMode="External"/><Relationship Id="rId119" Type="http://schemas.openxmlformats.org/officeDocument/2006/relationships/hyperlink" Target="http://www.sec.gov/Archives/edgar/data/202058/000114036119012394/ex4_4.htm" TargetMode="External"/><Relationship Id="rId270" Type="http://schemas.openxmlformats.org/officeDocument/2006/relationships/hyperlink" Target="https://www.sec.gov/Archives/edgar/data/202058/000020205820000040/exhibit105-2015equitys.htm" TargetMode="External"/><Relationship Id="rId326" Type="http://schemas.openxmlformats.org/officeDocument/2006/relationships/hyperlink" Target="https://www.sec.gov/Archives/edgar/data/202058/000020205820000053/exhibit101q2cy2010-q.htm" TargetMode="External"/><Relationship Id="rId65" Type="http://schemas.openxmlformats.org/officeDocument/2006/relationships/hyperlink" Target="https://www.sec.gov/Archives/edgar/data/202058/000020205820000021/exhibit41formofglobalnot.htm" TargetMode="External"/><Relationship Id="rId130" Type="http://schemas.openxmlformats.org/officeDocument/2006/relationships/hyperlink" Target="http://www.sec.gov/Archives/edgar/data/202058/000114036119012394/ex4_7.htm" TargetMode="External"/><Relationship Id="rId368" Type="http://schemas.openxmlformats.org/officeDocument/2006/relationships/hyperlink" Target="http://www.sec.gov/Archives/edgar/data/202058/000095012309069904/g21448exv4wewiii.htm" TargetMode="External"/><Relationship Id="rId172" Type="http://schemas.openxmlformats.org/officeDocument/2006/relationships/hyperlink" Target="https://www.sec.gov/Archives/edgar/data/202058/000020205820000017/exhibit101executivecic.htm" TargetMode="External"/><Relationship Id="rId228" Type="http://schemas.openxmlformats.org/officeDocument/2006/relationships/hyperlink" Target="http://www.sec.gov/Archives/edgar/data/202058/000020205819000103/exhibit105ceo-coopsotcs.htm" TargetMode="External"/><Relationship Id="rId435" Type="http://schemas.openxmlformats.org/officeDocument/2006/relationships/hyperlink" Target="http://www.sec.gov/Archives/edgar/data/202058/000119312515174801/d919930dex10e.htm" TargetMode="External"/><Relationship Id="rId477" Type="http://schemas.openxmlformats.org/officeDocument/2006/relationships/hyperlink" Target="exhibit24cy20-q410xk.htm" TargetMode="External"/><Relationship Id="rId281" Type="http://schemas.openxmlformats.org/officeDocument/2006/relationships/hyperlink" Target="https://www.sec.gov/Archives/edgar/data/202058/000020205820000011/exhibit10g-l3harrisret.htm" TargetMode="External"/><Relationship Id="rId337" Type="http://schemas.openxmlformats.org/officeDocument/2006/relationships/hyperlink" Target="https://www.sec.gov/Archives/edgar/data/202058/000020205820000011/exhibit10h-l3harrisers.htm" TargetMode="External"/><Relationship Id="rId34" Type="http://schemas.openxmlformats.org/officeDocument/2006/relationships/hyperlink" Target="http://www.sec.gov/Archives/edgar/data/202058/000095015202008048/l96983aexv99w4.txt" TargetMode="External"/><Relationship Id="rId76" Type="http://schemas.openxmlformats.org/officeDocument/2006/relationships/hyperlink" Target="http://www.sec.gov/Archives/edgar/data/202058/000119312515149807/d914283dex43.htm" TargetMode="External"/><Relationship Id="rId141" Type="http://schemas.openxmlformats.org/officeDocument/2006/relationships/hyperlink" Target="http://www.sec.gov/Archives/edgar/data/202058/000114036119012394/ex4_9.htm" TargetMode="External"/><Relationship Id="rId379" Type="http://schemas.openxmlformats.org/officeDocument/2006/relationships/hyperlink" Target="http://www.sec.gov/Archives/edgar/data/202058/000095015204000536/l05216bexv10wd.txt" TargetMode="External"/><Relationship Id="rId7" Type="http://schemas.openxmlformats.org/officeDocument/2006/relationships/hyperlink" Target="http://www.sec.gov/Archives/edgar/data/202058/000162828018012558/mergeragreementexecution.htm" TargetMode="External"/><Relationship Id="rId183" Type="http://schemas.openxmlformats.org/officeDocument/2006/relationships/hyperlink" Target="https://www.sec.gov/Archives/edgar/data/202058/000020205820000017/exhibit2020l3harrissever.htm" TargetMode="External"/><Relationship Id="rId239" Type="http://schemas.openxmlformats.org/officeDocument/2006/relationships/hyperlink" Target="http://www.sec.gov/Archives/edgar/data/202058/000020205819000103/exhibit109new-hireothe.htm" TargetMode="External"/><Relationship Id="rId390" Type="http://schemas.openxmlformats.org/officeDocument/2006/relationships/hyperlink" Target="http://www.sec.gov/Archives/edgar/data/202058/000095012310097519/g24630exv10wn.htm" TargetMode="External"/><Relationship Id="rId404" Type="http://schemas.openxmlformats.org/officeDocument/2006/relationships/hyperlink" Target="http://www.sec.gov/Archives/edgar/data/202058/000095014407005792/g07908exv10w1.htm" TargetMode="External"/><Relationship Id="rId446" Type="http://schemas.openxmlformats.org/officeDocument/2006/relationships/hyperlink" Target="http://www.sec.gov/Archives/edgar/data/202058/000114036119012139/ex10_1.htm" TargetMode="External"/><Relationship Id="rId250" Type="http://schemas.openxmlformats.org/officeDocument/2006/relationships/hyperlink" Target="https://www.sec.gov/Archives/edgar/data/202058/000020205820000011/exhibit10fxl3harrisnon.htm" TargetMode="External"/><Relationship Id="rId292" Type="http://schemas.openxmlformats.org/officeDocument/2006/relationships/hyperlink" Target="https://www.sec.gov/Archives/edgar/data/202058/000020205820000011/exhibit10g-l3harrisret.htm" TargetMode="External"/><Relationship Id="rId306" Type="http://schemas.openxmlformats.org/officeDocument/2006/relationships/hyperlink" Target="https://www.sec.gov/Archives/edgar/data/202058/000020205820000040/exhibit107-rspxamendme.htm" TargetMode="External"/><Relationship Id="rId488" Type="http://schemas.openxmlformats.org/officeDocument/2006/relationships/hyperlink" Target="exhibit312cy20-q410xk.htm" TargetMode="External"/><Relationship Id="rId45" Type="http://schemas.openxmlformats.org/officeDocument/2006/relationships/hyperlink" Target="http://www.sec.gov/Archives/edgar/data/202058/000095015203008045/l98139aexv4wb.htm" TargetMode="External"/><Relationship Id="rId87" Type="http://schemas.openxmlformats.org/officeDocument/2006/relationships/hyperlink" Target="https://www.sec.gov/Archives/edgar/data/202058/000020205819000110/formofglobalnotedue2029.htm" TargetMode="External"/><Relationship Id="rId110" Type="http://schemas.openxmlformats.org/officeDocument/2006/relationships/hyperlink" Target="http://www.sec.gov/Archives/edgar/data/202058/000095012310110843/g25428exv4w2.htm" TargetMode="External"/><Relationship Id="rId348" Type="http://schemas.openxmlformats.org/officeDocument/2006/relationships/hyperlink" Target="https://www.sec.gov/Archives/edgar/data/202058/000020205820000011/exhibit10jnon-employee.htm" TargetMode="External"/><Relationship Id="rId152" Type="http://schemas.openxmlformats.org/officeDocument/2006/relationships/hyperlink" Target="https://www.sec.gov/Archives/edgar/data/202058/000020205819000090/l3harrisexhibit4zhkdra.htm" TargetMode="External"/><Relationship Id="rId194" Type="http://schemas.openxmlformats.org/officeDocument/2006/relationships/hyperlink" Target="http://www.sec.gov/Archives/edgar/data/202058/000095012310083467/g24533exv10w4.htm" TargetMode="External"/><Relationship Id="rId208" Type="http://schemas.openxmlformats.org/officeDocument/2006/relationships/hyperlink" Target="http://www.sec.gov/Archives/edgar/data/202058/000119312513418845/d614318dex10a.htm" TargetMode="External"/><Relationship Id="rId415" Type="http://schemas.openxmlformats.org/officeDocument/2006/relationships/hyperlink" Target="http://www.sec.gov/Archives/edgar/data/202058/000119312511268507/d241889dex101.htm" TargetMode="External"/><Relationship Id="rId457" Type="http://schemas.openxmlformats.org/officeDocument/2006/relationships/hyperlink" Target="exhibit10yilinkplan.htm" TargetMode="External"/><Relationship Id="rId261" Type="http://schemas.openxmlformats.org/officeDocument/2006/relationships/hyperlink" Target="https://www.sec.gov/Archives/edgar/data/202058/000020205820000040/exhibit104-2015equityp.htm" TargetMode="External"/><Relationship Id="rId499" Type="http://schemas.openxmlformats.org/officeDocument/2006/relationships/hyperlink" Target="exhibit322cy20-q410xk.htm" TargetMode="External"/><Relationship Id="rId14" Type="http://schemas.openxmlformats.org/officeDocument/2006/relationships/hyperlink" Target="http://www.sec.gov/Archives/edgar/data/202058/000020205820000040/restatedcertificateofinc.htm" TargetMode="External"/><Relationship Id="rId56" Type="http://schemas.openxmlformats.org/officeDocument/2006/relationships/hyperlink" Target="http://www.sec.gov/Archives/edgar/data/202058/000095015203008045/l98139aexv4wc.htm" TargetMode="External"/><Relationship Id="rId317" Type="http://schemas.openxmlformats.org/officeDocument/2006/relationships/hyperlink" Target="https://www.sec.gov/Archives/edgar/data/202058/000020205820000053/exhibit101q2cy2010-q.htm" TargetMode="External"/><Relationship Id="rId359" Type="http://schemas.openxmlformats.org/officeDocument/2006/relationships/hyperlink" Target="http://www.sec.gov/Archives/edgar/data/202058/000095015204000536/l05216bexv10wc.txt" TargetMode="External"/><Relationship Id="rId98" Type="http://schemas.openxmlformats.org/officeDocument/2006/relationships/hyperlink" Target="https://www.sec.gov/Archives/edgar/data/202058/000020205820000068/formofglobalnotedue2031_.htm" TargetMode="External"/><Relationship Id="rId121" Type="http://schemas.openxmlformats.org/officeDocument/2006/relationships/hyperlink" Target="http://www.sec.gov/Archives/edgar/data/202058/000114036119012394/ex4_4.htm" TargetMode="External"/><Relationship Id="rId163" Type="http://schemas.openxmlformats.org/officeDocument/2006/relationships/hyperlink" Target="https://www.sec.gov/Archives/edgar/data/202058/000020205820000017/exhibit101executivecic.htm" TargetMode="External"/><Relationship Id="rId219" Type="http://schemas.openxmlformats.org/officeDocument/2006/relationships/hyperlink" Target="http://www.sec.gov/Archives/edgar/data/202058/000119312516449408/d117812dex10f.htm" TargetMode="External"/><Relationship Id="rId370" Type="http://schemas.openxmlformats.org/officeDocument/2006/relationships/hyperlink" Target="http://www.sec.gov/Archives/edgar/data/202058/000095012309069904/g21448exv4wewiii.htm" TargetMode="External"/><Relationship Id="rId426" Type="http://schemas.openxmlformats.org/officeDocument/2006/relationships/hyperlink" Target="http://www.sec.gov/Archives/edgar/data/202058/000114036119012139/ex10_4.htm" TargetMode="External"/><Relationship Id="rId230" Type="http://schemas.openxmlformats.org/officeDocument/2006/relationships/hyperlink" Target="http://www.sec.gov/Archives/edgar/data/202058/000020205819000103/exhibit106momentumpsot.htm" TargetMode="External"/><Relationship Id="rId468" Type="http://schemas.openxmlformats.org/officeDocument/2006/relationships/hyperlink" Target="exhibit21cy20-q410xk.htm" TargetMode="External"/><Relationship Id="rId25" Type="http://schemas.openxmlformats.org/officeDocument/2006/relationships/hyperlink" Target="http://www.sec.gov/Archives/edgar/data/202058/0000950152-96-001980.txt" TargetMode="External"/><Relationship Id="rId67" Type="http://schemas.openxmlformats.org/officeDocument/2006/relationships/hyperlink" Target="https://www.sec.gov/Archives/edgar/data/202058/000020205820000021/exhibit41formofglobalnot.htm" TargetMode="External"/><Relationship Id="rId272" Type="http://schemas.openxmlformats.org/officeDocument/2006/relationships/hyperlink" Target="https://www.sec.gov/Archives/edgar/data/202058/000020205820000040/exhibit105-2015equitys.htm" TargetMode="External"/><Relationship Id="rId328" Type="http://schemas.openxmlformats.org/officeDocument/2006/relationships/hyperlink" Target="https://www.sec.gov/Archives/edgar/data/202058/000020205820000053/exhibit102q2cy2010-q.htm" TargetMode="External"/><Relationship Id="rId132" Type="http://schemas.openxmlformats.org/officeDocument/2006/relationships/hyperlink" Target="http://www.sec.gov/Archives/edgar/data/202058/000114036119012394/ex4_7.htm" TargetMode="External"/><Relationship Id="rId174" Type="http://schemas.openxmlformats.org/officeDocument/2006/relationships/hyperlink" Target="https://www.sec.gov/Archives/edgar/data/202058/000020205820000017/exhibit101executivecic.htm" TargetMode="External"/><Relationship Id="rId381" Type="http://schemas.openxmlformats.org/officeDocument/2006/relationships/hyperlink" Target="http://www.sec.gov/Archives/edgar/data/202058/000095015204007534/l09822aexv10wb.htm" TargetMode="External"/><Relationship Id="rId241" Type="http://schemas.openxmlformats.org/officeDocument/2006/relationships/hyperlink" Target="http://www.sec.gov/Archives/edgar/data/202058/000020205819000103/exhibit109new-hireothe.htm" TargetMode="External"/><Relationship Id="rId437" Type="http://schemas.openxmlformats.org/officeDocument/2006/relationships/hyperlink" Target="http://www.sec.gov/Archives/edgar/data/202058/000119312515174801/d919930dex10e.htm" TargetMode="External"/><Relationship Id="rId479" Type="http://schemas.openxmlformats.org/officeDocument/2006/relationships/hyperlink" Target="exhibit24cy20-q410xk.htm" TargetMode="External"/><Relationship Id="rId36" Type="http://schemas.openxmlformats.org/officeDocument/2006/relationships/hyperlink" Target="http://www.sec.gov/Archives/edgar/data/202058/000119312515210656/d937596dex42.htm" TargetMode="External"/><Relationship Id="rId283" Type="http://schemas.openxmlformats.org/officeDocument/2006/relationships/hyperlink" Target="https://www.sec.gov/Archives/edgar/data/202058/000020205820000011/exhibit10g-l3harrisret.htm" TargetMode="External"/><Relationship Id="rId339" Type="http://schemas.openxmlformats.org/officeDocument/2006/relationships/hyperlink" Target="https://www.sec.gov/Archives/edgar/data/202058/000020205820000011/exhibit10h-l3harrisers.htm" TargetMode="External"/><Relationship Id="rId490" Type="http://schemas.openxmlformats.org/officeDocument/2006/relationships/hyperlink" Target="exhibit321cy20-q410xk.htm" TargetMode="External"/><Relationship Id="rId78" Type="http://schemas.openxmlformats.org/officeDocument/2006/relationships/hyperlink" Target="http://www.sec.gov/Archives/edgar/data/202058/000119312515149807/d914283dex43.htm" TargetMode="External"/><Relationship Id="rId101" Type="http://schemas.openxmlformats.org/officeDocument/2006/relationships/hyperlink" Target="https://www.sec.gov/Archives/edgar/data/202058/000020205820000068/formofglobalnotedue2031_.htm" TargetMode="External"/><Relationship Id="rId143" Type="http://schemas.openxmlformats.org/officeDocument/2006/relationships/hyperlink" Target="http://www.sec.gov/Archives/edgar/data/202058/000114036119012394/ex4_10.htm" TargetMode="External"/><Relationship Id="rId185" Type="http://schemas.openxmlformats.org/officeDocument/2006/relationships/hyperlink" Target="https://www.sec.gov/Archives/edgar/data/202058/000020205820000017/exhibit2020l3harrissever.htm" TargetMode="External"/><Relationship Id="rId350" Type="http://schemas.openxmlformats.org/officeDocument/2006/relationships/hyperlink" Target="https://www.sec.gov/Archives/edgar/data/202058/000020205820000011/exhibit10jnon-employee.htm" TargetMode="External"/><Relationship Id="rId406" Type="http://schemas.openxmlformats.org/officeDocument/2006/relationships/hyperlink" Target="http://www.sec.gov/Archives/edgar/data/202058/000095014407005792/g07908exv10w2.htm" TargetMode="External"/><Relationship Id="rId9" Type="http://schemas.openxmlformats.org/officeDocument/2006/relationships/hyperlink" Target="http://www.sec.gov/Archives/edgar/data/202058/000162828018012558/mergeragreementexecution.htm" TargetMode="External"/><Relationship Id="rId210" Type="http://schemas.openxmlformats.org/officeDocument/2006/relationships/hyperlink" Target="http://www.sec.gov/Archives/edgar/data/202058/000119312515308363/d22254dex10fxi.htm" TargetMode="External"/><Relationship Id="rId392" Type="http://schemas.openxmlformats.org/officeDocument/2006/relationships/hyperlink" Target="http://www.sec.gov/Archives/edgar/data/202058/000020205819000061/exhibit103qfy19.htm" TargetMode="External"/><Relationship Id="rId448" Type="http://schemas.openxmlformats.org/officeDocument/2006/relationships/hyperlink" Target="http://www.sec.gov/Archives/edgar/data/202058/000114036119012139/ex10_1.htm" TargetMode="External"/><Relationship Id="rId252" Type="http://schemas.openxmlformats.org/officeDocument/2006/relationships/hyperlink" Target="https://www.sec.gov/Archives/edgar/data/202058/000020205820000040/exhibit103-2015equityr.htm" TargetMode="External"/><Relationship Id="rId294" Type="http://schemas.openxmlformats.org/officeDocument/2006/relationships/hyperlink" Target="https://www.sec.gov/Archives/edgar/data/202058/000020205820000011/exhibit10g-l3harrisret.htm" TargetMode="External"/><Relationship Id="rId308" Type="http://schemas.openxmlformats.org/officeDocument/2006/relationships/hyperlink" Target="https://www.sec.gov/Archives/edgar/data/202058/000020205820000040/exhibit107-rspxamendme.htm" TargetMode="External"/><Relationship Id="rId47" Type="http://schemas.openxmlformats.org/officeDocument/2006/relationships/hyperlink" Target="http://www.sec.gov/Archives/edgar/data/202058/000095015203008045/l98139aexv4wb.htm" TargetMode="External"/><Relationship Id="rId89" Type="http://schemas.openxmlformats.org/officeDocument/2006/relationships/hyperlink" Target="https://www.sec.gov/Archives/edgar/data/202058/000020205819000110/formofglobalnotedue2029.htm" TargetMode="External"/><Relationship Id="rId112" Type="http://schemas.openxmlformats.org/officeDocument/2006/relationships/hyperlink" Target="http://www.sec.gov/Archives/edgar/data/202058/000119312515149807/d914283dex45.htm" TargetMode="External"/><Relationship Id="rId154" Type="http://schemas.openxmlformats.org/officeDocument/2006/relationships/hyperlink" Target="http://www.sec.gov/Archives/edgar/data/202058/000114036119012139/ex10_5.htm" TargetMode="External"/><Relationship Id="rId361" Type="http://schemas.openxmlformats.org/officeDocument/2006/relationships/hyperlink" Target="http://www.sec.gov/Archives/edgar/data/202058/000095015204000536/l05216bexv10wc.txt" TargetMode="External"/><Relationship Id="rId196" Type="http://schemas.openxmlformats.org/officeDocument/2006/relationships/hyperlink" Target="http://www.sec.gov/Archives/edgar/data/202058/000095012310083467/g24533exv10w4.htm" TargetMode="External"/><Relationship Id="rId417" Type="http://schemas.openxmlformats.org/officeDocument/2006/relationships/hyperlink" Target="http://www.sec.gov/Archives/edgar/data/202058/000119312511268507/d241889dex101.htm" TargetMode="External"/><Relationship Id="rId459" Type="http://schemas.openxmlformats.org/officeDocument/2006/relationships/hyperlink" Target="exhibit10yiilinkamend.htm" TargetMode="External"/><Relationship Id="rId16" Type="http://schemas.openxmlformats.org/officeDocument/2006/relationships/hyperlink" Target="http://www.sec.gov/Archives/edgar/data/202058/000020205820000040/restatedcertificateofinc.htm" TargetMode="External"/><Relationship Id="rId221" Type="http://schemas.openxmlformats.org/officeDocument/2006/relationships/hyperlink" Target="http://www.sec.gov/Archives/edgar/data/202058/000119312516449408/d117812dex10f.htm" TargetMode="External"/><Relationship Id="rId263" Type="http://schemas.openxmlformats.org/officeDocument/2006/relationships/hyperlink" Target="https://www.sec.gov/Archives/edgar/data/202058/000020205820000040/exhibit104-2015equityp.htm" TargetMode="External"/><Relationship Id="rId319" Type="http://schemas.openxmlformats.org/officeDocument/2006/relationships/hyperlink" Target="https://www.sec.gov/Archives/edgar/data/202058/000020205820000053/exhibit101q2cy2010-q.htm" TargetMode="External"/><Relationship Id="rId470" Type="http://schemas.openxmlformats.org/officeDocument/2006/relationships/hyperlink" Target="exhibit21cy20-q410xk.htm" TargetMode="External"/><Relationship Id="rId58" Type="http://schemas.openxmlformats.org/officeDocument/2006/relationships/hyperlink" Target="http://www.sec.gov/Archives/edgar/data/202058/000095015203008045/l98139aexv4wc.htm" TargetMode="External"/><Relationship Id="rId123" Type="http://schemas.openxmlformats.org/officeDocument/2006/relationships/hyperlink" Target="http://www.sec.gov/Archives/edgar/data/202058/000114036119012394/ex4_5.htm" TargetMode="External"/><Relationship Id="rId330" Type="http://schemas.openxmlformats.org/officeDocument/2006/relationships/hyperlink" Target="https://www.sec.gov/Archives/edgar/data/202058/000020205820000053/exhibit102q2cy2010-q.htm" TargetMode="External"/><Relationship Id="rId165" Type="http://schemas.openxmlformats.org/officeDocument/2006/relationships/hyperlink" Target="https://www.sec.gov/Archives/edgar/data/202058/000020205820000017/exhibit101executivecic.htm" TargetMode="External"/><Relationship Id="rId372" Type="http://schemas.openxmlformats.org/officeDocument/2006/relationships/hyperlink" Target="http://www.sec.gov/Archives/edgar/data/202058/000020205818000009/exhibit4eivamendment.htm" TargetMode="External"/><Relationship Id="rId428" Type="http://schemas.openxmlformats.org/officeDocument/2006/relationships/hyperlink" Target="http://www.sec.gov/Archives/edgar/data/202058/000114036119012139/ex10_4.htm" TargetMode="External"/><Relationship Id="rId232" Type="http://schemas.openxmlformats.org/officeDocument/2006/relationships/hyperlink" Target="http://www.sec.gov/Archives/edgar/data/202058/000020205819000103/exhibit106momentumpsot.htm" TargetMode="External"/><Relationship Id="rId274" Type="http://schemas.openxmlformats.org/officeDocument/2006/relationships/hyperlink" Target="https://www.sec.gov/Archives/edgar/data/202058/000020205820000040/exhibit105-2015equitys.htm" TargetMode="External"/><Relationship Id="rId481" Type="http://schemas.openxmlformats.org/officeDocument/2006/relationships/hyperlink" Target="exhibit311cy20-q410xk.htm" TargetMode="External"/><Relationship Id="rId27" Type="http://schemas.openxmlformats.org/officeDocument/2006/relationships/hyperlink" Target="http://www.sec.gov/Archives/edgar/data/202058/0000950152-96-001980.txt" TargetMode="External"/><Relationship Id="rId69" Type="http://schemas.openxmlformats.org/officeDocument/2006/relationships/hyperlink" Target="https://www.sec.gov/Archives/edgar/data/202058/000020205820000021/exhibit41formofglobalnot.htm" TargetMode="External"/><Relationship Id="rId134" Type="http://schemas.openxmlformats.org/officeDocument/2006/relationships/hyperlink" Target="http://www.sec.gov/Archives/edgar/data/202058/000114036119012394/ex4_8.htm" TargetMode="External"/><Relationship Id="rId80" Type="http://schemas.openxmlformats.org/officeDocument/2006/relationships/hyperlink" Target="http://www.sec.gov/Archives/edgar/data/202058/000119312515149807/d914283dex43.htm" TargetMode="External"/><Relationship Id="rId176" Type="http://schemas.openxmlformats.org/officeDocument/2006/relationships/hyperlink" Target="https://www.sec.gov/Archives/edgar/data/202058/000020205820000017/exhibit2020l3harrissever.htm" TargetMode="External"/><Relationship Id="rId341" Type="http://schemas.openxmlformats.org/officeDocument/2006/relationships/hyperlink" Target="https://www.sec.gov/Archives/edgar/data/202058/000020205820000011/exhibit10h-l3harrisers.htm" TargetMode="External"/><Relationship Id="rId383" Type="http://schemas.openxmlformats.org/officeDocument/2006/relationships/hyperlink" Target="http://www.sec.gov/Archives/edgar/data/202058/000095015204008841/l10812aexv10w5.htm" TargetMode="External"/><Relationship Id="rId439" Type="http://schemas.openxmlformats.org/officeDocument/2006/relationships/hyperlink" Target="http://www.sec.gov/Archives/edgar/data/202058/000119312515174801/d919930dex10e.htm" TargetMode="External"/><Relationship Id="rId201" Type="http://schemas.openxmlformats.org/officeDocument/2006/relationships/hyperlink" Target="http://www.sec.gov/Archives/edgar/data/202058/000095012310097519/g24630exv10wc.htm" TargetMode="External"/><Relationship Id="rId243" Type="http://schemas.openxmlformats.org/officeDocument/2006/relationships/hyperlink" Target="https://www.sec.gov/Archives/edgar/data/202058/000020205820000011/exhibit10fxl3harrisnon.htm" TargetMode="External"/><Relationship Id="rId285" Type="http://schemas.openxmlformats.org/officeDocument/2006/relationships/hyperlink" Target="https://www.sec.gov/Archives/edgar/data/202058/000020205820000011/exhibit10g-l3harrisret.htm" TargetMode="External"/><Relationship Id="rId450" Type="http://schemas.openxmlformats.org/officeDocument/2006/relationships/hyperlink" Target="http://www.sec.gov/Archives/edgar/data/202058/000114036119012139/ex10_1.htm" TargetMode="External"/><Relationship Id="rId38" Type="http://schemas.openxmlformats.org/officeDocument/2006/relationships/hyperlink" Target="http://www.sec.gov/Archives/edgar/data/202058/000119312515210656/d937596dex42.htm" TargetMode="External"/><Relationship Id="rId103" Type="http://schemas.openxmlformats.org/officeDocument/2006/relationships/hyperlink" Target="http://www.sec.gov/Archives/edgar/data/202058/000119312515149807/d914283dex44.htm" TargetMode="External"/><Relationship Id="rId310" Type="http://schemas.openxmlformats.org/officeDocument/2006/relationships/hyperlink" Target="https://www.sec.gov/Archives/edgar/data/202058/000020205820000040/exhibit107-rspxamendme.htm" TargetMode="External"/><Relationship Id="rId492" Type="http://schemas.openxmlformats.org/officeDocument/2006/relationships/hyperlink" Target="exhibit321cy20-q410xk.htm" TargetMode="External"/><Relationship Id="rId91" Type="http://schemas.openxmlformats.org/officeDocument/2006/relationships/hyperlink" Target="https://www.sec.gov/Archives/edgar/data/202058/000020205820000068/formofglobalnotedue2031_.htm" TargetMode="External"/><Relationship Id="rId145" Type="http://schemas.openxmlformats.org/officeDocument/2006/relationships/hyperlink" Target="http://www.sec.gov/Archives/edgar/data/202058/000114036119012394/ex4_11.htm" TargetMode="External"/><Relationship Id="rId187" Type="http://schemas.openxmlformats.org/officeDocument/2006/relationships/hyperlink" Target="http://www.sec.gov/Archives/edgar/data/202058/000129993315001553/exhibit2.htm" TargetMode="External"/><Relationship Id="rId352" Type="http://schemas.openxmlformats.org/officeDocument/2006/relationships/hyperlink" Target="https://www.sec.gov/Archives/edgar/data/202058/000020205820000011/exhibit10jnon-employee.htm" TargetMode="External"/><Relationship Id="rId394" Type="http://schemas.openxmlformats.org/officeDocument/2006/relationships/hyperlink" Target="http://www.sec.gov/Archives/edgar/data/202058/000020205819000061/exhibit103qfy19.htm" TargetMode="External"/><Relationship Id="rId408" Type="http://schemas.openxmlformats.org/officeDocument/2006/relationships/hyperlink" Target="http://www.sec.gov/Archives/edgar/data/202058/000095014407005792/g07908exv10w2.htm" TargetMode="External"/><Relationship Id="rId212" Type="http://schemas.openxmlformats.org/officeDocument/2006/relationships/hyperlink" Target="http://www.sec.gov/Archives/edgar/data/202058/000129993315001553/exhibit1.htm" TargetMode="External"/><Relationship Id="rId254" Type="http://schemas.openxmlformats.org/officeDocument/2006/relationships/hyperlink" Target="https://www.sec.gov/Archives/edgar/data/202058/000020205820000040/exhibit103-2015equityr.htm" TargetMode="External"/><Relationship Id="rId49" Type="http://schemas.openxmlformats.org/officeDocument/2006/relationships/hyperlink" Target="http://www.sec.gov/Archives/edgar/data/202058/000095012309010681/g17643exv4wm.htm" TargetMode="External"/><Relationship Id="rId114" Type="http://schemas.openxmlformats.org/officeDocument/2006/relationships/hyperlink" Target="http://www.sec.gov/Archives/edgar/data/202058/000119312515149807/d914283dex45.htm" TargetMode="External"/><Relationship Id="rId296" Type="http://schemas.openxmlformats.org/officeDocument/2006/relationships/hyperlink" Target="https://www.sec.gov/Archives/edgar/data/202058/000020205820000040/exhibit106-rspxamendme.htm" TargetMode="External"/><Relationship Id="rId461" Type="http://schemas.openxmlformats.org/officeDocument/2006/relationships/hyperlink" Target="exhibit10yiilinkamend.htm" TargetMode="External"/><Relationship Id="rId60" Type="http://schemas.openxmlformats.org/officeDocument/2006/relationships/hyperlink" Target="http://www.sec.gov/Archives/edgar/data/202058/000095015203008045/l98139aexv4wc.htm" TargetMode="External"/><Relationship Id="rId156" Type="http://schemas.openxmlformats.org/officeDocument/2006/relationships/hyperlink" Target="http://www.sec.gov/Archives/edgar/data/202058/000114036119012139/ex10_5.htm" TargetMode="External"/><Relationship Id="rId198" Type="http://schemas.openxmlformats.org/officeDocument/2006/relationships/hyperlink" Target="http://www.sec.gov/Archives/edgar/data/202058/000095012310083467/g24533exv10w4.htm" TargetMode="External"/><Relationship Id="rId321" Type="http://schemas.openxmlformats.org/officeDocument/2006/relationships/hyperlink" Target="https://www.sec.gov/Archives/edgar/data/202058/000020205820000053/exhibit101q2cy2010-q.htm" TargetMode="External"/><Relationship Id="rId363" Type="http://schemas.openxmlformats.org/officeDocument/2006/relationships/hyperlink" Target="http://www.sec.gov/Archives/edgar/data/202058/000095015204000536/l05216bexv10wc.txt" TargetMode="External"/><Relationship Id="rId419" Type="http://schemas.openxmlformats.org/officeDocument/2006/relationships/hyperlink" Target="http://www.sec.gov/Archives/edgar/data/202058/000119312511268507/d241889dex101.htm" TargetMode="External"/><Relationship Id="rId223" Type="http://schemas.openxmlformats.org/officeDocument/2006/relationships/hyperlink" Target="http://www.sec.gov/Archives/edgar/data/202058/000020205819000103/exhibit103ceo-coopsutcs.htm" TargetMode="External"/><Relationship Id="rId430" Type="http://schemas.openxmlformats.org/officeDocument/2006/relationships/hyperlink" Target="http://www.sec.gov/Archives/edgar/data/202058/000114036119012139/ex10_3.htm" TargetMode="External"/><Relationship Id="rId18" Type="http://schemas.openxmlformats.org/officeDocument/2006/relationships/hyperlink" Target="https://www.sec.gov/Archives/edgar/data/202058/000020205820000027/bylawsamendedandrestated.htm" TargetMode="External"/><Relationship Id="rId265" Type="http://schemas.openxmlformats.org/officeDocument/2006/relationships/hyperlink" Target="https://www.sec.gov/Archives/edgar/data/202058/000020205820000040/exhibit104-2015equityp.htm" TargetMode="External"/><Relationship Id="rId472" Type="http://schemas.openxmlformats.org/officeDocument/2006/relationships/hyperlink" Target="exhibit23cy20-q410xk.htm" TargetMode="External"/><Relationship Id="rId125" Type="http://schemas.openxmlformats.org/officeDocument/2006/relationships/hyperlink" Target="http://www.sec.gov/Archives/edgar/data/202058/000114036119012394/ex4_5.htm" TargetMode="External"/><Relationship Id="rId167" Type="http://schemas.openxmlformats.org/officeDocument/2006/relationships/hyperlink" Target="https://www.sec.gov/Archives/edgar/data/202058/000020205820000017/exhibit101executivecic.htm" TargetMode="External"/><Relationship Id="rId332" Type="http://schemas.openxmlformats.org/officeDocument/2006/relationships/hyperlink" Target="https://www.sec.gov/Archives/edgar/data/202058/000020205820000053/exhibit102q2cy2010-q.htm" TargetMode="External"/><Relationship Id="rId374" Type="http://schemas.openxmlformats.org/officeDocument/2006/relationships/hyperlink" Target="http://www.sec.gov/Archives/edgar/data/202058/000095015204000536/l05216bexv10wd.txt" TargetMode="External"/><Relationship Id="rId71" Type="http://schemas.openxmlformats.org/officeDocument/2006/relationships/hyperlink" Target="https://www.sec.gov/Archives/edgar/data/202058/000020205820000021/exhibit41formofglobalnot.htm" TargetMode="External"/><Relationship Id="rId234" Type="http://schemas.openxmlformats.org/officeDocument/2006/relationships/hyperlink" Target="http://www.sec.gov/Archives/edgar/data/202058/000020205819000103/exhibit107integrationp.htm" TargetMode="External"/><Relationship Id="rId2" Type="http://schemas.openxmlformats.org/officeDocument/2006/relationships/settings" Target="settings.xml"/><Relationship Id="rId29" Type="http://schemas.openxmlformats.org/officeDocument/2006/relationships/hyperlink" Target="http://www.sec.gov/Archives/edgar/data/202058/0000950152-96-001980.txt" TargetMode="External"/><Relationship Id="rId276" Type="http://schemas.openxmlformats.org/officeDocument/2006/relationships/hyperlink" Target="https://www.sec.gov/Archives/edgar/data/202058/000020205820000056/bod-20x181equityincent.htm" TargetMode="External"/><Relationship Id="rId441" Type="http://schemas.openxmlformats.org/officeDocument/2006/relationships/hyperlink" Target="http://www.sec.gov/Archives/edgar/data/202058/000114036119012139/ex10_2.htm" TargetMode="External"/><Relationship Id="rId483" Type="http://schemas.openxmlformats.org/officeDocument/2006/relationships/hyperlink" Target="exhibit311cy20-q410xk.htm" TargetMode="External"/><Relationship Id="rId40" Type="http://schemas.openxmlformats.org/officeDocument/2006/relationships/hyperlink" Target="http://www.sec.gov/Archives/edgar/data/202058/000119312515210656/d937596dex41.htm" TargetMode="External"/><Relationship Id="rId136" Type="http://schemas.openxmlformats.org/officeDocument/2006/relationships/hyperlink" Target="http://www.sec.gov/Archives/edgar/data/202058/000114036119012394/ex4_8.htm" TargetMode="External"/><Relationship Id="rId178" Type="http://schemas.openxmlformats.org/officeDocument/2006/relationships/hyperlink" Target="https://www.sec.gov/Archives/edgar/data/202058/000020205820000017/exhibit2020l3harrissever.htm" TargetMode="External"/><Relationship Id="rId301" Type="http://schemas.openxmlformats.org/officeDocument/2006/relationships/hyperlink" Target="https://www.sec.gov/Archives/edgar/data/202058/000020205820000040/exhibit106-rspxamendme.htm" TargetMode="External"/><Relationship Id="rId343" Type="http://schemas.openxmlformats.org/officeDocument/2006/relationships/hyperlink" Target="https://www.sec.gov/Archives/edgar/data/202058/000020205820000011/exhibit10h-l3harrisers.htm" TargetMode="External"/><Relationship Id="rId82" Type="http://schemas.openxmlformats.org/officeDocument/2006/relationships/hyperlink" Target="http://www.sec.gov/Archives/edgar/data/202058/000020205818000052/global4400note-exhibit41.htm" TargetMode="External"/><Relationship Id="rId203" Type="http://schemas.openxmlformats.org/officeDocument/2006/relationships/hyperlink" Target="http://www.sec.gov/Archives/edgar/data/202058/000129993311002670/exhibit1.htm" TargetMode="External"/><Relationship Id="rId385" Type="http://schemas.openxmlformats.org/officeDocument/2006/relationships/hyperlink" Target="http://www.sec.gov/Archives/edgar/data/202058/000095015204008841/l10812aexv10w5.htm" TargetMode="External"/><Relationship Id="rId245" Type="http://schemas.openxmlformats.org/officeDocument/2006/relationships/hyperlink" Target="https://www.sec.gov/Archives/edgar/data/202058/000020205820000011/exhibit10fxl3harrisnon.htm" TargetMode="External"/><Relationship Id="rId287" Type="http://schemas.openxmlformats.org/officeDocument/2006/relationships/hyperlink" Target="https://www.sec.gov/Archives/edgar/data/202058/000020205820000011/exhibit10g-l3harrisret.htm" TargetMode="External"/><Relationship Id="rId410" Type="http://schemas.openxmlformats.org/officeDocument/2006/relationships/hyperlink" Target="http://www.sec.gov/Archives/edgar/data/202058/000095014407005792/g07908exv10w3.htm" TargetMode="External"/><Relationship Id="rId452" Type="http://schemas.openxmlformats.org/officeDocument/2006/relationships/hyperlink" Target="exhibit10xisalariedpension.htm" TargetMode="External"/><Relationship Id="rId494" Type="http://schemas.openxmlformats.org/officeDocument/2006/relationships/hyperlink" Target="exhibit321cy20-q410xk.htm" TargetMode="External"/><Relationship Id="rId105" Type="http://schemas.openxmlformats.org/officeDocument/2006/relationships/hyperlink" Target="http://www.sec.gov/Archives/edgar/data/202058/000119312515149807/d914283dex44.htm" TargetMode="External"/><Relationship Id="rId147" Type="http://schemas.openxmlformats.org/officeDocument/2006/relationships/hyperlink" Target="http://www.sec.gov/Archives/edgar/data/202058/000114036119012394/ex4_11.htm" TargetMode="External"/><Relationship Id="rId312" Type="http://schemas.openxmlformats.org/officeDocument/2006/relationships/hyperlink" Target="https://www.sec.gov/Archives/edgar/data/202058/000020205820000040/exhibit107-rspxamendme.htm" TargetMode="External"/><Relationship Id="rId354" Type="http://schemas.openxmlformats.org/officeDocument/2006/relationships/hyperlink" Target="https://www.sec.gov/Archives/edgar/data/202058/000020205820000011/exhibit10jnon-employee.htm" TargetMode="External"/><Relationship Id="rId51" Type="http://schemas.openxmlformats.org/officeDocument/2006/relationships/hyperlink" Target="http://www.sec.gov/Archives/edgar/data/202058/000095012309010681/g17643exv4wm.htm" TargetMode="External"/><Relationship Id="rId93" Type="http://schemas.openxmlformats.org/officeDocument/2006/relationships/hyperlink" Target="https://www.sec.gov/Archives/edgar/data/202058/000020205820000068/formofglobalnotedue2031_.htm" TargetMode="External"/><Relationship Id="rId189" Type="http://schemas.openxmlformats.org/officeDocument/2006/relationships/hyperlink" Target="http://www.sec.gov/Archives/edgar/data/202058/000129993315001553/exhibit2.htm" TargetMode="External"/><Relationship Id="rId396" Type="http://schemas.openxmlformats.org/officeDocument/2006/relationships/hyperlink" Target="http://www.sec.gov/Archives/edgar/data/202058/000095015205002945/l13101aexv99w2.txt" TargetMode="External"/><Relationship Id="rId214" Type="http://schemas.openxmlformats.org/officeDocument/2006/relationships/hyperlink" Target="http://www.sec.gov/Archives/edgar/data/202058/000129993315001553/exhibit1.htm" TargetMode="External"/><Relationship Id="rId256" Type="http://schemas.openxmlformats.org/officeDocument/2006/relationships/hyperlink" Target="https://www.sec.gov/Archives/edgar/data/202058/000020205820000040/exhibit103-2015equityr.htm" TargetMode="External"/><Relationship Id="rId298" Type="http://schemas.openxmlformats.org/officeDocument/2006/relationships/hyperlink" Target="https://www.sec.gov/Archives/edgar/data/202058/000020205820000040/exhibit106-rspxamendme.htm" TargetMode="External"/><Relationship Id="rId421" Type="http://schemas.openxmlformats.org/officeDocument/2006/relationships/hyperlink" Target="http://www.sec.gov/Archives/edgar/data/202058/000119312511268507/d241889dex101.htm" TargetMode="External"/><Relationship Id="rId463" Type="http://schemas.openxmlformats.org/officeDocument/2006/relationships/hyperlink" Target="exhibit10zl3harrisserp.htm" TargetMode="External"/><Relationship Id="rId116" Type="http://schemas.openxmlformats.org/officeDocument/2006/relationships/hyperlink" Target="http://www.sec.gov/Archives/edgar/data/202058/000114036119012394/ex4_1.htm" TargetMode="External"/><Relationship Id="rId158" Type="http://schemas.openxmlformats.org/officeDocument/2006/relationships/hyperlink" Target="http://www.sec.gov/Archives/edgar/data/202058/000095012310097519/g24630exv10wo.htm" TargetMode="External"/><Relationship Id="rId323" Type="http://schemas.openxmlformats.org/officeDocument/2006/relationships/hyperlink" Target="https://www.sec.gov/Archives/edgar/data/202058/000020205820000053/exhibit101q2cy2010-q.htm" TargetMode="External"/><Relationship Id="rId20" Type="http://schemas.openxmlformats.org/officeDocument/2006/relationships/hyperlink" Target="http://www.sec.gov/Archives/edgar/data/202058/000114036119012159/ex4.htm" TargetMode="External"/><Relationship Id="rId62" Type="http://schemas.openxmlformats.org/officeDocument/2006/relationships/hyperlink" Target="http://www.sec.gov/Archives/edgar/data/202058/000095012309010681/g17643exv4wn.htm" TargetMode="External"/><Relationship Id="rId365" Type="http://schemas.openxmlformats.org/officeDocument/2006/relationships/hyperlink" Target="http://www.sec.gov/Archives/edgar/data/202058/000095012309039868/g20164exv10wxmyxiiy.htm" TargetMode="External"/><Relationship Id="rId225" Type="http://schemas.openxmlformats.org/officeDocument/2006/relationships/hyperlink" Target="http://www.sec.gov/Archives/edgar/data/202058/000020205819000103/exhibit104momentumpsut.htm" TargetMode="External"/><Relationship Id="rId267" Type="http://schemas.openxmlformats.org/officeDocument/2006/relationships/hyperlink" Target="https://www.sec.gov/Archives/edgar/data/202058/000020205820000040/exhibit104-2015equityp.htm" TargetMode="External"/><Relationship Id="rId432" Type="http://schemas.openxmlformats.org/officeDocument/2006/relationships/hyperlink" Target="http://www.sec.gov/Archives/edgar/data/202058/000114036119012139/ex10_3.htm" TargetMode="External"/><Relationship Id="rId474" Type="http://schemas.openxmlformats.org/officeDocument/2006/relationships/hyperlink" Target="exhibit23cy20-q410xk.htm" TargetMode="External"/><Relationship Id="rId127" Type="http://schemas.openxmlformats.org/officeDocument/2006/relationships/hyperlink" Target="http://www.sec.gov/Archives/edgar/data/202058/000114036119012394/ex4_6.htm" TargetMode="External"/><Relationship Id="rId10" Type="http://schemas.openxmlformats.org/officeDocument/2006/relationships/hyperlink" Target="http://www.sec.gov/Archives/edgar/data/202058/000162828018012558/mergeragreementexecution.htm" TargetMode="External"/><Relationship Id="rId31" Type="http://schemas.openxmlformats.org/officeDocument/2006/relationships/hyperlink" Target="http://www.sec.gov/Archives/edgar/data/202058/000095015202008048/l96983aexv99w4.txt" TargetMode="External"/><Relationship Id="rId52" Type="http://schemas.openxmlformats.org/officeDocument/2006/relationships/hyperlink" Target="http://www.sec.gov/Archives/edgar/data/202058/000119312515210656/d937596dex43.htm" TargetMode="External"/><Relationship Id="rId73" Type="http://schemas.openxmlformats.org/officeDocument/2006/relationships/hyperlink" Target="https://www.sec.gov/Archives/edgar/data/202058/000020205820000021/exhibit41formofglobalnot.htm" TargetMode="External"/><Relationship Id="rId94" Type="http://schemas.openxmlformats.org/officeDocument/2006/relationships/hyperlink" Target="https://www.sec.gov/Archives/edgar/data/202058/000020205820000068/formofglobalnotedue2031_.htm" TargetMode="External"/><Relationship Id="rId148" Type="http://schemas.openxmlformats.org/officeDocument/2006/relationships/hyperlink" Target="https://www.sec.gov/Archives/edgar/data/202058/000020205819000090/l3harrisexhibit4zhkdra.htm" TargetMode="External"/><Relationship Id="rId169" Type="http://schemas.openxmlformats.org/officeDocument/2006/relationships/hyperlink" Target="https://www.sec.gov/Archives/edgar/data/202058/000020205820000017/exhibit101executivecic.htm" TargetMode="External"/><Relationship Id="rId334" Type="http://schemas.openxmlformats.org/officeDocument/2006/relationships/hyperlink" Target="https://www.sec.gov/Archives/edgar/data/202058/000020205820000053/exhibit102q2cy2010-q.htm" TargetMode="External"/><Relationship Id="rId355" Type="http://schemas.openxmlformats.org/officeDocument/2006/relationships/hyperlink" Target="https://www.sec.gov/Archives/edgar/data/202058/000020205820000011/exhibit10jnon-employee.htm" TargetMode="External"/><Relationship Id="rId376" Type="http://schemas.openxmlformats.org/officeDocument/2006/relationships/hyperlink" Target="http://www.sec.gov/Archives/edgar/data/202058/000095015204000536/l05216bexv10wd.txt" TargetMode="External"/><Relationship Id="rId397" Type="http://schemas.openxmlformats.org/officeDocument/2006/relationships/hyperlink" Target="http://www.sec.gov/Archives/edgar/data/202058/000095015205002945/l13101aexv99w2.txt" TargetMode="External"/><Relationship Id="rId4" Type="http://schemas.openxmlformats.org/officeDocument/2006/relationships/image" Target="file:///E:\projects\LLMs\new_data_collection\data_new\htm\L3HARRIS%20TECHNOLOGIES,%20INC\hrs-20210101_g1.jpg" TargetMode="External"/><Relationship Id="rId180" Type="http://schemas.openxmlformats.org/officeDocument/2006/relationships/hyperlink" Target="https://www.sec.gov/Archives/edgar/data/202058/000020205820000017/exhibit2020l3harrissever.htm" TargetMode="External"/><Relationship Id="rId215" Type="http://schemas.openxmlformats.org/officeDocument/2006/relationships/hyperlink" Target="http://www.sec.gov/Archives/edgar/data/202058/000129993315001553/exhibit1.htm" TargetMode="External"/><Relationship Id="rId236" Type="http://schemas.openxmlformats.org/officeDocument/2006/relationships/hyperlink" Target="http://www.sec.gov/Archives/edgar/data/202058/000020205819000103/exhibit108integration-.htm" TargetMode="External"/><Relationship Id="rId257" Type="http://schemas.openxmlformats.org/officeDocument/2006/relationships/hyperlink" Target="https://www.sec.gov/Archives/edgar/data/202058/000020205820000040/exhibit103-2015equityr.htm" TargetMode="External"/><Relationship Id="rId278" Type="http://schemas.openxmlformats.org/officeDocument/2006/relationships/hyperlink" Target="https://www.sec.gov/Archives/edgar/data/202058/000020205820000056/bod-20x181equityincent.htm" TargetMode="External"/><Relationship Id="rId401" Type="http://schemas.openxmlformats.org/officeDocument/2006/relationships/hyperlink" Target="http://www.sec.gov/Archives/edgar/data/202058/000095014407005792/g07908exv10w1.htm" TargetMode="External"/><Relationship Id="rId422" Type="http://schemas.openxmlformats.org/officeDocument/2006/relationships/hyperlink" Target="http://www.sec.gov/Archives/edgar/data/202058/000020205819000023/exhibit10a_ceoxsidexletter.htm" TargetMode="External"/><Relationship Id="rId443" Type="http://schemas.openxmlformats.org/officeDocument/2006/relationships/hyperlink" Target="http://www.sec.gov/Archives/edgar/data/202058/000114036119012139/ex10_2.htm" TargetMode="External"/><Relationship Id="rId464" Type="http://schemas.openxmlformats.org/officeDocument/2006/relationships/hyperlink" Target="exhibit10zl3harrisserp.htm" TargetMode="External"/><Relationship Id="rId303" Type="http://schemas.openxmlformats.org/officeDocument/2006/relationships/hyperlink" Target="https://www.sec.gov/Archives/edgar/data/202058/000020205820000040/exhibit107-rspxamendme.htm" TargetMode="External"/><Relationship Id="rId485" Type="http://schemas.openxmlformats.org/officeDocument/2006/relationships/hyperlink" Target="exhibit312cy20-q410xk.htm" TargetMode="External"/><Relationship Id="rId42" Type="http://schemas.openxmlformats.org/officeDocument/2006/relationships/hyperlink" Target="http://www.sec.gov/Archives/edgar/data/202058/000119312515210656/d937596dex41.htm" TargetMode="External"/><Relationship Id="rId84" Type="http://schemas.openxmlformats.org/officeDocument/2006/relationships/hyperlink" Target="http://www.sec.gov/Archives/edgar/data/202058/000020205818000052/global4400note-exhibit41.htm" TargetMode="External"/><Relationship Id="rId138" Type="http://schemas.openxmlformats.org/officeDocument/2006/relationships/hyperlink" Target="http://www.sec.gov/Archives/edgar/data/202058/000114036119012394/ex4_9.htm" TargetMode="External"/><Relationship Id="rId345" Type="http://schemas.openxmlformats.org/officeDocument/2006/relationships/hyperlink" Target="https://www.sec.gov/Archives/edgar/data/202058/000020205820000011/exhibit10h-l3harrisers.htm" TargetMode="External"/><Relationship Id="rId387" Type="http://schemas.openxmlformats.org/officeDocument/2006/relationships/hyperlink" Target="http://www.sec.gov/Archives/edgar/data/202058/000095014409001119/g17294exv10wxiy.htm" TargetMode="External"/><Relationship Id="rId191" Type="http://schemas.openxmlformats.org/officeDocument/2006/relationships/hyperlink" Target="https://www.sec.gov/Archives/edgar/data/202058/000020205820000056/bod-20x180annualincent.htm" TargetMode="External"/><Relationship Id="rId205" Type="http://schemas.openxmlformats.org/officeDocument/2006/relationships/hyperlink" Target="http://www.sec.gov/Archives/edgar/data/202058/000129993311002670/exhibit1.htm" TargetMode="External"/><Relationship Id="rId247" Type="http://schemas.openxmlformats.org/officeDocument/2006/relationships/hyperlink" Target="https://www.sec.gov/Archives/edgar/data/202058/000020205820000011/exhibit10fxl3harrisnon.htm" TargetMode="External"/><Relationship Id="rId412" Type="http://schemas.openxmlformats.org/officeDocument/2006/relationships/hyperlink" Target="http://www.sec.gov/Archives/edgar/data/202058/000095014407005792/g07908exv10w3.htm" TargetMode="External"/><Relationship Id="rId107" Type="http://schemas.openxmlformats.org/officeDocument/2006/relationships/hyperlink" Target="http://www.sec.gov/Archives/edgar/data/202058/000119312515149807/d914283dex44.htm" TargetMode="External"/><Relationship Id="rId289" Type="http://schemas.openxmlformats.org/officeDocument/2006/relationships/hyperlink" Target="https://www.sec.gov/Archives/edgar/data/202058/000020205820000011/exhibit10g-l3harrisret.htm" TargetMode="External"/><Relationship Id="rId454" Type="http://schemas.openxmlformats.org/officeDocument/2006/relationships/hyperlink" Target="exhibit10xisalariedpension.htm" TargetMode="External"/><Relationship Id="rId496" Type="http://schemas.openxmlformats.org/officeDocument/2006/relationships/hyperlink" Target="exhibit322cy20-q410xk.htm" TargetMode="External"/><Relationship Id="rId11" Type="http://schemas.openxmlformats.org/officeDocument/2006/relationships/hyperlink" Target="http://www.sec.gov/Archives/edgar/data/202058/000114036119012139/ex2_2.htm" TargetMode="External"/><Relationship Id="rId53" Type="http://schemas.openxmlformats.org/officeDocument/2006/relationships/hyperlink" Target="http://www.sec.gov/Archives/edgar/data/202058/000119312515210656/d937596dex43.htm" TargetMode="External"/><Relationship Id="rId149" Type="http://schemas.openxmlformats.org/officeDocument/2006/relationships/hyperlink" Target="https://www.sec.gov/Archives/edgar/data/202058/000020205819000090/l3harrisexhibit4zhkdra.htm" TargetMode="External"/><Relationship Id="rId314" Type="http://schemas.openxmlformats.org/officeDocument/2006/relationships/hyperlink" Target="https://www.sec.gov/Archives/edgar/data/202058/000020205820000053/exhibit101q2cy2010-q.htm" TargetMode="External"/><Relationship Id="rId356" Type="http://schemas.openxmlformats.org/officeDocument/2006/relationships/hyperlink" Target="https://www.sec.gov/Archives/edgar/data/202058/000020205820000011/exhibit10jnon-employee.htm" TargetMode="External"/><Relationship Id="rId398" Type="http://schemas.openxmlformats.org/officeDocument/2006/relationships/hyperlink" Target="http://www.sec.gov/Archives/edgar/data/202058/000095015205002945/l13101aexv99w2.txt" TargetMode="External"/><Relationship Id="rId95" Type="http://schemas.openxmlformats.org/officeDocument/2006/relationships/hyperlink" Target="https://www.sec.gov/Archives/edgar/data/202058/000020205820000068/formofglobalnotedue2031_.htm" TargetMode="External"/><Relationship Id="rId160" Type="http://schemas.openxmlformats.org/officeDocument/2006/relationships/hyperlink" Target="https://www.sec.gov/Archives/edgar/data/202058/000020205820000017/exhibit101executivecic.htm" TargetMode="External"/><Relationship Id="rId216" Type="http://schemas.openxmlformats.org/officeDocument/2006/relationships/hyperlink" Target="http://www.sec.gov/Archives/edgar/data/202058/000129993315001553/exhibit1.htm" TargetMode="External"/><Relationship Id="rId423" Type="http://schemas.openxmlformats.org/officeDocument/2006/relationships/hyperlink" Target="http://www.sec.gov/Archives/edgar/data/202058/000020205819000023/exhibit10a_ceoxsidexletter.htm" TargetMode="External"/><Relationship Id="rId258" Type="http://schemas.openxmlformats.org/officeDocument/2006/relationships/hyperlink" Target="https://www.sec.gov/Archives/edgar/data/202058/000020205820000040/exhibit104-2015equityp.htm" TargetMode="External"/><Relationship Id="rId465" Type="http://schemas.openxmlformats.org/officeDocument/2006/relationships/hyperlink" Target="exhibit10zl3harrisserp.htm" TargetMode="External"/><Relationship Id="rId22" Type="http://schemas.openxmlformats.org/officeDocument/2006/relationships/hyperlink" Target="http://www.sec.gov/Archives/edgar/data/202058/000114036119012159/ex4.htm" TargetMode="External"/><Relationship Id="rId64" Type="http://schemas.openxmlformats.org/officeDocument/2006/relationships/hyperlink" Target="https://www.sec.gov/Archives/edgar/data/202058/000020205820000021/exhibit41formofglobalnot.htm" TargetMode="External"/><Relationship Id="rId118" Type="http://schemas.openxmlformats.org/officeDocument/2006/relationships/hyperlink" Target="http://www.sec.gov/Archives/edgar/data/202058/000114036119012394/ex4_1.htm" TargetMode="External"/><Relationship Id="rId325" Type="http://schemas.openxmlformats.org/officeDocument/2006/relationships/hyperlink" Target="https://www.sec.gov/Archives/edgar/data/202058/000020205820000053/exhibit101q2cy2010-q.htm" TargetMode="External"/><Relationship Id="rId367" Type="http://schemas.openxmlformats.org/officeDocument/2006/relationships/hyperlink" Target="http://www.sec.gov/Archives/edgar/data/202058/000095012309039868/g20164exv10wxmyxiiy.htm" TargetMode="External"/><Relationship Id="rId171" Type="http://schemas.openxmlformats.org/officeDocument/2006/relationships/hyperlink" Target="https://www.sec.gov/Archives/edgar/data/202058/000020205820000017/exhibit101executivecic.htm" TargetMode="External"/><Relationship Id="rId227" Type="http://schemas.openxmlformats.org/officeDocument/2006/relationships/hyperlink" Target="http://www.sec.gov/Archives/edgar/data/202058/000020205819000103/exhibit104momentumpsut.htm" TargetMode="External"/><Relationship Id="rId269" Type="http://schemas.openxmlformats.org/officeDocument/2006/relationships/hyperlink" Target="https://www.sec.gov/Archives/edgar/data/202058/000020205820000040/exhibit105-2015equitys.htm" TargetMode="External"/><Relationship Id="rId434" Type="http://schemas.openxmlformats.org/officeDocument/2006/relationships/hyperlink" Target="http://www.sec.gov/Archives/edgar/data/202058/000114036119012139/ex10_3.htm" TargetMode="External"/><Relationship Id="rId476" Type="http://schemas.openxmlformats.org/officeDocument/2006/relationships/hyperlink" Target="exhibit23cy20-q410xk.htm" TargetMode="External"/><Relationship Id="rId33" Type="http://schemas.openxmlformats.org/officeDocument/2006/relationships/hyperlink" Target="http://www.sec.gov/Archives/edgar/data/202058/000095015202008048/l96983aexv99w4.txt" TargetMode="External"/><Relationship Id="rId129" Type="http://schemas.openxmlformats.org/officeDocument/2006/relationships/hyperlink" Target="http://www.sec.gov/Archives/edgar/data/202058/000114036119012394/ex4_6.htm" TargetMode="External"/><Relationship Id="rId280" Type="http://schemas.openxmlformats.org/officeDocument/2006/relationships/hyperlink" Target="https://www.sec.gov/Archives/edgar/data/202058/000020205820000056/bod-20x181equityincent.htm" TargetMode="External"/><Relationship Id="rId336" Type="http://schemas.openxmlformats.org/officeDocument/2006/relationships/hyperlink" Target="https://www.sec.gov/Archives/edgar/data/202058/000020205820000011/exhibit10h-l3harrisers.htm" TargetMode="External"/><Relationship Id="rId501" Type="http://schemas.openxmlformats.org/officeDocument/2006/relationships/theme" Target="theme/theme1.xml"/><Relationship Id="rId75" Type="http://schemas.openxmlformats.org/officeDocument/2006/relationships/hyperlink" Target="http://www.sec.gov/Archives/edgar/data/202058/000119312515149807/d914283dex43.htm" TargetMode="External"/><Relationship Id="rId140" Type="http://schemas.openxmlformats.org/officeDocument/2006/relationships/hyperlink" Target="http://www.sec.gov/Archives/edgar/data/202058/000114036119012394/ex4_9.htm" TargetMode="External"/><Relationship Id="rId182" Type="http://schemas.openxmlformats.org/officeDocument/2006/relationships/hyperlink" Target="https://www.sec.gov/Archives/edgar/data/202058/000020205820000017/exhibit2020l3harrissever.htm" TargetMode="External"/><Relationship Id="rId378" Type="http://schemas.openxmlformats.org/officeDocument/2006/relationships/hyperlink" Target="http://www.sec.gov/Archives/edgar/data/202058/000095015204000536/l05216bexv10wd.txt" TargetMode="External"/><Relationship Id="rId403" Type="http://schemas.openxmlformats.org/officeDocument/2006/relationships/hyperlink" Target="http://www.sec.gov/Archives/edgar/data/202058/000095014407005792/g07908exv10w1.htm" TargetMode="External"/><Relationship Id="rId6" Type="http://schemas.openxmlformats.org/officeDocument/2006/relationships/hyperlink" Target="http://www.sec.gov/Archives/edgar/data/202058/000162828018012558/mergeragreementexecution.htm" TargetMode="External"/><Relationship Id="rId238" Type="http://schemas.openxmlformats.org/officeDocument/2006/relationships/hyperlink" Target="http://www.sec.gov/Archives/edgar/data/202058/000020205819000103/exhibit108integration-.htm" TargetMode="External"/><Relationship Id="rId445" Type="http://schemas.openxmlformats.org/officeDocument/2006/relationships/hyperlink" Target="http://www.sec.gov/Archives/edgar/data/202058/000114036119012139/ex10_1.htm" TargetMode="External"/><Relationship Id="rId487" Type="http://schemas.openxmlformats.org/officeDocument/2006/relationships/hyperlink" Target="exhibit312cy20-q410xk.htm" TargetMode="External"/><Relationship Id="rId291" Type="http://schemas.openxmlformats.org/officeDocument/2006/relationships/hyperlink" Target="https://www.sec.gov/Archives/edgar/data/202058/000020205820000011/exhibit10g-l3harrisret.htm" TargetMode="External"/><Relationship Id="rId305" Type="http://schemas.openxmlformats.org/officeDocument/2006/relationships/hyperlink" Target="https://www.sec.gov/Archives/edgar/data/202058/000020205820000040/exhibit107-rspxamendme.htm" TargetMode="External"/><Relationship Id="rId347" Type="http://schemas.openxmlformats.org/officeDocument/2006/relationships/hyperlink" Target="https://www.sec.gov/Archives/edgar/data/202058/000020205820000011/exhibit10jnon-employee.htm" TargetMode="External"/><Relationship Id="rId44" Type="http://schemas.openxmlformats.org/officeDocument/2006/relationships/hyperlink" Target="http://www.sec.gov/Archives/edgar/data/202058/000095015203008045/l98139aexv4wb.htm" TargetMode="External"/><Relationship Id="rId86" Type="http://schemas.openxmlformats.org/officeDocument/2006/relationships/hyperlink" Target="https://www.sec.gov/Archives/edgar/data/202058/000020205819000110/formofglobalnotedue2029.htm" TargetMode="External"/><Relationship Id="rId151" Type="http://schemas.openxmlformats.org/officeDocument/2006/relationships/hyperlink" Target="https://www.sec.gov/Archives/edgar/data/202058/000020205819000090/l3harrisexhibit4zhkdra.htm" TargetMode="External"/><Relationship Id="rId389" Type="http://schemas.openxmlformats.org/officeDocument/2006/relationships/hyperlink" Target="http://www.sec.gov/Archives/edgar/data/202058/000095012310097519/g24630exv10wn.htm" TargetMode="External"/><Relationship Id="rId193" Type="http://schemas.openxmlformats.org/officeDocument/2006/relationships/hyperlink" Target="http://www.sec.gov/Archives/edgar/data/202058/000095012310083467/g24533exv10w4.htm" TargetMode="External"/><Relationship Id="rId207" Type="http://schemas.openxmlformats.org/officeDocument/2006/relationships/hyperlink" Target="http://www.sec.gov/Archives/edgar/data/202058/000119312513418845/d614318dex10a.htm" TargetMode="External"/><Relationship Id="rId249" Type="http://schemas.openxmlformats.org/officeDocument/2006/relationships/hyperlink" Target="https://www.sec.gov/Archives/edgar/data/202058/000020205820000011/exhibit10fxl3harrisnon.htm" TargetMode="External"/><Relationship Id="rId414" Type="http://schemas.openxmlformats.org/officeDocument/2006/relationships/hyperlink" Target="http://www.sec.gov/Archives/edgar/data/202058/000095014407005792/g07908exv10w3.htm" TargetMode="External"/><Relationship Id="rId456" Type="http://schemas.openxmlformats.org/officeDocument/2006/relationships/hyperlink" Target="exhibit10yilinkplan.htm" TargetMode="External"/><Relationship Id="rId498" Type="http://schemas.openxmlformats.org/officeDocument/2006/relationships/hyperlink" Target="exhibit322cy20-q410xk.htm" TargetMode="External"/><Relationship Id="rId13" Type="http://schemas.openxmlformats.org/officeDocument/2006/relationships/hyperlink" Target="http://www.sec.gov/Archives/edgar/data/202058/000020205820000040/restatedcertificateofinc.htm" TargetMode="External"/><Relationship Id="rId109" Type="http://schemas.openxmlformats.org/officeDocument/2006/relationships/hyperlink" Target="http://www.sec.gov/Archives/edgar/data/202058/000095012310110843/g25428exv4w2.htm" TargetMode="External"/><Relationship Id="rId260" Type="http://schemas.openxmlformats.org/officeDocument/2006/relationships/hyperlink" Target="https://www.sec.gov/Archives/edgar/data/202058/000020205820000040/exhibit104-2015equityp.htm" TargetMode="External"/><Relationship Id="rId316" Type="http://schemas.openxmlformats.org/officeDocument/2006/relationships/hyperlink" Target="https://www.sec.gov/Archives/edgar/data/202058/000020205820000053/exhibit101q2cy2010-q.htm" TargetMode="External"/><Relationship Id="rId55" Type="http://schemas.openxmlformats.org/officeDocument/2006/relationships/hyperlink" Target="http://www.sec.gov/Archives/edgar/data/202058/000095015203008045/l98139aexv4wc.htm" TargetMode="External"/><Relationship Id="rId97" Type="http://schemas.openxmlformats.org/officeDocument/2006/relationships/hyperlink" Target="https://www.sec.gov/Archives/edgar/data/202058/000020205820000068/formofglobalnotedue2031_.htm" TargetMode="External"/><Relationship Id="rId120" Type="http://schemas.openxmlformats.org/officeDocument/2006/relationships/hyperlink" Target="http://www.sec.gov/Archives/edgar/data/202058/000114036119012394/ex4_4.htm" TargetMode="External"/><Relationship Id="rId358" Type="http://schemas.openxmlformats.org/officeDocument/2006/relationships/hyperlink" Target="http://www.sec.gov/Archives/edgar/data/202058/000095015204000536/l05216bexv10wc.txt" TargetMode="External"/><Relationship Id="rId162" Type="http://schemas.openxmlformats.org/officeDocument/2006/relationships/hyperlink" Target="https://www.sec.gov/Archives/edgar/data/202058/000020205820000017/exhibit101executivecic.htm" TargetMode="External"/><Relationship Id="rId218" Type="http://schemas.openxmlformats.org/officeDocument/2006/relationships/hyperlink" Target="http://www.sec.gov/Archives/edgar/data/202058/000129993315001553/exhibit1.htm" TargetMode="External"/><Relationship Id="rId425" Type="http://schemas.openxmlformats.org/officeDocument/2006/relationships/hyperlink" Target="http://www.sec.gov/Archives/edgar/data/202058/000114036119012139/ex10_4.htm" TargetMode="External"/><Relationship Id="rId467" Type="http://schemas.openxmlformats.org/officeDocument/2006/relationships/hyperlink" Target="exhibit21cy20-q410xk.htm" TargetMode="External"/><Relationship Id="rId271" Type="http://schemas.openxmlformats.org/officeDocument/2006/relationships/hyperlink" Target="https://www.sec.gov/Archives/edgar/data/202058/000020205820000040/exhibit105-2015equitys.htm" TargetMode="External"/><Relationship Id="rId24" Type="http://schemas.openxmlformats.org/officeDocument/2006/relationships/hyperlink" Target="http://www.sec.gov/Archives/edgar/data/202058/0000950152-96-001980.txt" TargetMode="External"/><Relationship Id="rId66" Type="http://schemas.openxmlformats.org/officeDocument/2006/relationships/hyperlink" Target="https://www.sec.gov/Archives/edgar/data/202058/000020205820000021/exhibit41formofglobalnot.htm" TargetMode="External"/><Relationship Id="rId131" Type="http://schemas.openxmlformats.org/officeDocument/2006/relationships/hyperlink" Target="http://www.sec.gov/Archives/edgar/data/202058/000114036119012394/ex4_7.htm" TargetMode="External"/><Relationship Id="rId327" Type="http://schemas.openxmlformats.org/officeDocument/2006/relationships/hyperlink" Target="https://www.sec.gov/Archives/edgar/data/202058/000020205820000053/exhibit102q2cy2010-q.htm" TargetMode="External"/><Relationship Id="rId369" Type="http://schemas.openxmlformats.org/officeDocument/2006/relationships/hyperlink" Target="http://www.sec.gov/Archives/edgar/data/202058/000095012309069904/g21448exv4wewiii.htm" TargetMode="External"/><Relationship Id="rId173" Type="http://schemas.openxmlformats.org/officeDocument/2006/relationships/hyperlink" Target="https://www.sec.gov/Archives/edgar/data/202058/000020205820000017/exhibit101executivecic.htm" TargetMode="External"/><Relationship Id="rId229" Type="http://schemas.openxmlformats.org/officeDocument/2006/relationships/hyperlink" Target="http://www.sec.gov/Archives/edgar/data/202058/000020205819000103/exhibit105ceo-coopsotcs.htm" TargetMode="External"/><Relationship Id="rId380" Type="http://schemas.openxmlformats.org/officeDocument/2006/relationships/hyperlink" Target="http://www.sec.gov/Archives/edgar/data/202058/000095015204007534/l09822aexv10wb.htm" TargetMode="External"/><Relationship Id="rId436" Type="http://schemas.openxmlformats.org/officeDocument/2006/relationships/hyperlink" Target="http://www.sec.gov/Archives/edgar/data/202058/000119312515174801/d919930dex10e.htm" TargetMode="External"/><Relationship Id="rId240" Type="http://schemas.openxmlformats.org/officeDocument/2006/relationships/hyperlink" Target="http://www.sec.gov/Archives/edgar/data/202058/000020205819000103/exhibit109new-hireothe.htm" TargetMode="External"/><Relationship Id="rId478" Type="http://schemas.openxmlformats.org/officeDocument/2006/relationships/hyperlink" Target="exhibit24cy20-q410xk.htm" TargetMode="External"/><Relationship Id="rId35" Type="http://schemas.openxmlformats.org/officeDocument/2006/relationships/hyperlink" Target="http://www.sec.gov/Archives/edgar/data/202058/000119312515210656/d937596dex42.htm" TargetMode="External"/><Relationship Id="rId77" Type="http://schemas.openxmlformats.org/officeDocument/2006/relationships/hyperlink" Target="http://www.sec.gov/Archives/edgar/data/202058/000119312515149807/d914283dex43.htm" TargetMode="External"/><Relationship Id="rId100" Type="http://schemas.openxmlformats.org/officeDocument/2006/relationships/hyperlink" Target="https://www.sec.gov/Archives/edgar/data/202058/000020205820000068/formofglobalnotedue2031_.htm" TargetMode="External"/><Relationship Id="rId282" Type="http://schemas.openxmlformats.org/officeDocument/2006/relationships/hyperlink" Target="https://www.sec.gov/Archives/edgar/data/202058/000020205820000011/exhibit10g-l3harrisret.htm" TargetMode="External"/><Relationship Id="rId338" Type="http://schemas.openxmlformats.org/officeDocument/2006/relationships/hyperlink" Target="https://www.sec.gov/Archives/edgar/data/202058/000020205820000011/exhibit10h-l3harrisers.htm" TargetMode="External"/><Relationship Id="rId8" Type="http://schemas.openxmlformats.org/officeDocument/2006/relationships/hyperlink" Target="http://www.sec.gov/Archives/edgar/data/202058/000162828018012558/mergeragreementexecution.htm" TargetMode="External"/><Relationship Id="rId142" Type="http://schemas.openxmlformats.org/officeDocument/2006/relationships/hyperlink" Target="http://www.sec.gov/Archives/edgar/data/202058/000114036119012394/ex4_10.htm" TargetMode="External"/><Relationship Id="rId184" Type="http://schemas.openxmlformats.org/officeDocument/2006/relationships/hyperlink" Target="https://www.sec.gov/Archives/edgar/data/202058/000020205820000017/exhibit2020l3harrissever.htm" TargetMode="External"/><Relationship Id="rId391" Type="http://schemas.openxmlformats.org/officeDocument/2006/relationships/hyperlink" Target="http://www.sec.gov/Archives/edgar/data/202058/000095012310097519/g24630exv10wn.htm" TargetMode="External"/><Relationship Id="rId405" Type="http://schemas.openxmlformats.org/officeDocument/2006/relationships/hyperlink" Target="http://www.sec.gov/Archives/edgar/data/202058/000095014407005792/g07908exv10w2.htm" TargetMode="External"/><Relationship Id="rId447" Type="http://schemas.openxmlformats.org/officeDocument/2006/relationships/hyperlink" Target="http://www.sec.gov/Archives/edgar/data/202058/000114036119012139/ex10_1.htm" TargetMode="External"/><Relationship Id="rId251" Type="http://schemas.openxmlformats.org/officeDocument/2006/relationships/hyperlink" Target="https://www.sec.gov/Archives/edgar/data/202058/000020205820000011/exhibit10fxl3harrisnon.htm" TargetMode="External"/><Relationship Id="rId489" Type="http://schemas.openxmlformats.org/officeDocument/2006/relationships/hyperlink" Target="exhibit312cy20-q410xk.htm" TargetMode="External"/><Relationship Id="rId46" Type="http://schemas.openxmlformats.org/officeDocument/2006/relationships/hyperlink" Target="http://www.sec.gov/Archives/edgar/data/202058/000095015203008045/l98139aexv4wb.htm" TargetMode="External"/><Relationship Id="rId293" Type="http://schemas.openxmlformats.org/officeDocument/2006/relationships/hyperlink" Target="https://www.sec.gov/Archives/edgar/data/202058/000020205820000011/exhibit10g-l3harrisret.htm" TargetMode="External"/><Relationship Id="rId307" Type="http://schemas.openxmlformats.org/officeDocument/2006/relationships/hyperlink" Target="https://www.sec.gov/Archives/edgar/data/202058/000020205820000040/exhibit107-rspxamendme.htm" TargetMode="External"/><Relationship Id="rId349" Type="http://schemas.openxmlformats.org/officeDocument/2006/relationships/hyperlink" Target="https://www.sec.gov/Archives/edgar/data/202058/000020205820000011/exhibit10jnon-employee.htm" TargetMode="External"/><Relationship Id="rId88" Type="http://schemas.openxmlformats.org/officeDocument/2006/relationships/hyperlink" Target="https://www.sec.gov/Archives/edgar/data/202058/000020205819000110/formofglobalnotedue2029.htm" TargetMode="External"/><Relationship Id="rId111" Type="http://schemas.openxmlformats.org/officeDocument/2006/relationships/hyperlink" Target="http://www.sec.gov/Archives/edgar/data/202058/000119312515149807/d914283dex45.htm" TargetMode="External"/><Relationship Id="rId153" Type="http://schemas.openxmlformats.org/officeDocument/2006/relationships/hyperlink" Target="http://www.sec.gov/Archives/edgar/data/202058/000114036119012139/ex10_5.htm" TargetMode="External"/><Relationship Id="rId195" Type="http://schemas.openxmlformats.org/officeDocument/2006/relationships/hyperlink" Target="http://www.sec.gov/Archives/edgar/data/202058/000095012310083467/g24533exv10w4.htm" TargetMode="External"/><Relationship Id="rId209" Type="http://schemas.openxmlformats.org/officeDocument/2006/relationships/hyperlink" Target="http://www.sec.gov/Archives/edgar/data/202058/000119312515308363/d22254dex10fxi.htm" TargetMode="External"/><Relationship Id="rId360" Type="http://schemas.openxmlformats.org/officeDocument/2006/relationships/hyperlink" Target="http://www.sec.gov/Archives/edgar/data/202058/000095015204000536/l05216bexv10wc.txt" TargetMode="External"/><Relationship Id="rId416" Type="http://schemas.openxmlformats.org/officeDocument/2006/relationships/hyperlink" Target="http://www.sec.gov/Archives/edgar/data/202058/000119312511268507/d241889dex101.htm" TargetMode="External"/><Relationship Id="rId220" Type="http://schemas.openxmlformats.org/officeDocument/2006/relationships/hyperlink" Target="http://www.sec.gov/Archives/edgar/data/202058/000119312516449408/d117812dex10f.htm" TargetMode="External"/><Relationship Id="rId458" Type="http://schemas.openxmlformats.org/officeDocument/2006/relationships/hyperlink" Target="exhibit10yilinkplan.htm" TargetMode="External"/><Relationship Id="rId15" Type="http://schemas.openxmlformats.org/officeDocument/2006/relationships/hyperlink" Target="http://www.sec.gov/Archives/edgar/data/202058/000020205820000040/restatedcertificateofinc.htm" TargetMode="External"/><Relationship Id="rId57" Type="http://schemas.openxmlformats.org/officeDocument/2006/relationships/hyperlink" Target="http://www.sec.gov/Archives/edgar/data/202058/000095015203008045/l98139aexv4wc.htm" TargetMode="External"/><Relationship Id="rId262" Type="http://schemas.openxmlformats.org/officeDocument/2006/relationships/hyperlink" Target="https://www.sec.gov/Archives/edgar/data/202058/000020205820000040/exhibit104-2015equityp.htm" TargetMode="External"/><Relationship Id="rId318" Type="http://schemas.openxmlformats.org/officeDocument/2006/relationships/hyperlink" Target="https://www.sec.gov/Archives/edgar/data/202058/000020205820000053/exhibit101q2cy2010-q.htm" TargetMode="External"/><Relationship Id="rId99" Type="http://schemas.openxmlformats.org/officeDocument/2006/relationships/hyperlink" Target="https://www.sec.gov/Archives/edgar/data/202058/000020205820000068/formofglobalnotedue2031_.htm" TargetMode="External"/><Relationship Id="rId122" Type="http://schemas.openxmlformats.org/officeDocument/2006/relationships/hyperlink" Target="http://www.sec.gov/Archives/edgar/data/202058/000114036119012394/ex4_4.htm" TargetMode="External"/><Relationship Id="rId164" Type="http://schemas.openxmlformats.org/officeDocument/2006/relationships/hyperlink" Target="https://www.sec.gov/Archives/edgar/data/202058/000020205820000017/exhibit101executivecic.htm" TargetMode="External"/><Relationship Id="rId371" Type="http://schemas.openxmlformats.org/officeDocument/2006/relationships/hyperlink" Target="http://www.sec.gov/Archives/edgar/data/202058/000020205818000009/exhibit4eivamendment.htm" TargetMode="External"/><Relationship Id="rId427" Type="http://schemas.openxmlformats.org/officeDocument/2006/relationships/hyperlink" Target="http://www.sec.gov/Archives/edgar/data/202058/000114036119012139/ex10_4.htm" TargetMode="External"/><Relationship Id="rId469" Type="http://schemas.openxmlformats.org/officeDocument/2006/relationships/hyperlink" Target="exhibit21cy20-q410xk.htm" TargetMode="External"/><Relationship Id="rId26" Type="http://schemas.openxmlformats.org/officeDocument/2006/relationships/hyperlink" Target="http://www.sec.gov/Archives/edgar/data/202058/0000950152-96-001980.txt" TargetMode="External"/><Relationship Id="rId231" Type="http://schemas.openxmlformats.org/officeDocument/2006/relationships/hyperlink" Target="http://www.sec.gov/Archives/edgar/data/202058/000020205819000103/exhibit106momentumpsot.htm" TargetMode="External"/><Relationship Id="rId273" Type="http://schemas.openxmlformats.org/officeDocument/2006/relationships/hyperlink" Target="https://www.sec.gov/Archives/edgar/data/202058/000020205820000040/exhibit105-2015equitys.htm" TargetMode="External"/><Relationship Id="rId329" Type="http://schemas.openxmlformats.org/officeDocument/2006/relationships/hyperlink" Target="https://www.sec.gov/Archives/edgar/data/202058/000020205820000053/exhibit102q2cy2010-q.htm" TargetMode="External"/><Relationship Id="rId480" Type="http://schemas.openxmlformats.org/officeDocument/2006/relationships/hyperlink" Target="exhibit311cy20-q410xk.htm" TargetMode="External"/><Relationship Id="rId68" Type="http://schemas.openxmlformats.org/officeDocument/2006/relationships/hyperlink" Target="https://www.sec.gov/Archives/edgar/data/202058/000020205820000021/exhibit41formofglobalnot.htm" TargetMode="External"/><Relationship Id="rId133" Type="http://schemas.openxmlformats.org/officeDocument/2006/relationships/hyperlink" Target="http://www.sec.gov/Archives/edgar/data/202058/000114036119012394/ex4_7.htm" TargetMode="External"/><Relationship Id="rId175" Type="http://schemas.openxmlformats.org/officeDocument/2006/relationships/hyperlink" Target="https://www.sec.gov/Archives/edgar/data/202058/000020205820000017/exhibit101executivecic.htm" TargetMode="External"/><Relationship Id="rId340" Type="http://schemas.openxmlformats.org/officeDocument/2006/relationships/hyperlink" Target="https://www.sec.gov/Archives/edgar/data/202058/000020205820000011/exhibit10h-l3harrisers.htm" TargetMode="External"/><Relationship Id="rId200" Type="http://schemas.openxmlformats.org/officeDocument/2006/relationships/hyperlink" Target="http://www.sec.gov/Archives/edgar/data/202058/000095012310097519/g24630exv10wc.htm" TargetMode="External"/><Relationship Id="rId382" Type="http://schemas.openxmlformats.org/officeDocument/2006/relationships/hyperlink" Target="http://www.sec.gov/Archives/edgar/data/202058/000095015204007534/l09822aexv10wb.htm" TargetMode="External"/><Relationship Id="rId438" Type="http://schemas.openxmlformats.org/officeDocument/2006/relationships/hyperlink" Target="http://www.sec.gov/Archives/edgar/data/202058/000119312515174801/d919930dex10e.htm" TargetMode="External"/><Relationship Id="rId242" Type="http://schemas.openxmlformats.org/officeDocument/2006/relationships/hyperlink" Target="https://www.sec.gov/Archives/edgar/data/202058/000020205820000011/exhibit10fxl3harrisnon.htm" TargetMode="External"/><Relationship Id="rId284" Type="http://schemas.openxmlformats.org/officeDocument/2006/relationships/hyperlink" Target="https://www.sec.gov/Archives/edgar/data/202058/000020205820000011/exhibit10g-l3harrisret.htm" TargetMode="External"/><Relationship Id="rId491" Type="http://schemas.openxmlformats.org/officeDocument/2006/relationships/hyperlink" Target="exhibit321cy20-q410xk.htm" TargetMode="External"/><Relationship Id="rId37" Type="http://schemas.openxmlformats.org/officeDocument/2006/relationships/hyperlink" Target="http://www.sec.gov/Archives/edgar/data/202058/000119312515210656/d937596dex42.htm" TargetMode="External"/><Relationship Id="rId79" Type="http://schemas.openxmlformats.org/officeDocument/2006/relationships/hyperlink" Target="http://www.sec.gov/Archives/edgar/data/202058/000119312515149807/d914283dex43.htm" TargetMode="External"/><Relationship Id="rId102" Type="http://schemas.openxmlformats.org/officeDocument/2006/relationships/hyperlink" Target="https://www.sec.gov/Archives/edgar/data/202058/000020205820000068/formofglobalnotedue2031_.htm" TargetMode="External"/><Relationship Id="rId144" Type="http://schemas.openxmlformats.org/officeDocument/2006/relationships/hyperlink" Target="http://www.sec.gov/Archives/edgar/data/202058/000114036119012394/ex4_10.htm" TargetMode="External"/><Relationship Id="rId90" Type="http://schemas.openxmlformats.org/officeDocument/2006/relationships/hyperlink" Target="https://www.sec.gov/Archives/edgar/data/202058/000020205819000110/formofglobalnotedue2029.htm" TargetMode="External"/><Relationship Id="rId186" Type="http://schemas.openxmlformats.org/officeDocument/2006/relationships/hyperlink" Target="http://www.sec.gov/Archives/edgar/data/202058/000129993315001553/exhibit2.htm" TargetMode="External"/><Relationship Id="rId351" Type="http://schemas.openxmlformats.org/officeDocument/2006/relationships/hyperlink" Target="https://www.sec.gov/Archives/edgar/data/202058/000020205820000011/exhibit10jnon-employee.htm" TargetMode="External"/><Relationship Id="rId393" Type="http://schemas.openxmlformats.org/officeDocument/2006/relationships/hyperlink" Target="http://www.sec.gov/Archives/edgar/data/202058/000020205819000061/exhibit103qfy19.htm" TargetMode="External"/><Relationship Id="rId407" Type="http://schemas.openxmlformats.org/officeDocument/2006/relationships/hyperlink" Target="http://www.sec.gov/Archives/edgar/data/202058/000095014407005792/g07908exv10w2.htm" TargetMode="External"/><Relationship Id="rId449" Type="http://schemas.openxmlformats.org/officeDocument/2006/relationships/hyperlink" Target="http://www.sec.gov/Archives/edgar/data/202058/000114036119012139/ex10_1.htm" TargetMode="External"/><Relationship Id="rId211" Type="http://schemas.openxmlformats.org/officeDocument/2006/relationships/hyperlink" Target="http://www.sec.gov/Archives/edgar/data/202058/000119312515308363/d22254dex10fxi.htm" TargetMode="External"/><Relationship Id="rId253" Type="http://schemas.openxmlformats.org/officeDocument/2006/relationships/hyperlink" Target="https://www.sec.gov/Archives/edgar/data/202058/000020205820000040/exhibit103-2015equityr.htm" TargetMode="External"/><Relationship Id="rId295" Type="http://schemas.openxmlformats.org/officeDocument/2006/relationships/hyperlink" Target="https://www.sec.gov/Archives/edgar/data/202058/000020205820000040/exhibit106-rspxamendme.htm" TargetMode="External"/><Relationship Id="rId309" Type="http://schemas.openxmlformats.org/officeDocument/2006/relationships/hyperlink" Target="https://www.sec.gov/Archives/edgar/data/202058/000020205820000040/exhibit107-rspxamendme.htm" TargetMode="External"/><Relationship Id="rId460" Type="http://schemas.openxmlformats.org/officeDocument/2006/relationships/hyperlink" Target="exhibit10yiilinkamend.htm" TargetMode="External"/><Relationship Id="rId48" Type="http://schemas.openxmlformats.org/officeDocument/2006/relationships/hyperlink" Target="http://www.sec.gov/Archives/edgar/data/202058/000095012309010681/g17643exv4wm.htm" TargetMode="External"/><Relationship Id="rId113" Type="http://schemas.openxmlformats.org/officeDocument/2006/relationships/hyperlink" Target="http://www.sec.gov/Archives/edgar/data/202058/000119312515149807/d914283dex45.htm" TargetMode="External"/><Relationship Id="rId320" Type="http://schemas.openxmlformats.org/officeDocument/2006/relationships/hyperlink" Target="https://www.sec.gov/Archives/edgar/data/202058/000020205820000053/exhibit101q2cy2010-q.htm" TargetMode="External"/><Relationship Id="rId155" Type="http://schemas.openxmlformats.org/officeDocument/2006/relationships/hyperlink" Target="http://www.sec.gov/Archives/edgar/data/202058/000114036119012139/ex10_5.htm" TargetMode="External"/><Relationship Id="rId197" Type="http://schemas.openxmlformats.org/officeDocument/2006/relationships/hyperlink" Target="http://www.sec.gov/Archives/edgar/data/202058/000095012310083467/g24533exv10w4.htm" TargetMode="External"/><Relationship Id="rId362" Type="http://schemas.openxmlformats.org/officeDocument/2006/relationships/hyperlink" Target="http://www.sec.gov/Archives/edgar/data/202058/000095015204000536/l05216bexv10wc.txt" TargetMode="External"/><Relationship Id="rId418" Type="http://schemas.openxmlformats.org/officeDocument/2006/relationships/hyperlink" Target="http://www.sec.gov/Archives/edgar/data/202058/000119312511268507/d241889dex101.htm" TargetMode="External"/><Relationship Id="rId222" Type="http://schemas.openxmlformats.org/officeDocument/2006/relationships/hyperlink" Target="http://www.sec.gov/Archives/edgar/data/202058/000020205819000103/exhibit103ceo-coopsutcs.htm" TargetMode="External"/><Relationship Id="rId264" Type="http://schemas.openxmlformats.org/officeDocument/2006/relationships/hyperlink" Target="https://www.sec.gov/Archives/edgar/data/202058/000020205820000040/exhibit104-2015equityp.htm" TargetMode="External"/><Relationship Id="rId471" Type="http://schemas.openxmlformats.org/officeDocument/2006/relationships/hyperlink" Target="exhibit21cy20-q410xk.htm" TargetMode="External"/><Relationship Id="rId17" Type="http://schemas.openxmlformats.org/officeDocument/2006/relationships/hyperlink" Target="http://www.sec.gov/Archives/edgar/data/202058/000020205820000040/restatedcertificateofinc.htm" TargetMode="External"/><Relationship Id="rId59" Type="http://schemas.openxmlformats.org/officeDocument/2006/relationships/hyperlink" Target="http://www.sec.gov/Archives/edgar/data/202058/000095015203008045/l98139aexv4wc.htm" TargetMode="External"/><Relationship Id="rId124" Type="http://schemas.openxmlformats.org/officeDocument/2006/relationships/hyperlink" Target="http://www.sec.gov/Archives/edgar/data/202058/000114036119012394/ex4_5.htm" TargetMode="External"/><Relationship Id="rId70" Type="http://schemas.openxmlformats.org/officeDocument/2006/relationships/hyperlink" Target="https://www.sec.gov/Archives/edgar/data/202058/000020205820000021/exhibit41formofglobalnot.htm" TargetMode="External"/><Relationship Id="rId166" Type="http://schemas.openxmlformats.org/officeDocument/2006/relationships/hyperlink" Target="https://www.sec.gov/Archives/edgar/data/202058/000020205820000017/exhibit101executivecic.htm" TargetMode="External"/><Relationship Id="rId331" Type="http://schemas.openxmlformats.org/officeDocument/2006/relationships/hyperlink" Target="https://www.sec.gov/Archives/edgar/data/202058/000020205820000053/exhibit102q2cy2010-q.htm" TargetMode="External"/><Relationship Id="rId373" Type="http://schemas.openxmlformats.org/officeDocument/2006/relationships/hyperlink" Target="http://www.sec.gov/Archives/edgar/data/202058/000020205818000009/exhibit4eivamendment.htm" TargetMode="External"/><Relationship Id="rId429" Type="http://schemas.openxmlformats.org/officeDocument/2006/relationships/hyperlink" Target="http://www.sec.gov/Archives/edgar/data/202058/000114036119012139/ex10_4.htm" TargetMode="External"/><Relationship Id="rId1" Type="http://schemas.openxmlformats.org/officeDocument/2006/relationships/styles" Target="styles.xml"/><Relationship Id="rId233" Type="http://schemas.openxmlformats.org/officeDocument/2006/relationships/hyperlink" Target="http://www.sec.gov/Archives/edgar/data/202058/000020205819000103/exhibit107integrationp.htm" TargetMode="External"/><Relationship Id="rId440" Type="http://schemas.openxmlformats.org/officeDocument/2006/relationships/hyperlink" Target="http://www.sec.gov/Archives/edgar/data/202058/000114036119012139/ex10_2.htm" TargetMode="External"/><Relationship Id="rId28" Type="http://schemas.openxmlformats.org/officeDocument/2006/relationships/hyperlink" Target="http://www.sec.gov/Archives/edgar/data/202058/0000950152-96-001980.txt" TargetMode="External"/><Relationship Id="rId275" Type="http://schemas.openxmlformats.org/officeDocument/2006/relationships/hyperlink" Target="https://www.sec.gov/Archives/edgar/data/202058/000020205820000040/exhibit105-2015equitys.htm" TargetMode="External"/><Relationship Id="rId300" Type="http://schemas.openxmlformats.org/officeDocument/2006/relationships/hyperlink" Target="https://www.sec.gov/Archives/edgar/data/202058/000020205820000040/exhibit106-rspxamendme.htm" TargetMode="External"/><Relationship Id="rId482" Type="http://schemas.openxmlformats.org/officeDocument/2006/relationships/hyperlink" Target="exhibit311cy20-q410xk.htm" TargetMode="External"/><Relationship Id="rId81" Type="http://schemas.openxmlformats.org/officeDocument/2006/relationships/hyperlink" Target="http://www.sec.gov/Archives/edgar/data/202058/000020205818000052/global4400note-exhibit41.htm" TargetMode="External"/><Relationship Id="rId135" Type="http://schemas.openxmlformats.org/officeDocument/2006/relationships/hyperlink" Target="http://www.sec.gov/Archives/edgar/data/202058/000114036119012394/ex4_8.htm" TargetMode="External"/><Relationship Id="rId177" Type="http://schemas.openxmlformats.org/officeDocument/2006/relationships/hyperlink" Target="https://www.sec.gov/Archives/edgar/data/202058/000020205820000017/exhibit2020l3harrissever.htm" TargetMode="External"/><Relationship Id="rId342" Type="http://schemas.openxmlformats.org/officeDocument/2006/relationships/hyperlink" Target="https://www.sec.gov/Archives/edgar/data/202058/000020205820000011/exhibit10h-l3harrisers.htm" TargetMode="External"/><Relationship Id="rId384" Type="http://schemas.openxmlformats.org/officeDocument/2006/relationships/hyperlink" Target="http://www.sec.gov/Archives/edgar/data/202058/000095015204008841/l10812aexv10w5.htm" TargetMode="External"/><Relationship Id="rId202" Type="http://schemas.openxmlformats.org/officeDocument/2006/relationships/hyperlink" Target="http://www.sec.gov/Archives/edgar/data/202058/000095012310097519/g24630exv10wc.htm" TargetMode="External"/><Relationship Id="rId244" Type="http://schemas.openxmlformats.org/officeDocument/2006/relationships/hyperlink" Target="https://www.sec.gov/Archives/edgar/data/202058/000020205820000011/exhibit10fxl3harrisnon.htm" TargetMode="External"/><Relationship Id="rId39" Type="http://schemas.openxmlformats.org/officeDocument/2006/relationships/hyperlink" Target="http://www.sec.gov/Archives/edgar/data/202058/000119312515210656/d937596dex41.htm" TargetMode="External"/><Relationship Id="rId286" Type="http://schemas.openxmlformats.org/officeDocument/2006/relationships/hyperlink" Target="https://www.sec.gov/Archives/edgar/data/202058/000020205820000011/exhibit10g-l3harrisret.htm" TargetMode="External"/><Relationship Id="rId451" Type="http://schemas.openxmlformats.org/officeDocument/2006/relationships/hyperlink" Target="exhibit10xisalariedpension.htm" TargetMode="External"/><Relationship Id="rId493" Type="http://schemas.openxmlformats.org/officeDocument/2006/relationships/hyperlink" Target="exhibit321cy20-q410xk.htm" TargetMode="External"/><Relationship Id="rId50" Type="http://schemas.openxmlformats.org/officeDocument/2006/relationships/hyperlink" Target="http://www.sec.gov/Archives/edgar/data/202058/000095012309010681/g17643exv4wm.htm" TargetMode="External"/><Relationship Id="rId104" Type="http://schemas.openxmlformats.org/officeDocument/2006/relationships/hyperlink" Target="http://www.sec.gov/Archives/edgar/data/202058/000119312515149807/d914283dex44.htm" TargetMode="External"/><Relationship Id="rId146" Type="http://schemas.openxmlformats.org/officeDocument/2006/relationships/hyperlink" Target="http://www.sec.gov/Archives/edgar/data/202058/000114036119012394/ex4_11.htm" TargetMode="External"/><Relationship Id="rId188" Type="http://schemas.openxmlformats.org/officeDocument/2006/relationships/hyperlink" Target="http://www.sec.gov/Archives/edgar/data/202058/000129993315001553/exhibit2.htm" TargetMode="External"/><Relationship Id="rId311" Type="http://schemas.openxmlformats.org/officeDocument/2006/relationships/hyperlink" Target="https://www.sec.gov/Archives/edgar/data/202058/000020205820000040/exhibit107-rspxamendme.htm" TargetMode="External"/><Relationship Id="rId353" Type="http://schemas.openxmlformats.org/officeDocument/2006/relationships/hyperlink" Target="https://www.sec.gov/Archives/edgar/data/202058/000020205820000011/exhibit10jnon-employee.htm" TargetMode="External"/><Relationship Id="rId395" Type="http://schemas.openxmlformats.org/officeDocument/2006/relationships/hyperlink" Target="http://www.sec.gov/Archives/edgar/data/202058/000095015205002945/l13101aexv99w2.txt" TargetMode="External"/><Relationship Id="rId409" Type="http://schemas.openxmlformats.org/officeDocument/2006/relationships/hyperlink" Target="http://www.sec.gov/Archives/edgar/data/202058/000095014407005792/g07908exv10w2.htm" TargetMode="External"/><Relationship Id="rId92" Type="http://schemas.openxmlformats.org/officeDocument/2006/relationships/hyperlink" Target="https://www.sec.gov/Archives/edgar/data/202058/000020205820000068/formofglobalnotedue2031_.htm" TargetMode="External"/><Relationship Id="rId213" Type="http://schemas.openxmlformats.org/officeDocument/2006/relationships/hyperlink" Target="http://www.sec.gov/Archives/edgar/data/202058/000129993315001553/exhibit1.htm" TargetMode="External"/><Relationship Id="rId420" Type="http://schemas.openxmlformats.org/officeDocument/2006/relationships/hyperlink" Target="http://www.sec.gov/Archives/edgar/data/202058/000119312511268507/d241889dex101.htm" TargetMode="External"/><Relationship Id="rId255" Type="http://schemas.openxmlformats.org/officeDocument/2006/relationships/hyperlink" Target="https://www.sec.gov/Archives/edgar/data/202058/000020205820000040/exhibit103-2015equityr.htm" TargetMode="External"/><Relationship Id="rId297" Type="http://schemas.openxmlformats.org/officeDocument/2006/relationships/hyperlink" Target="https://www.sec.gov/Archives/edgar/data/202058/000020205820000040/exhibit106-rspxamendme.htm" TargetMode="External"/><Relationship Id="rId462" Type="http://schemas.openxmlformats.org/officeDocument/2006/relationships/hyperlink" Target="exhibit10zl3harrisserp.htm" TargetMode="External"/><Relationship Id="rId115" Type="http://schemas.openxmlformats.org/officeDocument/2006/relationships/hyperlink" Target="http://www.sec.gov/Archives/edgar/data/202058/000114036119012394/ex4_1.htm" TargetMode="External"/><Relationship Id="rId157" Type="http://schemas.openxmlformats.org/officeDocument/2006/relationships/hyperlink" Target="http://www.sec.gov/Archives/edgar/data/202058/000095012310097519/g24630exv10wo.htm" TargetMode="External"/><Relationship Id="rId322" Type="http://schemas.openxmlformats.org/officeDocument/2006/relationships/hyperlink" Target="https://www.sec.gov/Archives/edgar/data/202058/000020205820000053/exhibit101q2cy2010-q.htm" TargetMode="External"/><Relationship Id="rId364" Type="http://schemas.openxmlformats.org/officeDocument/2006/relationships/hyperlink" Target="http://www.sec.gov/Archives/edgar/data/202058/000095015204000536/l05216bexv10wc.txt" TargetMode="External"/><Relationship Id="rId61" Type="http://schemas.openxmlformats.org/officeDocument/2006/relationships/hyperlink" Target="http://www.sec.gov/Archives/edgar/data/202058/000095015203008045/l98139aexv4wc.htm" TargetMode="External"/><Relationship Id="rId199" Type="http://schemas.openxmlformats.org/officeDocument/2006/relationships/hyperlink" Target="http://www.sec.gov/Archives/edgar/data/202058/000095012310097519/g24630exv10wc.htm" TargetMode="External"/><Relationship Id="rId19" Type="http://schemas.openxmlformats.org/officeDocument/2006/relationships/hyperlink" Target="http://www.sec.gov/Archives/edgar/data/202058/000114036119012159/ex4.htm" TargetMode="External"/><Relationship Id="rId224" Type="http://schemas.openxmlformats.org/officeDocument/2006/relationships/hyperlink" Target="http://www.sec.gov/Archives/edgar/data/202058/000020205819000103/exhibit103ceo-coopsutcs.htm" TargetMode="External"/><Relationship Id="rId266" Type="http://schemas.openxmlformats.org/officeDocument/2006/relationships/hyperlink" Target="https://www.sec.gov/Archives/edgar/data/202058/000020205820000040/exhibit104-2015equityp.htm" TargetMode="External"/><Relationship Id="rId431" Type="http://schemas.openxmlformats.org/officeDocument/2006/relationships/hyperlink" Target="http://www.sec.gov/Archives/edgar/data/202058/000114036119012139/ex10_3.htm" TargetMode="External"/><Relationship Id="rId473" Type="http://schemas.openxmlformats.org/officeDocument/2006/relationships/hyperlink" Target="exhibit23cy20-q410xk.htm" TargetMode="External"/><Relationship Id="rId30" Type="http://schemas.openxmlformats.org/officeDocument/2006/relationships/hyperlink" Target="http://www.sec.gov/Archives/edgar/data/202058/0000950152-96-001980.txt" TargetMode="External"/><Relationship Id="rId126" Type="http://schemas.openxmlformats.org/officeDocument/2006/relationships/hyperlink" Target="http://www.sec.gov/Archives/edgar/data/202058/000114036119012394/ex4_6.htm" TargetMode="External"/><Relationship Id="rId168" Type="http://schemas.openxmlformats.org/officeDocument/2006/relationships/hyperlink" Target="https://www.sec.gov/Archives/edgar/data/202058/000020205820000017/exhibit101executivecic.htm" TargetMode="External"/><Relationship Id="rId333" Type="http://schemas.openxmlformats.org/officeDocument/2006/relationships/hyperlink" Target="https://www.sec.gov/Archives/edgar/data/202058/000020205820000053/exhibit102q2cy2010-q.htm" TargetMode="External"/><Relationship Id="rId72" Type="http://schemas.openxmlformats.org/officeDocument/2006/relationships/hyperlink" Target="https://www.sec.gov/Archives/edgar/data/202058/000020205820000021/exhibit41formofglobalnot.htm" TargetMode="External"/><Relationship Id="rId375" Type="http://schemas.openxmlformats.org/officeDocument/2006/relationships/hyperlink" Target="http://www.sec.gov/Archives/edgar/data/202058/000095015204000536/l05216bexv10wd.txt" TargetMode="External"/><Relationship Id="rId3" Type="http://schemas.openxmlformats.org/officeDocument/2006/relationships/webSettings" Target="webSettings.xml"/><Relationship Id="rId235" Type="http://schemas.openxmlformats.org/officeDocument/2006/relationships/hyperlink" Target="http://www.sec.gov/Archives/edgar/data/202058/000020205819000103/exhibit107integrationp.htm" TargetMode="External"/><Relationship Id="rId277" Type="http://schemas.openxmlformats.org/officeDocument/2006/relationships/hyperlink" Target="https://www.sec.gov/Archives/edgar/data/202058/000020205820000056/bod-20x181equityincent.htm" TargetMode="External"/><Relationship Id="rId400" Type="http://schemas.openxmlformats.org/officeDocument/2006/relationships/hyperlink" Target="http://www.sec.gov/Archives/edgar/data/202058/000095014407005792/g07908exv10w1.htm" TargetMode="External"/><Relationship Id="rId442" Type="http://schemas.openxmlformats.org/officeDocument/2006/relationships/hyperlink" Target="http://www.sec.gov/Archives/edgar/data/202058/000114036119012139/ex10_2.htm" TargetMode="External"/><Relationship Id="rId484" Type="http://schemas.openxmlformats.org/officeDocument/2006/relationships/hyperlink" Target="exhibit311cy20-q410xk.htm" TargetMode="External"/><Relationship Id="rId137" Type="http://schemas.openxmlformats.org/officeDocument/2006/relationships/hyperlink" Target="http://www.sec.gov/Archives/edgar/data/202058/000114036119012394/ex4_9.htm" TargetMode="External"/><Relationship Id="rId302" Type="http://schemas.openxmlformats.org/officeDocument/2006/relationships/hyperlink" Target="https://www.sec.gov/Archives/edgar/data/202058/000020205820000040/exhibit107-rspxamendme.htm" TargetMode="External"/><Relationship Id="rId344" Type="http://schemas.openxmlformats.org/officeDocument/2006/relationships/hyperlink" Target="https://www.sec.gov/Archives/edgar/data/202058/000020205820000011/exhibit10h-l3harrisers.htm" TargetMode="External"/><Relationship Id="rId41" Type="http://schemas.openxmlformats.org/officeDocument/2006/relationships/hyperlink" Target="http://www.sec.gov/Archives/edgar/data/202058/000119312515210656/d937596dex41.htm" TargetMode="External"/><Relationship Id="rId83" Type="http://schemas.openxmlformats.org/officeDocument/2006/relationships/hyperlink" Target="http://www.sec.gov/Archives/edgar/data/202058/000020205818000052/global4400note-exhibit41.htm" TargetMode="External"/><Relationship Id="rId179" Type="http://schemas.openxmlformats.org/officeDocument/2006/relationships/hyperlink" Target="https://www.sec.gov/Archives/edgar/data/202058/000020205820000017/exhibit2020l3harrissever.htm" TargetMode="External"/><Relationship Id="rId386" Type="http://schemas.openxmlformats.org/officeDocument/2006/relationships/hyperlink" Target="http://www.sec.gov/Archives/edgar/data/202058/000095014409001119/g17294exv10wxiy.htm" TargetMode="External"/><Relationship Id="rId190" Type="http://schemas.openxmlformats.org/officeDocument/2006/relationships/hyperlink" Target="http://www.sec.gov/Archives/edgar/data/202058/000129993315001553/exhibit2.htm" TargetMode="External"/><Relationship Id="rId204" Type="http://schemas.openxmlformats.org/officeDocument/2006/relationships/hyperlink" Target="http://www.sec.gov/Archives/edgar/data/202058/000129993311002670/exhibit1.htm" TargetMode="External"/><Relationship Id="rId246" Type="http://schemas.openxmlformats.org/officeDocument/2006/relationships/hyperlink" Target="https://www.sec.gov/Archives/edgar/data/202058/000020205820000011/exhibit10fxl3harrisnon.htm" TargetMode="External"/><Relationship Id="rId288" Type="http://schemas.openxmlformats.org/officeDocument/2006/relationships/hyperlink" Target="https://www.sec.gov/Archives/edgar/data/202058/000020205820000011/exhibit10g-l3harrisret.htm" TargetMode="External"/><Relationship Id="rId411" Type="http://schemas.openxmlformats.org/officeDocument/2006/relationships/hyperlink" Target="http://www.sec.gov/Archives/edgar/data/202058/000095014407005792/g07908exv10w3.htm" TargetMode="External"/><Relationship Id="rId453" Type="http://schemas.openxmlformats.org/officeDocument/2006/relationships/hyperlink" Target="exhibit10xisalariedpension.htm" TargetMode="External"/><Relationship Id="rId106" Type="http://schemas.openxmlformats.org/officeDocument/2006/relationships/hyperlink" Target="http://www.sec.gov/Archives/edgar/data/202058/000119312515149807/d914283dex44.htm" TargetMode="External"/><Relationship Id="rId313" Type="http://schemas.openxmlformats.org/officeDocument/2006/relationships/hyperlink" Target="https://www.sec.gov/Archives/edgar/data/202058/000020205820000040/exhibit107-rspxamendme.htm" TargetMode="External"/><Relationship Id="rId495" Type="http://schemas.openxmlformats.org/officeDocument/2006/relationships/hyperlink" Target="exhibit322cy20-q410xk.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115622</Words>
  <Characters>659048</Characters>
  <Application>Microsoft Office Word</Application>
  <DocSecurity>0</DocSecurity>
  <Lines>5492</Lines>
  <Paragraphs>1546</Paragraphs>
  <ScaleCrop>false</ScaleCrop>
  <Company/>
  <LinksUpToDate>false</LinksUpToDate>
  <CharactersWithSpaces>773124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hrs-20210101</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